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0A2D46" w14:textId="700322C0" w:rsidR="00B924E6" w:rsidRPr="00507BE9" w:rsidRDefault="006A5F73" w:rsidP="00507BE9">
      <w:pPr>
        <w:tabs>
          <w:tab w:val="left" w:pos="3014"/>
        </w:tabs>
        <w:spacing w:after="3000"/>
        <w:jc w:val="both"/>
        <w:rPr>
          <w:sz w:val="44"/>
          <w:szCs w:val="44"/>
        </w:rPr>
        <w:sectPr w:rsidR="00B924E6" w:rsidRPr="00507BE9" w:rsidSect="00B24B1D">
          <w:headerReference w:type="even" r:id="rId8"/>
          <w:headerReference w:type="default" r:id="rId9"/>
          <w:footerReference w:type="default" r:id="rId10"/>
          <w:headerReference w:type="first" r:id="rId11"/>
          <w:footerReference w:type="first" r:id="rId12"/>
          <w:endnotePr>
            <w:numFmt w:val="decimal"/>
          </w:endnotePr>
          <w:type w:val="continuous"/>
          <w:pgSz w:w="11906" w:h="16838" w:code="9"/>
          <w:pgMar w:top="228" w:right="1700" w:bottom="1134" w:left="1418" w:header="277" w:footer="415" w:gutter="0"/>
          <w:cols w:space="708"/>
          <w:titlePg/>
          <w:docGrid w:linePitch="360"/>
        </w:sectPr>
      </w:pPr>
      <w:r>
        <w:rPr>
          <w:noProof/>
        </w:rPr>
        <mc:AlternateContent>
          <mc:Choice Requires="wps">
            <w:drawing>
              <wp:anchor distT="0" distB="0" distL="114300" distR="114300" simplePos="0" relativeHeight="251655168" behindDoc="0" locked="0" layoutInCell="1" allowOverlap="1" wp14:anchorId="034496A4" wp14:editId="3B2E757B">
                <wp:simplePos x="0" y="0"/>
                <wp:positionH relativeFrom="column">
                  <wp:posOffset>1384779</wp:posOffset>
                </wp:positionH>
                <wp:positionV relativeFrom="paragraph">
                  <wp:posOffset>934720</wp:posOffset>
                </wp:positionV>
                <wp:extent cx="4339590" cy="646981"/>
                <wp:effectExtent l="0" t="0" r="0"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9590" cy="646981"/>
                        </a:xfrm>
                        <a:prstGeom prst="rect">
                          <a:avLst/>
                        </a:prstGeom>
                        <a:noFill/>
                        <a:ln w="6350">
                          <a:noFill/>
                        </a:ln>
                        <a:effectLst/>
                      </wps:spPr>
                      <wps:txbx>
                        <w:txbxContent>
                          <w:p w14:paraId="79422662" w14:textId="3689EEE3" w:rsidR="00F008D2" w:rsidRPr="00961FFF" w:rsidRDefault="00F008D2" w:rsidP="00961FFF">
                            <w:pPr>
                              <w:jc w:val="right"/>
                              <w:rPr>
                                <w:b/>
                                <w:sz w:val="26"/>
                                <w:szCs w:val="26"/>
                              </w:rPr>
                            </w:pPr>
                            <w:bookmarkStart w:id="0" w:name="_Toc430766836"/>
                            <w:r>
                              <w:rPr>
                                <w:b/>
                                <w:sz w:val="26"/>
                                <w:szCs w:val="26"/>
                              </w:rPr>
                              <w:t>14</w:t>
                            </w:r>
                            <w:r w:rsidRPr="00961FFF">
                              <w:rPr>
                                <w:b/>
                                <w:sz w:val="26"/>
                                <w:szCs w:val="26"/>
                              </w:rPr>
                              <w:t xml:space="preserve"> October 2015</w:t>
                            </w: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4496A4" id="_x0000_t202" coordsize="21600,21600" o:spt="202" path="m,l,21600r21600,l21600,xe">
                <v:stroke joinstyle="miter"/>
                <v:path gradientshapeok="t" o:connecttype="rect"/>
              </v:shapetype>
              <v:shape id="Text Box 3" o:spid="_x0000_s1026" type="#_x0000_t202" style="position:absolute;left:0;text-align:left;margin-left:109.05pt;margin-top:73.6pt;width:341.7pt;height:50.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" filled="f" stroked="f" strokeweight=".5pt">
                <v:path arrowok="t"/>
                <v:textbox>
                  <w:txbxContent>
                    <w:p w14:paraId="79422662" w14:textId="3689EEE3" w:rsidR="00F008D2" w:rsidRPr="00961FFF" w:rsidRDefault="00F008D2" w:rsidP="00961FFF">
                      <w:pPr>
                        <w:jc w:val="right"/>
                        <w:rPr>
                          <w:b/>
                          <w:sz w:val="26"/>
                          <w:szCs w:val="26"/>
                        </w:rPr>
                      </w:pPr>
                      <w:bookmarkStart w:id="1" w:name="_Toc430766836"/>
                      <w:r>
                        <w:rPr>
                          <w:b/>
                          <w:sz w:val="26"/>
                          <w:szCs w:val="26"/>
                        </w:rPr>
                        <w:t>14</w:t>
                      </w:r>
                      <w:r w:rsidRPr="00961FFF">
                        <w:rPr>
                          <w:b/>
                          <w:sz w:val="26"/>
                          <w:szCs w:val="26"/>
                        </w:rPr>
                        <w:t xml:space="preserve"> October 2015</w:t>
                      </w:r>
                    </w:p>
                    <w:bookmarkEnd w:id="1"/>
                  </w:txbxContent>
                </v:textbox>
              </v:shape>
            </w:pict>
          </mc:Fallback>
        </mc:AlternateContent>
      </w:r>
      <w:r>
        <w:rPr>
          <w:noProof/>
        </w:rPr>
        <w:drawing>
          <wp:anchor distT="0" distB="0" distL="114300" distR="114300" simplePos="0" relativeHeight="251657216" behindDoc="0" locked="0" layoutInCell="1" allowOverlap="1" wp14:anchorId="1F288B57" wp14:editId="005DB6B8">
            <wp:simplePos x="0" y="0"/>
            <wp:positionH relativeFrom="page">
              <wp:align>left</wp:align>
            </wp:positionH>
            <wp:positionV relativeFrom="paragraph">
              <wp:posOffset>1901106</wp:posOffset>
            </wp:positionV>
            <wp:extent cx="7597594" cy="5693434"/>
            <wp:effectExtent l="0" t="0" r="3810" b="2540"/>
            <wp:wrapNone/>
            <wp:docPr id="206" name="Picture 206" descr="\\fileshare\users\ballo\Desktop\photos\1. Front cov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hare\users\ballo\Desktop\photos\1. Front cover phot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97594" cy="5693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2B1A">
        <w:rPr>
          <w:noProof/>
        </w:rPr>
        <mc:AlternateContent>
          <mc:Choice Requires="wps">
            <w:drawing>
              <wp:anchor distT="0" distB="0" distL="114300" distR="114300" simplePos="0" relativeHeight="251653120" behindDoc="0" locked="0" layoutInCell="1" allowOverlap="1" wp14:anchorId="5F9B46EC" wp14:editId="26376BD0">
                <wp:simplePos x="0" y="0"/>
                <wp:positionH relativeFrom="column">
                  <wp:posOffset>2490470</wp:posOffset>
                </wp:positionH>
                <wp:positionV relativeFrom="paragraph">
                  <wp:posOffset>-45085</wp:posOffset>
                </wp:positionV>
                <wp:extent cx="3244215" cy="14859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215" cy="1485900"/>
                        </a:xfrm>
                        <a:prstGeom prst="rect">
                          <a:avLst/>
                        </a:prstGeom>
                        <a:noFill/>
                        <a:ln w="6350">
                          <a:noFill/>
                        </a:ln>
                        <a:effectLst/>
                      </wps:spPr>
                      <wps:txbx>
                        <w:txbxContent>
                          <w:p w14:paraId="74C4DE7F" w14:textId="77777777" w:rsidR="00F008D2" w:rsidRDefault="00F008D2" w:rsidP="00FD01B5">
                            <w:pPr>
                              <w:pStyle w:val="MainTitle"/>
                            </w:pPr>
                            <w:r>
                              <w:t>Children’s Rights Report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B46EC" id="Text Box 1" o:spid="_x0000_s1027" type="#_x0000_t202" style="position:absolute;left:0;text-align:left;margin-left:196.1pt;margin-top:-3.55pt;width:255.45pt;height:1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" filled="f" stroked="f" strokeweight=".5pt">
                <v:path arrowok="t"/>
                <v:textbox>
                  <w:txbxContent>
                    <w:p w14:paraId="74C4DE7F" w14:textId="77777777" w:rsidR="00F008D2" w:rsidRDefault="00F008D2" w:rsidP="00FD01B5">
                      <w:pPr>
                        <w:pStyle w:val="MainTitle"/>
                      </w:pPr>
                      <w:r>
                        <w:t>Children’s Rights Report 2015</w:t>
                      </w:r>
                    </w:p>
                  </w:txbxContent>
                </v:textbox>
              </v:shape>
            </w:pict>
          </mc:Fallback>
        </mc:AlternateContent>
      </w:r>
      <w:bookmarkStart w:id="2" w:name="_Toc209316062"/>
      <w:bookmarkEnd w:id="2"/>
    </w:p>
    <w:p w14:paraId="0EAA9695"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lastRenderedPageBreak/>
        <w:t>© Australian Human Rights Commission 2015.</w:t>
      </w:r>
    </w:p>
    <w:p w14:paraId="415F9BDC" w14:textId="77777777" w:rsid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 xml:space="preserve">The Australian Human Rights Commission encourages the dissemination and exchange of information presented in this publication and endorses the use of the </w:t>
      </w:r>
      <w:r w:rsidRPr="00507BE9">
        <w:rPr>
          <w:rFonts w:eastAsia="Calibri" w:cs="Arial"/>
          <w:color w:val="231F20"/>
          <w:sz w:val="18"/>
          <w:szCs w:val="22"/>
          <w:u w:val="single"/>
          <w:lang w:eastAsia="en-US"/>
        </w:rPr>
        <w:t xml:space="preserve">Australian Governments Open Access and Licensing Framework </w:t>
      </w:r>
      <w:r w:rsidRPr="00507BE9">
        <w:rPr>
          <w:rFonts w:eastAsia="Calibri" w:cs="Arial"/>
          <w:color w:val="231F20"/>
          <w:sz w:val="18"/>
          <w:szCs w:val="22"/>
          <w:lang w:eastAsia="en-US"/>
        </w:rPr>
        <w:t>(AusGOAL).</w:t>
      </w:r>
    </w:p>
    <w:p w14:paraId="7CF1B918" w14:textId="65E025DB" w:rsidR="00507BE9" w:rsidRDefault="00507BE9" w:rsidP="00507BE9">
      <w:pPr>
        <w:widowControl w:val="0"/>
        <w:spacing w:before="77" w:after="0" w:line="250" w:lineRule="auto"/>
        <w:ind w:left="100" w:right="117"/>
        <w:rPr>
          <w:rFonts w:eastAsia="Calibri" w:cs="Arial"/>
          <w:color w:val="231F20"/>
          <w:sz w:val="18"/>
          <w:szCs w:val="22"/>
          <w:lang w:eastAsia="en-US"/>
        </w:rPr>
      </w:pPr>
      <w:r w:rsidRPr="00767733">
        <w:rPr>
          <w:rFonts w:eastAsia="Calibri" w:cs="Arial"/>
          <w:noProof/>
          <w:sz w:val="22"/>
          <w:szCs w:val="22"/>
        </w:rPr>
        <mc:AlternateContent>
          <mc:Choice Requires="wpg">
            <w:drawing>
              <wp:anchor distT="0" distB="0" distL="114300" distR="114300" simplePos="0" relativeHeight="251662336" behindDoc="1" locked="0" layoutInCell="1" allowOverlap="1" wp14:anchorId="2CEB62B3" wp14:editId="372FE288">
                <wp:simplePos x="0" y="0"/>
                <wp:positionH relativeFrom="page">
                  <wp:posOffset>900430</wp:posOffset>
                </wp:positionH>
                <wp:positionV relativeFrom="paragraph">
                  <wp:posOffset>109220</wp:posOffset>
                </wp:positionV>
                <wp:extent cx="719455" cy="260350"/>
                <wp:effectExtent l="0" t="0" r="0" b="0"/>
                <wp:wrapNone/>
                <wp:docPr id="719"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260350"/>
                          <a:chOff x="1691" y="652"/>
                          <a:chExt cx="1133" cy="410"/>
                        </a:xfrm>
                      </wpg:grpSpPr>
                      <wpg:grpSp>
                        <wpg:cNvPr id="720" name="Group 729"/>
                        <wpg:cNvGrpSpPr>
                          <a:grpSpLocks/>
                        </wpg:cNvGrpSpPr>
                        <wpg:grpSpPr bwMode="auto">
                          <a:xfrm>
                            <a:off x="1703" y="667"/>
                            <a:ext cx="1106" cy="378"/>
                            <a:chOff x="1703" y="667"/>
                            <a:chExt cx="1106" cy="378"/>
                          </a:xfrm>
                        </wpg:grpSpPr>
                        <wps:wsp>
                          <wps:cNvPr id="721" name="Freeform 730"/>
                          <wps:cNvSpPr>
                            <a:spLocks/>
                          </wps:cNvSpPr>
                          <wps:spPr bwMode="auto">
                            <a:xfrm>
                              <a:off x="1703" y="667"/>
                              <a:ext cx="1106" cy="378"/>
                            </a:xfrm>
                            <a:custGeom>
                              <a:avLst/>
                              <a:gdLst>
                                <a:gd name="T0" fmla="+- 0 1730 1703"/>
                                <a:gd name="T1" fmla="*/ T0 w 1106"/>
                                <a:gd name="T2" fmla="+- 0 667 667"/>
                                <a:gd name="T3" fmla="*/ 667 h 378"/>
                                <a:gd name="T4" fmla="+- 0 1705 1703"/>
                                <a:gd name="T5" fmla="*/ T4 w 1106"/>
                                <a:gd name="T6" fmla="+- 0 667 667"/>
                                <a:gd name="T7" fmla="*/ 667 h 378"/>
                                <a:gd name="T8" fmla="+- 0 1703 1703"/>
                                <a:gd name="T9" fmla="*/ T8 w 1106"/>
                                <a:gd name="T10" fmla="+- 0 681 667"/>
                                <a:gd name="T11" fmla="*/ 681 h 378"/>
                                <a:gd name="T12" fmla="+- 0 1703 1703"/>
                                <a:gd name="T13" fmla="*/ T12 w 1106"/>
                                <a:gd name="T14" fmla="+- 0 1044 667"/>
                                <a:gd name="T15" fmla="*/ 1044 h 378"/>
                                <a:gd name="T16" fmla="+- 0 2807 1703"/>
                                <a:gd name="T17" fmla="*/ T16 w 1106"/>
                                <a:gd name="T18" fmla="+- 0 1044 667"/>
                                <a:gd name="T19" fmla="*/ 1044 h 378"/>
                                <a:gd name="T20" fmla="+- 0 2808 1703"/>
                                <a:gd name="T21" fmla="*/ T20 w 1106"/>
                                <a:gd name="T22" fmla="+- 0 691 667"/>
                                <a:gd name="T23" fmla="*/ 691 h 378"/>
                                <a:gd name="T24" fmla="+- 0 2799 1703"/>
                                <a:gd name="T25" fmla="*/ T24 w 1106"/>
                                <a:gd name="T26" fmla="+- 0 671 667"/>
                                <a:gd name="T27" fmla="*/ 671 h 378"/>
                                <a:gd name="T28" fmla="+- 0 2781 1703"/>
                                <a:gd name="T29" fmla="*/ T28 w 1106"/>
                                <a:gd name="T30" fmla="+- 0 669 667"/>
                                <a:gd name="T31" fmla="*/ 669 h 378"/>
                                <a:gd name="T32" fmla="+- 0 1730 1703"/>
                                <a:gd name="T33" fmla="*/ T32 w 1106"/>
                                <a:gd name="T34" fmla="+- 0 667 667"/>
                                <a:gd name="T35" fmla="*/ 667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6" h="378">
                                  <a:moveTo>
                                    <a:pt x="27" y="0"/>
                                  </a:moveTo>
                                  <a:lnTo>
                                    <a:pt x="2" y="0"/>
                                  </a:lnTo>
                                  <a:lnTo>
                                    <a:pt x="0" y="14"/>
                                  </a:lnTo>
                                  <a:lnTo>
                                    <a:pt x="0" y="377"/>
                                  </a:lnTo>
                                  <a:lnTo>
                                    <a:pt x="1104" y="377"/>
                                  </a:lnTo>
                                  <a:lnTo>
                                    <a:pt x="1105" y="24"/>
                                  </a:lnTo>
                                  <a:lnTo>
                                    <a:pt x="1096" y="4"/>
                                  </a:lnTo>
                                  <a:lnTo>
                                    <a:pt x="1078" y="2"/>
                                  </a:lnTo>
                                  <a:lnTo>
                                    <a:pt x="27" y="0"/>
                                  </a:lnTo>
                                  <a:close/>
                                </a:path>
                              </a:pathLst>
                            </a:custGeom>
                            <a:solidFill>
                              <a:srgbClr val="AAB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2" name="Group 726"/>
                        <wpg:cNvGrpSpPr>
                          <a:grpSpLocks/>
                        </wpg:cNvGrpSpPr>
                        <wpg:grpSpPr bwMode="auto">
                          <a:xfrm>
                            <a:off x="1701" y="662"/>
                            <a:ext cx="1113" cy="390"/>
                            <a:chOff x="1701" y="662"/>
                            <a:chExt cx="1113" cy="390"/>
                          </a:xfrm>
                        </wpg:grpSpPr>
                        <wps:wsp>
                          <wps:cNvPr id="723" name="Freeform 728"/>
                          <wps:cNvSpPr>
                            <a:spLocks/>
                          </wps:cNvSpPr>
                          <wps:spPr bwMode="auto">
                            <a:xfrm>
                              <a:off x="1701" y="662"/>
                              <a:ext cx="1113" cy="390"/>
                            </a:xfrm>
                            <a:custGeom>
                              <a:avLst/>
                              <a:gdLst>
                                <a:gd name="T0" fmla="+- 0 2804 1701"/>
                                <a:gd name="T1" fmla="*/ T0 w 1113"/>
                                <a:gd name="T2" fmla="+- 0 662 662"/>
                                <a:gd name="T3" fmla="*/ 662 h 390"/>
                                <a:gd name="T4" fmla="+- 0 1710 1701"/>
                                <a:gd name="T5" fmla="*/ T4 w 1113"/>
                                <a:gd name="T6" fmla="+- 0 662 662"/>
                                <a:gd name="T7" fmla="*/ 662 h 390"/>
                                <a:gd name="T8" fmla="+- 0 1701 1701"/>
                                <a:gd name="T9" fmla="*/ T8 w 1113"/>
                                <a:gd name="T10" fmla="+- 0 671 662"/>
                                <a:gd name="T11" fmla="*/ 671 h 390"/>
                                <a:gd name="T12" fmla="+- 0 1701 1701"/>
                                <a:gd name="T13" fmla="*/ T12 w 1113"/>
                                <a:gd name="T14" fmla="+- 0 1049 662"/>
                                <a:gd name="T15" fmla="*/ 1049 h 390"/>
                                <a:gd name="T16" fmla="+- 0 1703 1701"/>
                                <a:gd name="T17" fmla="*/ T16 w 1113"/>
                                <a:gd name="T18" fmla="+- 0 1052 662"/>
                                <a:gd name="T19" fmla="*/ 1052 h 390"/>
                                <a:gd name="T20" fmla="+- 0 2811 1701"/>
                                <a:gd name="T21" fmla="*/ T20 w 1113"/>
                                <a:gd name="T22" fmla="+- 0 1052 662"/>
                                <a:gd name="T23" fmla="*/ 1052 h 390"/>
                                <a:gd name="T24" fmla="+- 0 2813 1701"/>
                                <a:gd name="T25" fmla="*/ T24 w 1113"/>
                                <a:gd name="T26" fmla="+- 0 1049 662"/>
                                <a:gd name="T27" fmla="*/ 1049 h 390"/>
                                <a:gd name="T28" fmla="+- 0 2813 1701"/>
                                <a:gd name="T29" fmla="*/ T28 w 1113"/>
                                <a:gd name="T30" fmla="+- 0 1021 662"/>
                                <a:gd name="T31" fmla="*/ 1021 h 390"/>
                                <a:gd name="T32" fmla="+- 0 1900 1701"/>
                                <a:gd name="T33" fmla="*/ T32 w 1113"/>
                                <a:gd name="T34" fmla="+- 0 1021 662"/>
                                <a:gd name="T35" fmla="*/ 1021 h 390"/>
                                <a:gd name="T36" fmla="+- 0 1877 1701"/>
                                <a:gd name="T37" fmla="*/ T36 w 1113"/>
                                <a:gd name="T38" fmla="+- 0 1020 662"/>
                                <a:gd name="T39" fmla="*/ 1020 h 390"/>
                                <a:gd name="T40" fmla="+- 0 1815 1701"/>
                                <a:gd name="T41" fmla="*/ T40 w 1113"/>
                                <a:gd name="T42" fmla="+- 0 1001 662"/>
                                <a:gd name="T43" fmla="*/ 1001 h 390"/>
                                <a:gd name="T44" fmla="+- 0 1767 1701"/>
                                <a:gd name="T45" fmla="*/ T44 w 1113"/>
                                <a:gd name="T46" fmla="+- 0 964 662"/>
                                <a:gd name="T47" fmla="*/ 964 h 390"/>
                                <a:gd name="T48" fmla="+- 0 1755 1701"/>
                                <a:gd name="T49" fmla="*/ T48 w 1113"/>
                                <a:gd name="T50" fmla="+- 0 948 662"/>
                                <a:gd name="T51" fmla="*/ 948 h 390"/>
                                <a:gd name="T52" fmla="+- 0 1710 1701"/>
                                <a:gd name="T53" fmla="*/ T52 w 1113"/>
                                <a:gd name="T54" fmla="+- 0 936 662"/>
                                <a:gd name="T55" fmla="*/ 936 h 390"/>
                                <a:gd name="T56" fmla="+- 0 1710 1701"/>
                                <a:gd name="T57" fmla="*/ T56 w 1113"/>
                                <a:gd name="T58" fmla="+- 0 677 662"/>
                                <a:gd name="T59" fmla="*/ 677 h 390"/>
                                <a:gd name="T60" fmla="+- 0 1715 1701"/>
                                <a:gd name="T61" fmla="*/ T60 w 1113"/>
                                <a:gd name="T62" fmla="+- 0 672 662"/>
                                <a:gd name="T63" fmla="*/ 672 h 390"/>
                                <a:gd name="T64" fmla="+- 0 2813 1701"/>
                                <a:gd name="T65" fmla="*/ T64 w 1113"/>
                                <a:gd name="T66" fmla="+- 0 672 662"/>
                                <a:gd name="T67" fmla="*/ 672 h 390"/>
                                <a:gd name="T68" fmla="+- 0 2804 1701"/>
                                <a:gd name="T69" fmla="*/ T68 w 1113"/>
                                <a:gd name="T70" fmla="+- 0 662 662"/>
                                <a:gd name="T71" fmla="*/ 662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13" h="390">
                                  <a:moveTo>
                                    <a:pt x="1103" y="0"/>
                                  </a:moveTo>
                                  <a:lnTo>
                                    <a:pt x="9" y="0"/>
                                  </a:lnTo>
                                  <a:lnTo>
                                    <a:pt x="0" y="9"/>
                                  </a:lnTo>
                                  <a:lnTo>
                                    <a:pt x="0" y="387"/>
                                  </a:lnTo>
                                  <a:lnTo>
                                    <a:pt x="2" y="390"/>
                                  </a:lnTo>
                                  <a:lnTo>
                                    <a:pt x="1110" y="390"/>
                                  </a:lnTo>
                                  <a:lnTo>
                                    <a:pt x="1112" y="387"/>
                                  </a:lnTo>
                                  <a:lnTo>
                                    <a:pt x="1112" y="359"/>
                                  </a:lnTo>
                                  <a:lnTo>
                                    <a:pt x="199" y="359"/>
                                  </a:lnTo>
                                  <a:lnTo>
                                    <a:pt x="176" y="358"/>
                                  </a:lnTo>
                                  <a:lnTo>
                                    <a:pt x="114" y="339"/>
                                  </a:lnTo>
                                  <a:lnTo>
                                    <a:pt x="66" y="302"/>
                                  </a:lnTo>
                                  <a:lnTo>
                                    <a:pt x="54" y="286"/>
                                  </a:lnTo>
                                  <a:lnTo>
                                    <a:pt x="9" y="274"/>
                                  </a:lnTo>
                                  <a:lnTo>
                                    <a:pt x="9" y="15"/>
                                  </a:lnTo>
                                  <a:lnTo>
                                    <a:pt x="14" y="10"/>
                                  </a:lnTo>
                                  <a:lnTo>
                                    <a:pt x="1112" y="10"/>
                                  </a:lnTo>
                                  <a:lnTo>
                                    <a:pt x="1103"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727"/>
                          <wps:cNvSpPr>
                            <a:spLocks/>
                          </wps:cNvSpPr>
                          <wps:spPr bwMode="auto">
                            <a:xfrm>
                              <a:off x="1701" y="662"/>
                              <a:ext cx="1113" cy="390"/>
                            </a:xfrm>
                            <a:custGeom>
                              <a:avLst/>
                              <a:gdLst>
                                <a:gd name="T0" fmla="+- 0 2813 1701"/>
                                <a:gd name="T1" fmla="*/ T0 w 1113"/>
                                <a:gd name="T2" fmla="+- 0 672 662"/>
                                <a:gd name="T3" fmla="*/ 672 h 390"/>
                                <a:gd name="T4" fmla="+- 0 2799 1701"/>
                                <a:gd name="T5" fmla="*/ T4 w 1113"/>
                                <a:gd name="T6" fmla="+- 0 672 662"/>
                                <a:gd name="T7" fmla="*/ 672 h 390"/>
                                <a:gd name="T8" fmla="+- 0 2804 1701"/>
                                <a:gd name="T9" fmla="*/ T8 w 1113"/>
                                <a:gd name="T10" fmla="+- 0 677 662"/>
                                <a:gd name="T11" fmla="*/ 677 h 390"/>
                                <a:gd name="T12" fmla="+- 0 2804 1701"/>
                                <a:gd name="T13" fmla="*/ T12 w 1113"/>
                                <a:gd name="T14" fmla="+- 0 936 662"/>
                                <a:gd name="T15" fmla="*/ 936 h 390"/>
                                <a:gd name="T16" fmla="+- 0 2036 1701"/>
                                <a:gd name="T17" fmla="*/ T16 w 1113"/>
                                <a:gd name="T18" fmla="+- 0 936 662"/>
                                <a:gd name="T19" fmla="*/ 936 h 390"/>
                                <a:gd name="T20" fmla="+- 0 2025 1701"/>
                                <a:gd name="T21" fmla="*/ T20 w 1113"/>
                                <a:gd name="T22" fmla="+- 0 953 662"/>
                                <a:gd name="T23" fmla="*/ 953 h 390"/>
                                <a:gd name="T24" fmla="+- 0 2012 1701"/>
                                <a:gd name="T25" fmla="*/ T24 w 1113"/>
                                <a:gd name="T26" fmla="+- 0 969 662"/>
                                <a:gd name="T27" fmla="*/ 969 h 390"/>
                                <a:gd name="T28" fmla="+- 0 1962 1701"/>
                                <a:gd name="T29" fmla="*/ T28 w 1113"/>
                                <a:gd name="T30" fmla="+- 0 1005 662"/>
                                <a:gd name="T31" fmla="*/ 1005 h 390"/>
                                <a:gd name="T32" fmla="+- 0 1900 1701"/>
                                <a:gd name="T33" fmla="*/ T32 w 1113"/>
                                <a:gd name="T34" fmla="+- 0 1021 662"/>
                                <a:gd name="T35" fmla="*/ 1021 h 390"/>
                                <a:gd name="T36" fmla="+- 0 2813 1701"/>
                                <a:gd name="T37" fmla="*/ T36 w 1113"/>
                                <a:gd name="T38" fmla="+- 0 1021 662"/>
                                <a:gd name="T39" fmla="*/ 1021 h 390"/>
                                <a:gd name="T40" fmla="+- 0 2813 1701"/>
                                <a:gd name="T41" fmla="*/ T40 w 1113"/>
                                <a:gd name="T42" fmla="+- 0 672 662"/>
                                <a:gd name="T43" fmla="*/ 672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13" h="390">
                                  <a:moveTo>
                                    <a:pt x="1112" y="10"/>
                                  </a:moveTo>
                                  <a:lnTo>
                                    <a:pt x="1098" y="10"/>
                                  </a:lnTo>
                                  <a:lnTo>
                                    <a:pt x="1103" y="15"/>
                                  </a:lnTo>
                                  <a:lnTo>
                                    <a:pt x="1103" y="274"/>
                                  </a:lnTo>
                                  <a:lnTo>
                                    <a:pt x="335" y="274"/>
                                  </a:lnTo>
                                  <a:lnTo>
                                    <a:pt x="324" y="291"/>
                                  </a:lnTo>
                                  <a:lnTo>
                                    <a:pt x="311" y="307"/>
                                  </a:lnTo>
                                  <a:lnTo>
                                    <a:pt x="261" y="343"/>
                                  </a:lnTo>
                                  <a:lnTo>
                                    <a:pt x="199" y="359"/>
                                  </a:lnTo>
                                  <a:lnTo>
                                    <a:pt x="1112" y="359"/>
                                  </a:lnTo>
                                  <a:lnTo>
                                    <a:pt x="1112" y="1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5" name="Group 722"/>
                        <wpg:cNvGrpSpPr>
                          <a:grpSpLocks/>
                        </wpg:cNvGrpSpPr>
                        <wpg:grpSpPr bwMode="auto">
                          <a:xfrm>
                            <a:off x="2356" y="966"/>
                            <a:ext cx="52" cy="62"/>
                            <a:chOff x="2356" y="966"/>
                            <a:chExt cx="52" cy="62"/>
                          </a:xfrm>
                        </wpg:grpSpPr>
                        <wps:wsp>
                          <wps:cNvPr id="726" name="Freeform 725"/>
                          <wps:cNvSpPr>
                            <a:spLocks/>
                          </wps:cNvSpPr>
                          <wps:spPr bwMode="auto">
                            <a:xfrm>
                              <a:off x="2356" y="966"/>
                              <a:ext cx="52" cy="62"/>
                            </a:xfrm>
                            <a:custGeom>
                              <a:avLst/>
                              <a:gdLst>
                                <a:gd name="T0" fmla="+- 0 2388 2356"/>
                                <a:gd name="T1" fmla="*/ T0 w 52"/>
                                <a:gd name="T2" fmla="+- 0 966 966"/>
                                <a:gd name="T3" fmla="*/ 966 h 62"/>
                                <a:gd name="T4" fmla="+- 0 2356 2356"/>
                                <a:gd name="T5" fmla="*/ T4 w 52"/>
                                <a:gd name="T6" fmla="+- 0 966 966"/>
                                <a:gd name="T7" fmla="*/ 966 h 62"/>
                                <a:gd name="T8" fmla="+- 0 2356 2356"/>
                                <a:gd name="T9" fmla="*/ T8 w 52"/>
                                <a:gd name="T10" fmla="+- 0 1027 966"/>
                                <a:gd name="T11" fmla="*/ 1027 h 62"/>
                                <a:gd name="T12" fmla="+- 0 2389 2356"/>
                                <a:gd name="T13" fmla="*/ T12 w 52"/>
                                <a:gd name="T14" fmla="+- 0 1027 966"/>
                                <a:gd name="T15" fmla="*/ 1027 h 62"/>
                                <a:gd name="T16" fmla="+- 0 2391 2356"/>
                                <a:gd name="T17" fmla="*/ T16 w 52"/>
                                <a:gd name="T18" fmla="+- 0 1027 966"/>
                                <a:gd name="T19" fmla="*/ 1027 h 62"/>
                                <a:gd name="T20" fmla="+- 0 2406 2356"/>
                                <a:gd name="T21" fmla="*/ T20 w 52"/>
                                <a:gd name="T22" fmla="+- 0 1017 966"/>
                                <a:gd name="T23" fmla="*/ 1017 h 62"/>
                                <a:gd name="T24" fmla="+- 0 2370 2356"/>
                                <a:gd name="T25" fmla="*/ T24 w 52"/>
                                <a:gd name="T26" fmla="+- 0 1017 966"/>
                                <a:gd name="T27" fmla="*/ 1017 h 62"/>
                                <a:gd name="T28" fmla="+- 0 2370 2356"/>
                                <a:gd name="T29" fmla="*/ T28 w 52"/>
                                <a:gd name="T30" fmla="+- 0 1000 966"/>
                                <a:gd name="T31" fmla="*/ 1000 h 62"/>
                                <a:gd name="T32" fmla="+- 0 2405 2356"/>
                                <a:gd name="T33" fmla="*/ T32 w 52"/>
                                <a:gd name="T34" fmla="+- 0 1000 966"/>
                                <a:gd name="T35" fmla="*/ 1000 h 62"/>
                                <a:gd name="T36" fmla="+- 0 2403 2356"/>
                                <a:gd name="T37" fmla="*/ T36 w 52"/>
                                <a:gd name="T38" fmla="+- 0 997 966"/>
                                <a:gd name="T39" fmla="*/ 997 h 62"/>
                                <a:gd name="T40" fmla="+- 0 2400 2356"/>
                                <a:gd name="T41" fmla="*/ T40 w 52"/>
                                <a:gd name="T42" fmla="+- 0 995 966"/>
                                <a:gd name="T43" fmla="*/ 995 h 62"/>
                                <a:gd name="T44" fmla="+- 0 2396 2356"/>
                                <a:gd name="T45" fmla="*/ T44 w 52"/>
                                <a:gd name="T46" fmla="+- 0 994 966"/>
                                <a:gd name="T47" fmla="*/ 994 h 62"/>
                                <a:gd name="T48" fmla="+- 0 2399 2356"/>
                                <a:gd name="T49" fmla="*/ T48 w 52"/>
                                <a:gd name="T50" fmla="+- 0 992 966"/>
                                <a:gd name="T51" fmla="*/ 992 h 62"/>
                                <a:gd name="T52" fmla="+- 0 2401 2356"/>
                                <a:gd name="T53" fmla="*/ T52 w 52"/>
                                <a:gd name="T54" fmla="+- 0 991 966"/>
                                <a:gd name="T55" fmla="*/ 991 h 62"/>
                                <a:gd name="T56" fmla="+- 0 2370 2356"/>
                                <a:gd name="T57" fmla="*/ T56 w 52"/>
                                <a:gd name="T58" fmla="+- 0 991 966"/>
                                <a:gd name="T59" fmla="*/ 991 h 62"/>
                                <a:gd name="T60" fmla="+- 0 2370 2356"/>
                                <a:gd name="T61" fmla="*/ T60 w 52"/>
                                <a:gd name="T62" fmla="+- 0 976 966"/>
                                <a:gd name="T63" fmla="*/ 976 h 62"/>
                                <a:gd name="T64" fmla="+- 0 2404 2356"/>
                                <a:gd name="T65" fmla="*/ T64 w 52"/>
                                <a:gd name="T66" fmla="+- 0 976 966"/>
                                <a:gd name="T67" fmla="*/ 976 h 62"/>
                                <a:gd name="T68" fmla="+- 0 2404 2356"/>
                                <a:gd name="T69" fmla="*/ T68 w 52"/>
                                <a:gd name="T70" fmla="+- 0 976 966"/>
                                <a:gd name="T71" fmla="*/ 976 h 62"/>
                                <a:gd name="T72" fmla="+- 0 2391 2356"/>
                                <a:gd name="T73" fmla="*/ T72 w 52"/>
                                <a:gd name="T74" fmla="+- 0 966 966"/>
                                <a:gd name="T75" fmla="*/ 966 h 62"/>
                                <a:gd name="T76" fmla="+- 0 2388 2356"/>
                                <a:gd name="T77" fmla="*/ T76 w 52"/>
                                <a:gd name="T78" fmla="+- 0 966 966"/>
                                <a:gd name="T79" fmla="*/ 96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 h="62">
                                  <a:moveTo>
                                    <a:pt x="32" y="0"/>
                                  </a:moveTo>
                                  <a:lnTo>
                                    <a:pt x="0" y="0"/>
                                  </a:lnTo>
                                  <a:lnTo>
                                    <a:pt x="0" y="61"/>
                                  </a:lnTo>
                                  <a:lnTo>
                                    <a:pt x="33" y="61"/>
                                  </a:lnTo>
                                  <a:lnTo>
                                    <a:pt x="35" y="61"/>
                                  </a:lnTo>
                                  <a:lnTo>
                                    <a:pt x="50" y="51"/>
                                  </a:lnTo>
                                  <a:lnTo>
                                    <a:pt x="14" y="51"/>
                                  </a:lnTo>
                                  <a:lnTo>
                                    <a:pt x="14" y="34"/>
                                  </a:lnTo>
                                  <a:lnTo>
                                    <a:pt x="49" y="34"/>
                                  </a:lnTo>
                                  <a:lnTo>
                                    <a:pt x="47" y="31"/>
                                  </a:lnTo>
                                  <a:lnTo>
                                    <a:pt x="44" y="29"/>
                                  </a:lnTo>
                                  <a:lnTo>
                                    <a:pt x="40" y="28"/>
                                  </a:lnTo>
                                  <a:lnTo>
                                    <a:pt x="43" y="26"/>
                                  </a:lnTo>
                                  <a:lnTo>
                                    <a:pt x="45" y="25"/>
                                  </a:lnTo>
                                  <a:lnTo>
                                    <a:pt x="14" y="25"/>
                                  </a:lnTo>
                                  <a:lnTo>
                                    <a:pt x="14" y="10"/>
                                  </a:lnTo>
                                  <a:lnTo>
                                    <a:pt x="48" y="10"/>
                                  </a:lnTo>
                                  <a:lnTo>
                                    <a:pt x="35" y="0"/>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724"/>
                          <wps:cNvSpPr>
                            <a:spLocks/>
                          </wps:cNvSpPr>
                          <wps:spPr bwMode="auto">
                            <a:xfrm>
                              <a:off x="2356" y="966"/>
                              <a:ext cx="52" cy="62"/>
                            </a:xfrm>
                            <a:custGeom>
                              <a:avLst/>
                              <a:gdLst>
                                <a:gd name="T0" fmla="+- 0 2405 2356"/>
                                <a:gd name="T1" fmla="*/ T0 w 52"/>
                                <a:gd name="T2" fmla="+- 0 1000 966"/>
                                <a:gd name="T3" fmla="*/ 1000 h 62"/>
                                <a:gd name="T4" fmla="+- 0 2387 2356"/>
                                <a:gd name="T5" fmla="*/ T4 w 52"/>
                                <a:gd name="T6" fmla="+- 0 1000 966"/>
                                <a:gd name="T7" fmla="*/ 1000 h 62"/>
                                <a:gd name="T8" fmla="+- 0 2390 2356"/>
                                <a:gd name="T9" fmla="*/ T8 w 52"/>
                                <a:gd name="T10" fmla="+- 0 1001 966"/>
                                <a:gd name="T11" fmla="*/ 1001 h 62"/>
                                <a:gd name="T12" fmla="+- 0 2393 2356"/>
                                <a:gd name="T13" fmla="*/ T12 w 52"/>
                                <a:gd name="T14" fmla="+- 0 1003 966"/>
                                <a:gd name="T15" fmla="*/ 1003 h 62"/>
                                <a:gd name="T16" fmla="+- 0 2394 2356"/>
                                <a:gd name="T17" fmla="*/ T16 w 52"/>
                                <a:gd name="T18" fmla="+- 0 1005 966"/>
                                <a:gd name="T19" fmla="*/ 1005 h 62"/>
                                <a:gd name="T20" fmla="+- 0 2394 2356"/>
                                <a:gd name="T21" fmla="*/ T20 w 52"/>
                                <a:gd name="T22" fmla="+- 0 1010 966"/>
                                <a:gd name="T23" fmla="*/ 1010 h 62"/>
                                <a:gd name="T24" fmla="+- 0 2384 2356"/>
                                <a:gd name="T25" fmla="*/ T24 w 52"/>
                                <a:gd name="T26" fmla="+- 0 1017 966"/>
                                <a:gd name="T27" fmla="*/ 1017 h 62"/>
                                <a:gd name="T28" fmla="+- 0 2406 2356"/>
                                <a:gd name="T29" fmla="*/ T28 w 52"/>
                                <a:gd name="T30" fmla="+- 0 1017 966"/>
                                <a:gd name="T31" fmla="*/ 1017 h 62"/>
                                <a:gd name="T32" fmla="+- 0 2407 2356"/>
                                <a:gd name="T33" fmla="*/ T32 w 52"/>
                                <a:gd name="T34" fmla="+- 0 1015 966"/>
                                <a:gd name="T35" fmla="*/ 1015 h 62"/>
                                <a:gd name="T36" fmla="+- 0 2408 2356"/>
                                <a:gd name="T37" fmla="*/ T36 w 52"/>
                                <a:gd name="T38" fmla="+- 0 1012 966"/>
                                <a:gd name="T39" fmla="*/ 1012 h 62"/>
                                <a:gd name="T40" fmla="+- 0 2408 2356"/>
                                <a:gd name="T41" fmla="*/ T40 w 52"/>
                                <a:gd name="T42" fmla="+- 0 1005 966"/>
                                <a:gd name="T43" fmla="*/ 1005 h 62"/>
                                <a:gd name="T44" fmla="+- 0 2407 2356"/>
                                <a:gd name="T45" fmla="*/ T44 w 52"/>
                                <a:gd name="T46" fmla="+- 0 1002 966"/>
                                <a:gd name="T47" fmla="*/ 1002 h 62"/>
                                <a:gd name="T48" fmla="+- 0 2405 2356"/>
                                <a:gd name="T49" fmla="*/ T48 w 52"/>
                                <a:gd name="T50" fmla="+- 0 1000 966"/>
                                <a:gd name="T51" fmla="*/ 100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62">
                                  <a:moveTo>
                                    <a:pt x="49" y="34"/>
                                  </a:moveTo>
                                  <a:lnTo>
                                    <a:pt x="31" y="34"/>
                                  </a:lnTo>
                                  <a:lnTo>
                                    <a:pt x="34" y="35"/>
                                  </a:lnTo>
                                  <a:lnTo>
                                    <a:pt x="37" y="37"/>
                                  </a:lnTo>
                                  <a:lnTo>
                                    <a:pt x="38" y="39"/>
                                  </a:lnTo>
                                  <a:lnTo>
                                    <a:pt x="38" y="44"/>
                                  </a:lnTo>
                                  <a:lnTo>
                                    <a:pt x="28" y="51"/>
                                  </a:lnTo>
                                  <a:lnTo>
                                    <a:pt x="50" y="51"/>
                                  </a:lnTo>
                                  <a:lnTo>
                                    <a:pt x="51" y="49"/>
                                  </a:lnTo>
                                  <a:lnTo>
                                    <a:pt x="52" y="46"/>
                                  </a:lnTo>
                                  <a:lnTo>
                                    <a:pt x="52" y="39"/>
                                  </a:lnTo>
                                  <a:lnTo>
                                    <a:pt x="51" y="36"/>
                                  </a:lnTo>
                                  <a:lnTo>
                                    <a:pt x="49"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723"/>
                          <wps:cNvSpPr>
                            <a:spLocks/>
                          </wps:cNvSpPr>
                          <wps:spPr bwMode="auto">
                            <a:xfrm>
                              <a:off x="2356" y="966"/>
                              <a:ext cx="52" cy="62"/>
                            </a:xfrm>
                            <a:custGeom>
                              <a:avLst/>
                              <a:gdLst>
                                <a:gd name="T0" fmla="+- 0 2404 2356"/>
                                <a:gd name="T1" fmla="*/ T0 w 52"/>
                                <a:gd name="T2" fmla="+- 0 976 966"/>
                                <a:gd name="T3" fmla="*/ 976 h 62"/>
                                <a:gd name="T4" fmla="+- 0 2370 2356"/>
                                <a:gd name="T5" fmla="*/ T4 w 52"/>
                                <a:gd name="T6" fmla="+- 0 976 966"/>
                                <a:gd name="T7" fmla="*/ 976 h 62"/>
                                <a:gd name="T8" fmla="+- 0 2385 2356"/>
                                <a:gd name="T9" fmla="*/ T8 w 52"/>
                                <a:gd name="T10" fmla="+- 0 976 966"/>
                                <a:gd name="T11" fmla="*/ 976 h 62"/>
                                <a:gd name="T12" fmla="+- 0 2387 2356"/>
                                <a:gd name="T13" fmla="*/ T12 w 52"/>
                                <a:gd name="T14" fmla="+- 0 977 966"/>
                                <a:gd name="T15" fmla="*/ 977 h 62"/>
                                <a:gd name="T16" fmla="+- 0 2392 2356"/>
                                <a:gd name="T17" fmla="*/ T16 w 52"/>
                                <a:gd name="T18" fmla="+- 0 982 966"/>
                                <a:gd name="T19" fmla="*/ 982 h 62"/>
                                <a:gd name="T20" fmla="+- 0 2392 2356"/>
                                <a:gd name="T21" fmla="*/ T20 w 52"/>
                                <a:gd name="T22" fmla="+- 0 986 966"/>
                                <a:gd name="T23" fmla="*/ 986 h 62"/>
                                <a:gd name="T24" fmla="+- 0 2391 2356"/>
                                <a:gd name="T25" fmla="*/ T24 w 52"/>
                                <a:gd name="T26" fmla="+- 0 988 966"/>
                                <a:gd name="T27" fmla="*/ 988 h 62"/>
                                <a:gd name="T28" fmla="+- 0 2388 2356"/>
                                <a:gd name="T29" fmla="*/ T28 w 52"/>
                                <a:gd name="T30" fmla="+- 0 990 966"/>
                                <a:gd name="T31" fmla="*/ 990 h 62"/>
                                <a:gd name="T32" fmla="+- 0 2386 2356"/>
                                <a:gd name="T33" fmla="*/ T32 w 52"/>
                                <a:gd name="T34" fmla="+- 0 991 966"/>
                                <a:gd name="T35" fmla="*/ 991 h 62"/>
                                <a:gd name="T36" fmla="+- 0 2401 2356"/>
                                <a:gd name="T37" fmla="*/ T36 w 52"/>
                                <a:gd name="T38" fmla="+- 0 991 966"/>
                                <a:gd name="T39" fmla="*/ 991 h 62"/>
                                <a:gd name="T40" fmla="+- 0 2404 2356"/>
                                <a:gd name="T41" fmla="*/ T40 w 52"/>
                                <a:gd name="T42" fmla="+- 0 987 966"/>
                                <a:gd name="T43" fmla="*/ 987 h 62"/>
                                <a:gd name="T44" fmla="+- 0 2405 2356"/>
                                <a:gd name="T45" fmla="*/ T44 w 52"/>
                                <a:gd name="T46" fmla="+- 0 984 966"/>
                                <a:gd name="T47" fmla="*/ 984 h 62"/>
                                <a:gd name="T48" fmla="+- 0 2405 2356"/>
                                <a:gd name="T49" fmla="*/ T48 w 52"/>
                                <a:gd name="T50" fmla="+- 0 977 966"/>
                                <a:gd name="T51" fmla="*/ 977 h 62"/>
                                <a:gd name="T52" fmla="+- 0 2404 2356"/>
                                <a:gd name="T53" fmla="*/ T52 w 52"/>
                                <a:gd name="T54" fmla="+- 0 976 966"/>
                                <a:gd name="T55" fmla="*/ 97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62">
                                  <a:moveTo>
                                    <a:pt x="48" y="10"/>
                                  </a:moveTo>
                                  <a:lnTo>
                                    <a:pt x="14" y="10"/>
                                  </a:lnTo>
                                  <a:lnTo>
                                    <a:pt x="29" y="10"/>
                                  </a:lnTo>
                                  <a:lnTo>
                                    <a:pt x="31" y="11"/>
                                  </a:lnTo>
                                  <a:lnTo>
                                    <a:pt x="36" y="16"/>
                                  </a:lnTo>
                                  <a:lnTo>
                                    <a:pt x="36" y="20"/>
                                  </a:lnTo>
                                  <a:lnTo>
                                    <a:pt x="35" y="22"/>
                                  </a:lnTo>
                                  <a:lnTo>
                                    <a:pt x="32" y="24"/>
                                  </a:lnTo>
                                  <a:lnTo>
                                    <a:pt x="30" y="25"/>
                                  </a:lnTo>
                                  <a:lnTo>
                                    <a:pt x="45" y="25"/>
                                  </a:lnTo>
                                  <a:lnTo>
                                    <a:pt x="48" y="21"/>
                                  </a:lnTo>
                                  <a:lnTo>
                                    <a:pt x="49" y="18"/>
                                  </a:lnTo>
                                  <a:lnTo>
                                    <a:pt x="49" y="11"/>
                                  </a:lnTo>
                                  <a:lnTo>
                                    <a:pt x="48"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9" name="Group 719"/>
                        <wpg:cNvGrpSpPr>
                          <a:grpSpLocks/>
                        </wpg:cNvGrpSpPr>
                        <wpg:grpSpPr bwMode="auto">
                          <a:xfrm>
                            <a:off x="2410" y="966"/>
                            <a:ext cx="59" cy="62"/>
                            <a:chOff x="2410" y="966"/>
                            <a:chExt cx="59" cy="62"/>
                          </a:xfrm>
                        </wpg:grpSpPr>
                        <wps:wsp>
                          <wps:cNvPr id="730" name="Freeform 721"/>
                          <wps:cNvSpPr>
                            <a:spLocks/>
                          </wps:cNvSpPr>
                          <wps:spPr bwMode="auto">
                            <a:xfrm>
                              <a:off x="2410" y="966"/>
                              <a:ext cx="59" cy="62"/>
                            </a:xfrm>
                            <a:custGeom>
                              <a:avLst/>
                              <a:gdLst>
                                <a:gd name="T0" fmla="+- 0 2425 2410"/>
                                <a:gd name="T1" fmla="*/ T0 w 59"/>
                                <a:gd name="T2" fmla="+- 0 966 966"/>
                                <a:gd name="T3" fmla="*/ 966 h 62"/>
                                <a:gd name="T4" fmla="+- 0 2410 2410"/>
                                <a:gd name="T5" fmla="*/ T4 w 59"/>
                                <a:gd name="T6" fmla="+- 0 966 966"/>
                                <a:gd name="T7" fmla="*/ 966 h 62"/>
                                <a:gd name="T8" fmla="+- 0 2433 2410"/>
                                <a:gd name="T9" fmla="*/ T8 w 59"/>
                                <a:gd name="T10" fmla="+- 0 1003 966"/>
                                <a:gd name="T11" fmla="*/ 1003 h 62"/>
                                <a:gd name="T12" fmla="+- 0 2433 2410"/>
                                <a:gd name="T13" fmla="*/ T12 w 59"/>
                                <a:gd name="T14" fmla="+- 0 1027 966"/>
                                <a:gd name="T15" fmla="*/ 1027 h 62"/>
                                <a:gd name="T16" fmla="+- 0 2446 2410"/>
                                <a:gd name="T17" fmla="*/ T16 w 59"/>
                                <a:gd name="T18" fmla="+- 0 1027 966"/>
                                <a:gd name="T19" fmla="*/ 1027 h 62"/>
                                <a:gd name="T20" fmla="+- 0 2446 2410"/>
                                <a:gd name="T21" fmla="*/ T20 w 59"/>
                                <a:gd name="T22" fmla="+- 0 1004 966"/>
                                <a:gd name="T23" fmla="*/ 1004 h 62"/>
                                <a:gd name="T24" fmla="+- 0 2454 2410"/>
                                <a:gd name="T25" fmla="*/ T24 w 59"/>
                                <a:gd name="T26" fmla="+- 0 990 966"/>
                                <a:gd name="T27" fmla="*/ 990 h 62"/>
                                <a:gd name="T28" fmla="+- 0 2440 2410"/>
                                <a:gd name="T29" fmla="*/ T28 w 59"/>
                                <a:gd name="T30" fmla="+- 0 990 966"/>
                                <a:gd name="T31" fmla="*/ 990 h 62"/>
                                <a:gd name="T32" fmla="+- 0 2425 2410"/>
                                <a:gd name="T33" fmla="*/ T32 w 59"/>
                                <a:gd name="T34" fmla="+- 0 966 966"/>
                                <a:gd name="T35" fmla="*/ 96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 h="62">
                                  <a:moveTo>
                                    <a:pt x="15" y="0"/>
                                  </a:moveTo>
                                  <a:lnTo>
                                    <a:pt x="0" y="0"/>
                                  </a:lnTo>
                                  <a:lnTo>
                                    <a:pt x="23" y="37"/>
                                  </a:lnTo>
                                  <a:lnTo>
                                    <a:pt x="23" y="61"/>
                                  </a:lnTo>
                                  <a:lnTo>
                                    <a:pt x="36" y="61"/>
                                  </a:lnTo>
                                  <a:lnTo>
                                    <a:pt x="36" y="38"/>
                                  </a:lnTo>
                                  <a:lnTo>
                                    <a:pt x="44" y="24"/>
                                  </a:lnTo>
                                  <a:lnTo>
                                    <a:pt x="30" y="24"/>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720"/>
                          <wps:cNvSpPr>
                            <a:spLocks/>
                          </wps:cNvSpPr>
                          <wps:spPr bwMode="auto">
                            <a:xfrm>
                              <a:off x="2410" y="966"/>
                              <a:ext cx="59" cy="62"/>
                            </a:xfrm>
                            <a:custGeom>
                              <a:avLst/>
                              <a:gdLst>
                                <a:gd name="T0" fmla="+- 0 2469 2410"/>
                                <a:gd name="T1" fmla="*/ T0 w 59"/>
                                <a:gd name="T2" fmla="+- 0 966 966"/>
                                <a:gd name="T3" fmla="*/ 966 h 62"/>
                                <a:gd name="T4" fmla="+- 0 2454 2410"/>
                                <a:gd name="T5" fmla="*/ T4 w 59"/>
                                <a:gd name="T6" fmla="+- 0 966 966"/>
                                <a:gd name="T7" fmla="*/ 966 h 62"/>
                                <a:gd name="T8" fmla="+- 0 2440 2410"/>
                                <a:gd name="T9" fmla="*/ T8 w 59"/>
                                <a:gd name="T10" fmla="+- 0 990 966"/>
                                <a:gd name="T11" fmla="*/ 990 h 62"/>
                                <a:gd name="T12" fmla="+- 0 2454 2410"/>
                                <a:gd name="T13" fmla="*/ T12 w 59"/>
                                <a:gd name="T14" fmla="+- 0 990 966"/>
                                <a:gd name="T15" fmla="*/ 990 h 62"/>
                                <a:gd name="T16" fmla="+- 0 2469 2410"/>
                                <a:gd name="T17" fmla="*/ T16 w 59"/>
                                <a:gd name="T18" fmla="+- 0 966 966"/>
                                <a:gd name="T19" fmla="*/ 966 h 62"/>
                              </a:gdLst>
                              <a:ahLst/>
                              <a:cxnLst>
                                <a:cxn ang="0">
                                  <a:pos x="T1" y="T3"/>
                                </a:cxn>
                                <a:cxn ang="0">
                                  <a:pos x="T5" y="T7"/>
                                </a:cxn>
                                <a:cxn ang="0">
                                  <a:pos x="T9" y="T11"/>
                                </a:cxn>
                                <a:cxn ang="0">
                                  <a:pos x="T13" y="T15"/>
                                </a:cxn>
                                <a:cxn ang="0">
                                  <a:pos x="T17" y="T19"/>
                                </a:cxn>
                              </a:cxnLst>
                              <a:rect l="0" t="0" r="r" b="b"/>
                              <a:pathLst>
                                <a:path w="59" h="62">
                                  <a:moveTo>
                                    <a:pt x="59" y="0"/>
                                  </a:moveTo>
                                  <a:lnTo>
                                    <a:pt x="44" y="0"/>
                                  </a:lnTo>
                                  <a:lnTo>
                                    <a:pt x="30" y="24"/>
                                  </a:lnTo>
                                  <a:lnTo>
                                    <a:pt x="44" y="24"/>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717"/>
                        <wpg:cNvGrpSpPr>
                          <a:grpSpLocks/>
                        </wpg:cNvGrpSpPr>
                        <wpg:grpSpPr bwMode="auto">
                          <a:xfrm>
                            <a:off x="1766" y="719"/>
                            <a:ext cx="253" cy="250"/>
                            <a:chOff x="1766" y="719"/>
                            <a:chExt cx="253" cy="250"/>
                          </a:xfrm>
                        </wpg:grpSpPr>
                        <wps:wsp>
                          <wps:cNvPr id="733" name="Freeform 718"/>
                          <wps:cNvSpPr>
                            <a:spLocks/>
                          </wps:cNvSpPr>
                          <wps:spPr bwMode="auto">
                            <a:xfrm>
                              <a:off x="1766" y="719"/>
                              <a:ext cx="253" cy="250"/>
                            </a:xfrm>
                            <a:custGeom>
                              <a:avLst/>
                              <a:gdLst>
                                <a:gd name="T0" fmla="+- 0 1870 1766"/>
                                <a:gd name="T1" fmla="*/ T0 w 253"/>
                                <a:gd name="T2" fmla="+- 0 719 719"/>
                                <a:gd name="T3" fmla="*/ 719 h 250"/>
                                <a:gd name="T4" fmla="+- 0 1811 1766"/>
                                <a:gd name="T5" fmla="*/ T4 w 253"/>
                                <a:gd name="T6" fmla="+- 0 747 719"/>
                                <a:gd name="T7" fmla="*/ 747 h 250"/>
                                <a:gd name="T8" fmla="+- 0 1774 1766"/>
                                <a:gd name="T9" fmla="*/ T8 w 253"/>
                                <a:gd name="T10" fmla="+- 0 800 719"/>
                                <a:gd name="T11" fmla="*/ 800 h 250"/>
                                <a:gd name="T12" fmla="+- 0 1766 1766"/>
                                <a:gd name="T13" fmla="*/ T12 w 253"/>
                                <a:gd name="T14" fmla="+- 0 844 719"/>
                                <a:gd name="T15" fmla="*/ 844 h 250"/>
                                <a:gd name="T16" fmla="+- 0 1767 1766"/>
                                <a:gd name="T17" fmla="*/ T16 w 253"/>
                                <a:gd name="T18" fmla="+- 0 861 719"/>
                                <a:gd name="T19" fmla="*/ 861 h 250"/>
                                <a:gd name="T20" fmla="+- 0 1790 1766"/>
                                <a:gd name="T21" fmla="*/ T20 w 253"/>
                                <a:gd name="T22" fmla="+- 0 917 719"/>
                                <a:gd name="T23" fmla="*/ 917 h 250"/>
                                <a:gd name="T24" fmla="+- 0 1840 1766"/>
                                <a:gd name="T25" fmla="*/ T24 w 253"/>
                                <a:gd name="T26" fmla="+- 0 955 719"/>
                                <a:gd name="T27" fmla="*/ 955 h 250"/>
                                <a:gd name="T28" fmla="+- 0 1914 1766"/>
                                <a:gd name="T29" fmla="*/ T28 w 253"/>
                                <a:gd name="T30" fmla="+- 0 969 719"/>
                                <a:gd name="T31" fmla="*/ 969 h 250"/>
                                <a:gd name="T32" fmla="+- 0 1935 1766"/>
                                <a:gd name="T33" fmla="*/ T32 w 253"/>
                                <a:gd name="T34" fmla="+- 0 963 719"/>
                                <a:gd name="T35" fmla="*/ 963 h 250"/>
                                <a:gd name="T36" fmla="+- 0 1988 1766"/>
                                <a:gd name="T37" fmla="*/ T36 w 253"/>
                                <a:gd name="T38" fmla="+- 0 926 719"/>
                                <a:gd name="T39" fmla="*/ 926 h 250"/>
                                <a:gd name="T40" fmla="+- 0 2016 1766"/>
                                <a:gd name="T41" fmla="*/ T40 w 253"/>
                                <a:gd name="T42" fmla="+- 0 867 719"/>
                                <a:gd name="T43" fmla="*/ 867 h 250"/>
                                <a:gd name="T44" fmla="+- 0 2018 1766"/>
                                <a:gd name="T45" fmla="*/ T44 w 253"/>
                                <a:gd name="T46" fmla="+- 0 844 719"/>
                                <a:gd name="T47" fmla="*/ 844 h 250"/>
                                <a:gd name="T48" fmla="+- 0 2017 1766"/>
                                <a:gd name="T49" fmla="*/ T48 w 253"/>
                                <a:gd name="T50" fmla="+- 0 827 719"/>
                                <a:gd name="T51" fmla="*/ 827 h 250"/>
                                <a:gd name="T52" fmla="+- 0 1994 1766"/>
                                <a:gd name="T53" fmla="*/ T52 w 253"/>
                                <a:gd name="T54" fmla="+- 0 771 719"/>
                                <a:gd name="T55" fmla="*/ 771 h 250"/>
                                <a:gd name="T56" fmla="+- 0 1944 1766"/>
                                <a:gd name="T57" fmla="*/ T56 w 253"/>
                                <a:gd name="T58" fmla="+- 0 733 719"/>
                                <a:gd name="T59" fmla="*/ 733 h 250"/>
                                <a:gd name="T60" fmla="+- 0 1870 1766"/>
                                <a:gd name="T61" fmla="*/ T60 w 253"/>
                                <a:gd name="T62" fmla="+- 0 719 719"/>
                                <a:gd name="T63" fmla="*/ 719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3" h="250">
                                  <a:moveTo>
                                    <a:pt x="104" y="0"/>
                                  </a:moveTo>
                                  <a:lnTo>
                                    <a:pt x="45" y="28"/>
                                  </a:lnTo>
                                  <a:lnTo>
                                    <a:pt x="8" y="81"/>
                                  </a:lnTo>
                                  <a:lnTo>
                                    <a:pt x="0" y="125"/>
                                  </a:lnTo>
                                  <a:lnTo>
                                    <a:pt x="1" y="142"/>
                                  </a:lnTo>
                                  <a:lnTo>
                                    <a:pt x="24" y="198"/>
                                  </a:lnTo>
                                  <a:lnTo>
                                    <a:pt x="74" y="236"/>
                                  </a:lnTo>
                                  <a:lnTo>
                                    <a:pt x="148" y="250"/>
                                  </a:lnTo>
                                  <a:lnTo>
                                    <a:pt x="169" y="244"/>
                                  </a:lnTo>
                                  <a:lnTo>
                                    <a:pt x="222" y="207"/>
                                  </a:lnTo>
                                  <a:lnTo>
                                    <a:pt x="250" y="148"/>
                                  </a:lnTo>
                                  <a:lnTo>
                                    <a:pt x="252" y="125"/>
                                  </a:lnTo>
                                  <a:lnTo>
                                    <a:pt x="251" y="108"/>
                                  </a:lnTo>
                                  <a:lnTo>
                                    <a:pt x="228" y="52"/>
                                  </a:lnTo>
                                  <a:lnTo>
                                    <a:pt x="178" y="14"/>
                                  </a:lnTo>
                                  <a:lnTo>
                                    <a:pt x="1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4" name="Group 708"/>
                        <wpg:cNvGrpSpPr>
                          <a:grpSpLocks/>
                        </wpg:cNvGrpSpPr>
                        <wpg:grpSpPr bwMode="auto">
                          <a:xfrm>
                            <a:off x="1748" y="700"/>
                            <a:ext cx="289" cy="289"/>
                            <a:chOff x="1748" y="700"/>
                            <a:chExt cx="289" cy="289"/>
                          </a:xfrm>
                        </wpg:grpSpPr>
                        <wps:wsp>
                          <wps:cNvPr id="735" name="Freeform 716"/>
                          <wps:cNvSpPr>
                            <a:spLocks/>
                          </wps:cNvSpPr>
                          <wps:spPr bwMode="auto">
                            <a:xfrm>
                              <a:off x="1748" y="700"/>
                              <a:ext cx="289" cy="289"/>
                            </a:xfrm>
                            <a:custGeom>
                              <a:avLst/>
                              <a:gdLst>
                                <a:gd name="T0" fmla="+- 0 1876 1748"/>
                                <a:gd name="T1" fmla="*/ T0 w 289"/>
                                <a:gd name="T2" fmla="+- 0 700 700"/>
                                <a:gd name="T3" fmla="*/ 700 h 289"/>
                                <a:gd name="T4" fmla="+- 0 1803 1748"/>
                                <a:gd name="T5" fmla="*/ T4 w 289"/>
                                <a:gd name="T6" fmla="+- 0 730 700"/>
                                <a:gd name="T7" fmla="*/ 730 h 289"/>
                                <a:gd name="T8" fmla="+- 0 1757 1748"/>
                                <a:gd name="T9" fmla="*/ T8 w 289"/>
                                <a:gd name="T10" fmla="+- 0 793 700"/>
                                <a:gd name="T11" fmla="*/ 793 h 289"/>
                                <a:gd name="T12" fmla="+- 0 1748 1748"/>
                                <a:gd name="T13" fmla="*/ T12 w 289"/>
                                <a:gd name="T14" fmla="+- 0 858 700"/>
                                <a:gd name="T15" fmla="*/ 858 h 289"/>
                                <a:gd name="T16" fmla="+- 0 1751 1748"/>
                                <a:gd name="T17" fmla="*/ T16 w 289"/>
                                <a:gd name="T18" fmla="+- 0 877 700"/>
                                <a:gd name="T19" fmla="*/ 877 h 289"/>
                                <a:gd name="T20" fmla="+- 0 1778 1748"/>
                                <a:gd name="T21" fmla="*/ T20 w 289"/>
                                <a:gd name="T22" fmla="+- 0 932 700"/>
                                <a:gd name="T23" fmla="*/ 932 h 289"/>
                                <a:gd name="T24" fmla="+- 0 1840 1748"/>
                                <a:gd name="T25" fmla="*/ T24 w 289"/>
                                <a:gd name="T26" fmla="+- 0 979 700"/>
                                <a:gd name="T27" fmla="*/ 979 h 289"/>
                                <a:gd name="T28" fmla="+- 0 1906 1748"/>
                                <a:gd name="T29" fmla="*/ T28 w 289"/>
                                <a:gd name="T30" fmla="+- 0 988 700"/>
                                <a:gd name="T31" fmla="*/ 988 h 289"/>
                                <a:gd name="T32" fmla="+- 0 1926 1748"/>
                                <a:gd name="T33" fmla="*/ T32 w 289"/>
                                <a:gd name="T34" fmla="+- 0 985 700"/>
                                <a:gd name="T35" fmla="*/ 985 h 289"/>
                                <a:gd name="T36" fmla="+- 0 1945 1748"/>
                                <a:gd name="T37" fmla="*/ T36 w 289"/>
                                <a:gd name="T38" fmla="+- 0 979 700"/>
                                <a:gd name="T39" fmla="*/ 979 h 289"/>
                                <a:gd name="T40" fmla="+- 0 1963 1748"/>
                                <a:gd name="T41" fmla="*/ T40 w 289"/>
                                <a:gd name="T42" fmla="+- 0 971 700"/>
                                <a:gd name="T43" fmla="*/ 971 h 289"/>
                                <a:gd name="T44" fmla="+- 0 1976 1748"/>
                                <a:gd name="T45" fmla="*/ T44 w 289"/>
                                <a:gd name="T46" fmla="+- 0 962 700"/>
                                <a:gd name="T47" fmla="*/ 962 h 289"/>
                                <a:gd name="T48" fmla="+- 0 1879 1748"/>
                                <a:gd name="T49" fmla="*/ T48 w 289"/>
                                <a:gd name="T50" fmla="+- 0 962 700"/>
                                <a:gd name="T51" fmla="*/ 962 h 289"/>
                                <a:gd name="T52" fmla="+- 0 1860 1748"/>
                                <a:gd name="T53" fmla="*/ T52 w 289"/>
                                <a:gd name="T54" fmla="+- 0 958 700"/>
                                <a:gd name="T55" fmla="*/ 958 h 289"/>
                                <a:gd name="T56" fmla="+- 0 1807 1748"/>
                                <a:gd name="T57" fmla="*/ T56 w 289"/>
                                <a:gd name="T58" fmla="+- 0 926 700"/>
                                <a:gd name="T59" fmla="*/ 926 h 289"/>
                                <a:gd name="T60" fmla="+- 0 1775 1748"/>
                                <a:gd name="T61" fmla="*/ T60 w 289"/>
                                <a:gd name="T62" fmla="+- 0 856 700"/>
                                <a:gd name="T63" fmla="*/ 856 h 289"/>
                                <a:gd name="T64" fmla="+- 0 1774 1748"/>
                                <a:gd name="T65" fmla="*/ T64 w 289"/>
                                <a:gd name="T66" fmla="+- 0 832 700"/>
                                <a:gd name="T67" fmla="*/ 832 h 289"/>
                                <a:gd name="T68" fmla="+- 0 1777 1748"/>
                                <a:gd name="T69" fmla="*/ T68 w 289"/>
                                <a:gd name="T70" fmla="+- 0 812 700"/>
                                <a:gd name="T71" fmla="*/ 812 h 289"/>
                                <a:gd name="T72" fmla="+- 0 1809 1748"/>
                                <a:gd name="T73" fmla="*/ T72 w 289"/>
                                <a:gd name="T74" fmla="+- 0 760 700"/>
                                <a:gd name="T75" fmla="*/ 760 h 289"/>
                                <a:gd name="T76" fmla="+- 0 1882 1748"/>
                                <a:gd name="T77" fmla="*/ T76 w 289"/>
                                <a:gd name="T78" fmla="+- 0 727 700"/>
                                <a:gd name="T79" fmla="*/ 727 h 289"/>
                                <a:gd name="T80" fmla="+- 0 1907 1748"/>
                                <a:gd name="T81" fmla="*/ T80 w 289"/>
                                <a:gd name="T82" fmla="+- 0 726 700"/>
                                <a:gd name="T83" fmla="*/ 726 h 289"/>
                                <a:gd name="T84" fmla="+- 0 1977 1748"/>
                                <a:gd name="T85" fmla="*/ T84 w 289"/>
                                <a:gd name="T86" fmla="+- 0 726 700"/>
                                <a:gd name="T87" fmla="*/ 726 h 289"/>
                                <a:gd name="T88" fmla="+- 0 1977 1748"/>
                                <a:gd name="T89" fmla="*/ T88 w 289"/>
                                <a:gd name="T90" fmla="+- 0 726 700"/>
                                <a:gd name="T91" fmla="*/ 726 h 289"/>
                                <a:gd name="T92" fmla="+- 0 1961 1748"/>
                                <a:gd name="T93" fmla="*/ T92 w 289"/>
                                <a:gd name="T94" fmla="+- 0 716 700"/>
                                <a:gd name="T95" fmla="*/ 716 h 289"/>
                                <a:gd name="T96" fmla="+- 0 1943 1748"/>
                                <a:gd name="T97" fmla="*/ T96 w 289"/>
                                <a:gd name="T98" fmla="+- 0 709 700"/>
                                <a:gd name="T99" fmla="*/ 709 h 289"/>
                                <a:gd name="T100" fmla="+- 0 1924 1748"/>
                                <a:gd name="T101" fmla="*/ T100 w 289"/>
                                <a:gd name="T102" fmla="+- 0 703 700"/>
                                <a:gd name="T103" fmla="*/ 703 h 289"/>
                                <a:gd name="T104" fmla="+- 0 1902 1748"/>
                                <a:gd name="T105" fmla="*/ T104 w 289"/>
                                <a:gd name="T106" fmla="+- 0 700 700"/>
                                <a:gd name="T107" fmla="*/ 700 h 289"/>
                                <a:gd name="T108" fmla="+- 0 1876 1748"/>
                                <a:gd name="T109" fmla="*/ T108 w 289"/>
                                <a:gd name="T110" fmla="+- 0 700 700"/>
                                <a:gd name="T111" fmla="*/ 700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89" h="289">
                                  <a:moveTo>
                                    <a:pt x="128" y="0"/>
                                  </a:moveTo>
                                  <a:lnTo>
                                    <a:pt x="55" y="30"/>
                                  </a:lnTo>
                                  <a:lnTo>
                                    <a:pt x="9" y="93"/>
                                  </a:lnTo>
                                  <a:lnTo>
                                    <a:pt x="0" y="158"/>
                                  </a:lnTo>
                                  <a:lnTo>
                                    <a:pt x="3" y="177"/>
                                  </a:lnTo>
                                  <a:lnTo>
                                    <a:pt x="30" y="232"/>
                                  </a:lnTo>
                                  <a:lnTo>
                                    <a:pt x="92" y="279"/>
                                  </a:lnTo>
                                  <a:lnTo>
                                    <a:pt x="158" y="288"/>
                                  </a:lnTo>
                                  <a:lnTo>
                                    <a:pt x="178" y="285"/>
                                  </a:lnTo>
                                  <a:lnTo>
                                    <a:pt x="197" y="279"/>
                                  </a:lnTo>
                                  <a:lnTo>
                                    <a:pt x="215" y="271"/>
                                  </a:lnTo>
                                  <a:lnTo>
                                    <a:pt x="228" y="262"/>
                                  </a:lnTo>
                                  <a:lnTo>
                                    <a:pt x="131" y="262"/>
                                  </a:lnTo>
                                  <a:lnTo>
                                    <a:pt x="112" y="258"/>
                                  </a:lnTo>
                                  <a:lnTo>
                                    <a:pt x="59" y="226"/>
                                  </a:lnTo>
                                  <a:lnTo>
                                    <a:pt x="27" y="156"/>
                                  </a:lnTo>
                                  <a:lnTo>
                                    <a:pt x="26" y="132"/>
                                  </a:lnTo>
                                  <a:lnTo>
                                    <a:pt x="29" y="112"/>
                                  </a:lnTo>
                                  <a:lnTo>
                                    <a:pt x="61" y="60"/>
                                  </a:lnTo>
                                  <a:lnTo>
                                    <a:pt x="134" y="27"/>
                                  </a:lnTo>
                                  <a:lnTo>
                                    <a:pt x="159" y="26"/>
                                  </a:lnTo>
                                  <a:lnTo>
                                    <a:pt x="229" y="26"/>
                                  </a:lnTo>
                                  <a:lnTo>
                                    <a:pt x="213" y="16"/>
                                  </a:lnTo>
                                  <a:lnTo>
                                    <a:pt x="195" y="9"/>
                                  </a:lnTo>
                                  <a:lnTo>
                                    <a:pt x="176" y="3"/>
                                  </a:lnTo>
                                  <a:lnTo>
                                    <a:pt x="154" y="0"/>
                                  </a:lnTo>
                                  <a:lnTo>
                                    <a:pt x="128"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715"/>
                          <wps:cNvSpPr>
                            <a:spLocks/>
                          </wps:cNvSpPr>
                          <wps:spPr bwMode="auto">
                            <a:xfrm>
                              <a:off x="1748" y="700"/>
                              <a:ext cx="289" cy="289"/>
                            </a:xfrm>
                            <a:custGeom>
                              <a:avLst/>
                              <a:gdLst>
                                <a:gd name="T0" fmla="+- 0 1977 1748"/>
                                <a:gd name="T1" fmla="*/ T0 w 289"/>
                                <a:gd name="T2" fmla="+- 0 726 700"/>
                                <a:gd name="T3" fmla="*/ 726 h 289"/>
                                <a:gd name="T4" fmla="+- 0 1907 1748"/>
                                <a:gd name="T5" fmla="*/ T4 w 289"/>
                                <a:gd name="T6" fmla="+- 0 726 700"/>
                                <a:gd name="T7" fmla="*/ 726 h 289"/>
                                <a:gd name="T8" fmla="+- 0 1926 1748"/>
                                <a:gd name="T9" fmla="*/ T8 w 289"/>
                                <a:gd name="T10" fmla="+- 0 730 700"/>
                                <a:gd name="T11" fmla="*/ 730 h 289"/>
                                <a:gd name="T12" fmla="+- 0 1945 1748"/>
                                <a:gd name="T13" fmla="*/ T12 w 289"/>
                                <a:gd name="T14" fmla="+- 0 737 700"/>
                                <a:gd name="T15" fmla="*/ 737 h 289"/>
                                <a:gd name="T16" fmla="+- 0 1990 1748"/>
                                <a:gd name="T17" fmla="*/ T16 w 289"/>
                                <a:gd name="T18" fmla="+- 0 777 700"/>
                                <a:gd name="T19" fmla="*/ 777 h 289"/>
                                <a:gd name="T20" fmla="+- 0 2009 1748"/>
                                <a:gd name="T21" fmla="*/ T20 w 289"/>
                                <a:gd name="T22" fmla="+- 0 834 700"/>
                                <a:gd name="T23" fmla="*/ 834 h 289"/>
                                <a:gd name="T24" fmla="+- 0 2010 1748"/>
                                <a:gd name="T25" fmla="*/ T24 w 289"/>
                                <a:gd name="T26" fmla="+- 0 856 700"/>
                                <a:gd name="T27" fmla="*/ 856 h 289"/>
                                <a:gd name="T28" fmla="+- 0 2010 1748"/>
                                <a:gd name="T29" fmla="*/ T28 w 289"/>
                                <a:gd name="T30" fmla="+- 0 858 700"/>
                                <a:gd name="T31" fmla="*/ 858 h 289"/>
                                <a:gd name="T32" fmla="+- 0 1974 1748"/>
                                <a:gd name="T33" fmla="*/ T32 w 289"/>
                                <a:gd name="T34" fmla="+- 0 930 700"/>
                                <a:gd name="T35" fmla="*/ 930 h 289"/>
                                <a:gd name="T36" fmla="+- 0 1904 1748"/>
                                <a:gd name="T37" fmla="*/ T36 w 289"/>
                                <a:gd name="T38" fmla="+- 0 961 700"/>
                                <a:gd name="T39" fmla="*/ 961 h 289"/>
                                <a:gd name="T40" fmla="+- 0 1879 1748"/>
                                <a:gd name="T41" fmla="*/ T40 w 289"/>
                                <a:gd name="T42" fmla="+- 0 962 700"/>
                                <a:gd name="T43" fmla="*/ 962 h 289"/>
                                <a:gd name="T44" fmla="+- 0 1976 1748"/>
                                <a:gd name="T45" fmla="*/ T44 w 289"/>
                                <a:gd name="T46" fmla="+- 0 962 700"/>
                                <a:gd name="T47" fmla="*/ 962 h 289"/>
                                <a:gd name="T48" fmla="+- 0 2019 1748"/>
                                <a:gd name="T49" fmla="*/ T48 w 289"/>
                                <a:gd name="T50" fmla="+- 0 915 700"/>
                                <a:gd name="T51" fmla="*/ 915 h 289"/>
                                <a:gd name="T52" fmla="+- 0 2035 1748"/>
                                <a:gd name="T53" fmla="*/ T52 w 289"/>
                                <a:gd name="T54" fmla="+- 0 856 700"/>
                                <a:gd name="T55" fmla="*/ 856 h 289"/>
                                <a:gd name="T56" fmla="+- 0 2036 1748"/>
                                <a:gd name="T57" fmla="*/ T56 w 289"/>
                                <a:gd name="T58" fmla="+- 0 832 700"/>
                                <a:gd name="T59" fmla="*/ 832 h 289"/>
                                <a:gd name="T60" fmla="+- 0 2033 1748"/>
                                <a:gd name="T61" fmla="*/ T60 w 289"/>
                                <a:gd name="T62" fmla="+- 0 811 700"/>
                                <a:gd name="T63" fmla="*/ 811 h 289"/>
                                <a:gd name="T64" fmla="+- 0 1995 1748"/>
                                <a:gd name="T65" fmla="*/ T64 w 289"/>
                                <a:gd name="T66" fmla="+- 0 741 700"/>
                                <a:gd name="T67" fmla="*/ 741 h 289"/>
                                <a:gd name="T68" fmla="+- 0 1991 1748"/>
                                <a:gd name="T69" fmla="*/ T68 w 289"/>
                                <a:gd name="T70" fmla="+- 0 737 700"/>
                                <a:gd name="T71" fmla="*/ 737 h 289"/>
                                <a:gd name="T72" fmla="+- 0 1977 1748"/>
                                <a:gd name="T73" fmla="*/ T72 w 289"/>
                                <a:gd name="T74" fmla="+- 0 726 700"/>
                                <a:gd name="T75" fmla="*/ 726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9" h="289">
                                  <a:moveTo>
                                    <a:pt x="229" y="26"/>
                                  </a:moveTo>
                                  <a:lnTo>
                                    <a:pt x="159" y="26"/>
                                  </a:lnTo>
                                  <a:lnTo>
                                    <a:pt x="178" y="30"/>
                                  </a:lnTo>
                                  <a:lnTo>
                                    <a:pt x="197" y="37"/>
                                  </a:lnTo>
                                  <a:lnTo>
                                    <a:pt x="242" y="77"/>
                                  </a:lnTo>
                                  <a:lnTo>
                                    <a:pt x="261" y="134"/>
                                  </a:lnTo>
                                  <a:lnTo>
                                    <a:pt x="262" y="156"/>
                                  </a:lnTo>
                                  <a:lnTo>
                                    <a:pt x="262" y="158"/>
                                  </a:lnTo>
                                  <a:lnTo>
                                    <a:pt x="226" y="230"/>
                                  </a:lnTo>
                                  <a:lnTo>
                                    <a:pt x="156" y="261"/>
                                  </a:lnTo>
                                  <a:lnTo>
                                    <a:pt x="131" y="262"/>
                                  </a:lnTo>
                                  <a:lnTo>
                                    <a:pt x="228" y="262"/>
                                  </a:lnTo>
                                  <a:lnTo>
                                    <a:pt x="271" y="215"/>
                                  </a:lnTo>
                                  <a:lnTo>
                                    <a:pt x="287" y="156"/>
                                  </a:lnTo>
                                  <a:lnTo>
                                    <a:pt x="288" y="132"/>
                                  </a:lnTo>
                                  <a:lnTo>
                                    <a:pt x="285" y="111"/>
                                  </a:lnTo>
                                  <a:lnTo>
                                    <a:pt x="247" y="41"/>
                                  </a:lnTo>
                                  <a:lnTo>
                                    <a:pt x="243" y="37"/>
                                  </a:lnTo>
                                  <a:lnTo>
                                    <a:pt x="229" y="26"/>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714"/>
                          <wps:cNvSpPr>
                            <a:spLocks/>
                          </wps:cNvSpPr>
                          <wps:spPr bwMode="auto">
                            <a:xfrm>
                              <a:off x="1748" y="700"/>
                              <a:ext cx="289" cy="289"/>
                            </a:xfrm>
                            <a:custGeom>
                              <a:avLst/>
                              <a:gdLst>
                                <a:gd name="T0" fmla="+- 0 1852 1748"/>
                                <a:gd name="T1" fmla="*/ T0 w 289"/>
                                <a:gd name="T2" fmla="+- 0 799 700"/>
                                <a:gd name="T3" fmla="*/ 799 h 289"/>
                                <a:gd name="T4" fmla="+- 0 1840 1748"/>
                                <a:gd name="T5" fmla="*/ T4 w 289"/>
                                <a:gd name="T6" fmla="+- 0 799 700"/>
                                <a:gd name="T7" fmla="*/ 799 h 289"/>
                                <a:gd name="T8" fmla="+- 0 1830 1748"/>
                                <a:gd name="T9" fmla="*/ T8 w 289"/>
                                <a:gd name="T10" fmla="+- 0 803 700"/>
                                <a:gd name="T11" fmla="*/ 803 h 289"/>
                                <a:gd name="T12" fmla="+- 0 1814 1748"/>
                                <a:gd name="T13" fmla="*/ T12 w 289"/>
                                <a:gd name="T14" fmla="+- 0 819 700"/>
                                <a:gd name="T15" fmla="*/ 819 h 289"/>
                                <a:gd name="T16" fmla="+- 0 1810 1748"/>
                                <a:gd name="T17" fmla="*/ T16 w 289"/>
                                <a:gd name="T18" fmla="+- 0 830 700"/>
                                <a:gd name="T19" fmla="*/ 830 h 289"/>
                                <a:gd name="T20" fmla="+- 0 1810 1748"/>
                                <a:gd name="T21" fmla="*/ T20 w 289"/>
                                <a:gd name="T22" fmla="+- 0 858 700"/>
                                <a:gd name="T23" fmla="*/ 858 h 289"/>
                                <a:gd name="T24" fmla="+- 0 1814 1748"/>
                                <a:gd name="T25" fmla="*/ T24 w 289"/>
                                <a:gd name="T26" fmla="+- 0 869 700"/>
                                <a:gd name="T27" fmla="*/ 869 h 289"/>
                                <a:gd name="T28" fmla="+- 0 1829 1748"/>
                                <a:gd name="T29" fmla="*/ T28 w 289"/>
                                <a:gd name="T30" fmla="+- 0 885 700"/>
                                <a:gd name="T31" fmla="*/ 885 h 289"/>
                                <a:gd name="T32" fmla="+- 0 1840 1748"/>
                                <a:gd name="T33" fmla="*/ T32 w 289"/>
                                <a:gd name="T34" fmla="+- 0 889 700"/>
                                <a:gd name="T35" fmla="*/ 889 h 289"/>
                                <a:gd name="T36" fmla="+- 0 1857 1748"/>
                                <a:gd name="T37" fmla="*/ T36 w 289"/>
                                <a:gd name="T38" fmla="+- 0 889 700"/>
                                <a:gd name="T39" fmla="*/ 889 h 289"/>
                                <a:gd name="T40" fmla="+- 0 1877 1748"/>
                                <a:gd name="T41" fmla="*/ T40 w 289"/>
                                <a:gd name="T42" fmla="+- 0 882 700"/>
                                <a:gd name="T43" fmla="*/ 882 h 289"/>
                                <a:gd name="T44" fmla="+- 0 1888 1748"/>
                                <a:gd name="T45" fmla="*/ T44 w 289"/>
                                <a:gd name="T46" fmla="+- 0 870 700"/>
                                <a:gd name="T47" fmla="*/ 870 h 289"/>
                                <a:gd name="T48" fmla="+- 0 1842 1748"/>
                                <a:gd name="T49" fmla="*/ T48 w 289"/>
                                <a:gd name="T50" fmla="+- 0 870 700"/>
                                <a:gd name="T51" fmla="*/ 870 h 289"/>
                                <a:gd name="T52" fmla="+- 0 1836 1748"/>
                                <a:gd name="T53" fmla="*/ T52 w 289"/>
                                <a:gd name="T54" fmla="+- 0 861 700"/>
                                <a:gd name="T55" fmla="*/ 861 h 289"/>
                                <a:gd name="T56" fmla="+- 0 1836 1748"/>
                                <a:gd name="T57" fmla="*/ T56 w 289"/>
                                <a:gd name="T58" fmla="+- 0 827 700"/>
                                <a:gd name="T59" fmla="*/ 827 h 289"/>
                                <a:gd name="T60" fmla="+- 0 1842 1748"/>
                                <a:gd name="T61" fmla="*/ T60 w 289"/>
                                <a:gd name="T62" fmla="+- 0 818 700"/>
                                <a:gd name="T63" fmla="*/ 818 h 289"/>
                                <a:gd name="T64" fmla="+- 0 1886 1748"/>
                                <a:gd name="T65" fmla="*/ T64 w 289"/>
                                <a:gd name="T66" fmla="+- 0 818 700"/>
                                <a:gd name="T67" fmla="*/ 818 h 289"/>
                                <a:gd name="T68" fmla="+- 0 1888 1748"/>
                                <a:gd name="T69" fmla="*/ T68 w 289"/>
                                <a:gd name="T70" fmla="+- 0 817 700"/>
                                <a:gd name="T71" fmla="*/ 817 h 289"/>
                                <a:gd name="T72" fmla="+- 0 1873 1748"/>
                                <a:gd name="T73" fmla="*/ T72 w 289"/>
                                <a:gd name="T74" fmla="+- 0 803 700"/>
                                <a:gd name="T75" fmla="*/ 803 h 289"/>
                                <a:gd name="T76" fmla="+- 0 1852 1748"/>
                                <a:gd name="T77" fmla="*/ T76 w 289"/>
                                <a:gd name="T78" fmla="+- 0 799 700"/>
                                <a:gd name="T79" fmla="*/ 799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9" h="289">
                                  <a:moveTo>
                                    <a:pt x="104" y="99"/>
                                  </a:moveTo>
                                  <a:lnTo>
                                    <a:pt x="92" y="99"/>
                                  </a:lnTo>
                                  <a:lnTo>
                                    <a:pt x="82" y="103"/>
                                  </a:lnTo>
                                  <a:lnTo>
                                    <a:pt x="66" y="119"/>
                                  </a:lnTo>
                                  <a:lnTo>
                                    <a:pt x="62" y="130"/>
                                  </a:lnTo>
                                  <a:lnTo>
                                    <a:pt x="62" y="158"/>
                                  </a:lnTo>
                                  <a:lnTo>
                                    <a:pt x="66" y="169"/>
                                  </a:lnTo>
                                  <a:lnTo>
                                    <a:pt x="81" y="185"/>
                                  </a:lnTo>
                                  <a:lnTo>
                                    <a:pt x="92" y="189"/>
                                  </a:lnTo>
                                  <a:lnTo>
                                    <a:pt x="109" y="189"/>
                                  </a:lnTo>
                                  <a:lnTo>
                                    <a:pt x="129" y="182"/>
                                  </a:lnTo>
                                  <a:lnTo>
                                    <a:pt x="140" y="170"/>
                                  </a:lnTo>
                                  <a:lnTo>
                                    <a:pt x="94" y="170"/>
                                  </a:lnTo>
                                  <a:lnTo>
                                    <a:pt x="88" y="161"/>
                                  </a:lnTo>
                                  <a:lnTo>
                                    <a:pt x="88" y="127"/>
                                  </a:lnTo>
                                  <a:lnTo>
                                    <a:pt x="94" y="118"/>
                                  </a:lnTo>
                                  <a:lnTo>
                                    <a:pt x="138" y="118"/>
                                  </a:lnTo>
                                  <a:lnTo>
                                    <a:pt x="140" y="117"/>
                                  </a:lnTo>
                                  <a:lnTo>
                                    <a:pt x="125" y="103"/>
                                  </a:lnTo>
                                  <a:lnTo>
                                    <a:pt x="104" y="9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713"/>
                          <wps:cNvSpPr>
                            <a:spLocks/>
                          </wps:cNvSpPr>
                          <wps:spPr bwMode="auto">
                            <a:xfrm>
                              <a:off x="1748" y="700"/>
                              <a:ext cx="289" cy="289"/>
                            </a:xfrm>
                            <a:custGeom>
                              <a:avLst/>
                              <a:gdLst>
                                <a:gd name="T0" fmla="+- 0 1936 1748"/>
                                <a:gd name="T1" fmla="*/ T0 w 289"/>
                                <a:gd name="T2" fmla="+- 0 799 700"/>
                                <a:gd name="T3" fmla="*/ 799 h 289"/>
                                <a:gd name="T4" fmla="+- 0 1923 1748"/>
                                <a:gd name="T5" fmla="*/ T4 w 289"/>
                                <a:gd name="T6" fmla="+- 0 799 700"/>
                                <a:gd name="T7" fmla="*/ 799 h 289"/>
                                <a:gd name="T8" fmla="+- 0 1913 1748"/>
                                <a:gd name="T9" fmla="*/ T8 w 289"/>
                                <a:gd name="T10" fmla="+- 0 803 700"/>
                                <a:gd name="T11" fmla="*/ 803 h 289"/>
                                <a:gd name="T12" fmla="+- 0 1897 1748"/>
                                <a:gd name="T13" fmla="*/ T12 w 289"/>
                                <a:gd name="T14" fmla="+- 0 819 700"/>
                                <a:gd name="T15" fmla="*/ 819 h 289"/>
                                <a:gd name="T16" fmla="+- 0 1894 1748"/>
                                <a:gd name="T17" fmla="*/ T16 w 289"/>
                                <a:gd name="T18" fmla="+- 0 830 700"/>
                                <a:gd name="T19" fmla="*/ 830 h 289"/>
                                <a:gd name="T20" fmla="+- 0 1894 1748"/>
                                <a:gd name="T21" fmla="*/ T20 w 289"/>
                                <a:gd name="T22" fmla="+- 0 858 700"/>
                                <a:gd name="T23" fmla="*/ 858 h 289"/>
                                <a:gd name="T24" fmla="+- 0 1897 1748"/>
                                <a:gd name="T25" fmla="*/ T24 w 289"/>
                                <a:gd name="T26" fmla="+- 0 869 700"/>
                                <a:gd name="T27" fmla="*/ 869 h 289"/>
                                <a:gd name="T28" fmla="+- 0 1913 1748"/>
                                <a:gd name="T29" fmla="*/ T28 w 289"/>
                                <a:gd name="T30" fmla="+- 0 885 700"/>
                                <a:gd name="T31" fmla="*/ 885 h 289"/>
                                <a:gd name="T32" fmla="+- 0 1923 1748"/>
                                <a:gd name="T33" fmla="*/ T32 w 289"/>
                                <a:gd name="T34" fmla="+- 0 889 700"/>
                                <a:gd name="T35" fmla="*/ 889 h 289"/>
                                <a:gd name="T36" fmla="+- 0 1941 1748"/>
                                <a:gd name="T37" fmla="*/ T36 w 289"/>
                                <a:gd name="T38" fmla="+- 0 889 700"/>
                                <a:gd name="T39" fmla="*/ 889 h 289"/>
                                <a:gd name="T40" fmla="+- 0 1960 1748"/>
                                <a:gd name="T41" fmla="*/ T40 w 289"/>
                                <a:gd name="T42" fmla="+- 0 882 700"/>
                                <a:gd name="T43" fmla="*/ 882 h 289"/>
                                <a:gd name="T44" fmla="+- 0 1972 1748"/>
                                <a:gd name="T45" fmla="*/ T44 w 289"/>
                                <a:gd name="T46" fmla="+- 0 870 700"/>
                                <a:gd name="T47" fmla="*/ 870 h 289"/>
                                <a:gd name="T48" fmla="+- 0 1926 1748"/>
                                <a:gd name="T49" fmla="*/ T48 w 289"/>
                                <a:gd name="T50" fmla="+- 0 870 700"/>
                                <a:gd name="T51" fmla="*/ 870 h 289"/>
                                <a:gd name="T52" fmla="+- 0 1919 1748"/>
                                <a:gd name="T53" fmla="*/ T52 w 289"/>
                                <a:gd name="T54" fmla="+- 0 861 700"/>
                                <a:gd name="T55" fmla="*/ 861 h 289"/>
                                <a:gd name="T56" fmla="+- 0 1919 1748"/>
                                <a:gd name="T57" fmla="*/ T56 w 289"/>
                                <a:gd name="T58" fmla="+- 0 827 700"/>
                                <a:gd name="T59" fmla="*/ 827 h 289"/>
                                <a:gd name="T60" fmla="+- 0 1926 1748"/>
                                <a:gd name="T61" fmla="*/ T60 w 289"/>
                                <a:gd name="T62" fmla="+- 0 818 700"/>
                                <a:gd name="T63" fmla="*/ 818 h 289"/>
                                <a:gd name="T64" fmla="+- 0 1970 1748"/>
                                <a:gd name="T65" fmla="*/ T64 w 289"/>
                                <a:gd name="T66" fmla="+- 0 818 700"/>
                                <a:gd name="T67" fmla="*/ 818 h 289"/>
                                <a:gd name="T68" fmla="+- 0 1972 1748"/>
                                <a:gd name="T69" fmla="*/ T68 w 289"/>
                                <a:gd name="T70" fmla="+- 0 817 700"/>
                                <a:gd name="T71" fmla="*/ 817 h 289"/>
                                <a:gd name="T72" fmla="+- 0 1957 1748"/>
                                <a:gd name="T73" fmla="*/ T72 w 289"/>
                                <a:gd name="T74" fmla="+- 0 803 700"/>
                                <a:gd name="T75" fmla="*/ 803 h 289"/>
                                <a:gd name="T76" fmla="+- 0 1936 1748"/>
                                <a:gd name="T77" fmla="*/ T76 w 289"/>
                                <a:gd name="T78" fmla="+- 0 799 700"/>
                                <a:gd name="T79" fmla="*/ 799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9" h="289">
                                  <a:moveTo>
                                    <a:pt x="188" y="99"/>
                                  </a:moveTo>
                                  <a:lnTo>
                                    <a:pt x="175" y="99"/>
                                  </a:lnTo>
                                  <a:lnTo>
                                    <a:pt x="165" y="103"/>
                                  </a:lnTo>
                                  <a:lnTo>
                                    <a:pt x="149" y="119"/>
                                  </a:lnTo>
                                  <a:lnTo>
                                    <a:pt x="146" y="130"/>
                                  </a:lnTo>
                                  <a:lnTo>
                                    <a:pt x="146" y="158"/>
                                  </a:lnTo>
                                  <a:lnTo>
                                    <a:pt x="149" y="169"/>
                                  </a:lnTo>
                                  <a:lnTo>
                                    <a:pt x="165" y="185"/>
                                  </a:lnTo>
                                  <a:lnTo>
                                    <a:pt x="175" y="189"/>
                                  </a:lnTo>
                                  <a:lnTo>
                                    <a:pt x="193" y="189"/>
                                  </a:lnTo>
                                  <a:lnTo>
                                    <a:pt x="212" y="182"/>
                                  </a:lnTo>
                                  <a:lnTo>
                                    <a:pt x="224" y="170"/>
                                  </a:lnTo>
                                  <a:lnTo>
                                    <a:pt x="178" y="170"/>
                                  </a:lnTo>
                                  <a:lnTo>
                                    <a:pt x="171" y="161"/>
                                  </a:lnTo>
                                  <a:lnTo>
                                    <a:pt x="171" y="127"/>
                                  </a:lnTo>
                                  <a:lnTo>
                                    <a:pt x="178" y="118"/>
                                  </a:lnTo>
                                  <a:lnTo>
                                    <a:pt x="222" y="118"/>
                                  </a:lnTo>
                                  <a:lnTo>
                                    <a:pt x="224" y="117"/>
                                  </a:lnTo>
                                  <a:lnTo>
                                    <a:pt x="209" y="103"/>
                                  </a:lnTo>
                                  <a:lnTo>
                                    <a:pt x="188" y="9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712"/>
                          <wps:cNvSpPr>
                            <a:spLocks/>
                          </wps:cNvSpPr>
                          <wps:spPr bwMode="auto">
                            <a:xfrm>
                              <a:off x="1748" y="700"/>
                              <a:ext cx="289" cy="289"/>
                            </a:xfrm>
                            <a:custGeom>
                              <a:avLst/>
                              <a:gdLst>
                                <a:gd name="T0" fmla="+- 0 1873 1748"/>
                                <a:gd name="T1" fmla="*/ T0 w 289"/>
                                <a:gd name="T2" fmla="+- 0 857 700"/>
                                <a:gd name="T3" fmla="*/ 857 h 289"/>
                                <a:gd name="T4" fmla="+- 0 1869 1748"/>
                                <a:gd name="T5" fmla="*/ T4 w 289"/>
                                <a:gd name="T6" fmla="+- 0 865 700"/>
                                <a:gd name="T7" fmla="*/ 865 h 289"/>
                                <a:gd name="T8" fmla="+- 0 1863 1748"/>
                                <a:gd name="T9" fmla="*/ T8 w 289"/>
                                <a:gd name="T10" fmla="+- 0 870 700"/>
                                <a:gd name="T11" fmla="*/ 870 h 289"/>
                                <a:gd name="T12" fmla="+- 0 1888 1748"/>
                                <a:gd name="T13" fmla="*/ T12 w 289"/>
                                <a:gd name="T14" fmla="+- 0 870 700"/>
                                <a:gd name="T15" fmla="*/ 870 h 289"/>
                                <a:gd name="T16" fmla="+- 0 1891 1748"/>
                                <a:gd name="T17" fmla="*/ T16 w 289"/>
                                <a:gd name="T18" fmla="+- 0 866 700"/>
                                <a:gd name="T19" fmla="*/ 866 h 289"/>
                                <a:gd name="T20" fmla="+- 0 1873 1748"/>
                                <a:gd name="T21" fmla="*/ T20 w 289"/>
                                <a:gd name="T22" fmla="+- 0 857 700"/>
                                <a:gd name="T23" fmla="*/ 857 h 289"/>
                              </a:gdLst>
                              <a:ahLst/>
                              <a:cxnLst>
                                <a:cxn ang="0">
                                  <a:pos x="T1" y="T3"/>
                                </a:cxn>
                                <a:cxn ang="0">
                                  <a:pos x="T5" y="T7"/>
                                </a:cxn>
                                <a:cxn ang="0">
                                  <a:pos x="T9" y="T11"/>
                                </a:cxn>
                                <a:cxn ang="0">
                                  <a:pos x="T13" y="T15"/>
                                </a:cxn>
                                <a:cxn ang="0">
                                  <a:pos x="T17" y="T19"/>
                                </a:cxn>
                                <a:cxn ang="0">
                                  <a:pos x="T21" y="T23"/>
                                </a:cxn>
                              </a:cxnLst>
                              <a:rect l="0" t="0" r="r" b="b"/>
                              <a:pathLst>
                                <a:path w="289" h="289">
                                  <a:moveTo>
                                    <a:pt x="125" y="157"/>
                                  </a:moveTo>
                                  <a:lnTo>
                                    <a:pt x="121" y="165"/>
                                  </a:lnTo>
                                  <a:lnTo>
                                    <a:pt x="115" y="170"/>
                                  </a:lnTo>
                                  <a:lnTo>
                                    <a:pt x="140" y="170"/>
                                  </a:lnTo>
                                  <a:lnTo>
                                    <a:pt x="143" y="166"/>
                                  </a:lnTo>
                                  <a:lnTo>
                                    <a:pt x="125" y="157"/>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711"/>
                          <wps:cNvSpPr>
                            <a:spLocks/>
                          </wps:cNvSpPr>
                          <wps:spPr bwMode="auto">
                            <a:xfrm>
                              <a:off x="1748" y="700"/>
                              <a:ext cx="289" cy="289"/>
                            </a:xfrm>
                            <a:custGeom>
                              <a:avLst/>
                              <a:gdLst>
                                <a:gd name="T0" fmla="+- 0 1956 1748"/>
                                <a:gd name="T1" fmla="*/ T0 w 289"/>
                                <a:gd name="T2" fmla="+- 0 857 700"/>
                                <a:gd name="T3" fmla="*/ 857 h 289"/>
                                <a:gd name="T4" fmla="+- 0 1953 1748"/>
                                <a:gd name="T5" fmla="*/ T4 w 289"/>
                                <a:gd name="T6" fmla="+- 0 865 700"/>
                                <a:gd name="T7" fmla="*/ 865 h 289"/>
                                <a:gd name="T8" fmla="+- 0 1947 1748"/>
                                <a:gd name="T9" fmla="*/ T8 w 289"/>
                                <a:gd name="T10" fmla="+- 0 870 700"/>
                                <a:gd name="T11" fmla="*/ 870 h 289"/>
                                <a:gd name="T12" fmla="+- 0 1972 1748"/>
                                <a:gd name="T13" fmla="*/ T12 w 289"/>
                                <a:gd name="T14" fmla="+- 0 870 700"/>
                                <a:gd name="T15" fmla="*/ 870 h 289"/>
                                <a:gd name="T16" fmla="+- 0 1974 1748"/>
                                <a:gd name="T17" fmla="*/ T16 w 289"/>
                                <a:gd name="T18" fmla="+- 0 866 700"/>
                                <a:gd name="T19" fmla="*/ 866 h 289"/>
                                <a:gd name="T20" fmla="+- 0 1956 1748"/>
                                <a:gd name="T21" fmla="*/ T20 w 289"/>
                                <a:gd name="T22" fmla="+- 0 857 700"/>
                                <a:gd name="T23" fmla="*/ 857 h 289"/>
                              </a:gdLst>
                              <a:ahLst/>
                              <a:cxnLst>
                                <a:cxn ang="0">
                                  <a:pos x="T1" y="T3"/>
                                </a:cxn>
                                <a:cxn ang="0">
                                  <a:pos x="T5" y="T7"/>
                                </a:cxn>
                                <a:cxn ang="0">
                                  <a:pos x="T9" y="T11"/>
                                </a:cxn>
                                <a:cxn ang="0">
                                  <a:pos x="T13" y="T15"/>
                                </a:cxn>
                                <a:cxn ang="0">
                                  <a:pos x="T17" y="T19"/>
                                </a:cxn>
                                <a:cxn ang="0">
                                  <a:pos x="T21" y="T23"/>
                                </a:cxn>
                              </a:cxnLst>
                              <a:rect l="0" t="0" r="r" b="b"/>
                              <a:pathLst>
                                <a:path w="289" h="289">
                                  <a:moveTo>
                                    <a:pt x="208" y="157"/>
                                  </a:moveTo>
                                  <a:lnTo>
                                    <a:pt x="205" y="165"/>
                                  </a:lnTo>
                                  <a:lnTo>
                                    <a:pt x="199" y="170"/>
                                  </a:lnTo>
                                  <a:lnTo>
                                    <a:pt x="224" y="170"/>
                                  </a:lnTo>
                                  <a:lnTo>
                                    <a:pt x="226" y="166"/>
                                  </a:lnTo>
                                  <a:lnTo>
                                    <a:pt x="208" y="157"/>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710"/>
                          <wps:cNvSpPr>
                            <a:spLocks/>
                          </wps:cNvSpPr>
                          <wps:spPr bwMode="auto">
                            <a:xfrm>
                              <a:off x="1748" y="700"/>
                              <a:ext cx="289" cy="289"/>
                            </a:xfrm>
                            <a:custGeom>
                              <a:avLst/>
                              <a:gdLst>
                                <a:gd name="T0" fmla="+- 0 1886 1748"/>
                                <a:gd name="T1" fmla="*/ T0 w 289"/>
                                <a:gd name="T2" fmla="+- 0 818 700"/>
                                <a:gd name="T3" fmla="*/ 818 h 289"/>
                                <a:gd name="T4" fmla="+- 0 1862 1748"/>
                                <a:gd name="T5" fmla="*/ T4 w 289"/>
                                <a:gd name="T6" fmla="+- 0 818 700"/>
                                <a:gd name="T7" fmla="*/ 818 h 289"/>
                                <a:gd name="T8" fmla="+- 0 1868 1748"/>
                                <a:gd name="T9" fmla="*/ T8 w 289"/>
                                <a:gd name="T10" fmla="+- 0 822 700"/>
                                <a:gd name="T11" fmla="*/ 822 h 289"/>
                                <a:gd name="T12" fmla="+- 0 1871 1748"/>
                                <a:gd name="T13" fmla="*/ T12 w 289"/>
                                <a:gd name="T14" fmla="+- 0 830 700"/>
                                <a:gd name="T15" fmla="*/ 830 h 289"/>
                                <a:gd name="T16" fmla="+- 0 1886 1748"/>
                                <a:gd name="T17" fmla="*/ T16 w 289"/>
                                <a:gd name="T18" fmla="+- 0 818 700"/>
                                <a:gd name="T19" fmla="*/ 818 h 289"/>
                              </a:gdLst>
                              <a:ahLst/>
                              <a:cxnLst>
                                <a:cxn ang="0">
                                  <a:pos x="T1" y="T3"/>
                                </a:cxn>
                                <a:cxn ang="0">
                                  <a:pos x="T5" y="T7"/>
                                </a:cxn>
                                <a:cxn ang="0">
                                  <a:pos x="T9" y="T11"/>
                                </a:cxn>
                                <a:cxn ang="0">
                                  <a:pos x="T13" y="T15"/>
                                </a:cxn>
                                <a:cxn ang="0">
                                  <a:pos x="T17" y="T19"/>
                                </a:cxn>
                              </a:cxnLst>
                              <a:rect l="0" t="0" r="r" b="b"/>
                              <a:pathLst>
                                <a:path w="289" h="289">
                                  <a:moveTo>
                                    <a:pt x="138" y="118"/>
                                  </a:moveTo>
                                  <a:lnTo>
                                    <a:pt x="114" y="118"/>
                                  </a:lnTo>
                                  <a:lnTo>
                                    <a:pt x="120" y="122"/>
                                  </a:lnTo>
                                  <a:lnTo>
                                    <a:pt x="123" y="130"/>
                                  </a:lnTo>
                                  <a:lnTo>
                                    <a:pt x="138" y="118"/>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709"/>
                          <wps:cNvSpPr>
                            <a:spLocks/>
                          </wps:cNvSpPr>
                          <wps:spPr bwMode="auto">
                            <a:xfrm>
                              <a:off x="1748" y="700"/>
                              <a:ext cx="289" cy="289"/>
                            </a:xfrm>
                            <a:custGeom>
                              <a:avLst/>
                              <a:gdLst>
                                <a:gd name="T0" fmla="+- 0 1970 1748"/>
                                <a:gd name="T1" fmla="*/ T0 w 289"/>
                                <a:gd name="T2" fmla="+- 0 818 700"/>
                                <a:gd name="T3" fmla="*/ 818 h 289"/>
                                <a:gd name="T4" fmla="+- 0 1946 1748"/>
                                <a:gd name="T5" fmla="*/ T4 w 289"/>
                                <a:gd name="T6" fmla="+- 0 818 700"/>
                                <a:gd name="T7" fmla="*/ 818 h 289"/>
                                <a:gd name="T8" fmla="+- 0 1951 1748"/>
                                <a:gd name="T9" fmla="*/ T8 w 289"/>
                                <a:gd name="T10" fmla="+- 0 822 700"/>
                                <a:gd name="T11" fmla="*/ 822 h 289"/>
                                <a:gd name="T12" fmla="+- 0 1955 1748"/>
                                <a:gd name="T13" fmla="*/ T12 w 289"/>
                                <a:gd name="T14" fmla="+- 0 830 700"/>
                                <a:gd name="T15" fmla="*/ 830 h 289"/>
                                <a:gd name="T16" fmla="+- 0 1970 1748"/>
                                <a:gd name="T17" fmla="*/ T16 w 289"/>
                                <a:gd name="T18" fmla="+- 0 818 700"/>
                                <a:gd name="T19" fmla="*/ 818 h 289"/>
                              </a:gdLst>
                              <a:ahLst/>
                              <a:cxnLst>
                                <a:cxn ang="0">
                                  <a:pos x="T1" y="T3"/>
                                </a:cxn>
                                <a:cxn ang="0">
                                  <a:pos x="T5" y="T7"/>
                                </a:cxn>
                                <a:cxn ang="0">
                                  <a:pos x="T9" y="T11"/>
                                </a:cxn>
                                <a:cxn ang="0">
                                  <a:pos x="T13" y="T15"/>
                                </a:cxn>
                                <a:cxn ang="0">
                                  <a:pos x="T17" y="T19"/>
                                </a:cxn>
                              </a:cxnLst>
                              <a:rect l="0" t="0" r="r" b="b"/>
                              <a:pathLst>
                                <a:path w="289" h="289">
                                  <a:moveTo>
                                    <a:pt x="222" y="118"/>
                                  </a:moveTo>
                                  <a:lnTo>
                                    <a:pt x="198" y="118"/>
                                  </a:lnTo>
                                  <a:lnTo>
                                    <a:pt x="203" y="122"/>
                                  </a:lnTo>
                                  <a:lnTo>
                                    <a:pt x="207" y="130"/>
                                  </a:lnTo>
                                  <a:lnTo>
                                    <a:pt x="222" y="118"/>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3" name="Group 706"/>
                        <wpg:cNvGrpSpPr>
                          <a:grpSpLocks/>
                        </wpg:cNvGrpSpPr>
                        <wpg:grpSpPr bwMode="auto">
                          <a:xfrm>
                            <a:off x="2308" y="704"/>
                            <a:ext cx="200" cy="200"/>
                            <a:chOff x="2308" y="704"/>
                            <a:chExt cx="200" cy="200"/>
                          </a:xfrm>
                        </wpg:grpSpPr>
                        <wps:wsp>
                          <wps:cNvPr id="744" name="Freeform 707"/>
                          <wps:cNvSpPr>
                            <a:spLocks/>
                          </wps:cNvSpPr>
                          <wps:spPr bwMode="auto">
                            <a:xfrm>
                              <a:off x="2308" y="704"/>
                              <a:ext cx="200" cy="200"/>
                            </a:xfrm>
                            <a:custGeom>
                              <a:avLst/>
                              <a:gdLst>
                                <a:gd name="T0" fmla="+- 0 2408 2308"/>
                                <a:gd name="T1" fmla="*/ T0 w 200"/>
                                <a:gd name="T2" fmla="+- 0 704 704"/>
                                <a:gd name="T3" fmla="*/ 704 h 200"/>
                                <a:gd name="T4" fmla="+- 0 2344 2308"/>
                                <a:gd name="T5" fmla="*/ T4 w 200"/>
                                <a:gd name="T6" fmla="+- 0 727 704"/>
                                <a:gd name="T7" fmla="*/ 727 h 200"/>
                                <a:gd name="T8" fmla="+- 0 2311 2308"/>
                                <a:gd name="T9" fmla="*/ T8 w 200"/>
                                <a:gd name="T10" fmla="+- 0 782 704"/>
                                <a:gd name="T11" fmla="*/ 782 h 200"/>
                                <a:gd name="T12" fmla="+- 0 2308 2308"/>
                                <a:gd name="T13" fmla="*/ T12 w 200"/>
                                <a:gd name="T14" fmla="+- 0 806 704"/>
                                <a:gd name="T15" fmla="*/ 806 h 200"/>
                                <a:gd name="T16" fmla="+- 0 2311 2308"/>
                                <a:gd name="T17" fmla="*/ T16 w 200"/>
                                <a:gd name="T18" fmla="+- 0 828 704"/>
                                <a:gd name="T19" fmla="*/ 828 h 200"/>
                                <a:gd name="T20" fmla="+- 0 2347 2308"/>
                                <a:gd name="T21" fmla="*/ T20 w 200"/>
                                <a:gd name="T22" fmla="+- 0 881 704"/>
                                <a:gd name="T23" fmla="*/ 881 h 200"/>
                                <a:gd name="T24" fmla="+- 0 2410 2308"/>
                                <a:gd name="T25" fmla="*/ T24 w 200"/>
                                <a:gd name="T26" fmla="+- 0 903 704"/>
                                <a:gd name="T27" fmla="*/ 903 h 200"/>
                                <a:gd name="T28" fmla="+- 0 2432 2308"/>
                                <a:gd name="T29" fmla="*/ T28 w 200"/>
                                <a:gd name="T30" fmla="+- 0 900 704"/>
                                <a:gd name="T31" fmla="*/ 900 h 200"/>
                                <a:gd name="T32" fmla="+- 0 2486 2308"/>
                                <a:gd name="T33" fmla="*/ T32 w 200"/>
                                <a:gd name="T34" fmla="+- 0 865 704"/>
                                <a:gd name="T35" fmla="*/ 865 h 200"/>
                                <a:gd name="T36" fmla="+- 0 2507 2308"/>
                                <a:gd name="T37" fmla="*/ T36 w 200"/>
                                <a:gd name="T38" fmla="+- 0 802 704"/>
                                <a:gd name="T39" fmla="*/ 802 h 200"/>
                                <a:gd name="T40" fmla="+- 0 2505 2308"/>
                                <a:gd name="T41" fmla="*/ T40 w 200"/>
                                <a:gd name="T42" fmla="+- 0 780 704"/>
                                <a:gd name="T43" fmla="*/ 780 h 200"/>
                                <a:gd name="T44" fmla="+- 0 2470 2308"/>
                                <a:gd name="T45" fmla="*/ T44 w 200"/>
                                <a:gd name="T46" fmla="+- 0 725 704"/>
                                <a:gd name="T47" fmla="*/ 725 h 200"/>
                                <a:gd name="T48" fmla="+- 0 2408 2308"/>
                                <a:gd name="T49" fmla="*/ T48 w 200"/>
                                <a:gd name="T50" fmla="+- 0 704 704"/>
                                <a:gd name="T51" fmla="*/ 704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00">
                                  <a:moveTo>
                                    <a:pt x="100" y="0"/>
                                  </a:moveTo>
                                  <a:lnTo>
                                    <a:pt x="36" y="23"/>
                                  </a:lnTo>
                                  <a:lnTo>
                                    <a:pt x="3" y="78"/>
                                  </a:lnTo>
                                  <a:lnTo>
                                    <a:pt x="0" y="102"/>
                                  </a:lnTo>
                                  <a:lnTo>
                                    <a:pt x="3" y="124"/>
                                  </a:lnTo>
                                  <a:lnTo>
                                    <a:pt x="39" y="177"/>
                                  </a:lnTo>
                                  <a:lnTo>
                                    <a:pt x="102" y="199"/>
                                  </a:lnTo>
                                  <a:lnTo>
                                    <a:pt x="124" y="196"/>
                                  </a:lnTo>
                                  <a:lnTo>
                                    <a:pt x="178" y="161"/>
                                  </a:lnTo>
                                  <a:lnTo>
                                    <a:pt x="199" y="98"/>
                                  </a:lnTo>
                                  <a:lnTo>
                                    <a:pt x="197" y="76"/>
                                  </a:lnTo>
                                  <a:lnTo>
                                    <a:pt x="162" y="21"/>
                                  </a:lnTo>
                                  <a:lnTo>
                                    <a:pt x="1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5" name="Group 703"/>
                        <wpg:cNvGrpSpPr>
                          <a:grpSpLocks/>
                        </wpg:cNvGrpSpPr>
                        <wpg:grpSpPr bwMode="auto">
                          <a:xfrm>
                            <a:off x="2379" y="767"/>
                            <a:ext cx="46" cy="103"/>
                            <a:chOff x="2379" y="767"/>
                            <a:chExt cx="46" cy="103"/>
                          </a:xfrm>
                        </wpg:grpSpPr>
                        <wps:wsp>
                          <wps:cNvPr id="746" name="Freeform 705"/>
                          <wps:cNvSpPr>
                            <a:spLocks/>
                          </wps:cNvSpPr>
                          <wps:spPr bwMode="auto">
                            <a:xfrm>
                              <a:off x="2379" y="767"/>
                              <a:ext cx="46" cy="103"/>
                            </a:xfrm>
                            <a:custGeom>
                              <a:avLst/>
                              <a:gdLst>
                                <a:gd name="T0" fmla="+- 0 2424 2379"/>
                                <a:gd name="T1" fmla="*/ T0 w 46"/>
                                <a:gd name="T2" fmla="+- 0 818 767"/>
                                <a:gd name="T3" fmla="*/ 818 h 103"/>
                                <a:gd name="T4" fmla="+- 0 2391 2379"/>
                                <a:gd name="T5" fmla="*/ T4 w 46"/>
                                <a:gd name="T6" fmla="+- 0 818 767"/>
                                <a:gd name="T7" fmla="*/ 818 h 103"/>
                                <a:gd name="T8" fmla="+- 0 2391 2379"/>
                                <a:gd name="T9" fmla="*/ T8 w 46"/>
                                <a:gd name="T10" fmla="+- 0 870 767"/>
                                <a:gd name="T11" fmla="*/ 870 h 103"/>
                                <a:gd name="T12" fmla="+- 0 2424 2379"/>
                                <a:gd name="T13" fmla="*/ T12 w 46"/>
                                <a:gd name="T14" fmla="+- 0 870 767"/>
                                <a:gd name="T15" fmla="*/ 870 h 103"/>
                                <a:gd name="T16" fmla="+- 0 2424 2379"/>
                                <a:gd name="T17" fmla="*/ T16 w 46"/>
                                <a:gd name="T18" fmla="+- 0 818 767"/>
                                <a:gd name="T19" fmla="*/ 818 h 103"/>
                              </a:gdLst>
                              <a:ahLst/>
                              <a:cxnLst>
                                <a:cxn ang="0">
                                  <a:pos x="T1" y="T3"/>
                                </a:cxn>
                                <a:cxn ang="0">
                                  <a:pos x="T5" y="T7"/>
                                </a:cxn>
                                <a:cxn ang="0">
                                  <a:pos x="T9" y="T11"/>
                                </a:cxn>
                                <a:cxn ang="0">
                                  <a:pos x="T13" y="T15"/>
                                </a:cxn>
                                <a:cxn ang="0">
                                  <a:pos x="T17" y="T19"/>
                                </a:cxn>
                              </a:cxnLst>
                              <a:rect l="0" t="0" r="r" b="b"/>
                              <a:pathLst>
                                <a:path w="46" h="103">
                                  <a:moveTo>
                                    <a:pt x="45" y="51"/>
                                  </a:moveTo>
                                  <a:lnTo>
                                    <a:pt x="12" y="51"/>
                                  </a:lnTo>
                                  <a:lnTo>
                                    <a:pt x="12" y="103"/>
                                  </a:lnTo>
                                  <a:lnTo>
                                    <a:pt x="45" y="103"/>
                                  </a:lnTo>
                                  <a:lnTo>
                                    <a:pt x="45" y="5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704"/>
                          <wps:cNvSpPr>
                            <a:spLocks/>
                          </wps:cNvSpPr>
                          <wps:spPr bwMode="auto">
                            <a:xfrm>
                              <a:off x="2379" y="767"/>
                              <a:ext cx="46" cy="103"/>
                            </a:xfrm>
                            <a:custGeom>
                              <a:avLst/>
                              <a:gdLst>
                                <a:gd name="T0" fmla="+- 0 2434 2379"/>
                                <a:gd name="T1" fmla="*/ T0 w 46"/>
                                <a:gd name="T2" fmla="+- 0 767 767"/>
                                <a:gd name="T3" fmla="*/ 767 h 103"/>
                                <a:gd name="T4" fmla="+- 0 2382 2379"/>
                                <a:gd name="T5" fmla="*/ T4 w 46"/>
                                <a:gd name="T6" fmla="+- 0 767 767"/>
                                <a:gd name="T7" fmla="*/ 767 h 103"/>
                                <a:gd name="T8" fmla="+- 0 2379 2379"/>
                                <a:gd name="T9" fmla="*/ T8 w 46"/>
                                <a:gd name="T10" fmla="+- 0 771 767"/>
                                <a:gd name="T11" fmla="*/ 771 h 103"/>
                                <a:gd name="T12" fmla="+- 0 2379 2379"/>
                                <a:gd name="T13" fmla="*/ T12 w 46"/>
                                <a:gd name="T14" fmla="+- 0 818 767"/>
                                <a:gd name="T15" fmla="*/ 818 h 103"/>
                                <a:gd name="T16" fmla="+- 0 2437 2379"/>
                                <a:gd name="T17" fmla="*/ T16 w 46"/>
                                <a:gd name="T18" fmla="+- 0 818 767"/>
                                <a:gd name="T19" fmla="*/ 818 h 103"/>
                                <a:gd name="T20" fmla="+- 0 2437 2379"/>
                                <a:gd name="T21" fmla="*/ T20 w 46"/>
                                <a:gd name="T22" fmla="+- 0 771 767"/>
                                <a:gd name="T23" fmla="*/ 771 h 103"/>
                                <a:gd name="T24" fmla="+- 0 2434 2379"/>
                                <a:gd name="T25" fmla="*/ T24 w 46"/>
                                <a:gd name="T26" fmla="+- 0 767 767"/>
                                <a:gd name="T27" fmla="*/ 767 h 103"/>
                              </a:gdLst>
                              <a:ahLst/>
                              <a:cxnLst>
                                <a:cxn ang="0">
                                  <a:pos x="T1" y="T3"/>
                                </a:cxn>
                                <a:cxn ang="0">
                                  <a:pos x="T5" y="T7"/>
                                </a:cxn>
                                <a:cxn ang="0">
                                  <a:pos x="T9" y="T11"/>
                                </a:cxn>
                                <a:cxn ang="0">
                                  <a:pos x="T13" y="T15"/>
                                </a:cxn>
                                <a:cxn ang="0">
                                  <a:pos x="T17" y="T19"/>
                                </a:cxn>
                                <a:cxn ang="0">
                                  <a:pos x="T21" y="T23"/>
                                </a:cxn>
                                <a:cxn ang="0">
                                  <a:pos x="T25" y="T27"/>
                                </a:cxn>
                              </a:cxnLst>
                              <a:rect l="0" t="0" r="r" b="b"/>
                              <a:pathLst>
                                <a:path w="46" h="103">
                                  <a:moveTo>
                                    <a:pt x="55" y="0"/>
                                  </a:moveTo>
                                  <a:lnTo>
                                    <a:pt x="3" y="0"/>
                                  </a:lnTo>
                                  <a:lnTo>
                                    <a:pt x="0" y="4"/>
                                  </a:lnTo>
                                  <a:lnTo>
                                    <a:pt x="0" y="51"/>
                                  </a:lnTo>
                                  <a:lnTo>
                                    <a:pt x="58" y="51"/>
                                  </a:lnTo>
                                  <a:lnTo>
                                    <a:pt x="58" y="4"/>
                                  </a:lnTo>
                                  <a:lnTo>
                                    <a:pt x="5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8" name="Group 701"/>
                        <wpg:cNvGrpSpPr>
                          <a:grpSpLocks/>
                        </wpg:cNvGrpSpPr>
                        <wpg:grpSpPr bwMode="auto">
                          <a:xfrm>
                            <a:off x="2393" y="732"/>
                            <a:ext cx="31" cy="31"/>
                            <a:chOff x="2393" y="732"/>
                            <a:chExt cx="31" cy="31"/>
                          </a:xfrm>
                        </wpg:grpSpPr>
                        <wps:wsp>
                          <wps:cNvPr id="749" name="Freeform 702"/>
                          <wps:cNvSpPr>
                            <a:spLocks/>
                          </wps:cNvSpPr>
                          <wps:spPr bwMode="auto">
                            <a:xfrm>
                              <a:off x="2393" y="732"/>
                              <a:ext cx="31" cy="31"/>
                            </a:xfrm>
                            <a:custGeom>
                              <a:avLst/>
                              <a:gdLst>
                                <a:gd name="T0" fmla="+- 0 2416 2393"/>
                                <a:gd name="T1" fmla="*/ T0 w 31"/>
                                <a:gd name="T2" fmla="+- 0 732 732"/>
                                <a:gd name="T3" fmla="*/ 732 h 31"/>
                                <a:gd name="T4" fmla="+- 0 2399 2393"/>
                                <a:gd name="T5" fmla="*/ T4 w 31"/>
                                <a:gd name="T6" fmla="+- 0 732 732"/>
                                <a:gd name="T7" fmla="*/ 732 h 31"/>
                                <a:gd name="T8" fmla="+- 0 2393 2393"/>
                                <a:gd name="T9" fmla="*/ T8 w 31"/>
                                <a:gd name="T10" fmla="+- 0 738 732"/>
                                <a:gd name="T11" fmla="*/ 738 h 31"/>
                                <a:gd name="T12" fmla="+- 0 2393 2393"/>
                                <a:gd name="T13" fmla="*/ T12 w 31"/>
                                <a:gd name="T14" fmla="+- 0 755 732"/>
                                <a:gd name="T15" fmla="*/ 755 h 31"/>
                                <a:gd name="T16" fmla="+- 0 2399 2393"/>
                                <a:gd name="T17" fmla="*/ T16 w 31"/>
                                <a:gd name="T18" fmla="+- 0 762 732"/>
                                <a:gd name="T19" fmla="*/ 762 h 31"/>
                                <a:gd name="T20" fmla="+- 0 2416 2393"/>
                                <a:gd name="T21" fmla="*/ T20 w 31"/>
                                <a:gd name="T22" fmla="+- 0 762 732"/>
                                <a:gd name="T23" fmla="*/ 762 h 31"/>
                                <a:gd name="T24" fmla="+- 0 2423 2393"/>
                                <a:gd name="T25" fmla="*/ T24 w 31"/>
                                <a:gd name="T26" fmla="+- 0 755 732"/>
                                <a:gd name="T27" fmla="*/ 755 h 31"/>
                                <a:gd name="T28" fmla="+- 0 2423 2393"/>
                                <a:gd name="T29" fmla="*/ T28 w 31"/>
                                <a:gd name="T30" fmla="+- 0 738 732"/>
                                <a:gd name="T31" fmla="*/ 738 h 31"/>
                                <a:gd name="T32" fmla="+- 0 2416 2393"/>
                                <a:gd name="T33" fmla="*/ T32 w 31"/>
                                <a:gd name="T34" fmla="+- 0 732 732"/>
                                <a:gd name="T35" fmla="*/ 732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31">
                                  <a:moveTo>
                                    <a:pt x="23" y="0"/>
                                  </a:moveTo>
                                  <a:lnTo>
                                    <a:pt x="6" y="0"/>
                                  </a:lnTo>
                                  <a:lnTo>
                                    <a:pt x="0" y="6"/>
                                  </a:lnTo>
                                  <a:lnTo>
                                    <a:pt x="0" y="23"/>
                                  </a:lnTo>
                                  <a:lnTo>
                                    <a:pt x="6" y="30"/>
                                  </a:lnTo>
                                  <a:lnTo>
                                    <a:pt x="23" y="30"/>
                                  </a:lnTo>
                                  <a:lnTo>
                                    <a:pt x="30" y="23"/>
                                  </a:lnTo>
                                  <a:lnTo>
                                    <a:pt x="30" y="6"/>
                                  </a:lnTo>
                                  <a:lnTo>
                                    <a:pt x="23"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0" name="Group 698"/>
                        <wpg:cNvGrpSpPr>
                          <a:grpSpLocks/>
                        </wpg:cNvGrpSpPr>
                        <wpg:grpSpPr bwMode="auto">
                          <a:xfrm>
                            <a:off x="2300" y="694"/>
                            <a:ext cx="215" cy="215"/>
                            <a:chOff x="2300" y="694"/>
                            <a:chExt cx="215" cy="215"/>
                          </a:xfrm>
                        </wpg:grpSpPr>
                        <wps:wsp>
                          <wps:cNvPr id="751" name="Freeform 700"/>
                          <wps:cNvSpPr>
                            <a:spLocks/>
                          </wps:cNvSpPr>
                          <wps:spPr bwMode="auto">
                            <a:xfrm>
                              <a:off x="2300" y="694"/>
                              <a:ext cx="215" cy="215"/>
                            </a:xfrm>
                            <a:custGeom>
                              <a:avLst/>
                              <a:gdLst>
                                <a:gd name="T0" fmla="+- 0 2408 2300"/>
                                <a:gd name="T1" fmla="*/ T0 w 215"/>
                                <a:gd name="T2" fmla="+- 0 694 694"/>
                                <a:gd name="T3" fmla="*/ 694 h 215"/>
                                <a:gd name="T4" fmla="+- 0 2350 2300"/>
                                <a:gd name="T5" fmla="*/ T4 w 215"/>
                                <a:gd name="T6" fmla="+- 0 710 694"/>
                                <a:gd name="T7" fmla="*/ 710 h 215"/>
                                <a:gd name="T8" fmla="+- 0 2309 2300"/>
                                <a:gd name="T9" fmla="*/ T8 w 215"/>
                                <a:gd name="T10" fmla="+- 0 758 694"/>
                                <a:gd name="T11" fmla="*/ 758 h 215"/>
                                <a:gd name="T12" fmla="+- 0 2300 2300"/>
                                <a:gd name="T13" fmla="*/ T12 w 215"/>
                                <a:gd name="T14" fmla="+- 0 796 694"/>
                                <a:gd name="T15" fmla="*/ 796 h 215"/>
                                <a:gd name="T16" fmla="+- 0 2302 2300"/>
                                <a:gd name="T17" fmla="*/ T16 w 215"/>
                                <a:gd name="T18" fmla="+- 0 819 694"/>
                                <a:gd name="T19" fmla="*/ 819 h 215"/>
                                <a:gd name="T20" fmla="+- 0 2345 2300"/>
                                <a:gd name="T21" fmla="*/ T20 w 215"/>
                                <a:gd name="T22" fmla="+- 0 887 694"/>
                                <a:gd name="T23" fmla="*/ 887 h 215"/>
                                <a:gd name="T24" fmla="+- 0 2400 2300"/>
                                <a:gd name="T25" fmla="*/ T24 w 215"/>
                                <a:gd name="T26" fmla="+- 0 908 694"/>
                                <a:gd name="T27" fmla="*/ 908 h 215"/>
                                <a:gd name="T28" fmla="+- 0 2423 2300"/>
                                <a:gd name="T29" fmla="*/ T28 w 215"/>
                                <a:gd name="T30" fmla="+- 0 907 694"/>
                                <a:gd name="T31" fmla="*/ 907 h 215"/>
                                <a:gd name="T32" fmla="+- 0 2443 2300"/>
                                <a:gd name="T33" fmla="*/ T32 w 215"/>
                                <a:gd name="T34" fmla="+- 0 902 694"/>
                                <a:gd name="T35" fmla="*/ 902 h 215"/>
                                <a:gd name="T36" fmla="+- 0 2461 2300"/>
                                <a:gd name="T37" fmla="*/ T36 w 215"/>
                                <a:gd name="T38" fmla="+- 0 895 694"/>
                                <a:gd name="T39" fmla="*/ 895 h 215"/>
                                <a:gd name="T40" fmla="+- 0 2470 2300"/>
                                <a:gd name="T41" fmla="*/ T40 w 215"/>
                                <a:gd name="T42" fmla="+- 0 889 694"/>
                                <a:gd name="T43" fmla="*/ 889 h 215"/>
                                <a:gd name="T44" fmla="+- 0 2416 2300"/>
                                <a:gd name="T45" fmla="*/ T44 w 215"/>
                                <a:gd name="T46" fmla="+- 0 889 694"/>
                                <a:gd name="T47" fmla="*/ 889 h 215"/>
                                <a:gd name="T48" fmla="+- 0 2393 2300"/>
                                <a:gd name="T49" fmla="*/ T48 w 215"/>
                                <a:gd name="T50" fmla="+- 0 887 694"/>
                                <a:gd name="T51" fmla="*/ 887 h 215"/>
                                <a:gd name="T52" fmla="+- 0 2339 2300"/>
                                <a:gd name="T53" fmla="*/ T52 w 215"/>
                                <a:gd name="T54" fmla="+- 0 853 694"/>
                                <a:gd name="T55" fmla="*/ 853 h 215"/>
                                <a:gd name="T56" fmla="+- 0 2320 2300"/>
                                <a:gd name="T57" fmla="*/ T56 w 215"/>
                                <a:gd name="T58" fmla="+- 0 801 694"/>
                                <a:gd name="T59" fmla="*/ 801 h 215"/>
                                <a:gd name="T60" fmla="+- 0 2322 2300"/>
                                <a:gd name="T61" fmla="*/ T60 w 215"/>
                                <a:gd name="T62" fmla="+- 0 781 694"/>
                                <a:gd name="T63" fmla="*/ 781 h 215"/>
                                <a:gd name="T64" fmla="+- 0 2358 2300"/>
                                <a:gd name="T65" fmla="*/ T64 w 215"/>
                                <a:gd name="T66" fmla="+- 0 729 694"/>
                                <a:gd name="T67" fmla="*/ 729 h 215"/>
                                <a:gd name="T68" fmla="+- 0 2408 2300"/>
                                <a:gd name="T69" fmla="*/ T68 w 215"/>
                                <a:gd name="T70" fmla="+- 0 713 694"/>
                                <a:gd name="T71" fmla="*/ 713 h 215"/>
                                <a:gd name="T72" fmla="+- 0 2468 2300"/>
                                <a:gd name="T73" fmla="*/ T72 w 215"/>
                                <a:gd name="T74" fmla="+- 0 713 694"/>
                                <a:gd name="T75" fmla="*/ 713 h 215"/>
                                <a:gd name="T76" fmla="+- 0 2456 2300"/>
                                <a:gd name="T77" fmla="*/ T76 w 215"/>
                                <a:gd name="T78" fmla="+- 0 705 694"/>
                                <a:gd name="T79" fmla="*/ 705 h 215"/>
                                <a:gd name="T80" fmla="+- 0 2439 2300"/>
                                <a:gd name="T81" fmla="*/ T80 w 215"/>
                                <a:gd name="T82" fmla="+- 0 698 694"/>
                                <a:gd name="T83" fmla="*/ 698 h 215"/>
                                <a:gd name="T84" fmla="+- 0 2420 2300"/>
                                <a:gd name="T85" fmla="*/ T84 w 215"/>
                                <a:gd name="T86" fmla="+- 0 694 694"/>
                                <a:gd name="T87" fmla="*/ 694 h 215"/>
                                <a:gd name="T88" fmla="+- 0 2408 2300"/>
                                <a:gd name="T89" fmla="*/ T88 w 215"/>
                                <a:gd name="T90" fmla="+- 0 694 694"/>
                                <a:gd name="T91" fmla="*/ 694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5" h="215">
                                  <a:moveTo>
                                    <a:pt x="108" y="0"/>
                                  </a:moveTo>
                                  <a:lnTo>
                                    <a:pt x="50" y="16"/>
                                  </a:lnTo>
                                  <a:lnTo>
                                    <a:pt x="9" y="64"/>
                                  </a:lnTo>
                                  <a:lnTo>
                                    <a:pt x="0" y="102"/>
                                  </a:lnTo>
                                  <a:lnTo>
                                    <a:pt x="2" y="125"/>
                                  </a:lnTo>
                                  <a:lnTo>
                                    <a:pt x="45" y="193"/>
                                  </a:lnTo>
                                  <a:lnTo>
                                    <a:pt x="100" y="214"/>
                                  </a:lnTo>
                                  <a:lnTo>
                                    <a:pt x="123" y="213"/>
                                  </a:lnTo>
                                  <a:lnTo>
                                    <a:pt x="143" y="208"/>
                                  </a:lnTo>
                                  <a:lnTo>
                                    <a:pt x="161" y="201"/>
                                  </a:lnTo>
                                  <a:lnTo>
                                    <a:pt x="170" y="195"/>
                                  </a:lnTo>
                                  <a:lnTo>
                                    <a:pt x="116" y="195"/>
                                  </a:lnTo>
                                  <a:lnTo>
                                    <a:pt x="93" y="193"/>
                                  </a:lnTo>
                                  <a:lnTo>
                                    <a:pt x="39" y="159"/>
                                  </a:lnTo>
                                  <a:lnTo>
                                    <a:pt x="20" y="107"/>
                                  </a:lnTo>
                                  <a:lnTo>
                                    <a:pt x="22" y="87"/>
                                  </a:lnTo>
                                  <a:lnTo>
                                    <a:pt x="58" y="35"/>
                                  </a:lnTo>
                                  <a:lnTo>
                                    <a:pt x="108" y="19"/>
                                  </a:lnTo>
                                  <a:lnTo>
                                    <a:pt x="168" y="19"/>
                                  </a:lnTo>
                                  <a:lnTo>
                                    <a:pt x="156" y="11"/>
                                  </a:lnTo>
                                  <a:lnTo>
                                    <a:pt x="139" y="4"/>
                                  </a:lnTo>
                                  <a:lnTo>
                                    <a:pt x="120" y="0"/>
                                  </a:lnTo>
                                  <a:lnTo>
                                    <a:pt x="108"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699"/>
                          <wps:cNvSpPr>
                            <a:spLocks/>
                          </wps:cNvSpPr>
                          <wps:spPr bwMode="auto">
                            <a:xfrm>
                              <a:off x="2300" y="694"/>
                              <a:ext cx="215" cy="215"/>
                            </a:xfrm>
                            <a:custGeom>
                              <a:avLst/>
                              <a:gdLst>
                                <a:gd name="T0" fmla="+- 0 2468 2300"/>
                                <a:gd name="T1" fmla="*/ T0 w 215"/>
                                <a:gd name="T2" fmla="+- 0 713 694"/>
                                <a:gd name="T3" fmla="*/ 713 h 215"/>
                                <a:gd name="T4" fmla="+- 0 2408 2300"/>
                                <a:gd name="T5" fmla="*/ T4 w 215"/>
                                <a:gd name="T6" fmla="+- 0 713 694"/>
                                <a:gd name="T7" fmla="*/ 713 h 215"/>
                                <a:gd name="T8" fmla="+- 0 2429 2300"/>
                                <a:gd name="T9" fmla="*/ T8 w 215"/>
                                <a:gd name="T10" fmla="+- 0 715 694"/>
                                <a:gd name="T11" fmla="*/ 715 h 215"/>
                                <a:gd name="T12" fmla="+- 0 2448 2300"/>
                                <a:gd name="T13" fmla="*/ T12 w 215"/>
                                <a:gd name="T14" fmla="+- 0 722 694"/>
                                <a:gd name="T15" fmla="*/ 722 h 215"/>
                                <a:gd name="T16" fmla="+- 0 2464 2300"/>
                                <a:gd name="T17" fmla="*/ T16 w 215"/>
                                <a:gd name="T18" fmla="+- 0 733 694"/>
                                <a:gd name="T19" fmla="*/ 733 h 215"/>
                                <a:gd name="T20" fmla="+- 0 2480 2300"/>
                                <a:gd name="T21" fmla="*/ T20 w 215"/>
                                <a:gd name="T22" fmla="+- 0 751 694"/>
                                <a:gd name="T23" fmla="*/ 751 h 215"/>
                                <a:gd name="T24" fmla="+- 0 2490 2300"/>
                                <a:gd name="T25" fmla="*/ T24 w 215"/>
                                <a:gd name="T26" fmla="+- 0 769 694"/>
                                <a:gd name="T27" fmla="*/ 769 h 215"/>
                                <a:gd name="T28" fmla="+- 0 2495 2300"/>
                                <a:gd name="T29" fmla="*/ T28 w 215"/>
                                <a:gd name="T30" fmla="+- 0 787 694"/>
                                <a:gd name="T31" fmla="*/ 787 h 215"/>
                                <a:gd name="T32" fmla="+- 0 2494 2300"/>
                                <a:gd name="T33" fmla="*/ T32 w 215"/>
                                <a:gd name="T34" fmla="+- 0 813 694"/>
                                <a:gd name="T35" fmla="*/ 813 h 215"/>
                                <a:gd name="T36" fmla="+- 0 2454 2300"/>
                                <a:gd name="T37" fmla="*/ T36 w 215"/>
                                <a:gd name="T38" fmla="+- 0 876 694"/>
                                <a:gd name="T39" fmla="*/ 876 h 215"/>
                                <a:gd name="T40" fmla="+- 0 2416 2300"/>
                                <a:gd name="T41" fmla="*/ T40 w 215"/>
                                <a:gd name="T42" fmla="+- 0 889 694"/>
                                <a:gd name="T43" fmla="*/ 889 h 215"/>
                                <a:gd name="T44" fmla="+- 0 2470 2300"/>
                                <a:gd name="T45" fmla="*/ T44 w 215"/>
                                <a:gd name="T46" fmla="+- 0 889 694"/>
                                <a:gd name="T47" fmla="*/ 889 h 215"/>
                                <a:gd name="T48" fmla="+- 0 2511 2300"/>
                                <a:gd name="T49" fmla="*/ T48 w 215"/>
                                <a:gd name="T50" fmla="+- 0 831 694"/>
                                <a:gd name="T51" fmla="*/ 831 h 215"/>
                                <a:gd name="T52" fmla="+- 0 2515 2300"/>
                                <a:gd name="T53" fmla="*/ T52 w 215"/>
                                <a:gd name="T54" fmla="+- 0 812 694"/>
                                <a:gd name="T55" fmla="*/ 812 h 215"/>
                                <a:gd name="T56" fmla="+- 0 2514 2300"/>
                                <a:gd name="T57" fmla="*/ T56 w 215"/>
                                <a:gd name="T58" fmla="+- 0 788 694"/>
                                <a:gd name="T59" fmla="*/ 788 h 215"/>
                                <a:gd name="T60" fmla="+- 0 2509 2300"/>
                                <a:gd name="T61" fmla="*/ T60 w 215"/>
                                <a:gd name="T62" fmla="+- 0 767 694"/>
                                <a:gd name="T63" fmla="*/ 767 h 215"/>
                                <a:gd name="T64" fmla="+- 0 2502 2300"/>
                                <a:gd name="T65" fmla="*/ T64 w 215"/>
                                <a:gd name="T66" fmla="+- 0 749 694"/>
                                <a:gd name="T67" fmla="*/ 749 h 215"/>
                                <a:gd name="T68" fmla="+- 0 2492 2300"/>
                                <a:gd name="T69" fmla="*/ T68 w 215"/>
                                <a:gd name="T70" fmla="+- 0 734 694"/>
                                <a:gd name="T71" fmla="*/ 734 h 215"/>
                                <a:gd name="T72" fmla="+- 0 2474 2300"/>
                                <a:gd name="T73" fmla="*/ T72 w 215"/>
                                <a:gd name="T74" fmla="+- 0 717 694"/>
                                <a:gd name="T75" fmla="*/ 717 h 215"/>
                                <a:gd name="T76" fmla="+- 0 2468 2300"/>
                                <a:gd name="T77" fmla="*/ T76 w 215"/>
                                <a:gd name="T78" fmla="+- 0 713 694"/>
                                <a:gd name="T79" fmla="*/ 713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5" h="215">
                                  <a:moveTo>
                                    <a:pt x="168" y="19"/>
                                  </a:moveTo>
                                  <a:lnTo>
                                    <a:pt x="108" y="19"/>
                                  </a:lnTo>
                                  <a:lnTo>
                                    <a:pt x="129" y="21"/>
                                  </a:lnTo>
                                  <a:lnTo>
                                    <a:pt x="148" y="28"/>
                                  </a:lnTo>
                                  <a:lnTo>
                                    <a:pt x="164" y="39"/>
                                  </a:lnTo>
                                  <a:lnTo>
                                    <a:pt x="180" y="57"/>
                                  </a:lnTo>
                                  <a:lnTo>
                                    <a:pt x="190" y="75"/>
                                  </a:lnTo>
                                  <a:lnTo>
                                    <a:pt x="195" y="93"/>
                                  </a:lnTo>
                                  <a:lnTo>
                                    <a:pt x="194" y="119"/>
                                  </a:lnTo>
                                  <a:lnTo>
                                    <a:pt x="154" y="182"/>
                                  </a:lnTo>
                                  <a:lnTo>
                                    <a:pt x="116" y="195"/>
                                  </a:lnTo>
                                  <a:lnTo>
                                    <a:pt x="170" y="195"/>
                                  </a:lnTo>
                                  <a:lnTo>
                                    <a:pt x="211" y="137"/>
                                  </a:lnTo>
                                  <a:lnTo>
                                    <a:pt x="215" y="118"/>
                                  </a:lnTo>
                                  <a:lnTo>
                                    <a:pt x="214" y="94"/>
                                  </a:lnTo>
                                  <a:lnTo>
                                    <a:pt x="209" y="73"/>
                                  </a:lnTo>
                                  <a:lnTo>
                                    <a:pt x="202" y="55"/>
                                  </a:lnTo>
                                  <a:lnTo>
                                    <a:pt x="192" y="40"/>
                                  </a:lnTo>
                                  <a:lnTo>
                                    <a:pt x="174" y="23"/>
                                  </a:lnTo>
                                  <a:lnTo>
                                    <a:pt x="168" y="19"/>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5F5E51" id="Group 697" o:spid="_x0000_s1026" style="position:absolute;margin-left:70.9pt;margin-top:8.6pt;width:56.65pt;height:20.5pt;z-index:-251654144;mso-position-horizontal-relative:page" coordorigin="1691,652" coordsize="113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">
                <v:group id="Group 729" o:spid="_x0000_s1027" style="position:absolute;left:1703;top:667;width:1106;height:378" coordorigin="1703,667" coordsize="1106,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Freeform 730" o:spid="_x0000_s1028" style="position:absolute;left:1703;top:667;width:1106;height:378;visibility:visible;mso-wrap-style:square;v-text-anchor:top" coordsize="1106,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Yi8QA&#10;AADcAAAADwAAAGRycy9kb3ducmV2LnhtbESPQWvCQBSE74X+h+UVehHdRCRK6iqlUNprbcAcX7PP&#10;JJh9G7KvMf33XUHwOMzMN8x2P7lOjTSE1rOBdJGAIq68bbk2UHy/zzeggiBb7DyTgT8KsN89Pmwx&#10;t/7CXzQepFYRwiFHA41In2sdqoYchoXviaN38oNDiXKotR3wEuGu08skybTDluNCgz29NVSdD7/O&#10;QFnMZCxLr1dH+cnSY8azTflhzPPT9PoCSmiSe/jW/rQG1ssUrmfiEd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BmIvEAAAA3AAAAA8AAAAAAAAAAAAAAAAAmAIAAGRycy9k&#10;b3ducmV2LnhtbFBLBQYAAAAABAAEAPUAAACJAwAAAAA=&#10;" path="m27,l2,,,14,,377r1104,l1105,24,1096,4,1078,2,27,xe" fillcolor="#aab2ab" stroked="f">
                    <v:path arrowok="t" o:connecttype="custom" o:connectlocs="27,667;2,667;0,681;0,1044;1104,1044;1105,691;1096,671;1078,669;27,667" o:connectangles="0,0,0,0,0,0,0,0,0"/>
                  </v:shape>
                </v:group>
                <v:group id="Group 726" o:spid="_x0000_s1029" style="position:absolute;left:1701;top:662;width:1113;height:390" coordorigin="1701,662" coordsize="1113,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Freeform 728" o:spid="_x0000_s1030" style="position:absolute;left:1701;top:662;width:1113;height:390;visibility:visible;mso-wrap-style:square;v-text-anchor:top" coordsize="111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hXDccA&#10;AADcAAAADwAAAGRycy9kb3ducmV2LnhtbESPUWvCQBCE3wv+h2OFvtWLFtSmnlIsraJIqW3p65pb&#10;k9DcbsidGvvrPaHQx2FmvmEms9ZV6kiNL4UN9HsJKOJMbMm5gc+Pl7sxKB+QLVbCZOBMHmbTzs0E&#10;UysnfqfjNuQqQtinaKAIoU619llBDn1PauLo7aVxGKJscm0bPEW4q/QgSYbaYclxocCa5gVlP9uD&#10;M7CUh7P7/ZLVYfM8rxbytnvtf6+Nue22T4+gArXhP/zXXloDo8E9XM/EI6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oVw3HAAAA3AAAAA8AAAAAAAAAAAAAAAAAmAIAAGRy&#10;cy9kb3ducmV2LnhtbFBLBQYAAAAABAAEAPUAAACMAwAAAAA=&#10;" path="m1103,l9,,,9,,387r2,3l1110,390r2,-3l1112,359r-913,l176,358,114,339,66,302,54,286,9,274,9,15r5,-5l1112,10,1103,xe" fillcolor="#010202" stroked="f">
                    <v:path arrowok="t" o:connecttype="custom" o:connectlocs="1103,662;9,662;0,671;0,1049;2,1052;1110,1052;1112,1049;1112,1021;199,1021;176,1020;114,1001;66,964;54,948;9,936;9,677;14,672;1112,672;1103,662" o:connectangles="0,0,0,0,0,0,0,0,0,0,0,0,0,0,0,0,0,0"/>
                  </v:shape>
                  <v:shape id="Freeform 727" o:spid="_x0000_s1031" style="position:absolute;left:1701;top:662;width:1113;height:390;visibility:visible;mso-wrap-style:square;v-text-anchor:top" coordsize="111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PeccA&#10;AADcAAAADwAAAGRycy9kb3ducmV2LnhtbESPUWvCQBCE3wv+h2OFvtWLUtSmnlIsraJIqW3p65pb&#10;k9DcbsidGvvrPaHQx2FmvmEms9ZV6kiNL4UN9HsJKOJMbMm5gc+Pl7sxKB+QLVbCZOBMHmbTzs0E&#10;UysnfqfjNuQqQtinaKAIoU619llBDn1PauLo7aVxGKJscm0bPEW4q/QgSYbaYclxocCa5gVlP9uD&#10;M7CUh7P7/ZLVYfM8rxbytnvtf6+Nue22T4+gArXhP/zXXloDo8E9XM/EI6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Bz3nHAAAA3AAAAA8AAAAAAAAAAAAAAAAAmAIAAGRy&#10;cy9kb3ducmV2LnhtbFBLBQYAAAAABAAEAPUAAACMAwAAAAA=&#10;" path="m1112,10r-14,l1103,15r,259l335,274r-11,17l311,307r-50,36l199,359r913,l1112,10xe" fillcolor="#010202" stroked="f">
                    <v:path arrowok="t" o:connecttype="custom" o:connectlocs="1112,672;1098,672;1103,677;1103,936;335,936;324,953;311,969;261,1005;199,1021;1112,1021;1112,672" o:connectangles="0,0,0,0,0,0,0,0,0,0,0"/>
                  </v:shape>
                </v:group>
                <v:group id="Group 722" o:spid="_x0000_s1032" style="position:absolute;left:2356;top:966;width:52;height:62" coordorigin="2356,966"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725" o:spid="_x0000_s1033" style="position:absolute;left:2356;top:966;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jnsQA&#10;AADcAAAADwAAAGRycy9kb3ducmV2LnhtbESP3WrCQBSE7wXfYTmF3ummQlKJrqJCSS8s1J8HOGRP&#10;fjB7dsmuJn17t1Do5TAz3zDr7Wg68aDet5YVvM0TEMSl1S3XCq6Xj9kShA/IGjvLpOCHPGw308ka&#10;c20HPtHjHGoRIexzVNCE4HIpfdmQQT+3jjh6le0Nhij7Wuoehwg3nVwkSSYNthwXGnR0aKi8ne9G&#10;gT9k1d61rhiKavj+SjG9H4tUqdeXcbcCEWgM/+G/9qdW8L7I4PdMP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o457EAAAA3AAAAA8AAAAAAAAAAAAAAAAAmAIAAGRycy9k&#10;b3ducmV2LnhtbFBLBQYAAAAABAAEAPUAAACJAwAAAAA=&#10;" path="m32,l,,,61r33,l35,61,50,51r-36,l14,34r35,l47,31,44,29,40,28r3,-2l45,25r-31,l14,10r34,l35,,32,xe" stroked="f">
                    <v:path arrowok="t" o:connecttype="custom" o:connectlocs="32,966;0,966;0,1027;33,1027;35,1027;50,1017;14,1017;14,1000;49,1000;47,997;44,995;40,994;43,992;45,991;14,991;14,976;48,976;48,976;35,966;32,966" o:connectangles="0,0,0,0,0,0,0,0,0,0,0,0,0,0,0,0,0,0,0,0"/>
                  </v:shape>
                  <v:shape id="Freeform 724" o:spid="_x0000_s1034" style="position:absolute;left:2356;top:966;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GBcQA&#10;AADcAAAADwAAAGRycy9kb3ducmV2LnhtbESP3WoCMRSE7wu+QziCdzWrsFpWo6gg60ULrfoAh83Z&#10;H9ychE1017c3hUIvh5n5hllvB9OKB3W+saxgNk1AEBdWN1wpuF6O7x8gfEDW2FomBU/ysN2M3taY&#10;advzDz3OoRIRwj5DBXUILpPSFzUZ9FPriKNX2s5giLKrpO6wj3DTynmSLKTBhuNCjY4ONRW3890o&#10;8IdFuXeNy/u87L+/Ukzvn3mq1GQ87FYgAg3hP/zXPmkFy/kSfs/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kRgXEAAAA3AAAAA8AAAAAAAAAAAAAAAAAmAIAAGRycy9k&#10;b3ducmV2LnhtbFBLBQYAAAAABAAEAPUAAACJAwAAAAA=&#10;" path="m49,34r-18,l34,35r3,2l38,39r,5l28,51r22,l51,49r1,-3l52,39,51,36,49,34xe" stroked="f">
                    <v:path arrowok="t" o:connecttype="custom" o:connectlocs="49,1000;31,1000;34,1001;37,1003;38,1005;38,1010;28,1017;50,1017;51,1015;52,1012;52,1005;51,1002;49,1000" o:connectangles="0,0,0,0,0,0,0,0,0,0,0,0,0"/>
                  </v:shape>
                  <v:shape id="Freeform 723" o:spid="_x0000_s1035" style="position:absolute;left:2356;top:966;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Sd8IA&#10;AADcAAAADwAAAGRycy9kb3ducmV2LnhtbERPS2rDMBDdB3oHMYXuYrkBO8GNEtpAcRYtNG4PMFjj&#10;D7VGwlJs9/bRopDl4/33x8UMYqLR95YVPCcpCOLa6p5bBT/f7+sdCB+QNQ6WScEfeTgeHlZ7LLSd&#10;+UJTFVoRQ9gXqKALwRVS+rojgz6xjjhyjR0NhgjHVuoR5xhuBrlJ01wa7Dk2dOjo1FH9W12NAn/K&#10;mzfXu3Ium/nrM8Ps+lFmSj09Lq8vIAIt4S7+d5+1gu0mro1n4hGQh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J3wgAAANwAAAAPAAAAAAAAAAAAAAAAAJgCAABkcnMvZG93&#10;bnJldi54bWxQSwUGAAAAAAQABAD1AAAAhwMAAAAA&#10;" path="m48,10r-34,l29,10r2,1l36,16r,4l35,22r-3,2l30,25r15,l48,21r1,-3l49,11,48,10xe" stroked="f">
                    <v:path arrowok="t" o:connecttype="custom" o:connectlocs="48,976;14,976;29,976;31,977;36,982;36,986;35,988;32,990;30,991;45,991;48,987;49,984;49,977;48,976" o:connectangles="0,0,0,0,0,0,0,0,0,0,0,0,0,0"/>
                  </v:shape>
                </v:group>
                <v:group id="Group 719" o:spid="_x0000_s1036" style="position:absolute;left:2410;top:966;width:59;height:62" coordorigin="2410,966" coordsize="5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721" o:spid="_x0000_s1037" style="position:absolute;left:2410;top:966;width:59;height:62;visibility:visible;mso-wrap-style:square;v-text-anchor:top" coordsize="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r7cMA&#10;AADcAAAADwAAAGRycy9kb3ducmV2LnhtbERPu27CMBTdkfgH6yJ1A4dWohDiINSqaheGQsRju7Vv&#10;k4j4Oo1dSP++HpAYj847W/W2ERfqfO1YwXSSgCDWztRcKih2b+M5CB+QDTaOScEfeVjlw0GGqXFX&#10;/qTLNpQihrBPUUEVQptK6XVFFv3EtcSR+3adxRBhV0rT4TWG20Y+JslMWqw5NlTY0ktF+rz9tQrs&#10;1+KweT3+9LLVcl7o9f79tLdKPYz69RJEoD7cxTf3h1Hw/BTnxzPxCM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cr7cMAAADcAAAADwAAAAAAAAAAAAAAAACYAgAAZHJzL2Rv&#10;d25yZXYueG1sUEsFBgAAAAAEAAQA9QAAAIgDAAAAAA==&#10;" path="m15,l,,23,37r,24l36,61r,-23l44,24r-14,l15,xe" stroked="f">
                    <v:path arrowok="t" o:connecttype="custom" o:connectlocs="15,966;0,966;23,1003;23,1027;36,1027;36,1004;44,990;30,990;15,966" o:connectangles="0,0,0,0,0,0,0,0,0"/>
                  </v:shape>
                  <v:shape id="Freeform 720" o:spid="_x0000_s1038" style="position:absolute;left:2410;top:966;width:59;height:62;visibility:visible;mso-wrap-style:square;v-text-anchor:top" coordsize="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OdsYA&#10;AADcAAAADwAAAGRycy9kb3ducmV2LnhtbESPQWvCQBSE7wX/w/IEb3WTCtambkRail48aMW2t+fu&#10;MwnNvk2zq8Z/7woFj8PMfMNMZ52txYlaXzlWkA4TEMTamYoLBdvPj8cJCB+QDdaOScGFPMzy3sMU&#10;M+POvKbTJhQiQthnqKAMocmk9Loki37oGuLoHVxrMUTZFtK0eI5wW8unJBlLixXHhRIbeitJ/26O&#10;VoHdv3yt3r//OtloOdnq+W7xs7NKDfrd/BVEoC7cw//tpVHwPErhdiYe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uOdsYAAADcAAAADwAAAAAAAAAAAAAAAACYAgAAZHJz&#10;L2Rvd25yZXYueG1sUEsFBgAAAAAEAAQA9QAAAIsDAAAAAA==&#10;" path="m59,l44,,30,24r14,l59,xe" stroked="f">
                    <v:path arrowok="t" o:connecttype="custom" o:connectlocs="59,966;44,966;30,990;44,990;59,966" o:connectangles="0,0,0,0,0"/>
                  </v:shape>
                </v:group>
                <v:group id="Group 717" o:spid="_x0000_s1039" style="position:absolute;left:1766;top:719;width:253;height:250" coordorigin="1766,719" coordsize="25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718" o:spid="_x0000_s1040" style="position:absolute;left:1766;top:719;width:253;height:250;visibility:visible;mso-wrap-style:square;v-text-anchor:top" coordsize="25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NG8YA&#10;AADcAAAADwAAAGRycy9kb3ducmV2LnhtbESPQWsCMRSE74X+h/AK3mpWF7VsjVJE0RZFtB7s7bF5&#10;bpZuXpYk1e2/bwqFHoeZ+YaZzjvbiCv5UDtWMOhnIIhLp2uuFJzeV49PIEJE1tg4JgXfFGA+u7+b&#10;YqHdjQ90PcZKJAiHAhWYGNtCylAashj6riVO3sV5izFJX0nt8ZbgtpHDLBtLizWnBYMtLQyVn8cv&#10;q+Bjx9v96OyXow2a/HUt37IDjpXqPXQvzyAidfE//NfeaAWTPIffM+kI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ING8YAAADcAAAADwAAAAAAAAAAAAAAAACYAgAAZHJz&#10;L2Rvd25yZXYueG1sUEsFBgAAAAAEAAQA9QAAAIsDAAAAAA==&#10;" path="m104,l45,28,8,81,,125r1,17l24,198r50,38l148,250r21,-6l222,207r28,-59l252,125r-1,-17l228,52,178,14,104,xe" stroked="f">
                    <v:path arrowok="t" o:connecttype="custom" o:connectlocs="104,719;45,747;8,800;0,844;1,861;24,917;74,955;148,969;169,963;222,926;250,867;252,844;251,827;228,771;178,733;104,719" o:connectangles="0,0,0,0,0,0,0,0,0,0,0,0,0,0,0,0"/>
                  </v:shape>
                </v:group>
                <v:group id="Group 708" o:spid="_x0000_s1041" style="position:absolute;left:1748;top:700;width:289;height:289" coordorigin="1748,700" coordsize="289,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716" o:spid="_x0000_s1042" style="position:absolute;left:1748;top:700;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KYMUA&#10;AADcAAAADwAAAGRycy9kb3ducmV2LnhtbESPQWvCQBSE74L/YXlCb7qpxVZjNlIsSqilUPXi7ZF9&#10;TVKzb0N2a+K/7xYEj8PMfMMkq97U4kKtqywreJxEIIhzqysuFBwPm/EchPPIGmvLpOBKDlbpcJBg&#10;rG3HX3TZ+0IECLsYFZTeN7GULi/JoJvYhjh437Y16INsC6lb7ALc1HIaRc/SYMVhocSG1iXl5/2v&#10;UXDOdt3Vv/8sNt3bNsfskz7kiZR6GPWvSxCeen8P39qZVvDyNIP/M+EI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opgxQAAANwAAAAPAAAAAAAAAAAAAAAAAJgCAABkcnMv&#10;ZG93bnJldi54bWxQSwUGAAAAAAQABAD1AAAAigMAAAAA&#10;" path="m128,l55,30,9,93,,158r3,19l30,232r62,47l158,288r20,-3l197,279r18,-8l228,262r-97,l112,258,59,226,27,156,26,132r3,-20l61,60,134,27r25,-1l229,26,213,16,195,9,176,3,154,,128,xe" fillcolor="#010202" stroked="f">
                    <v:path arrowok="t" o:connecttype="custom" o:connectlocs="128,700;55,730;9,793;0,858;3,877;30,932;92,979;158,988;178,985;197,979;215,971;228,962;131,962;112,958;59,926;27,856;26,832;29,812;61,760;134,727;159,726;229,726;229,726;213,716;195,709;176,703;154,700;128,700" o:connectangles="0,0,0,0,0,0,0,0,0,0,0,0,0,0,0,0,0,0,0,0,0,0,0,0,0,0,0,0"/>
                  </v:shape>
                  <v:shape id="Freeform 715" o:spid="_x0000_s1043" style="position:absolute;left:1748;top:700;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AUF8YA&#10;AADcAAAADwAAAGRycy9kb3ducmV2LnhtbESPT2vCQBTE74LfYXmCt2ZjC7amboK0KMFKwT+X3h7Z&#10;1yQ1+zZkVxO/fbdQ8DjMzG+YZTaYRlypc7VlBbMoBkFcWF1zqeB0XD+8gHAeWWNjmRTcyEGWjkdL&#10;TLTteU/Xgy9FgLBLUEHlfZtI6YqKDLrItsTB+7adQR9kV0rdYR/gppGPcTyXBmsOCxW29FZRcT5c&#10;jIJz/tHf/PZnse7fNwXmn7STX6TUdDKsXkF4Gvw9/N/OtYLnpzn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AUF8YAAADcAAAADwAAAAAAAAAAAAAAAACYAgAAZHJz&#10;L2Rvd25yZXYueG1sUEsFBgAAAAAEAAQA9QAAAIsDAAAAAA==&#10;" path="m229,26r-70,l178,30r19,7l242,77r19,57l262,156r,2l226,230r-70,31l131,262r97,l271,215r16,-59l288,132r-3,-21l247,41r-4,-4l229,26xe" fillcolor="#010202" stroked="f">
                    <v:path arrowok="t" o:connecttype="custom" o:connectlocs="229,726;159,726;178,730;197,737;242,777;261,834;262,856;262,858;226,930;156,961;131,962;228,962;271,915;287,856;288,832;285,811;247,741;243,737;229,726" o:connectangles="0,0,0,0,0,0,0,0,0,0,0,0,0,0,0,0,0,0,0"/>
                  </v:shape>
                  <v:shape id="Freeform 714" o:spid="_x0000_s1044" style="position:absolute;left:1748;top:700;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xjMUA&#10;AADcAAAADwAAAGRycy9kb3ducmV2LnhtbESPT2vCQBTE74LfYXmCN93YgtbUTZAWJbRS8M+lt0f2&#10;NUnNvg3Z1cRv3y0IHoeZ+Q2zSntTiyu1rrKsYDaNQBDnVldcKDgdN5MXEM4ja6wtk4IbOUiT4WCF&#10;sbYd7+l68IUIEHYxKii9b2IpXV6SQTe1DXHwfmxr0AfZFlK32AW4qeVTFM2lwYrDQokNvZWUnw8X&#10;o+CcfXY3//G73HTv2xyzL9rJb1JqPOrXryA89f4RvrczrWDxvID/M+EIy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LGMxQAAANwAAAAPAAAAAAAAAAAAAAAAAJgCAABkcnMv&#10;ZG93bnJldi54bWxQSwUGAAAAAAQABAD1AAAAigMAAAAA&#10;" path="m104,99r-12,l82,103,66,119r-4,11l62,158r4,11l81,185r11,4l109,189r20,-7l140,170r-46,l88,161r,-34l94,118r44,l140,117,125,103,104,99xe" fillcolor="#010202" stroked="f">
                    <v:path arrowok="t" o:connecttype="custom" o:connectlocs="104,799;92,799;82,803;66,819;62,830;62,858;66,869;81,885;92,889;109,889;129,882;140,870;94,870;88,861;88,827;94,818;138,818;140,817;125,803;104,799" o:connectangles="0,0,0,0,0,0,0,0,0,0,0,0,0,0,0,0,0,0,0,0"/>
                  </v:shape>
                  <v:shape id="Freeform 713" o:spid="_x0000_s1045" style="position:absolute;left:1748;top:700;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l/sEA&#10;AADcAAAADwAAAGRycy9kb3ducmV2LnhtbERPy4rCMBTdD/gP4QruxlSFGa1GEcWhOCL42Li7NNe2&#10;2tyUJtr692YxMMvDec8WrSnFk2pXWFYw6EcgiFOrC84UnE+bzzEI55E1lpZJwYscLOadjxnG2jZ8&#10;oOfRZyKEsItRQe59FUvp0pwMur6tiAN3tbVBH2CdSV1jE8JNKYdR9CUNFhwacqxolVN6Pz6Mgnvy&#10;27z89jbZNOufFJM97eSFlOp12+UUhKfW/4v/3IlW8D0Ka8OZcAT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DJf7BAAAA3AAAAA8AAAAAAAAAAAAAAAAAmAIAAGRycy9kb3du&#10;cmV2LnhtbFBLBQYAAAAABAAEAPUAAACGAwAAAAA=&#10;" path="m188,99r-13,l165,103r-16,16l146,130r,28l149,169r16,16l175,189r18,l212,182r12,-12l178,170r-7,-9l171,127r7,-9l222,118r2,-1l209,103,188,99xe" fillcolor="#010202" stroked="f">
                    <v:path arrowok="t" o:connecttype="custom" o:connectlocs="188,799;175,799;165,803;149,819;146,830;146,858;149,869;165,885;175,889;193,889;212,882;224,870;178,870;171,861;171,827;178,818;222,818;224,817;209,803;188,799" o:connectangles="0,0,0,0,0,0,0,0,0,0,0,0,0,0,0,0,0,0,0,0"/>
                  </v:shape>
                  <v:shape id="Freeform 712" o:spid="_x0000_s1046" style="position:absolute;left:1748;top:700;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AZcUA&#10;AADcAAAADwAAAGRycy9kb3ducmV2LnhtbESPQWvCQBSE74L/YXlCb7ppC9qk2YhYlGClUNtLb4/s&#10;a5KafRuyq4n/visIHoeZ+YZJl4NpxJk6V1tW8DiLQBAXVtdcKvj+2kxfQDiPrLGxTAou5GCZjUcp&#10;Jtr2/Enngy9FgLBLUEHlfZtI6YqKDLqZbYmD92s7gz7IrpS6wz7ATSOfomguDdYcFipsaV1RcTyc&#10;jIJj/t5f/O4v3vRv2wLzD9rLH1LqYTKsXkF4Gvw9fGvnWsHiOYbrmXA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4BlxQAAANwAAAAPAAAAAAAAAAAAAAAAAJgCAABkcnMv&#10;ZG93bnJldi54bWxQSwUGAAAAAAQABAD1AAAAigMAAAAA&#10;" path="m125,157r-4,8l115,170r25,l143,166r-18,-9xe" fillcolor="#010202" stroked="f">
                    <v:path arrowok="t" o:connecttype="custom" o:connectlocs="125,857;121,865;115,870;140,870;143,866;125,857" o:connectangles="0,0,0,0,0,0"/>
                  </v:shape>
                  <v:shape id="Freeform 711" o:spid="_x0000_s1047" style="position:absolute;left:1748;top:700;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ahcEA&#10;AADcAAAADwAAAGRycy9kb3ducmV2LnhtbERPy4rCMBTdD/gP4QruxlSRGa1GEcWhOCL42Li7NNe2&#10;2tyUJtr692YxMMvDec8WrSnFk2pXWFYw6EcgiFOrC84UnE+bzzEI55E1lpZJwYscLOadjxnG2jZ8&#10;oOfRZyKEsItRQe59FUvp0pwMur6tiAN3tbVBH2CdSV1jE8JNKYdR9CUNFhwacqxolVN6Pz6Mgnvy&#10;27z89jbZNOufFJM97eSFlOp12+UUhKfW/4v/3IlW8D0K88OZcAT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zWoXBAAAA3AAAAA8AAAAAAAAAAAAAAAAAmAIAAGRycy9kb3du&#10;cmV2LnhtbFBLBQYAAAAABAAEAPUAAACGAwAAAAA=&#10;" path="m208,157r-3,8l199,170r25,l226,166r-18,-9xe" fillcolor="#010202" stroked="f">
                    <v:path arrowok="t" o:connecttype="custom" o:connectlocs="208,857;205,865;199,870;224,870;226,866;208,857" o:connectangles="0,0,0,0,0,0"/>
                  </v:shape>
                  <v:shape id="Freeform 710" o:spid="_x0000_s1048" style="position:absolute;left:1748;top:700;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sUA&#10;AADcAAAADwAAAGRycy9kb3ducmV2LnhtbESPQWvCQBSE7wX/w/IEb7qxSGujmyAWJbQi1Pbi7ZF9&#10;JtHs25BdTfz33YLQ4zAz3zDLtDe1uFHrKssKppMIBHFudcWFgp/vzXgOwnlkjbVlUnAnB2kyeFpi&#10;rG3HX3Q7+EIECLsYFZTeN7GULi/JoJvYhjh4J9sa9EG2hdQtdgFuavkcRS/SYMVhocSG1iXll8PV&#10;KLhkn93df5zfNt37NsdsTzt5JKVGw361AOGp9//hRzvTCl5nU/g7E46A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exQAAANwAAAAPAAAAAAAAAAAAAAAAAJgCAABkcnMv&#10;ZG93bnJldi54bWxQSwUGAAAAAAQABAD1AAAAigMAAAAA&#10;" path="m138,118r-24,l120,122r3,8l138,118xe" fillcolor="#010202" stroked="f">
                    <v:path arrowok="t" o:connecttype="custom" o:connectlocs="138,818;114,818;120,822;123,830;138,818" o:connectangles="0,0,0,0,0"/>
                  </v:shape>
                  <v:shape id="Freeform 709" o:spid="_x0000_s1049" style="position:absolute;left:1748;top:700;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acUA&#10;AADcAAAADwAAAGRycy9kb3ducmV2LnhtbESPQWvCQBSE7wX/w/IEb81GEWujq4hiCSpCbS/eHtln&#10;Es2+Ddmtif/eLRR6HGbmG2a+7Ewl7tS40rKCYRSDIM6sLjlX8P21fZ2CcB5ZY2WZFDzIwXLRe5lj&#10;om3Ln3Q/+VwECLsEFRTe14mULivIoItsTRy8i20M+iCbXOoG2wA3lRzF8UQaLDksFFjTuqDsdvox&#10;Cm7pvn343fV9224+MkyPdJBnUmrQ71YzEJ46/x/+a6dawdt4BL9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WFpxQAAANwAAAAPAAAAAAAAAAAAAAAAAJgCAABkcnMv&#10;ZG93bnJldi54bWxQSwUGAAAAAAQABAD1AAAAigMAAAAA&#10;" path="m222,118r-24,l203,122r4,8l222,118xe" fillcolor="#010202" stroked="f">
                    <v:path arrowok="t" o:connecttype="custom" o:connectlocs="222,818;198,818;203,822;207,830;222,818" o:connectangles="0,0,0,0,0"/>
                  </v:shape>
                </v:group>
                <v:group id="Group 706" o:spid="_x0000_s1050" style="position:absolute;left:2308;top:704;width:200;height:200" coordorigin="2308,70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707" o:spid="_x0000_s1051" style="position:absolute;left:2308;top:70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uMMMA&#10;AADcAAAADwAAAGRycy9kb3ducmV2LnhtbESPQWsCMRSE74L/ITzBm2ZdRGU1irYqPVmqQq/Pzevu&#10;0uRl2URd/70pCD0OM/MNs1i11ogbNb5yrGA0TEAQ505XXCg4n3aDGQgfkDUax6TgQR5Wy25ngZl2&#10;d/6i2zEUIkLYZ6igDKHOpPR5SRb90NXE0ftxjcUQZVNI3eA9wq2RaZJMpMWK40KJNb2VlP8er1aB&#10;MZxeTuvZ9/68Sclsp5+HdyOV6vfa9RxEoDb8h1/tD61gOh7D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UuMMMAAADcAAAADwAAAAAAAAAAAAAAAACYAgAAZHJzL2Rv&#10;d25yZXYueG1sUEsFBgAAAAAEAAQA9QAAAIgDAAAAAA==&#10;" path="m100,l36,23,3,78,,102r3,22l39,177r63,22l124,196r54,-35l199,98,197,76,162,21,100,xe" stroked="f">
                    <v:path arrowok="t" o:connecttype="custom" o:connectlocs="100,704;36,727;3,782;0,806;3,828;39,881;102,903;124,900;178,865;199,802;197,780;162,725;100,704" o:connectangles="0,0,0,0,0,0,0,0,0,0,0,0,0"/>
                  </v:shape>
                </v:group>
                <v:group id="Group 703" o:spid="_x0000_s1052" style="position:absolute;left:2379;top:767;width:46;height:103" coordorigin="2379,767" coordsize="46,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705" o:spid="_x0000_s1053" style="position:absolute;left:2379;top:767;width:46;height:103;visibility:visible;mso-wrap-style:square;v-text-anchor:top" coordsize="4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77MYA&#10;AADcAAAADwAAAGRycy9kb3ducmV2LnhtbESPQWvCQBSE70L/w/IEb7pRJJboGhpLtVRq0Ra9PrKv&#10;SWj2bciumv57tyD0OMzMN8wi7UwtLtS6yrKC8SgCQZxbXXGh4OvzZfgIwnlkjbVlUvBLDtLlQ2+B&#10;ibZX3tPl4AsRIOwSVFB63yRSurwkg25kG+LgfdvWoA+yLaRu8RrgppaTKIqlwYrDQokNrUrKfw5n&#10;oyDKtsX7mzniLtO7OF5/nOrnaqPUoN89zUF46vx/+N5+1Qpm0xj+zo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M77MYAAADcAAAADwAAAAAAAAAAAAAAAACYAgAAZHJz&#10;L2Rvd25yZXYueG1sUEsFBgAAAAAEAAQA9QAAAIsDAAAAAA==&#10;" path="m45,51r-33,l12,103r33,l45,51xe" fillcolor="#010202" stroked="f">
                    <v:path arrowok="t" o:connecttype="custom" o:connectlocs="45,818;12,818;12,870;45,870;45,818" o:connectangles="0,0,0,0,0"/>
                  </v:shape>
                  <v:shape id="Freeform 704" o:spid="_x0000_s1054" style="position:absolute;left:2379;top:767;width:46;height:103;visibility:visible;mso-wrap-style:square;v-text-anchor:top" coordsize="4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8YA&#10;AADcAAAADwAAAGRycy9kb3ducmV2LnhtbESP3WrCQBSE7wu+w3KE3tWNpUSJrqKWVrFU8Qe9PWSP&#10;STB7NmS3Gt++KwheDjPzDTMcN6YUF6pdYVlBtxOBIE6tLjhTsN99vfVBOI+ssbRMCm7kYDxqvQwx&#10;0fbKG7psfSYChF2CCnLvq0RKl+Zk0HVsRRy8k60N+iDrTOoarwFuSvkeRbE0WHBYyLGiWU7peftn&#10;FETTn+x3aQ64mupVHH+vj+VnMVfqtd1MBiA8Nf4ZfrQXWkHvowf3M+EIy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d8YAAADcAAAADwAAAAAAAAAAAAAAAACYAgAAZHJz&#10;L2Rvd25yZXYueG1sUEsFBgAAAAAEAAQA9QAAAIsDAAAAAA==&#10;" path="m55,l3,,,4,,51r58,l58,4,55,xe" fillcolor="#010202" stroked="f">
                    <v:path arrowok="t" o:connecttype="custom" o:connectlocs="55,767;3,767;0,771;0,818;58,818;58,771;55,767" o:connectangles="0,0,0,0,0,0,0"/>
                  </v:shape>
                </v:group>
                <v:group id="Group 701" o:spid="_x0000_s1055" style="position:absolute;left:2393;top:732;width:31;height:31" coordorigin="2393,732" coordsize="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702" o:spid="_x0000_s1056" style="position:absolute;left:2393;top:732;width:31;height:3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JK8YA&#10;AADcAAAADwAAAGRycy9kb3ducmV2LnhtbESPT2vCQBTE74LfYXmF3symKtqm2YgoLeJFq+2ht9fs&#10;yx/Mvg3ZrabfvisIHoeZ+Q2TLnrTiDN1rras4CmKQRDnVtdcKvg8vo2eQTiPrLGxTAr+yMEiGw5S&#10;TLS98AedD74UAcIuQQWV920ipcsrMugi2xIHr7CdQR9kV0rd4SXATSPHcTyTBmsOCxW2tKooPx1+&#10;jYJt/lN+L/3X3ElX7N/Hu2MxmayVenzol68gPPX+Hr61N1rBfPoC1zPhCM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GJK8YAAADcAAAADwAAAAAAAAAAAAAAAACYAgAAZHJz&#10;L2Rvd25yZXYueG1sUEsFBgAAAAAEAAQA9QAAAIsDAAAAAA==&#10;" path="m23,l6,,,6,,23r6,7l23,30r7,-7l30,6,23,xe" fillcolor="#010202" stroked="f">
                    <v:path arrowok="t" o:connecttype="custom" o:connectlocs="23,732;6,732;0,738;0,755;6,762;23,762;30,755;30,738;23,732" o:connectangles="0,0,0,0,0,0,0,0,0"/>
                  </v:shape>
                </v:group>
                <v:group id="Group 698" o:spid="_x0000_s1057" style="position:absolute;left:2300;top:694;width:215;height:215" coordorigin="2300,694" coordsize="215,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700" o:spid="_x0000_s1058" style="position:absolute;left:2300;top:694;width:215;height:215;visibility:visible;mso-wrap-style:square;v-text-anchor:top" coordsize="2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MI8UA&#10;AADcAAAADwAAAGRycy9kb3ducmV2LnhtbESPS2vDMBCE74H+B7GF3BLZhTxwooQSKAnkkkdpr1tr&#10;YxtbKyOpsfrvq0Chx2FmvmHW22g6cSfnG8sK8mkGgri0uuFKwfv1bbIE4QOyxs4yKfghD9vN02iN&#10;hbYDn+l+CZVIEPYFKqhD6AspfVmTQT+1PXHybtYZDEm6SmqHQ4KbTr5k2VwabDgt1NjTrqayvXwb&#10;BV9utrse9zE3n4f94rSM7fBRtkqNn+PrCkSgGP7Df+2DVrCY5fA4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owjxQAAANwAAAAPAAAAAAAAAAAAAAAAAJgCAABkcnMv&#10;ZG93bnJldi54bWxQSwUGAAAAAAQABAD1AAAAigMAAAAA&#10;" path="m108,l50,16,9,64,,102r2,23l45,193r55,21l123,213r20,-5l161,201r9,-6l116,195,93,193,39,159,20,107,22,87,58,35,108,19r60,l156,11,139,4,120,,108,xe" fillcolor="#010202" stroked="f">
                    <v:path arrowok="t" o:connecttype="custom" o:connectlocs="108,694;50,710;9,758;0,796;2,819;45,887;100,908;123,907;143,902;161,895;170,889;116,889;93,887;39,853;20,801;22,781;58,729;108,713;168,713;156,705;139,698;120,694;108,694" o:connectangles="0,0,0,0,0,0,0,0,0,0,0,0,0,0,0,0,0,0,0,0,0,0,0"/>
                  </v:shape>
                  <v:shape id="Freeform 699" o:spid="_x0000_s1059" style="position:absolute;left:2300;top:694;width:215;height:215;visibility:visible;mso-wrap-style:square;v-text-anchor:top" coordsize="2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SVMUA&#10;AADcAAAADwAAAGRycy9kb3ducmV2LnhtbESPS2vDMBCE74X+B7GF3Bo5gTxwooQQKAnkkhftdWNt&#10;bGNrZSQ1Vv99FSj0OMzMN8xyHU0rHuR8bVnBaJiBIC6srrlUcL18vM9B+ICssbVMCn7Iw3r1+rLE&#10;XNueT/Q4h1IkCPscFVQhdLmUvqjIoB/ajjh5d+sMhiRdKbXDPsFNK8dZNpUGa04LFXa0rahozt9G&#10;wc1NtpfDLo7M1343O85j038WjVKDt7hZgAgUw3/4r73XCmaTMTzP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JUxQAAANwAAAAPAAAAAAAAAAAAAAAAAJgCAABkcnMv&#10;ZG93bnJldi54bWxQSwUGAAAAAAQABAD1AAAAigMAAAAA&#10;" path="m168,19r-60,l129,21r19,7l164,39r16,18l190,75r5,18l194,119r-40,63l116,195r54,l211,137r4,-19l214,94,209,73,202,55,192,40,174,23r-6,-4xe" fillcolor="#010202" stroked="f">
                    <v:path arrowok="t" o:connecttype="custom" o:connectlocs="168,713;108,713;129,715;148,722;164,733;180,751;190,769;195,787;194,813;154,876;116,889;170,889;211,831;215,812;214,788;209,767;202,749;192,734;174,717;168,713" o:connectangles="0,0,0,0,0,0,0,0,0,0,0,0,0,0,0,0,0,0,0,0"/>
                  </v:shape>
                </v:group>
                <w10:wrap anchorx="page"/>
              </v:group>
            </w:pict>
          </mc:Fallback>
        </mc:AlternateContent>
      </w:r>
    </w:p>
    <w:p w14:paraId="7AE7C258" w14:textId="16235E2A" w:rsidR="00507BE9" w:rsidRDefault="00507BE9" w:rsidP="00507BE9">
      <w:pPr>
        <w:widowControl w:val="0"/>
        <w:spacing w:before="77" w:after="0" w:line="250" w:lineRule="auto"/>
        <w:ind w:left="100" w:right="117"/>
        <w:rPr>
          <w:rFonts w:eastAsia="Calibri" w:cs="Arial"/>
          <w:color w:val="231F20"/>
          <w:sz w:val="18"/>
          <w:szCs w:val="22"/>
          <w:lang w:eastAsia="en-US"/>
        </w:rPr>
      </w:pPr>
    </w:p>
    <w:p w14:paraId="0BEB1693"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 xml:space="preserve">All material presented in this publication is licensed under the </w:t>
      </w:r>
      <w:r w:rsidRPr="00507BE9">
        <w:rPr>
          <w:rFonts w:eastAsia="Calibri" w:cs="Arial"/>
          <w:color w:val="231F20"/>
          <w:sz w:val="18"/>
          <w:szCs w:val="22"/>
          <w:u w:val="single"/>
          <w:lang w:eastAsia="en-US"/>
        </w:rPr>
        <w:t>Creative Commons Attribution 4.0 International Licence</w:t>
      </w:r>
      <w:r w:rsidRPr="00507BE9">
        <w:rPr>
          <w:rFonts w:eastAsia="Calibri" w:cs="Arial"/>
          <w:color w:val="231F20"/>
          <w:sz w:val="18"/>
          <w:szCs w:val="22"/>
          <w:lang w:eastAsia="en-US"/>
        </w:rPr>
        <w:t>, with the exception of:</w:t>
      </w:r>
    </w:p>
    <w:p w14:paraId="54CDBC19" w14:textId="77777777" w:rsidR="00507BE9" w:rsidRPr="00507BE9" w:rsidRDefault="00507BE9" w:rsidP="00507BE9">
      <w:pPr>
        <w:widowControl w:val="0"/>
        <w:spacing w:before="77" w:after="0" w:line="250" w:lineRule="auto"/>
        <w:ind w:left="100" w:right="117"/>
        <w:rPr>
          <w:rFonts w:eastAsia="Calibri" w:cs="Arial"/>
          <w:color w:val="231F20"/>
          <w:sz w:val="18"/>
          <w:szCs w:val="22"/>
          <w:lang w:eastAsia="en-US"/>
        </w:rPr>
      </w:pPr>
      <w:r w:rsidRPr="00507BE9">
        <w:rPr>
          <w:rFonts w:eastAsia="Calibri" w:cs="Arial"/>
          <w:color w:val="231F20"/>
          <w:sz w:val="18"/>
          <w:szCs w:val="22"/>
          <w:lang w:eastAsia="en-US"/>
        </w:rPr>
        <w:t>• photographs and images;</w:t>
      </w:r>
    </w:p>
    <w:p w14:paraId="73B5FBD9" w14:textId="77777777" w:rsidR="00507BE9" w:rsidRPr="00507BE9" w:rsidRDefault="00507BE9" w:rsidP="00507BE9">
      <w:pPr>
        <w:widowControl w:val="0"/>
        <w:spacing w:before="77" w:after="0" w:line="250" w:lineRule="auto"/>
        <w:ind w:left="100" w:right="117"/>
        <w:rPr>
          <w:rFonts w:eastAsia="Calibri" w:cs="Arial"/>
          <w:color w:val="231F20"/>
          <w:sz w:val="18"/>
          <w:szCs w:val="22"/>
          <w:lang w:eastAsia="en-US"/>
        </w:rPr>
      </w:pPr>
      <w:r w:rsidRPr="00507BE9">
        <w:rPr>
          <w:rFonts w:eastAsia="Calibri" w:cs="Arial"/>
          <w:color w:val="231F20"/>
          <w:sz w:val="18"/>
          <w:szCs w:val="22"/>
          <w:lang w:eastAsia="en-US"/>
        </w:rPr>
        <w:t>• the Commission’s logo, any branding or trademarks;</w:t>
      </w:r>
    </w:p>
    <w:p w14:paraId="278B9BD6" w14:textId="77777777" w:rsidR="00507BE9" w:rsidRPr="00507BE9" w:rsidRDefault="00507BE9" w:rsidP="00507BE9">
      <w:pPr>
        <w:widowControl w:val="0"/>
        <w:spacing w:before="77" w:after="0" w:line="250" w:lineRule="auto"/>
        <w:ind w:left="100" w:right="117"/>
        <w:rPr>
          <w:rFonts w:eastAsia="Calibri" w:cs="Arial"/>
          <w:color w:val="231F20"/>
          <w:sz w:val="18"/>
          <w:szCs w:val="22"/>
          <w:lang w:eastAsia="en-US"/>
        </w:rPr>
      </w:pPr>
      <w:r w:rsidRPr="00507BE9">
        <w:rPr>
          <w:rFonts w:eastAsia="Calibri" w:cs="Arial"/>
          <w:color w:val="231F20"/>
          <w:sz w:val="18"/>
          <w:szCs w:val="22"/>
          <w:lang w:eastAsia="en-US"/>
        </w:rPr>
        <w:t>• where otherwise indicated.</w:t>
      </w:r>
    </w:p>
    <w:p w14:paraId="31E618B7"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 xml:space="preserve">To view a copy of this licence, visit </w:t>
      </w:r>
      <w:r w:rsidRPr="00507BE9">
        <w:rPr>
          <w:rFonts w:eastAsia="Calibri" w:cs="Arial"/>
          <w:color w:val="231F20"/>
          <w:sz w:val="18"/>
          <w:szCs w:val="22"/>
          <w:u w:val="single"/>
          <w:lang w:eastAsia="en-US"/>
        </w:rPr>
        <w:t>http://creativecommons.org/licenses/by/4.0/legalcode</w:t>
      </w:r>
      <w:r w:rsidRPr="00507BE9">
        <w:rPr>
          <w:rFonts w:eastAsia="Calibri" w:cs="Arial"/>
          <w:color w:val="231F20"/>
          <w:sz w:val="18"/>
          <w:szCs w:val="22"/>
          <w:lang w:eastAsia="en-US"/>
        </w:rPr>
        <w:t>.</w:t>
      </w:r>
    </w:p>
    <w:p w14:paraId="634EF241"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In essence, you are free to copy, communicate and adapt the publication, as long as you attribute the Australian Human Rights Commission and abide by the other licence terms.</w:t>
      </w:r>
    </w:p>
    <w:p w14:paraId="5E52F442" w14:textId="77777777" w:rsidR="00507BE9" w:rsidRDefault="00507BE9" w:rsidP="00507BE9">
      <w:pPr>
        <w:widowControl w:val="0"/>
        <w:spacing w:before="77" w:after="0" w:line="250" w:lineRule="auto"/>
        <w:ind w:right="117"/>
        <w:rPr>
          <w:rFonts w:eastAsia="Calibri" w:cs="Arial"/>
          <w:b/>
          <w:bCs/>
          <w:color w:val="231F20"/>
          <w:sz w:val="18"/>
          <w:szCs w:val="22"/>
          <w:lang w:eastAsia="en-US"/>
        </w:rPr>
      </w:pPr>
    </w:p>
    <w:p w14:paraId="560DAE5B" w14:textId="77777777" w:rsidR="00507BE9" w:rsidRDefault="00507BE9" w:rsidP="00507BE9">
      <w:pPr>
        <w:widowControl w:val="0"/>
        <w:spacing w:before="77" w:after="0" w:line="250" w:lineRule="auto"/>
        <w:ind w:right="117"/>
        <w:rPr>
          <w:rFonts w:eastAsia="Calibri" w:cs="Arial"/>
          <w:b/>
          <w:bCs/>
          <w:color w:val="231F20"/>
          <w:sz w:val="18"/>
          <w:szCs w:val="22"/>
          <w:lang w:eastAsia="en-US"/>
        </w:rPr>
      </w:pPr>
      <w:r w:rsidRPr="00507BE9">
        <w:rPr>
          <w:rFonts w:eastAsia="Calibri" w:cs="Arial"/>
          <w:b/>
          <w:bCs/>
          <w:color w:val="231F20"/>
          <w:sz w:val="18"/>
          <w:szCs w:val="22"/>
          <w:lang w:eastAsia="en-US"/>
        </w:rPr>
        <w:t xml:space="preserve">Please give attribution to: </w:t>
      </w:r>
    </w:p>
    <w:p w14:paraId="66B09648" w14:textId="65E6B24C"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 Australian Human Rights Commission 2015.</w:t>
      </w:r>
    </w:p>
    <w:p w14:paraId="2F718256" w14:textId="77777777" w:rsidR="00507BE9" w:rsidRDefault="00507BE9" w:rsidP="00507BE9">
      <w:pPr>
        <w:widowControl w:val="0"/>
        <w:spacing w:before="77" w:after="0" w:line="250" w:lineRule="auto"/>
        <w:ind w:right="117"/>
        <w:rPr>
          <w:rFonts w:eastAsia="Calibri" w:cs="Arial"/>
          <w:b/>
          <w:bCs/>
          <w:color w:val="231F20"/>
          <w:sz w:val="18"/>
          <w:szCs w:val="22"/>
          <w:lang w:eastAsia="en-US"/>
        </w:rPr>
      </w:pPr>
    </w:p>
    <w:p w14:paraId="1F822CDD"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b/>
          <w:bCs/>
          <w:color w:val="231F20"/>
          <w:sz w:val="18"/>
          <w:szCs w:val="22"/>
          <w:lang w:eastAsia="en-US"/>
        </w:rPr>
        <w:t>Children’s Rights Report 2015</w:t>
      </w:r>
    </w:p>
    <w:p w14:paraId="5FFFD28E"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ISSN 2203-0948 (Print)</w:t>
      </w:r>
    </w:p>
    <w:p w14:paraId="743D7B3B"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ISSN 2204-1176 (Online)</w:t>
      </w:r>
    </w:p>
    <w:p w14:paraId="30A1E879" w14:textId="77777777" w:rsidR="00507BE9" w:rsidRDefault="00507BE9" w:rsidP="00507BE9">
      <w:pPr>
        <w:widowControl w:val="0"/>
        <w:spacing w:before="77" w:after="0" w:line="250" w:lineRule="auto"/>
        <w:ind w:right="117"/>
        <w:rPr>
          <w:rFonts w:eastAsia="Calibri" w:cs="Arial"/>
          <w:b/>
          <w:bCs/>
          <w:color w:val="231F20"/>
          <w:sz w:val="18"/>
          <w:szCs w:val="22"/>
          <w:lang w:eastAsia="en-US"/>
        </w:rPr>
      </w:pPr>
    </w:p>
    <w:p w14:paraId="75AD8AFB"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b/>
          <w:bCs/>
          <w:color w:val="231F20"/>
          <w:sz w:val="18"/>
          <w:szCs w:val="22"/>
          <w:lang w:eastAsia="en-US"/>
        </w:rPr>
        <w:t>Acknowledgments</w:t>
      </w:r>
    </w:p>
    <w:p w14:paraId="1DB9A577"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 xml:space="preserve">The Children’s Rights Report 2015 was drafted by Susan Nicolson, Loki Ball, Priya SaratChandran and Siobhan Tierney. </w:t>
      </w:r>
    </w:p>
    <w:p w14:paraId="760D7775"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The National Children’s Commissioner thanks the following staff of the Australian Human Rights Commission: Padma Raman, Darren Dick, Maria Katsabanis, Emily Collett, Akhil Abraham, Alecia Wood, Romana Pomering, Graeme Edgerton, Leon Wild and Angela Dorizas.</w:t>
      </w:r>
    </w:p>
    <w:p w14:paraId="7DACAA4D" w14:textId="1D47FE5A"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The National Children’s Commissioner also thanks interns Guy Tiffany, Tracy Wilde, Mirna Zeini, As</w:t>
      </w:r>
      <w:r w:rsidR="0086430A">
        <w:rPr>
          <w:rFonts w:eastAsia="Calibri" w:cs="Arial"/>
          <w:color w:val="231F20"/>
          <w:sz w:val="18"/>
          <w:szCs w:val="22"/>
          <w:lang w:eastAsia="en-US"/>
        </w:rPr>
        <w:t xml:space="preserve">hwin Sivaratnam, Caitlin Miller, </w:t>
      </w:r>
      <w:r w:rsidRPr="00507BE9">
        <w:rPr>
          <w:rFonts w:eastAsia="Calibri" w:cs="Arial"/>
          <w:color w:val="231F20"/>
          <w:sz w:val="18"/>
          <w:szCs w:val="22"/>
          <w:lang w:eastAsia="en-US"/>
        </w:rPr>
        <w:t>La</w:t>
      </w:r>
      <w:r w:rsidR="0086430A">
        <w:rPr>
          <w:rFonts w:eastAsia="Calibri" w:cs="Arial"/>
          <w:color w:val="231F20"/>
          <w:sz w:val="18"/>
          <w:szCs w:val="22"/>
          <w:lang w:eastAsia="en-US"/>
        </w:rPr>
        <w:t>chlan Saville and Rebecca Rolls.</w:t>
      </w:r>
    </w:p>
    <w:p w14:paraId="640E5444"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 xml:space="preserve">This publication can be found in electronic format on the Australian Human Rights Commission’s website at </w:t>
      </w:r>
      <w:r w:rsidRPr="00507BE9">
        <w:rPr>
          <w:rFonts w:eastAsia="Calibri" w:cs="Arial"/>
          <w:color w:val="231F20"/>
          <w:sz w:val="18"/>
          <w:szCs w:val="22"/>
          <w:u w:val="single"/>
          <w:lang w:eastAsia="en-US"/>
        </w:rPr>
        <w:t>http://www.humanrights.gov.au/about/publications/</w:t>
      </w:r>
      <w:r w:rsidRPr="00507BE9">
        <w:rPr>
          <w:rFonts w:eastAsia="Calibri" w:cs="Arial"/>
          <w:color w:val="231F20"/>
          <w:sz w:val="18"/>
          <w:szCs w:val="22"/>
          <w:lang w:eastAsia="en-US"/>
        </w:rPr>
        <w:t>.</w:t>
      </w:r>
    </w:p>
    <w:p w14:paraId="718D5F78" w14:textId="77777777" w:rsidR="00507BE9" w:rsidRDefault="00507BE9" w:rsidP="00507BE9">
      <w:pPr>
        <w:widowControl w:val="0"/>
        <w:spacing w:before="77" w:after="0" w:line="250" w:lineRule="auto"/>
        <w:ind w:right="117"/>
        <w:rPr>
          <w:rFonts w:eastAsia="Calibri" w:cs="Arial"/>
          <w:color w:val="231F20"/>
          <w:sz w:val="18"/>
          <w:szCs w:val="22"/>
          <w:lang w:eastAsia="en-US"/>
        </w:rPr>
      </w:pPr>
    </w:p>
    <w:p w14:paraId="14C39E21"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For further information about the Australian Human Rights Commission or copyright in this publication, please contact:</w:t>
      </w:r>
    </w:p>
    <w:p w14:paraId="2F962145"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Monitoring and Reporting Team</w:t>
      </w:r>
    </w:p>
    <w:p w14:paraId="2D872045"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Australian Human Rights Commission</w:t>
      </w:r>
    </w:p>
    <w:p w14:paraId="33EDC67E"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GPO Box 5218</w:t>
      </w:r>
    </w:p>
    <w:p w14:paraId="43E497EE"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SYDNEY NSW 2001</w:t>
      </w:r>
    </w:p>
    <w:p w14:paraId="33A55C3B"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Telephone: (02) 9284 9600</w:t>
      </w:r>
    </w:p>
    <w:p w14:paraId="69D003F2"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color w:val="231F20"/>
          <w:sz w:val="18"/>
          <w:szCs w:val="22"/>
          <w:lang w:eastAsia="en-US"/>
        </w:rPr>
        <w:t xml:space="preserve">Email: </w:t>
      </w:r>
      <w:r w:rsidRPr="00507BE9">
        <w:rPr>
          <w:rFonts w:eastAsia="Calibri" w:cs="Arial"/>
          <w:color w:val="231F20"/>
          <w:sz w:val="18"/>
          <w:szCs w:val="22"/>
          <w:u w:val="single"/>
          <w:lang w:eastAsia="en-US"/>
        </w:rPr>
        <w:t>communications@humanrights.gov.au</w:t>
      </w:r>
      <w:r w:rsidRPr="00507BE9">
        <w:rPr>
          <w:rFonts w:eastAsia="Calibri" w:cs="Arial"/>
          <w:color w:val="231F20"/>
          <w:sz w:val="18"/>
          <w:szCs w:val="22"/>
          <w:lang w:eastAsia="en-US"/>
        </w:rPr>
        <w:t>.</w:t>
      </w:r>
    </w:p>
    <w:p w14:paraId="4E602B85" w14:textId="77777777" w:rsidR="00507BE9" w:rsidRDefault="00507BE9" w:rsidP="00507BE9">
      <w:pPr>
        <w:widowControl w:val="0"/>
        <w:spacing w:before="77" w:after="0" w:line="250" w:lineRule="auto"/>
        <w:ind w:right="117"/>
        <w:rPr>
          <w:rFonts w:eastAsia="Calibri" w:cs="Arial"/>
          <w:b/>
          <w:bCs/>
          <w:color w:val="231F20"/>
          <w:sz w:val="18"/>
          <w:szCs w:val="22"/>
          <w:lang w:eastAsia="en-US"/>
        </w:rPr>
      </w:pPr>
    </w:p>
    <w:p w14:paraId="6C3443D0"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b/>
          <w:bCs/>
          <w:color w:val="231F20"/>
          <w:sz w:val="18"/>
          <w:szCs w:val="22"/>
          <w:lang w:eastAsia="en-US"/>
        </w:rPr>
        <w:t xml:space="preserve">Design and layout </w:t>
      </w:r>
      <w:r w:rsidRPr="00507BE9">
        <w:rPr>
          <w:rFonts w:eastAsia="Calibri" w:cs="Arial"/>
          <w:color w:val="231F20"/>
          <w:sz w:val="18"/>
          <w:szCs w:val="22"/>
          <w:lang w:eastAsia="en-US"/>
        </w:rPr>
        <w:t>Dancingirl Designs</w:t>
      </w:r>
    </w:p>
    <w:p w14:paraId="2C1A67CB" w14:textId="77777777" w:rsidR="00507BE9" w:rsidRPr="00507BE9" w:rsidRDefault="00507BE9" w:rsidP="00507BE9">
      <w:pPr>
        <w:widowControl w:val="0"/>
        <w:spacing w:before="77" w:after="0" w:line="250" w:lineRule="auto"/>
        <w:ind w:right="117"/>
        <w:rPr>
          <w:rFonts w:eastAsia="Calibri" w:cs="Arial"/>
          <w:color w:val="231F20"/>
          <w:sz w:val="18"/>
          <w:szCs w:val="22"/>
          <w:lang w:eastAsia="en-US"/>
        </w:rPr>
      </w:pPr>
      <w:r w:rsidRPr="00507BE9">
        <w:rPr>
          <w:rFonts w:eastAsia="Calibri" w:cs="Arial"/>
          <w:b/>
          <w:bCs/>
          <w:color w:val="231F20"/>
          <w:sz w:val="18"/>
          <w:szCs w:val="22"/>
          <w:lang w:eastAsia="en-US"/>
        </w:rPr>
        <w:t xml:space="preserve">Printing </w:t>
      </w:r>
      <w:r w:rsidRPr="00507BE9">
        <w:rPr>
          <w:rFonts w:eastAsia="Calibri" w:cs="Arial"/>
          <w:color w:val="231F20"/>
          <w:sz w:val="18"/>
          <w:szCs w:val="22"/>
          <w:lang w:eastAsia="en-US"/>
        </w:rPr>
        <w:t>Paragon Printing Australasia</w:t>
      </w:r>
    </w:p>
    <w:p w14:paraId="591DA55E" w14:textId="0C0C9983" w:rsidR="00507BE9" w:rsidRDefault="00507BE9" w:rsidP="00507BE9">
      <w:pPr>
        <w:widowControl w:val="0"/>
        <w:spacing w:before="77" w:after="0" w:line="250" w:lineRule="auto"/>
        <w:ind w:right="117"/>
        <w:rPr>
          <w:rFonts w:eastAsia="Calibri" w:cs="Arial"/>
          <w:color w:val="231F20"/>
          <w:sz w:val="18"/>
          <w:szCs w:val="22"/>
          <w:lang w:val="en-US" w:eastAsia="en-US"/>
        </w:rPr>
      </w:pPr>
      <w:r w:rsidRPr="00507BE9">
        <w:rPr>
          <w:rFonts w:eastAsia="Calibri" w:cs="Arial"/>
          <w:b/>
          <w:bCs/>
          <w:color w:val="231F20"/>
          <w:sz w:val="18"/>
          <w:szCs w:val="22"/>
          <w:lang w:eastAsia="en-US"/>
        </w:rPr>
        <w:t xml:space="preserve">Cover Image </w:t>
      </w:r>
      <w:r w:rsidRPr="00507BE9">
        <w:rPr>
          <w:rFonts w:eastAsia="Calibri" w:cs="Arial"/>
          <w:color w:val="231F20"/>
          <w:sz w:val="18"/>
          <w:szCs w:val="22"/>
          <w:lang w:eastAsia="en-US"/>
        </w:rPr>
        <w:t>Photograph of students from Keilor Heights Primary School, presented as a gift to the National Children’s Commissioner</w:t>
      </w:r>
    </w:p>
    <w:p w14:paraId="615DFB49" w14:textId="77777777" w:rsidR="00507BE9" w:rsidRDefault="00507BE9" w:rsidP="00317FA0">
      <w:pPr>
        <w:widowControl w:val="0"/>
        <w:spacing w:before="77" w:after="0" w:line="250" w:lineRule="auto"/>
        <w:ind w:left="100" w:right="117"/>
        <w:rPr>
          <w:rFonts w:eastAsia="Calibri" w:cs="Arial"/>
          <w:color w:val="231F20"/>
          <w:sz w:val="18"/>
          <w:szCs w:val="22"/>
          <w:lang w:val="en-US" w:eastAsia="en-US"/>
        </w:rPr>
      </w:pPr>
    </w:p>
    <w:p w14:paraId="3C9ACE4F" w14:textId="7FA773AD" w:rsidR="00317FA0" w:rsidRPr="00317FA0" w:rsidRDefault="00317FA0" w:rsidP="00317FA0">
      <w:pPr>
        <w:widowControl w:val="0"/>
        <w:spacing w:before="0" w:after="0"/>
        <w:ind w:left="820"/>
        <w:rPr>
          <w:rFonts w:eastAsia="Arial" w:cs="Arial"/>
          <w:sz w:val="18"/>
          <w:szCs w:val="18"/>
          <w:lang w:val="en-US" w:eastAsia="en-US"/>
        </w:rPr>
      </w:pPr>
    </w:p>
    <w:p w14:paraId="37EA405E" w14:textId="01BE42C2" w:rsidR="00317FA0" w:rsidRPr="00317FA0" w:rsidRDefault="00317FA0" w:rsidP="00317FA0">
      <w:pPr>
        <w:spacing w:before="84"/>
        <w:ind w:left="1025"/>
        <w:rPr>
          <w:rFonts w:eastAsia="Times New Roman" w:cs="Arial"/>
          <w:sz w:val="20"/>
          <w:szCs w:val="20"/>
          <w:lang w:val="en-US" w:eastAsia="en-US"/>
        </w:rPr>
      </w:pPr>
      <w:r>
        <w:rPr>
          <w:b/>
        </w:rPr>
        <w:br w:type="column"/>
      </w:r>
      <w:r w:rsidRPr="00317FA0">
        <w:rPr>
          <w:rFonts w:eastAsia="Calibri" w:cs="Arial"/>
          <w:noProof/>
          <w:sz w:val="22"/>
          <w:szCs w:val="22"/>
        </w:rPr>
        <w:lastRenderedPageBreak/>
        <mc:AlternateContent>
          <mc:Choice Requires="wpg">
            <w:drawing>
              <wp:anchor distT="0" distB="0" distL="114300" distR="114300" simplePos="0" relativeHeight="251658240" behindDoc="1" locked="0" layoutInCell="1" allowOverlap="1" wp14:anchorId="69E3AF43" wp14:editId="431246B6">
                <wp:simplePos x="0" y="0"/>
                <wp:positionH relativeFrom="page">
                  <wp:posOffset>1062355</wp:posOffset>
                </wp:positionH>
                <wp:positionV relativeFrom="paragraph">
                  <wp:posOffset>-124696</wp:posOffset>
                </wp:positionV>
                <wp:extent cx="554355" cy="552450"/>
                <wp:effectExtent l="0" t="5080" r="4445" b="1270"/>
                <wp:wrapNone/>
                <wp:docPr id="711"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 cy="552450"/>
                          <a:chOff x="1701" y="-1413"/>
                          <a:chExt cx="873" cy="870"/>
                        </a:xfrm>
                      </wpg:grpSpPr>
                      <pic:pic xmlns:pic="http://schemas.openxmlformats.org/drawingml/2006/picture">
                        <pic:nvPicPr>
                          <pic:cNvPr id="712" name="Picture 6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71" y="-1413"/>
                            <a:ext cx="776"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3" name="Picture 6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04" y="-1168"/>
                            <a:ext cx="869"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4" name="Picture 6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04" y="-1168"/>
                            <a:ext cx="869"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5" name="Picture 6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01" y="-975"/>
                            <a:ext cx="872"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6" name="Picture 6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701" y="-975"/>
                            <a:ext cx="872"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7" name="Picture 6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45" y="-799"/>
                            <a:ext cx="789"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8" name="Picture 6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45" y="-799"/>
                            <a:ext cx="789"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AEC223" id="Group 688" o:spid="_x0000_s1026" style="position:absolute;margin-left:83.65pt;margin-top:-9.8pt;width:43.65pt;height:43.5pt;z-index:-251658240;mso-position-horizontal-relative:page" coordorigin="1701,-1413" coordsize="873,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5" o:spid="_x0000_s1027" type="#_x0000_t75" style="position:absolute;left:1771;top:-1413;width:776;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16gHGAAAA3AAAAA8AAABkcnMvZG93bnJldi54bWxEj0FrwkAUhO8F/8PyCr3VjTk0El1FBE0p&#10;lKKVen1kn0ls9m3MbpPor3cLhR6HmfmGmS8HU4uOWldZVjAZRyCIc6srLhQcPjfPUxDOI2usLZOC&#10;KzlYLkYPc0y17XlH3d4XIkDYpaig9L5JpXR5SQbd2DbEwTvZ1qAPsi2kbrEPcFPLOIpepMGKw0KJ&#10;Da1Lyr/3P0bB+fK2zjxvsy/8SN5PRX28HXaZUk+Pw2oGwtPg/8N/7VetIJnE8HsmHAG5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XqAcYAAADcAAAADwAAAAAAAAAAAAAA&#10;AACfAgAAZHJzL2Rvd25yZXYueG1sUEsFBgAAAAAEAAQA9wAAAJIDAAAAAA==&#10;">
                  <v:imagedata r:id="rId21" o:title=""/>
                </v:shape>
                <v:shape id="Picture 694" o:spid="_x0000_s1028" type="#_x0000_t75" style="position:absolute;left:1704;top:-1168;width:869;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Gm1rGAAAA3AAAAA8AAABkcnMvZG93bnJldi54bWxEj0FrwkAUhO9C/8PyCt50YytG0mxEhaKI&#10;Fox6f2Rfk7TZt2l21fTfdwuFHoeZ+YZJF71pxI06V1tWMBlHIIgLq2suFZxPr6M5COeRNTaWScE3&#10;OVhkD4MUE23vfKRb7ksRIOwSVFB53yZSuqIig25sW+LgvdvOoA+yK6Xu8B7gppFPUTSTBmsOCxW2&#10;tK6o+MyvRsF+vZnSbL/aHT7y4q05XuPL5itWavjYL19AeOr9f/ivvdUK4skz/J4JR0B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wabWsYAAADcAAAADwAAAAAAAAAAAAAA&#10;AACfAgAAZHJzL2Rvd25yZXYueG1sUEsFBgAAAAAEAAQA9wAAAJIDAAAAAA==&#10;">
                  <v:imagedata r:id="rId22" o:title=""/>
                </v:shape>
                <v:shape id="Picture 693" o:spid="_x0000_s1029" type="#_x0000_t75" style="position:absolute;left:1704;top:-1168;width:869;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bw97GAAAA3AAAAA8AAABkcnMvZG93bnJldi54bWxEj0trAkEQhO+C/2FowYvE2Q2iYXWUIAYl&#10;4CG+8Nju9D7ITs+yM+rm3zuCkGNRVV9Rs0VrKnGjxpWWFcTDCARxanXJuYLD/uvtA4TzyBory6Tg&#10;jxws5t3ODBNt7/xDt53PRYCwS1BB4X2dSOnSggy6oa2Jg5fZxqAPssmlbvAe4KaS71E0lgZLDgsF&#10;1rQsKP3dXY2CQTw5rB1fvrfn6rTab4+jPMvOSvV77ecUhKfW/4df7Y1WMIlH8DwTjoCc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FvD3sYAAADcAAAADwAAAAAAAAAAAAAA&#10;AACfAgAAZHJzL2Rvd25yZXYueG1sUEsFBgAAAAAEAAQA9wAAAJIDAAAAAA==&#10;">
                  <v:imagedata r:id="rId23" o:title=""/>
                </v:shape>
                <v:shape id="Picture 692" o:spid="_x0000_s1030" type="#_x0000_t75" style="position:absolute;left:1701;top:-975;width:872;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iUTLEAAAA3AAAAA8AAABkcnMvZG93bnJldi54bWxEj09rAjEUxO+FfofwCt40q9AqW6OIaBX0&#10;4h/s9bF53SzdvCybmN1+e1Mo9DjMzG+Y+bK3tYjU+sqxgvEoA0FcOF1xqeB62Q5nIHxA1lg7JgU/&#10;5GG5eH6aY65dxyeK51CKBGGfowITQpNL6QtDFv3INcTJ+3KtxZBkW0rdYpfgtpaTLHuTFitOCwYb&#10;Whsqvs93q+ASN7zer6j7uO0O8ehuZho/jVKDl371DiJQH/7Df+29VjAdv8LvmXQE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iUTLEAAAA3AAAAA8AAAAAAAAAAAAAAAAA&#10;nwIAAGRycy9kb3ducmV2LnhtbFBLBQYAAAAABAAEAPcAAACQAwAAAAA=&#10;">
                  <v:imagedata r:id="rId24" o:title=""/>
                </v:shape>
                <v:shape id="Picture 691" o:spid="_x0000_s1031" type="#_x0000_t75" style="position:absolute;left:1701;top:-975;width:872;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THW3FAAAA3AAAAA8AAABkcnMvZG93bnJldi54bWxEj0uLwkAQhO8L/oehBW/rxAc+oqOIICvu&#10;QYyC1ybTJsFMT8zMxvjvnYWFPRZV9RW1XLemFA3VrrCsYNCPQBCnVhecKbicd58zEM4jaywtk4IX&#10;OVivOh9LjLV98omaxGciQNjFqCD3voqldGlOBl3fVsTBu9naoA+yzqSu8RngppTDKJpIgwWHhRwr&#10;2uaU3pMfo8B8XWl8LQ6zUba/DR/fl2PVzKVSvW67WYDw1Pr/8F97rxVMBxP4PROOgFy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Ex1txQAAANwAAAAPAAAAAAAAAAAAAAAA&#10;AJ8CAABkcnMvZG93bnJldi54bWxQSwUGAAAAAAQABAD3AAAAkQMAAAAA&#10;">
                  <v:imagedata r:id="rId25" o:title=""/>
                </v:shape>
                <v:shape id="Picture 690" o:spid="_x0000_s1032" type="#_x0000_t75" style="position:absolute;left:1745;top:-799;width:789;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mllDFAAAA3AAAAA8AAABkcnMvZG93bnJldi54bWxEj09rAjEUxO9Cv0N4hd400cKurkaphUJ7&#10;kfrn4u25eW6Wbl6WTarrt2+EgsdhZn7DLFa9a8SFulB71jAeKRDEpTc1VxoO+4/hFESIyAYbz6Th&#10;RgFWy6fBAgvjr7ylyy5WIkE4FKjBxtgWUobSksMw8i1x8s6+cxiT7CppOrwmuGvkRKlMOqw5LVhs&#10;6d1S+bP7dRqmyuYy29yO369fs62yJ1ses7XWL8/92xxEpD4+wv/tT6MhH+dwP5OO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ppZQxQAAANwAAAAPAAAAAAAAAAAAAAAA&#10;AJ8CAABkcnMvZG93bnJldi54bWxQSwUGAAAAAAQABAD3AAAAkQMAAAAA&#10;">
                  <v:imagedata r:id="rId26" o:title=""/>
                </v:shape>
                <v:shape id="Picture 689" o:spid="_x0000_s1033" type="#_x0000_t75" style="position:absolute;left:1745;top:-799;width:789;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nL0G/AAAA3AAAAA8AAABkcnMvZG93bnJldi54bWxET02LwjAQvQv+hzDC3jStirt0jWVZKHjw&#10;YtX70Ixt2WZSkrTWf785CB4f73ufT6YTIznfWlaQrhIQxJXVLdcKrpdi+QXCB2SNnWVS8CQP+WE+&#10;22Om7YPPNJahFjGEfYYKmhD6TEpfNWTQr2xPHLm7dQZDhK6W2uEjhptOrpNkJw22HBsa7Om3oeqv&#10;HIyC27ZI7L3fDJuLK5mGbjwdi1Gpj8X08w0i0BTe4pf7qBV8pnFtPBOPgDz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py9BvwAAANwAAAAPAAAAAAAAAAAAAAAAAJ8CAABk&#10;cnMvZG93bnJldi54bWxQSwUGAAAAAAQABAD3AAAAiwMAAAAA&#10;">
                  <v:imagedata r:id="rId27" o:title=""/>
                </v:shape>
                <w10:wrap anchorx="page"/>
              </v:group>
            </w:pict>
          </mc:Fallback>
        </mc:AlternateContent>
      </w:r>
      <w:r w:rsidRPr="00317FA0">
        <w:rPr>
          <w:rFonts w:eastAsia="Calibri" w:cs="Arial"/>
          <w:noProof/>
          <w:sz w:val="22"/>
          <w:szCs w:val="22"/>
        </w:rPr>
        <w:drawing>
          <wp:anchor distT="0" distB="0" distL="114300" distR="114300" simplePos="0" relativeHeight="251661312" behindDoc="0" locked="0" layoutInCell="1" allowOverlap="1" wp14:anchorId="5CAE3269" wp14:editId="2F2F7CA6">
            <wp:simplePos x="0" y="0"/>
            <wp:positionH relativeFrom="column">
              <wp:posOffset>853041</wp:posOffset>
            </wp:positionH>
            <wp:positionV relativeFrom="paragraph">
              <wp:posOffset>-54787</wp:posOffset>
            </wp:positionV>
            <wp:extent cx="977900" cy="41465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7900" cy="414655"/>
                    </a:xfrm>
                    <a:prstGeom prst="rect">
                      <a:avLst/>
                    </a:prstGeom>
                    <a:noFill/>
                    <a:ln>
                      <a:noFill/>
                    </a:ln>
                  </pic:spPr>
                </pic:pic>
              </a:graphicData>
            </a:graphic>
          </wp:anchor>
        </w:drawing>
      </w:r>
    </w:p>
    <w:p w14:paraId="30B42400" w14:textId="77777777" w:rsidR="00317FA0" w:rsidRPr="00317FA0" w:rsidRDefault="00317FA0" w:rsidP="00317FA0">
      <w:pPr>
        <w:widowControl w:val="0"/>
        <w:spacing w:before="0" w:after="0" w:line="200" w:lineRule="exact"/>
        <w:rPr>
          <w:rFonts w:eastAsia="Calibri" w:cs="Arial"/>
          <w:sz w:val="20"/>
          <w:szCs w:val="20"/>
          <w:lang w:val="en-US" w:eastAsia="en-US"/>
        </w:rPr>
      </w:pPr>
    </w:p>
    <w:p w14:paraId="09D5E347" w14:textId="77777777" w:rsidR="00317FA0" w:rsidRPr="00317FA0" w:rsidRDefault="00317FA0" w:rsidP="00317FA0">
      <w:pPr>
        <w:widowControl w:val="0"/>
        <w:spacing w:before="8" w:after="0" w:line="240" w:lineRule="exact"/>
        <w:rPr>
          <w:rFonts w:eastAsia="Calibri" w:cs="Arial"/>
          <w:lang w:val="en-US" w:eastAsia="en-US"/>
        </w:rPr>
      </w:pPr>
    </w:p>
    <w:p w14:paraId="6D7CD503" w14:textId="26B3A16D" w:rsidR="00317FA0" w:rsidRPr="00E23AA4" w:rsidRDefault="00317FA0" w:rsidP="00317FA0">
      <w:pPr>
        <w:widowControl w:val="0"/>
        <w:spacing w:before="72" w:after="0"/>
        <w:ind w:left="1039" w:right="2417"/>
        <w:rPr>
          <w:rFonts w:eastAsia="Arial" w:cs="Arial"/>
          <w:sz w:val="22"/>
          <w:szCs w:val="22"/>
          <w:lang w:val="en-US" w:eastAsia="en-US"/>
        </w:rPr>
      </w:pPr>
      <w:r w:rsidRPr="00317FA0">
        <w:rPr>
          <w:rFonts w:eastAsia="Calibri" w:cs="Arial"/>
          <w:noProof/>
          <w:sz w:val="22"/>
          <w:szCs w:val="22"/>
        </w:rPr>
        <mc:AlternateContent>
          <mc:Choice Requires="wpg">
            <w:drawing>
              <wp:anchor distT="0" distB="0" distL="114300" distR="114300" simplePos="0" relativeHeight="251659264" behindDoc="1" locked="0" layoutInCell="1" allowOverlap="1" wp14:anchorId="2A0DB984" wp14:editId="4BCDBF8D">
                <wp:simplePos x="0" y="0"/>
                <wp:positionH relativeFrom="page">
                  <wp:posOffset>1725295</wp:posOffset>
                </wp:positionH>
                <wp:positionV relativeFrom="paragraph">
                  <wp:posOffset>-219710</wp:posOffset>
                </wp:positionV>
                <wp:extent cx="4536440" cy="12700"/>
                <wp:effectExtent l="0" t="0" r="12065" b="3810"/>
                <wp:wrapNone/>
                <wp:docPr id="704"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6440" cy="12700"/>
                          <a:chOff x="2717" y="-347"/>
                          <a:chExt cx="7144" cy="20"/>
                        </a:xfrm>
                      </wpg:grpSpPr>
                      <wpg:grpSp>
                        <wpg:cNvPr id="705" name="Group 686"/>
                        <wpg:cNvGrpSpPr>
                          <a:grpSpLocks/>
                        </wpg:cNvGrpSpPr>
                        <wpg:grpSpPr bwMode="auto">
                          <a:xfrm>
                            <a:off x="2767" y="-337"/>
                            <a:ext cx="7064" cy="2"/>
                            <a:chOff x="2767" y="-337"/>
                            <a:chExt cx="7064" cy="2"/>
                          </a:xfrm>
                        </wpg:grpSpPr>
                        <wps:wsp>
                          <wps:cNvPr id="706" name="Freeform 687"/>
                          <wps:cNvSpPr>
                            <a:spLocks/>
                          </wps:cNvSpPr>
                          <wps:spPr bwMode="auto">
                            <a:xfrm>
                              <a:off x="2767" y="-337"/>
                              <a:ext cx="7064" cy="2"/>
                            </a:xfrm>
                            <a:custGeom>
                              <a:avLst/>
                              <a:gdLst>
                                <a:gd name="T0" fmla="+- 0 2767 2767"/>
                                <a:gd name="T1" fmla="*/ T0 w 7064"/>
                                <a:gd name="T2" fmla="+- 0 9830 2767"/>
                                <a:gd name="T3" fmla="*/ T2 w 7064"/>
                              </a:gdLst>
                              <a:ahLst/>
                              <a:cxnLst>
                                <a:cxn ang="0">
                                  <a:pos x="T1" y="0"/>
                                </a:cxn>
                                <a:cxn ang="0">
                                  <a:pos x="T3" y="0"/>
                                </a:cxn>
                              </a:cxnLst>
                              <a:rect l="0" t="0" r="r" b="b"/>
                              <a:pathLst>
                                <a:path w="7064">
                                  <a:moveTo>
                                    <a:pt x="0" y="0"/>
                                  </a:moveTo>
                                  <a:lnTo>
                                    <a:pt x="7063" y="0"/>
                                  </a:lnTo>
                                </a:path>
                              </a:pathLst>
                            </a:custGeom>
                            <a:noFill/>
                            <a:ln w="1270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84"/>
                        <wpg:cNvGrpSpPr>
                          <a:grpSpLocks/>
                        </wpg:cNvGrpSpPr>
                        <wpg:grpSpPr bwMode="auto">
                          <a:xfrm>
                            <a:off x="2727" y="-337"/>
                            <a:ext cx="2" cy="2"/>
                            <a:chOff x="2727" y="-337"/>
                            <a:chExt cx="2" cy="2"/>
                          </a:xfrm>
                        </wpg:grpSpPr>
                        <wps:wsp>
                          <wps:cNvPr id="708" name="Freeform 685"/>
                          <wps:cNvSpPr>
                            <a:spLocks/>
                          </wps:cNvSpPr>
                          <wps:spPr bwMode="auto">
                            <a:xfrm>
                              <a:off x="2727" y="-337"/>
                              <a:ext cx="2" cy="2"/>
                            </a:xfrm>
                            <a:custGeom>
                              <a:avLst/>
                              <a:gdLst/>
                              <a:ahLst/>
                              <a:cxnLst>
                                <a:cxn ang="0">
                                  <a:pos x="0" y="0"/>
                                </a:cxn>
                                <a:cxn ang="0">
                                  <a:pos x="0" y="0"/>
                                </a:cxn>
                              </a:cxnLst>
                              <a:rect l="0" t="0" r="r" b="b"/>
                              <a:pathLst>
                                <a:path>
                                  <a:moveTo>
                                    <a:pt x="0" y="0"/>
                                  </a:moveTo>
                                  <a:lnTo>
                                    <a:pt x="0" y="0"/>
                                  </a:lnTo>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82"/>
                        <wpg:cNvGrpSpPr>
                          <a:grpSpLocks/>
                        </wpg:cNvGrpSpPr>
                        <wpg:grpSpPr bwMode="auto">
                          <a:xfrm>
                            <a:off x="9850" y="-337"/>
                            <a:ext cx="2" cy="2"/>
                            <a:chOff x="9850" y="-337"/>
                            <a:chExt cx="2" cy="2"/>
                          </a:xfrm>
                        </wpg:grpSpPr>
                        <wps:wsp>
                          <wps:cNvPr id="710" name="Freeform 683"/>
                          <wps:cNvSpPr>
                            <a:spLocks/>
                          </wps:cNvSpPr>
                          <wps:spPr bwMode="auto">
                            <a:xfrm>
                              <a:off x="9850" y="-337"/>
                              <a:ext cx="2" cy="2"/>
                            </a:xfrm>
                            <a:custGeom>
                              <a:avLst/>
                              <a:gdLst/>
                              <a:ahLst/>
                              <a:cxnLst>
                                <a:cxn ang="0">
                                  <a:pos x="0" y="0"/>
                                </a:cxn>
                                <a:cxn ang="0">
                                  <a:pos x="0" y="0"/>
                                </a:cxn>
                              </a:cxnLst>
                              <a:rect l="0" t="0" r="r" b="b"/>
                              <a:pathLst>
                                <a:path>
                                  <a:moveTo>
                                    <a:pt x="0" y="0"/>
                                  </a:moveTo>
                                  <a:lnTo>
                                    <a:pt x="0" y="0"/>
                                  </a:lnTo>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02EA2F" id="Group 681" o:spid="_x0000_s1026" style="position:absolute;margin-left:135.85pt;margin-top:-17.3pt;width:357.2pt;height:1pt;z-index:-251657216;mso-position-horizontal-relative:page" coordorigin="2717,-347" coordsize="71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">
                <v:group id="Group 686" o:spid="_x0000_s1027" style="position:absolute;left:2767;top:-337;width:7064;height:2" coordorigin="2767,-337" coordsize="70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87" o:spid="_x0000_s1028" style="position:absolute;left:2767;top:-337;width:7064;height:2;visibility:visible;mso-wrap-style:square;v-text-anchor:top" coordsize="7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DscQA&#10;AADcAAAADwAAAGRycy9kb3ducmV2LnhtbESPUWvCMBSF3wf7D+EKe5uJGzqpRhkDS8cGovMHXJpr&#10;U2xuShPb+u/NYLDHwznnO5z1dnSN6KkLtWcNs6kCQVx6U3Ol4fSze16CCBHZYOOZNNwowHbz+LDG&#10;zPiBD9QfYyUShEOGGmyMbSZlKC05DFPfEifv7DuHMcmukqbDIcFdI1+UWkiHNacFiy19WCovx6tL&#10;lFd7UHJuvvNlPvs8zb/2BeJe66fJ+L4CEWmM/+G/dmE0vKkF/J5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8g7HEAAAA3AAAAA8AAAAAAAAAAAAAAAAAmAIAAGRycy9k&#10;b3ducmV2LnhtbFBLBQYAAAAABAAEAPUAAACJAwAAAAA=&#10;" path="m,l7063,e" filled="f" strokecolor="#6d6e71" strokeweight="1pt">
                    <v:stroke dashstyle="dash"/>
                    <v:path arrowok="t" o:connecttype="custom" o:connectlocs="0,0;7063,0" o:connectangles="0,0"/>
                  </v:shape>
                </v:group>
                <v:group id="Group 684" o:spid="_x0000_s1029" style="position:absolute;left:2727;top:-337;width:2;height:2" coordorigin="2727,-3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85" o:spid="_x0000_s1030" style="position:absolute;left:2727;top:-3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FtMIA&#10;AADcAAAADwAAAGRycy9kb3ducmV2LnhtbERPPU/DMBDdK/U/WFeJrXVggCrUrUKkSkCnhKjz1b4m&#10;UeNziE0S/j0ekDo+ve/dYbadGGnwrWMFj5sEBLF2puVaQfV1XG9B+IBssHNMCn7Jw2G/XOwwNW7i&#10;gsYy1CKGsE9RQRNCn0rpdUMW/cb1xJG7usFiiHCopRlwiuG2k09J8iwtthwbGuwpb0jfyh+r4CL1&#10;cczepvPp1H9U5yL/ri76U6mH1Zy9ggg0h7v43/1uFLwkcW08E4+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0W0wgAAANwAAAAPAAAAAAAAAAAAAAAAAJgCAABkcnMvZG93&#10;bnJldi54bWxQSwUGAAAAAAQABAD1AAAAhwMAAAAA&#10;" path="m,l,e" filled="f" strokecolor="#6d6e71" strokeweight="1pt">
                    <v:path arrowok="t" o:connecttype="custom" o:connectlocs="0,0;0,0" o:connectangles="0,0"/>
                  </v:shape>
                </v:group>
                <v:group id="Group 682" o:spid="_x0000_s1031" style="position:absolute;left:9850;top:-337;width:2;height:2" coordorigin="9850,-3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83" o:spid="_x0000_s1032" style="position:absolute;left:9850;top:-3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b8EA&#10;AADcAAAADwAAAGRycy9kb3ducmV2LnhtbERPTYvCMBC9L/gfwgh7W1M9rEs1igqCu57U4nlMxrbY&#10;TGoT2/rvzUHY4+N9z5e9rURLjS8dKxiPEhDE2pmScwXZafv1A8IHZIOVY1LwJA/LxeBjjqlxHR+o&#10;PYZcxBD2KSooQqhTKb0uyKIfuZo4clfXWAwRNrk0DXYx3FZykiTf0mLJsaHAmjYF6dvxYRVcpN62&#10;q3V33u/r3+x82Nyzi/5T6nPYr2YgAvXhX/x274yC6TjOj2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g32/BAAAA3AAAAA8AAAAAAAAAAAAAAAAAmAIAAGRycy9kb3du&#10;cmV2LnhtbFBLBQYAAAAABAAEAPUAAACGAwAAAAA=&#10;" path="m,l,e" filled="f" strokecolor="#6d6e71" strokeweight="1pt">
                    <v:path arrowok="t" o:connecttype="custom" o:connectlocs="0,0;0,0" o:connectangles="0,0"/>
                  </v:shape>
                </v:group>
                <w10:wrap anchorx="page"/>
              </v:group>
            </w:pict>
          </mc:Fallback>
        </mc:AlternateContent>
      </w:r>
      <w:r w:rsidRPr="00317FA0">
        <w:rPr>
          <w:rFonts w:eastAsia="Calibri" w:cs="Arial"/>
          <w:color w:val="231F20"/>
          <w:spacing w:val="-1"/>
          <w:sz w:val="22"/>
          <w:szCs w:val="22"/>
          <w:lang w:val="en-US" w:eastAsia="en-US"/>
        </w:rPr>
        <w:t>1</w:t>
      </w:r>
      <w:r w:rsidR="00F8296D">
        <w:rPr>
          <w:rFonts w:eastAsia="Calibri" w:cs="Arial"/>
          <w:color w:val="231F20"/>
          <w:spacing w:val="-1"/>
          <w:sz w:val="22"/>
          <w:szCs w:val="22"/>
          <w:lang w:val="en-US" w:eastAsia="en-US"/>
        </w:rPr>
        <w:t>4</w:t>
      </w:r>
      <w:r w:rsidRPr="00E23AA4">
        <w:rPr>
          <w:rFonts w:eastAsia="Calibri" w:cs="Arial"/>
          <w:color w:val="231F20"/>
          <w:spacing w:val="-1"/>
          <w:sz w:val="22"/>
          <w:szCs w:val="22"/>
          <w:lang w:val="en-US" w:eastAsia="en-US"/>
        </w:rPr>
        <w:t xml:space="preserve"> October</w:t>
      </w:r>
      <w:r w:rsidRPr="00E23AA4">
        <w:rPr>
          <w:rFonts w:eastAsia="Calibri" w:cs="Arial"/>
          <w:color w:val="231F20"/>
          <w:sz w:val="22"/>
          <w:szCs w:val="22"/>
          <w:lang w:val="en-US" w:eastAsia="en-US"/>
        </w:rPr>
        <w:t xml:space="preserve"> </w:t>
      </w:r>
      <w:r w:rsidRPr="00E23AA4">
        <w:rPr>
          <w:rFonts w:eastAsia="Calibri" w:cs="Arial"/>
          <w:color w:val="231F20"/>
          <w:spacing w:val="-1"/>
          <w:sz w:val="22"/>
          <w:szCs w:val="22"/>
          <w:lang w:val="en-US" w:eastAsia="en-US"/>
        </w:rPr>
        <w:t>2015</w:t>
      </w:r>
    </w:p>
    <w:p w14:paraId="6904B319" w14:textId="77777777" w:rsidR="00317FA0" w:rsidRPr="00E23AA4" w:rsidRDefault="00317FA0" w:rsidP="00317FA0">
      <w:pPr>
        <w:widowControl w:val="0"/>
        <w:spacing w:before="181" w:after="0" w:line="250" w:lineRule="auto"/>
        <w:ind w:left="1039" w:right="2417"/>
        <w:rPr>
          <w:rFonts w:eastAsia="Calibri" w:cs="Arial"/>
          <w:color w:val="231F20"/>
          <w:spacing w:val="21"/>
          <w:sz w:val="22"/>
          <w:szCs w:val="22"/>
          <w:lang w:val="en-US" w:eastAsia="en-US"/>
        </w:rPr>
      </w:pPr>
      <w:r w:rsidRPr="00E23AA4">
        <w:rPr>
          <w:rFonts w:eastAsia="Calibri" w:cs="Arial"/>
          <w:color w:val="231F20"/>
          <w:sz w:val="22"/>
          <w:szCs w:val="22"/>
          <w:lang w:val="en-US" w:eastAsia="en-US"/>
        </w:rPr>
        <w:t>Senator</w:t>
      </w:r>
      <w:r w:rsidRPr="00E23AA4">
        <w:rPr>
          <w:rFonts w:eastAsia="Calibri" w:cs="Arial"/>
          <w:color w:val="231F20"/>
          <w:spacing w:val="-1"/>
          <w:sz w:val="22"/>
          <w:szCs w:val="22"/>
          <w:lang w:val="en-US" w:eastAsia="en-US"/>
        </w:rPr>
        <w:t xml:space="preserve"> </w:t>
      </w:r>
      <w:r w:rsidRPr="00E23AA4">
        <w:rPr>
          <w:rFonts w:eastAsia="Calibri" w:cs="Arial"/>
          <w:color w:val="231F20"/>
          <w:sz w:val="22"/>
          <w:szCs w:val="22"/>
          <w:lang w:val="en-US" w:eastAsia="en-US"/>
        </w:rPr>
        <w:t>the</w:t>
      </w:r>
      <w:r w:rsidRPr="00E23AA4">
        <w:rPr>
          <w:rFonts w:eastAsia="Calibri" w:cs="Arial"/>
          <w:color w:val="231F20"/>
          <w:spacing w:val="-1"/>
          <w:sz w:val="22"/>
          <w:szCs w:val="22"/>
          <w:lang w:val="en-US" w:eastAsia="en-US"/>
        </w:rPr>
        <w:t xml:space="preserve"> Hon</w:t>
      </w:r>
      <w:r w:rsidRPr="00E23AA4">
        <w:rPr>
          <w:rFonts w:eastAsia="Calibri" w:cs="Arial"/>
          <w:color w:val="231F20"/>
          <w:sz w:val="22"/>
          <w:szCs w:val="22"/>
          <w:lang w:val="en-US" w:eastAsia="en-US"/>
        </w:rPr>
        <w:t xml:space="preserve"> George</w:t>
      </w:r>
      <w:r w:rsidRPr="00E23AA4">
        <w:rPr>
          <w:rFonts w:eastAsia="Calibri" w:cs="Arial"/>
          <w:color w:val="231F20"/>
          <w:spacing w:val="-1"/>
          <w:sz w:val="22"/>
          <w:szCs w:val="22"/>
          <w:lang w:val="en-US" w:eastAsia="en-US"/>
        </w:rPr>
        <w:t xml:space="preserve"> </w:t>
      </w:r>
      <w:r w:rsidRPr="00E23AA4">
        <w:rPr>
          <w:rFonts w:eastAsia="Calibri" w:cs="Arial"/>
          <w:color w:val="231F20"/>
          <w:sz w:val="22"/>
          <w:szCs w:val="22"/>
          <w:lang w:val="en-US" w:eastAsia="en-US"/>
        </w:rPr>
        <w:t>Brandis</w:t>
      </w:r>
      <w:r w:rsidRPr="00E23AA4">
        <w:rPr>
          <w:rFonts w:eastAsia="Calibri" w:cs="Arial"/>
          <w:color w:val="231F20"/>
          <w:spacing w:val="-1"/>
          <w:sz w:val="22"/>
          <w:szCs w:val="22"/>
          <w:lang w:val="en-US" w:eastAsia="en-US"/>
        </w:rPr>
        <w:t xml:space="preserve"> </w:t>
      </w:r>
      <w:r w:rsidRPr="00E23AA4">
        <w:rPr>
          <w:rFonts w:eastAsia="Calibri" w:cs="Arial"/>
          <w:color w:val="231F20"/>
          <w:sz w:val="22"/>
          <w:szCs w:val="22"/>
          <w:lang w:val="en-US" w:eastAsia="en-US"/>
        </w:rPr>
        <w:t>QC</w:t>
      </w:r>
      <w:r w:rsidRPr="00E23AA4">
        <w:rPr>
          <w:rFonts w:eastAsia="Calibri" w:cs="Arial"/>
          <w:color w:val="231F20"/>
          <w:spacing w:val="21"/>
          <w:sz w:val="22"/>
          <w:szCs w:val="22"/>
          <w:lang w:val="en-US" w:eastAsia="en-US"/>
        </w:rPr>
        <w:t xml:space="preserve"> </w:t>
      </w:r>
      <w:r w:rsidRPr="00E23AA4">
        <w:rPr>
          <w:rFonts w:eastAsia="Calibri" w:cs="Arial"/>
          <w:color w:val="231F20"/>
          <w:spacing w:val="21"/>
          <w:sz w:val="22"/>
          <w:szCs w:val="22"/>
          <w:lang w:val="en-US" w:eastAsia="en-US"/>
        </w:rPr>
        <w:br/>
      </w:r>
      <w:r w:rsidRPr="00E23AA4">
        <w:rPr>
          <w:rFonts w:eastAsia="Calibri" w:cs="Arial"/>
          <w:color w:val="231F20"/>
          <w:sz w:val="22"/>
          <w:szCs w:val="22"/>
          <w:lang w:val="en-US" w:eastAsia="en-US"/>
        </w:rPr>
        <w:t>Attorney-General</w:t>
      </w:r>
    </w:p>
    <w:p w14:paraId="7457AC35" w14:textId="77777777" w:rsidR="00317FA0" w:rsidRPr="00E23AA4" w:rsidRDefault="00317FA0" w:rsidP="00317FA0">
      <w:pPr>
        <w:widowControl w:val="0"/>
        <w:spacing w:before="0" w:after="0" w:line="250" w:lineRule="auto"/>
        <w:ind w:left="1039" w:right="4650"/>
        <w:rPr>
          <w:rFonts w:eastAsia="Arial" w:cs="Arial"/>
          <w:sz w:val="22"/>
          <w:szCs w:val="22"/>
          <w:lang w:val="en-US" w:eastAsia="en-US"/>
        </w:rPr>
      </w:pPr>
      <w:r w:rsidRPr="00E23AA4">
        <w:rPr>
          <w:rFonts w:eastAsia="Calibri" w:cs="Arial"/>
          <w:color w:val="231F20"/>
          <w:sz w:val="22"/>
          <w:szCs w:val="22"/>
          <w:lang w:val="en-US" w:eastAsia="en-US"/>
        </w:rPr>
        <w:t>Parliament</w:t>
      </w:r>
      <w:r w:rsidRPr="00E23AA4">
        <w:rPr>
          <w:rFonts w:eastAsia="Calibri" w:cs="Arial"/>
          <w:color w:val="231F20"/>
          <w:spacing w:val="-1"/>
          <w:sz w:val="22"/>
          <w:szCs w:val="22"/>
          <w:lang w:val="en-US" w:eastAsia="en-US"/>
        </w:rPr>
        <w:t xml:space="preserve"> House</w:t>
      </w:r>
      <w:r w:rsidRPr="00E23AA4">
        <w:rPr>
          <w:rFonts w:eastAsia="Calibri" w:cs="Arial"/>
          <w:color w:val="231F20"/>
          <w:spacing w:val="20"/>
          <w:sz w:val="22"/>
          <w:szCs w:val="22"/>
          <w:lang w:val="en-US" w:eastAsia="en-US"/>
        </w:rPr>
        <w:t xml:space="preserve"> </w:t>
      </w:r>
      <w:r w:rsidRPr="00E23AA4">
        <w:rPr>
          <w:rFonts w:eastAsia="Calibri" w:cs="Arial"/>
          <w:color w:val="231F20"/>
          <w:spacing w:val="20"/>
          <w:sz w:val="22"/>
          <w:szCs w:val="22"/>
          <w:lang w:val="en-US" w:eastAsia="en-US"/>
        </w:rPr>
        <w:br/>
      </w:r>
      <w:r w:rsidRPr="00E23AA4">
        <w:rPr>
          <w:rFonts w:eastAsia="Calibri" w:cs="Arial"/>
          <w:color w:val="231F20"/>
          <w:spacing w:val="-1"/>
          <w:sz w:val="22"/>
          <w:szCs w:val="22"/>
          <w:lang w:val="en-US" w:eastAsia="en-US"/>
        </w:rPr>
        <w:t>CANBERRA</w:t>
      </w:r>
      <w:r w:rsidRPr="00E23AA4">
        <w:rPr>
          <w:rFonts w:eastAsia="Calibri" w:cs="Arial"/>
          <w:color w:val="231F20"/>
          <w:spacing w:val="-24"/>
          <w:sz w:val="22"/>
          <w:szCs w:val="22"/>
          <w:lang w:val="en-US" w:eastAsia="en-US"/>
        </w:rPr>
        <w:t xml:space="preserve"> </w:t>
      </w:r>
      <w:r w:rsidRPr="00E23AA4">
        <w:rPr>
          <w:rFonts w:eastAsia="Calibri" w:cs="Arial"/>
          <w:color w:val="231F20"/>
          <w:sz w:val="22"/>
          <w:szCs w:val="22"/>
          <w:lang w:val="en-US" w:eastAsia="en-US"/>
        </w:rPr>
        <w:t>ACT</w:t>
      </w:r>
      <w:r w:rsidRPr="00E23AA4">
        <w:rPr>
          <w:rFonts w:eastAsia="Calibri" w:cs="Arial"/>
          <w:color w:val="231F20"/>
          <w:spacing w:val="-4"/>
          <w:sz w:val="22"/>
          <w:szCs w:val="22"/>
          <w:lang w:val="en-US" w:eastAsia="en-US"/>
        </w:rPr>
        <w:t xml:space="preserve"> </w:t>
      </w:r>
      <w:r w:rsidRPr="00E23AA4">
        <w:rPr>
          <w:rFonts w:eastAsia="Calibri" w:cs="Arial"/>
          <w:color w:val="231F20"/>
          <w:spacing w:val="-1"/>
          <w:sz w:val="22"/>
          <w:szCs w:val="22"/>
          <w:lang w:val="en-US" w:eastAsia="en-US"/>
        </w:rPr>
        <w:t>2600</w:t>
      </w:r>
    </w:p>
    <w:p w14:paraId="62765D32" w14:textId="77777777" w:rsidR="00317FA0" w:rsidRPr="00E23AA4" w:rsidRDefault="00317FA0" w:rsidP="00317FA0">
      <w:pPr>
        <w:widowControl w:val="0"/>
        <w:spacing w:before="7" w:after="0" w:line="220" w:lineRule="exact"/>
        <w:rPr>
          <w:rFonts w:eastAsia="Calibri" w:cs="Arial"/>
          <w:sz w:val="22"/>
          <w:szCs w:val="22"/>
          <w:lang w:val="en-US" w:eastAsia="en-US"/>
        </w:rPr>
      </w:pPr>
    </w:p>
    <w:p w14:paraId="71E22F63" w14:textId="77777777" w:rsidR="00317FA0" w:rsidRPr="00E23AA4" w:rsidRDefault="00317FA0" w:rsidP="00317FA0">
      <w:pPr>
        <w:widowControl w:val="0"/>
        <w:spacing w:before="0" w:after="0"/>
        <w:ind w:left="1039" w:right="2417"/>
        <w:rPr>
          <w:rFonts w:eastAsia="Arial" w:cs="Arial"/>
          <w:sz w:val="22"/>
          <w:szCs w:val="22"/>
          <w:lang w:val="en-US" w:eastAsia="en-US"/>
        </w:rPr>
      </w:pPr>
      <w:r w:rsidRPr="00E23AA4">
        <w:rPr>
          <w:rFonts w:eastAsia="Calibri" w:cs="Arial"/>
          <w:color w:val="231F20"/>
          <w:spacing w:val="-1"/>
          <w:sz w:val="22"/>
          <w:szCs w:val="22"/>
          <w:lang w:val="en-US" w:eastAsia="en-US"/>
        </w:rPr>
        <w:t>Dear</w:t>
      </w:r>
      <w:r w:rsidRPr="00E23AA4">
        <w:rPr>
          <w:rFonts w:eastAsia="Calibri" w:cs="Arial"/>
          <w:color w:val="231F20"/>
          <w:spacing w:val="-12"/>
          <w:sz w:val="22"/>
          <w:szCs w:val="22"/>
          <w:lang w:val="en-US" w:eastAsia="en-US"/>
        </w:rPr>
        <w:t xml:space="preserve"> </w:t>
      </w:r>
      <w:r w:rsidRPr="00E23AA4">
        <w:rPr>
          <w:rFonts w:eastAsia="Calibri" w:cs="Arial"/>
          <w:color w:val="231F20"/>
          <w:sz w:val="22"/>
          <w:szCs w:val="22"/>
          <w:lang w:val="en-US" w:eastAsia="en-US"/>
        </w:rPr>
        <w:t>Attorney</w:t>
      </w:r>
    </w:p>
    <w:p w14:paraId="20F50736" w14:textId="77777777" w:rsidR="00CE1139" w:rsidRPr="00E23AA4" w:rsidRDefault="00CE1139" w:rsidP="00317FA0">
      <w:pPr>
        <w:widowControl w:val="0"/>
        <w:spacing w:before="0" w:after="0"/>
        <w:ind w:left="1039" w:right="2417"/>
        <w:rPr>
          <w:rFonts w:eastAsia="Arial" w:cs="Arial"/>
          <w:b/>
          <w:bCs/>
          <w:color w:val="231F20"/>
          <w:spacing w:val="-2"/>
          <w:sz w:val="22"/>
          <w:szCs w:val="22"/>
          <w:lang w:val="en-US" w:eastAsia="en-US"/>
        </w:rPr>
      </w:pPr>
    </w:p>
    <w:p w14:paraId="0D40DC35" w14:textId="648016BC" w:rsidR="00317FA0" w:rsidRPr="00E23AA4" w:rsidRDefault="00317FA0" w:rsidP="00317FA0">
      <w:pPr>
        <w:widowControl w:val="0"/>
        <w:spacing w:before="0" w:after="0"/>
        <w:ind w:left="1039" w:right="2417"/>
        <w:rPr>
          <w:rFonts w:eastAsia="Arial" w:cs="Arial"/>
          <w:sz w:val="22"/>
          <w:szCs w:val="22"/>
          <w:lang w:val="en-US" w:eastAsia="en-US"/>
        </w:rPr>
      </w:pPr>
      <w:r w:rsidRPr="00E23AA4">
        <w:rPr>
          <w:rFonts w:eastAsia="Arial" w:cs="Arial"/>
          <w:b/>
          <w:bCs/>
          <w:color w:val="231F20"/>
          <w:spacing w:val="-2"/>
          <w:sz w:val="22"/>
          <w:szCs w:val="22"/>
          <w:lang w:val="en-US" w:eastAsia="en-US"/>
        </w:rPr>
        <w:t>Children’s</w:t>
      </w:r>
      <w:r w:rsidRPr="00E23AA4">
        <w:rPr>
          <w:rFonts w:eastAsia="Arial" w:cs="Arial"/>
          <w:b/>
          <w:bCs/>
          <w:color w:val="231F20"/>
          <w:spacing w:val="-7"/>
          <w:sz w:val="22"/>
          <w:szCs w:val="22"/>
          <w:lang w:val="en-US" w:eastAsia="en-US"/>
        </w:rPr>
        <w:t xml:space="preserve"> </w:t>
      </w:r>
      <w:r w:rsidRPr="00E23AA4">
        <w:rPr>
          <w:rFonts w:eastAsia="Arial" w:cs="Arial"/>
          <w:b/>
          <w:bCs/>
          <w:color w:val="231F20"/>
          <w:spacing w:val="-1"/>
          <w:sz w:val="22"/>
          <w:szCs w:val="22"/>
          <w:lang w:val="en-US" w:eastAsia="en-US"/>
        </w:rPr>
        <w:t>Rights</w:t>
      </w:r>
      <w:r w:rsidRPr="00E23AA4">
        <w:rPr>
          <w:rFonts w:eastAsia="Arial" w:cs="Arial"/>
          <w:b/>
          <w:bCs/>
          <w:color w:val="231F20"/>
          <w:spacing w:val="-5"/>
          <w:sz w:val="22"/>
          <w:szCs w:val="22"/>
          <w:lang w:val="en-US" w:eastAsia="en-US"/>
        </w:rPr>
        <w:t xml:space="preserve"> </w:t>
      </w:r>
      <w:r w:rsidRPr="00E23AA4">
        <w:rPr>
          <w:rFonts w:eastAsia="Arial" w:cs="Arial"/>
          <w:b/>
          <w:bCs/>
          <w:color w:val="231F20"/>
          <w:spacing w:val="-1"/>
          <w:sz w:val="22"/>
          <w:szCs w:val="22"/>
          <w:lang w:val="en-US" w:eastAsia="en-US"/>
        </w:rPr>
        <w:t>Report</w:t>
      </w:r>
      <w:r w:rsidRPr="00E23AA4">
        <w:rPr>
          <w:rFonts w:eastAsia="Arial" w:cs="Arial"/>
          <w:b/>
          <w:bCs/>
          <w:color w:val="231F20"/>
          <w:spacing w:val="-6"/>
          <w:sz w:val="22"/>
          <w:szCs w:val="22"/>
          <w:lang w:val="en-US" w:eastAsia="en-US"/>
        </w:rPr>
        <w:t xml:space="preserve"> </w:t>
      </w:r>
      <w:r w:rsidRPr="00E23AA4">
        <w:rPr>
          <w:rFonts w:eastAsia="Arial" w:cs="Arial"/>
          <w:b/>
          <w:bCs/>
          <w:color w:val="231F20"/>
          <w:spacing w:val="-1"/>
          <w:sz w:val="22"/>
          <w:szCs w:val="22"/>
          <w:lang w:val="en-US" w:eastAsia="en-US"/>
        </w:rPr>
        <w:t>2015</w:t>
      </w:r>
    </w:p>
    <w:p w14:paraId="0C4C9ED2" w14:textId="25B32430" w:rsidR="00317FA0" w:rsidRPr="00E23AA4" w:rsidRDefault="00317FA0" w:rsidP="00451823">
      <w:pPr>
        <w:ind w:left="1039"/>
        <w:jc w:val="both"/>
        <w:rPr>
          <w:sz w:val="22"/>
          <w:szCs w:val="22"/>
        </w:rPr>
      </w:pPr>
      <w:r w:rsidRPr="00E23AA4">
        <w:rPr>
          <w:sz w:val="22"/>
          <w:szCs w:val="22"/>
        </w:rPr>
        <w:t xml:space="preserve">I am pleased to present to you the Children’s Rights Report 2015, </w:t>
      </w:r>
      <w:r w:rsidR="00CE1139" w:rsidRPr="00E23AA4">
        <w:rPr>
          <w:sz w:val="22"/>
          <w:szCs w:val="22"/>
        </w:rPr>
        <w:t xml:space="preserve">in </w:t>
      </w:r>
      <w:r w:rsidRPr="00E23AA4">
        <w:rPr>
          <w:sz w:val="22"/>
          <w:szCs w:val="22"/>
        </w:rPr>
        <w:t>accordance with section 46MB of the Australian Human Rights Commission Act 1986 (Cth) (the Act). The Act requires that I submit a report relating to the enjoyment and exercise of human rights by children in Australia on an annual basis.</w:t>
      </w:r>
    </w:p>
    <w:p w14:paraId="72758F4A" w14:textId="77777777" w:rsidR="00317FA0" w:rsidRPr="00E23AA4" w:rsidRDefault="00317FA0" w:rsidP="00451823">
      <w:pPr>
        <w:ind w:left="1039"/>
        <w:jc w:val="both"/>
        <w:rPr>
          <w:sz w:val="22"/>
          <w:szCs w:val="22"/>
        </w:rPr>
      </w:pPr>
      <w:r w:rsidRPr="00E23AA4">
        <w:rPr>
          <w:sz w:val="22"/>
          <w:szCs w:val="22"/>
        </w:rPr>
        <w:t>This report covers the period from 1 July 2014 to 30 June 2015.</w:t>
      </w:r>
    </w:p>
    <w:p w14:paraId="5FD60928" w14:textId="703F4AD3" w:rsidR="00E23AA4" w:rsidRDefault="00E23AA4" w:rsidP="00451823">
      <w:pPr>
        <w:ind w:left="1039"/>
        <w:jc w:val="both"/>
        <w:rPr>
          <w:sz w:val="22"/>
          <w:szCs w:val="22"/>
        </w:rPr>
      </w:pPr>
      <w:r>
        <w:rPr>
          <w:sz w:val="22"/>
          <w:szCs w:val="22"/>
        </w:rPr>
        <w:t xml:space="preserve">Chapter 1 reports on </w:t>
      </w:r>
      <w:r w:rsidR="00317FA0" w:rsidRPr="00E23AA4">
        <w:rPr>
          <w:sz w:val="22"/>
          <w:szCs w:val="22"/>
        </w:rPr>
        <w:t>the work I have undertaken throughout the past year to promote discussion and awareness of matters relating to the human rights of children and young people in Australia. It also discusses the progress of the recommendations that I made in my Children’s Rights Report</w:t>
      </w:r>
      <w:r w:rsidR="00CE1139" w:rsidRPr="00E23AA4">
        <w:rPr>
          <w:sz w:val="22"/>
          <w:szCs w:val="22"/>
        </w:rPr>
        <w:t>s in 2013 and</w:t>
      </w:r>
      <w:r w:rsidR="00317FA0" w:rsidRPr="00E23AA4">
        <w:rPr>
          <w:sz w:val="22"/>
          <w:szCs w:val="22"/>
        </w:rPr>
        <w:t xml:space="preserve"> 2014.</w:t>
      </w:r>
    </w:p>
    <w:p w14:paraId="76A863AD" w14:textId="5DDA3796" w:rsidR="00982B64" w:rsidRDefault="00E23AA4" w:rsidP="00451823">
      <w:pPr>
        <w:ind w:left="1039"/>
        <w:jc w:val="both"/>
        <w:rPr>
          <w:sz w:val="22"/>
          <w:szCs w:val="22"/>
        </w:rPr>
      </w:pPr>
      <w:r>
        <w:rPr>
          <w:sz w:val="22"/>
          <w:szCs w:val="22"/>
        </w:rPr>
        <w:t>Chapter 2 reports on how child</w:t>
      </w:r>
      <w:r w:rsidR="00025254">
        <w:rPr>
          <w:sz w:val="22"/>
          <w:szCs w:val="22"/>
        </w:rPr>
        <w:t>ren’s</w:t>
      </w:r>
      <w:r>
        <w:rPr>
          <w:sz w:val="22"/>
          <w:szCs w:val="22"/>
        </w:rPr>
        <w:t xml:space="preserve"> rights have been considered in legislation and court proceeding</w:t>
      </w:r>
      <w:r w:rsidR="00025254">
        <w:rPr>
          <w:sz w:val="22"/>
          <w:szCs w:val="22"/>
        </w:rPr>
        <w:t>s.</w:t>
      </w:r>
    </w:p>
    <w:p w14:paraId="69EC98DA" w14:textId="4471B939" w:rsidR="00E23AA4" w:rsidRDefault="00E23AA4" w:rsidP="00451823">
      <w:pPr>
        <w:ind w:left="1039"/>
        <w:jc w:val="both"/>
        <w:rPr>
          <w:sz w:val="22"/>
          <w:szCs w:val="22"/>
        </w:rPr>
      </w:pPr>
      <w:r>
        <w:rPr>
          <w:sz w:val="22"/>
          <w:szCs w:val="22"/>
        </w:rPr>
        <w:t xml:space="preserve">Chapter 3 reports on my project about business and children’s rights, and includes </w:t>
      </w:r>
      <w:r w:rsidR="00982B64">
        <w:rPr>
          <w:sz w:val="22"/>
          <w:szCs w:val="22"/>
        </w:rPr>
        <w:t>two recommendations.</w:t>
      </w:r>
    </w:p>
    <w:p w14:paraId="5412BD9B" w14:textId="55A11F6F" w:rsidR="00317FA0" w:rsidRPr="00E23AA4" w:rsidRDefault="00E23AA4" w:rsidP="008935E2">
      <w:pPr>
        <w:ind w:left="1039"/>
        <w:jc w:val="both"/>
        <w:rPr>
          <w:sz w:val="22"/>
          <w:szCs w:val="22"/>
        </w:rPr>
      </w:pPr>
      <w:r>
        <w:rPr>
          <w:sz w:val="22"/>
          <w:szCs w:val="22"/>
        </w:rPr>
        <w:t>Chapter 4 reports on my national consultation about how children are affected by family and domestic violence, and includes</w:t>
      </w:r>
      <w:r w:rsidR="00982B64">
        <w:rPr>
          <w:sz w:val="22"/>
          <w:szCs w:val="22"/>
        </w:rPr>
        <w:t xml:space="preserve"> fourteen recommendations.</w:t>
      </w:r>
    </w:p>
    <w:p w14:paraId="6E00D26D" w14:textId="77777777" w:rsidR="00317FA0" w:rsidRPr="00E23AA4" w:rsidRDefault="00317FA0" w:rsidP="00451823">
      <w:pPr>
        <w:ind w:left="1039"/>
        <w:jc w:val="both"/>
        <w:rPr>
          <w:sz w:val="22"/>
          <w:szCs w:val="22"/>
        </w:rPr>
      </w:pPr>
      <w:r w:rsidRPr="00E23AA4">
        <w:rPr>
          <w:sz w:val="22"/>
          <w:szCs w:val="22"/>
        </w:rPr>
        <w:t>I look forward to discussing the report with you.</w:t>
      </w:r>
    </w:p>
    <w:p w14:paraId="309587C0" w14:textId="77777777" w:rsidR="00317FA0" w:rsidRPr="00E23AA4" w:rsidRDefault="00317FA0" w:rsidP="00317FA0">
      <w:pPr>
        <w:widowControl w:val="0"/>
        <w:spacing w:before="113" w:after="0" w:line="465" w:lineRule="auto"/>
        <w:ind w:left="1039" w:right="2417"/>
        <w:rPr>
          <w:rFonts w:eastAsia="Arial" w:cs="Arial"/>
          <w:sz w:val="22"/>
          <w:szCs w:val="22"/>
          <w:lang w:val="en-US" w:eastAsia="en-US"/>
        </w:rPr>
      </w:pPr>
      <w:r w:rsidRPr="00E23AA4">
        <w:rPr>
          <w:rFonts w:eastAsia="Calibri" w:cs="Arial"/>
          <w:color w:val="231F20"/>
          <w:spacing w:val="-6"/>
          <w:sz w:val="22"/>
          <w:szCs w:val="22"/>
          <w:lang w:val="en-US" w:eastAsia="en-US"/>
        </w:rPr>
        <w:t>Y</w:t>
      </w:r>
      <w:r w:rsidRPr="00E23AA4">
        <w:rPr>
          <w:rFonts w:eastAsia="Calibri" w:cs="Arial"/>
          <w:color w:val="231F20"/>
          <w:spacing w:val="-5"/>
          <w:sz w:val="22"/>
          <w:szCs w:val="22"/>
          <w:lang w:val="en-US" w:eastAsia="en-US"/>
        </w:rPr>
        <w:t>ours</w:t>
      </w:r>
      <w:r w:rsidRPr="00E23AA4">
        <w:rPr>
          <w:rFonts w:eastAsia="Calibri" w:cs="Arial"/>
          <w:color w:val="231F20"/>
          <w:spacing w:val="-1"/>
          <w:sz w:val="22"/>
          <w:szCs w:val="22"/>
          <w:lang w:val="en-US" w:eastAsia="en-US"/>
        </w:rPr>
        <w:t xml:space="preserve"> </w:t>
      </w:r>
      <w:r w:rsidRPr="00E23AA4">
        <w:rPr>
          <w:rFonts w:eastAsia="Calibri" w:cs="Arial"/>
          <w:color w:val="231F20"/>
          <w:sz w:val="22"/>
          <w:szCs w:val="22"/>
          <w:lang w:val="en-US" w:eastAsia="en-US"/>
        </w:rPr>
        <w:t>sincerely</w:t>
      </w:r>
    </w:p>
    <w:p w14:paraId="738596CE" w14:textId="77777777" w:rsidR="00317FA0" w:rsidRPr="00E23AA4" w:rsidRDefault="00317FA0" w:rsidP="00317FA0">
      <w:pPr>
        <w:widowControl w:val="0"/>
        <w:spacing w:before="0" w:after="0"/>
        <w:ind w:left="1039" w:right="2417"/>
        <w:rPr>
          <w:rFonts w:eastAsia="Calibri" w:cs="Arial"/>
          <w:color w:val="231F20"/>
          <w:sz w:val="22"/>
          <w:szCs w:val="22"/>
          <w:lang w:val="en-US" w:eastAsia="en-US"/>
        </w:rPr>
      </w:pPr>
      <w:r w:rsidRPr="00E23AA4">
        <w:rPr>
          <w:rFonts w:ascii="Calibri" w:eastAsia="Calibri" w:hAnsi="Calibri"/>
          <w:noProof/>
          <w:sz w:val="22"/>
          <w:szCs w:val="22"/>
        </w:rPr>
        <w:drawing>
          <wp:inline distT="0" distB="0" distL="0" distR="0" wp14:anchorId="78DFD717" wp14:editId="2F3A567F">
            <wp:extent cx="1659890" cy="545465"/>
            <wp:effectExtent l="0" t="0" r="0" b="6985"/>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9890" cy="545465"/>
                    </a:xfrm>
                    <a:prstGeom prst="rect">
                      <a:avLst/>
                    </a:prstGeom>
                    <a:noFill/>
                    <a:ln>
                      <a:noFill/>
                    </a:ln>
                  </pic:spPr>
                </pic:pic>
              </a:graphicData>
            </a:graphic>
          </wp:inline>
        </w:drawing>
      </w:r>
    </w:p>
    <w:p w14:paraId="66F756AB" w14:textId="77777777" w:rsidR="00317FA0" w:rsidRPr="00E23AA4" w:rsidRDefault="00317FA0" w:rsidP="00317FA0">
      <w:pPr>
        <w:widowControl w:val="0"/>
        <w:spacing w:before="0" w:after="0"/>
        <w:ind w:left="1039" w:right="2417"/>
        <w:rPr>
          <w:rFonts w:eastAsia="Calibri" w:cs="Arial"/>
          <w:color w:val="231F20"/>
          <w:sz w:val="22"/>
          <w:szCs w:val="22"/>
          <w:lang w:val="en-US" w:eastAsia="en-US"/>
        </w:rPr>
      </w:pPr>
    </w:p>
    <w:p w14:paraId="39C4C573" w14:textId="77777777" w:rsidR="00317FA0" w:rsidRPr="00E23AA4" w:rsidRDefault="00317FA0" w:rsidP="00317FA0">
      <w:pPr>
        <w:widowControl w:val="0"/>
        <w:spacing w:before="0" w:after="0"/>
        <w:ind w:left="319" w:right="2417" w:firstLine="720"/>
        <w:rPr>
          <w:rFonts w:eastAsia="Arial" w:cs="Arial"/>
          <w:sz w:val="22"/>
          <w:szCs w:val="22"/>
          <w:lang w:val="en-US" w:eastAsia="en-US"/>
        </w:rPr>
      </w:pPr>
      <w:r w:rsidRPr="00E23AA4">
        <w:rPr>
          <w:rFonts w:eastAsia="Calibri" w:cs="Arial"/>
          <w:color w:val="231F20"/>
          <w:sz w:val="22"/>
          <w:szCs w:val="22"/>
          <w:lang w:val="en-US" w:eastAsia="en-US"/>
        </w:rPr>
        <w:t>Megan</w:t>
      </w:r>
      <w:r w:rsidRPr="00E23AA4">
        <w:rPr>
          <w:rFonts w:eastAsia="Calibri" w:cs="Arial"/>
          <w:color w:val="231F20"/>
          <w:spacing w:val="-1"/>
          <w:sz w:val="22"/>
          <w:szCs w:val="22"/>
          <w:lang w:val="en-US" w:eastAsia="en-US"/>
        </w:rPr>
        <w:t xml:space="preserve"> </w:t>
      </w:r>
      <w:r w:rsidRPr="00E23AA4">
        <w:rPr>
          <w:rFonts w:eastAsia="Calibri" w:cs="Arial"/>
          <w:color w:val="231F20"/>
          <w:sz w:val="22"/>
          <w:szCs w:val="22"/>
          <w:lang w:val="en-US" w:eastAsia="en-US"/>
        </w:rPr>
        <w:t>Mitchell</w:t>
      </w:r>
    </w:p>
    <w:p w14:paraId="4CD792C3" w14:textId="77777777" w:rsidR="00317FA0" w:rsidRPr="00E23AA4" w:rsidRDefault="00317FA0" w:rsidP="00317FA0">
      <w:pPr>
        <w:widowControl w:val="0"/>
        <w:spacing w:before="11" w:after="0"/>
        <w:ind w:left="1039" w:right="2417"/>
        <w:rPr>
          <w:rFonts w:eastAsia="Arial" w:cs="Arial"/>
          <w:sz w:val="22"/>
          <w:szCs w:val="22"/>
          <w:lang w:val="en-US" w:eastAsia="en-US"/>
        </w:rPr>
      </w:pPr>
      <w:r w:rsidRPr="00E23AA4">
        <w:rPr>
          <w:rFonts w:eastAsia="Arial" w:cs="Arial"/>
          <w:b/>
          <w:bCs/>
          <w:color w:val="231F20"/>
          <w:spacing w:val="-1"/>
          <w:sz w:val="22"/>
          <w:szCs w:val="22"/>
          <w:lang w:val="en-US" w:eastAsia="en-US"/>
        </w:rPr>
        <w:t>National</w:t>
      </w:r>
      <w:r w:rsidRPr="00E23AA4">
        <w:rPr>
          <w:rFonts w:eastAsia="Arial" w:cs="Arial"/>
          <w:b/>
          <w:bCs/>
          <w:color w:val="231F20"/>
          <w:spacing w:val="-10"/>
          <w:sz w:val="22"/>
          <w:szCs w:val="22"/>
          <w:lang w:val="en-US" w:eastAsia="en-US"/>
        </w:rPr>
        <w:t xml:space="preserve"> </w:t>
      </w:r>
      <w:r w:rsidRPr="00E23AA4">
        <w:rPr>
          <w:rFonts w:eastAsia="Arial" w:cs="Arial"/>
          <w:b/>
          <w:bCs/>
          <w:color w:val="231F20"/>
          <w:spacing w:val="-2"/>
          <w:sz w:val="22"/>
          <w:szCs w:val="22"/>
          <w:lang w:val="en-US" w:eastAsia="en-US"/>
        </w:rPr>
        <w:t>Children’s</w:t>
      </w:r>
      <w:r w:rsidRPr="00E23AA4">
        <w:rPr>
          <w:rFonts w:eastAsia="Arial" w:cs="Arial"/>
          <w:b/>
          <w:bCs/>
          <w:color w:val="231F20"/>
          <w:spacing w:val="-10"/>
          <w:sz w:val="22"/>
          <w:szCs w:val="22"/>
          <w:lang w:val="en-US" w:eastAsia="en-US"/>
        </w:rPr>
        <w:t xml:space="preserve"> </w:t>
      </w:r>
      <w:r w:rsidRPr="00E23AA4">
        <w:rPr>
          <w:rFonts w:eastAsia="Arial" w:cs="Arial"/>
          <w:b/>
          <w:bCs/>
          <w:color w:val="231F20"/>
          <w:spacing w:val="-1"/>
          <w:sz w:val="22"/>
          <w:szCs w:val="22"/>
          <w:lang w:val="en-US" w:eastAsia="en-US"/>
        </w:rPr>
        <w:t>Commissioner</w:t>
      </w:r>
    </w:p>
    <w:p w14:paraId="05260F58" w14:textId="77777777" w:rsidR="00317FA0" w:rsidRPr="00317FA0" w:rsidRDefault="00317FA0" w:rsidP="00317FA0">
      <w:pPr>
        <w:widowControl w:val="0"/>
        <w:spacing w:before="4" w:after="0" w:line="150" w:lineRule="exact"/>
        <w:rPr>
          <w:rFonts w:eastAsia="Calibri" w:cs="Arial"/>
          <w:sz w:val="15"/>
          <w:szCs w:val="15"/>
          <w:lang w:val="en-US" w:eastAsia="en-US"/>
        </w:rPr>
      </w:pPr>
    </w:p>
    <w:p w14:paraId="202767E8" w14:textId="77777777" w:rsidR="00317FA0" w:rsidRPr="00317FA0" w:rsidRDefault="00317FA0" w:rsidP="00317FA0">
      <w:pPr>
        <w:widowControl w:val="0"/>
        <w:spacing w:before="0" w:after="0" w:line="200" w:lineRule="exact"/>
        <w:rPr>
          <w:rFonts w:eastAsia="Calibri" w:cs="Arial"/>
          <w:sz w:val="20"/>
          <w:szCs w:val="20"/>
          <w:lang w:val="en-US" w:eastAsia="en-US"/>
        </w:rPr>
      </w:pPr>
    </w:p>
    <w:p w14:paraId="22C9E6F5" w14:textId="629C6202" w:rsidR="00317FA0" w:rsidRPr="00317FA0" w:rsidRDefault="00DC64E0" w:rsidP="00317FA0">
      <w:pPr>
        <w:widowControl w:val="0"/>
        <w:spacing w:before="0" w:after="0" w:line="200" w:lineRule="exact"/>
        <w:rPr>
          <w:rFonts w:eastAsia="Calibri" w:cs="Arial"/>
          <w:sz w:val="20"/>
          <w:szCs w:val="20"/>
          <w:lang w:val="en-US" w:eastAsia="en-US"/>
        </w:rPr>
      </w:pPr>
      <w:r w:rsidRPr="00317FA0">
        <w:rPr>
          <w:rFonts w:eastAsia="Calibri" w:cs="Arial"/>
          <w:noProof/>
          <w:sz w:val="22"/>
          <w:szCs w:val="22"/>
        </w:rPr>
        <mc:AlternateContent>
          <mc:Choice Requires="wpg">
            <w:drawing>
              <wp:anchor distT="0" distB="0" distL="114300" distR="114300" simplePos="0" relativeHeight="251660288" behindDoc="1" locked="0" layoutInCell="1" allowOverlap="1" wp14:anchorId="735FFA3F" wp14:editId="6C150A8B">
                <wp:simplePos x="0" y="0"/>
                <wp:positionH relativeFrom="page">
                  <wp:posOffset>1573057</wp:posOffset>
                </wp:positionH>
                <wp:positionV relativeFrom="paragraph">
                  <wp:posOffset>64135</wp:posOffset>
                </wp:positionV>
                <wp:extent cx="4536440" cy="12700"/>
                <wp:effectExtent l="0" t="0" r="0" b="6350"/>
                <wp:wrapNone/>
                <wp:docPr id="697"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6440" cy="12700"/>
                          <a:chOff x="2750" y="-99"/>
                          <a:chExt cx="7144" cy="20"/>
                        </a:xfrm>
                      </wpg:grpSpPr>
                      <wpg:grpSp>
                        <wpg:cNvPr id="698" name="Group 679"/>
                        <wpg:cNvGrpSpPr>
                          <a:grpSpLocks/>
                        </wpg:cNvGrpSpPr>
                        <wpg:grpSpPr bwMode="auto">
                          <a:xfrm>
                            <a:off x="2800" y="-89"/>
                            <a:ext cx="7064" cy="2"/>
                            <a:chOff x="2800" y="-89"/>
                            <a:chExt cx="7064" cy="2"/>
                          </a:xfrm>
                        </wpg:grpSpPr>
                        <wps:wsp>
                          <wps:cNvPr id="699" name="Freeform 680"/>
                          <wps:cNvSpPr>
                            <a:spLocks/>
                          </wps:cNvSpPr>
                          <wps:spPr bwMode="auto">
                            <a:xfrm>
                              <a:off x="2800" y="-89"/>
                              <a:ext cx="7064" cy="2"/>
                            </a:xfrm>
                            <a:custGeom>
                              <a:avLst/>
                              <a:gdLst>
                                <a:gd name="T0" fmla="+- 0 2800 2800"/>
                                <a:gd name="T1" fmla="*/ T0 w 7064"/>
                                <a:gd name="T2" fmla="+- 0 9863 2800"/>
                                <a:gd name="T3" fmla="*/ T2 w 7064"/>
                              </a:gdLst>
                              <a:ahLst/>
                              <a:cxnLst>
                                <a:cxn ang="0">
                                  <a:pos x="T1" y="0"/>
                                </a:cxn>
                                <a:cxn ang="0">
                                  <a:pos x="T3" y="0"/>
                                </a:cxn>
                              </a:cxnLst>
                              <a:rect l="0" t="0" r="r" b="b"/>
                              <a:pathLst>
                                <a:path w="7064">
                                  <a:moveTo>
                                    <a:pt x="0" y="0"/>
                                  </a:moveTo>
                                  <a:lnTo>
                                    <a:pt x="7063" y="0"/>
                                  </a:lnTo>
                                </a:path>
                              </a:pathLst>
                            </a:custGeom>
                            <a:noFill/>
                            <a:ln w="12700">
                              <a:solidFill>
                                <a:srgbClr val="6D6E71"/>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 name="Group 677"/>
                        <wpg:cNvGrpSpPr>
                          <a:grpSpLocks/>
                        </wpg:cNvGrpSpPr>
                        <wpg:grpSpPr bwMode="auto">
                          <a:xfrm>
                            <a:off x="2760" y="-89"/>
                            <a:ext cx="2" cy="2"/>
                            <a:chOff x="2760" y="-89"/>
                            <a:chExt cx="2" cy="2"/>
                          </a:xfrm>
                        </wpg:grpSpPr>
                        <wps:wsp>
                          <wps:cNvPr id="701" name="Freeform 678"/>
                          <wps:cNvSpPr>
                            <a:spLocks/>
                          </wps:cNvSpPr>
                          <wps:spPr bwMode="auto">
                            <a:xfrm>
                              <a:off x="2760" y="-89"/>
                              <a:ext cx="2" cy="2"/>
                            </a:xfrm>
                            <a:custGeom>
                              <a:avLst/>
                              <a:gdLst/>
                              <a:ahLst/>
                              <a:cxnLst>
                                <a:cxn ang="0">
                                  <a:pos x="0" y="0"/>
                                </a:cxn>
                                <a:cxn ang="0">
                                  <a:pos x="0" y="0"/>
                                </a:cxn>
                              </a:cxnLst>
                              <a:rect l="0" t="0" r="r" b="b"/>
                              <a:pathLst>
                                <a:path>
                                  <a:moveTo>
                                    <a:pt x="0" y="0"/>
                                  </a:moveTo>
                                  <a:lnTo>
                                    <a:pt x="0" y="0"/>
                                  </a:lnTo>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2" name="Group 675"/>
                        <wpg:cNvGrpSpPr>
                          <a:grpSpLocks/>
                        </wpg:cNvGrpSpPr>
                        <wpg:grpSpPr bwMode="auto">
                          <a:xfrm>
                            <a:off x="9883" y="-89"/>
                            <a:ext cx="2" cy="2"/>
                            <a:chOff x="9883" y="-89"/>
                            <a:chExt cx="2" cy="2"/>
                          </a:xfrm>
                        </wpg:grpSpPr>
                        <wps:wsp>
                          <wps:cNvPr id="703" name="Freeform 676"/>
                          <wps:cNvSpPr>
                            <a:spLocks/>
                          </wps:cNvSpPr>
                          <wps:spPr bwMode="auto">
                            <a:xfrm>
                              <a:off x="9883" y="-89"/>
                              <a:ext cx="2" cy="2"/>
                            </a:xfrm>
                            <a:custGeom>
                              <a:avLst/>
                              <a:gdLst/>
                              <a:ahLst/>
                              <a:cxnLst>
                                <a:cxn ang="0">
                                  <a:pos x="0" y="0"/>
                                </a:cxn>
                                <a:cxn ang="0">
                                  <a:pos x="0" y="0"/>
                                </a:cxn>
                              </a:cxnLst>
                              <a:rect l="0" t="0" r="r" b="b"/>
                              <a:pathLst>
                                <a:path>
                                  <a:moveTo>
                                    <a:pt x="0" y="0"/>
                                  </a:moveTo>
                                  <a:lnTo>
                                    <a:pt x="0" y="0"/>
                                  </a:lnTo>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4F4C17" id="Group 674" o:spid="_x0000_s1026" style="position:absolute;margin-left:123.85pt;margin-top:5.05pt;width:357.2pt;height:1pt;z-index:-251656192;mso-position-horizontal-relative:page" coordorigin="2750,-99" coordsize="71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">
                <v:group id="Group 679" o:spid="_x0000_s1027" style="position:absolute;left:2800;top:-89;width:7064;height:2" coordorigin="2800,-89" coordsize="70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Freeform 680" o:spid="_x0000_s1028" style="position:absolute;left:2800;top:-89;width:7064;height:2;visibility:visible;mso-wrap-style:square;v-text-anchor:top" coordsize="7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iN2cIA&#10;AADcAAAADwAAAGRycy9kb3ducmV2LnhtbESP3YrCMBSE7wXfIRzBO01VFK1GEUFxcUH8eYBDc2yK&#10;zUlpota3NwvCXg4z8w2zWDW2FE+qfeFYwaCfgCDOnC44V3C9bHtTED4gaywdk4I3eVgt260Fptq9&#10;+ETPc8hFhLBPUYEJoUql9Jkhi77vKuLo3VxtMURZ51LX+IpwW8phkkykxYLjgsGKNoay+/lhI2Vk&#10;Tokc69/ddDf4uY4Pxz3iUalup1nPQQRqwn/4295rBZPZDP7OxCMg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I3ZwgAAANwAAAAPAAAAAAAAAAAAAAAAAJgCAABkcnMvZG93&#10;bnJldi54bWxQSwUGAAAAAAQABAD1AAAAhwMAAAAA&#10;" path="m,l7063,e" filled="f" strokecolor="#6d6e71" strokeweight="1pt">
                    <v:stroke dashstyle="dash"/>
                    <v:path arrowok="t" o:connecttype="custom" o:connectlocs="0,0;7063,0" o:connectangles="0,0"/>
                  </v:shape>
                </v:group>
                <v:group id="Group 677" o:spid="_x0000_s1029" style="position:absolute;left:2760;top:-89;width:2;height:2" coordorigin="2760,-8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Freeform 678" o:spid="_x0000_s1030" style="position:absolute;left:2760;top:-8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sKcQA&#10;AADcAAAADwAAAGRycy9kb3ducmV2LnhtbESPQWvCQBSE7wX/w/IEb3VjD1ZSV1FBqHrSBs/P3WcS&#10;zL6N2TWJ/75bKHgcZuYbZr7sbSVaanzpWMFknIAg1s6UnCvIfrbvMxA+IBusHJOCJ3lYLgZvc0yN&#10;6/hI7SnkIkLYp6igCKFOpfS6IIt+7Gri6F1dYzFE2eTSNNhFuK3kR5JMpcWS40KBNW0K0rfTwyq4&#10;SL1tV+vufDjUu+x83Nyzi94rNRr2qy8QgfrwCv+3v42Cz2QCf2fi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17CnEAAAA3AAAAA8AAAAAAAAAAAAAAAAAmAIAAGRycy9k&#10;b3ducmV2LnhtbFBLBQYAAAAABAAEAPUAAACJAwAAAAA=&#10;" path="m,l,e" filled="f" strokecolor="#6d6e71" strokeweight="1pt">
                    <v:path arrowok="t" o:connecttype="custom" o:connectlocs="0,0;0,0" o:connectangles="0,0"/>
                  </v:shape>
                </v:group>
                <v:group id="Group 675" o:spid="_x0000_s1031" style="position:absolute;left:9883;top:-89;width:2;height:2" coordorigin="9883,-8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676" o:spid="_x0000_s1032" style="position:absolute;left:9883;top:-8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XxcQA&#10;AADcAAAADwAAAGRycy9kb3ducmV2LnhtbESPQWvCQBSE7wX/w/KE3urGFqpEV1FBsPWkDZ6fu88k&#10;mH2bZtck/feuIPQ4zMw3zHzZ20q01PjSsYLxKAFBrJ0pOVeQ/WzfpiB8QDZYOSYFf+RhuRi8zDE1&#10;ruMDtceQiwhhn6KCIoQ6ldLrgiz6kauJo3dxjcUQZZNL02AX4baS70nyKS2WHBcKrGlTkL4eb1bB&#10;Weptu1p3p/2+/spOh81vdtbfSr0O+9UMRKA+/Ief7Z1RMEk+4H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r18XEAAAA3AAAAA8AAAAAAAAAAAAAAAAAmAIAAGRycy9k&#10;b3ducmV2LnhtbFBLBQYAAAAABAAEAPUAAACJAwAAAAA=&#10;" path="m,l,e" filled="f" strokecolor="#6d6e71" strokeweight="1pt">
                    <v:path arrowok="t" o:connecttype="custom" o:connectlocs="0,0;0,0" o:connectangles="0,0"/>
                  </v:shape>
                </v:group>
                <w10:wrap anchorx="page"/>
              </v:group>
            </w:pict>
          </mc:Fallback>
        </mc:AlternateContent>
      </w:r>
    </w:p>
    <w:p w14:paraId="36ADF6E8" w14:textId="022BBA72" w:rsidR="00317FA0" w:rsidRPr="00317FA0" w:rsidRDefault="00317FA0" w:rsidP="00317FA0">
      <w:pPr>
        <w:widowControl w:val="0"/>
        <w:spacing w:before="79" w:after="0"/>
        <w:ind w:left="1069" w:right="2417"/>
        <w:rPr>
          <w:rFonts w:eastAsia="Arial" w:cs="Arial"/>
          <w:sz w:val="16"/>
          <w:szCs w:val="16"/>
          <w:lang w:val="en-US" w:eastAsia="en-US"/>
        </w:rPr>
      </w:pPr>
      <w:r w:rsidRPr="00317FA0">
        <w:rPr>
          <w:rFonts w:eastAsia="Calibri" w:cs="Arial"/>
          <w:color w:val="231F20"/>
          <w:w w:val="90"/>
          <w:sz w:val="16"/>
          <w:szCs w:val="22"/>
          <w:lang w:val="en-US" w:eastAsia="en-US"/>
        </w:rPr>
        <w:t>Australian</w:t>
      </w:r>
      <w:r w:rsidRPr="00317FA0">
        <w:rPr>
          <w:rFonts w:eastAsia="Calibri" w:cs="Arial"/>
          <w:color w:val="231F20"/>
          <w:spacing w:val="-1"/>
          <w:w w:val="90"/>
          <w:sz w:val="16"/>
          <w:szCs w:val="22"/>
          <w:lang w:val="en-US" w:eastAsia="en-US"/>
        </w:rPr>
        <w:t xml:space="preserve"> Human Rights</w:t>
      </w:r>
      <w:r w:rsidRPr="00317FA0">
        <w:rPr>
          <w:rFonts w:eastAsia="Calibri" w:cs="Arial"/>
          <w:color w:val="231F20"/>
          <w:w w:val="90"/>
          <w:sz w:val="16"/>
          <w:szCs w:val="22"/>
          <w:lang w:val="en-US" w:eastAsia="en-US"/>
        </w:rPr>
        <w:t xml:space="preserve"> </w:t>
      </w:r>
      <w:r w:rsidRPr="00317FA0">
        <w:rPr>
          <w:rFonts w:eastAsia="Calibri" w:cs="Arial"/>
          <w:color w:val="231F20"/>
          <w:spacing w:val="-1"/>
          <w:w w:val="90"/>
          <w:sz w:val="16"/>
          <w:szCs w:val="22"/>
          <w:lang w:val="en-US" w:eastAsia="en-US"/>
        </w:rPr>
        <w:t>Commission</w:t>
      </w:r>
    </w:p>
    <w:p w14:paraId="4AE5FB12" w14:textId="77777777" w:rsidR="00317FA0" w:rsidRPr="00317FA0" w:rsidRDefault="00317FA0" w:rsidP="00317FA0">
      <w:pPr>
        <w:widowControl w:val="0"/>
        <w:spacing w:before="121" w:after="0"/>
        <w:ind w:left="1069" w:right="2417"/>
        <w:rPr>
          <w:rFonts w:eastAsia="Arial" w:cs="Arial"/>
          <w:sz w:val="16"/>
          <w:szCs w:val="16"/>
          <w:lang w:val="en-US" w:eastAsia="en-US"/>
        </w:rPr>
      </w:pPr>
      <w:r w:rsidRPr="00317FA0">
        <w:rPr>
          <w:rFonts w:eastAsia="Calibri" w:cs="Arial"/>
          <w:color w:val="231F20"/>
          <w:spacing w:val="-1"/>
          <w:sz w:val="16"/>
          <w:szCs w:val="22"/>
          <w:lang w:val="en-US" w:eastAsia="en-US"/>
        </w:rPr>
        <w:t>Level</w:t>
      </w:r>
      <w:r w:rsidRPr="00317FA0">
        <w:rPr>
          <w:rFonts w:eastAsia="Calibri" w:cs="Arial"/>
          <w:color w:val="231F20"/>
          <w:spacing w:val="-2"/>
          <w:sz w:val="16"/>
          <w:szCs w:val="22"/>
          <w:lang w:val="en-US" w:eastAsia="en-US"/>
        </w:rPr>
        <w:t xml:space="preserve"> </w:t>
      </w:r>
      <w:r w:rsidRPr="00317FA0">
        <w:rPr>
          <w:rFonts w:eastAsia="Calibri" w:cs="Arial"/>
          <w:color w:val="231F20"/>
          <w:spacing w:val="-1"/>
          <w:sz w:val="16"/>
          <w:szCs w:val="22"/>
          <w:lang w:val="en-US" w:eastAsia="en-US"/>
        </w:rPr>
        <w:t xml:space="preserve">3, 175 </w:t>
      </w:r>
      <w:r w:rsidRPr="00317FA0">
        <w:rPr>
          <w:rFonts w:eastAsia="Calibri" w:cs="Arial"/>
          <w:color w:val="231F20"/>
          <w:sz w:val="16"/>
          <w:szCs w:val="22"/>
          <w:lang w:val="en-US" w:eastAsia="en-US"/>
        </w:rPr>
        <w:t>Pitt</w:t>
      </w:r>
      <w:r w:rsidRPr="00317FA0">
        <w:rPr>
          <w:rFonts w:eastAsia="Calibri" w:cs="Arial"/>
          <w:color w:val="231F20"/>
          <w:spacing w:val="-1"/>
          <w:sz w:val="16"/>
          <w:szCs w:val="22"/>
          <w:lang w:val="en-US" w:eastAsia="en-US"/>
        </w:rPr>
        <w:t xml:space="preserve"> </w:t>
      </w:r>
      <w:r w:rsidRPr="00317FA0">
        <w:rPr>
          <w:rFonts w:eastAsia="Calibri" w:cs="Arial"/>
          <w:color w:val="231F20"/>
          <w:sz w:val="16"/>
          <w:szCs w:val="22"/>
          <w:lang w:val="en-US" w:eastAsia="en-US"/>
        </w:rPr>
        <w:t>Street,</w:t>
      </w:r>
      <w:r w:rsidRPr="00317FA0">
        <w:rPr>
          <w:rFonts w:eastAsia="Calibri" w:cs="Arial"/>
          <w:color w:val="231F20"/>
          <w:spacing w:val="-1"/>
          <w:sz w:val="16"/>
          <w:szCs w:val="22"/>
          <w:lang w:val="en-US" w:eastAsia="en-US"/>
        </w:rPr>
        <w:t xml:space="preserve"> </w:t>
      </w:r>
      <w:r w:rsidRPr="00317FA0">
        <w:rPr>
          <w:rFonts w:eastAsia="Calibri" w:cs="Arial"/>
          <w:color w:val="231F20"/>
          <w:sz w:val="16"/>
          <w:szCs w:val="22"/>
          <w:lang w:val="en-US" w:eastAsia="en-US"/>
        </w:rPr>
        <w:t>Sydney</w:t>
      </w:r>
      <w:r w:rsidRPr="00317FA0">
        <w:rPr>
          <w:rFonts w:eastAsia="Calibri" w:cs="Arial"/>
          <w:color w:val="231F20"/>
          <w:spacing w:val="-3"/>
          <w:sz w:val="16"/>
          <w:szCs w:val="22"/>
          <w:lang w:val="en-US" w:eastAsia="en-US"/>
        </w:rPr>
        <w:t xml:space="preserve"> </w:t>
      </w:r>
      <w:r w:rsidRPr="00317FA0">
        <w:rPr>
          <w:rFonts w:eastAsia="Calibri" w:cs="Arial"/>
          <w:color w:val="231F20"/>
          <w:spacing w:val="-1"/>
          <w:sz w:val="16"/>
          <w:szCs w:val="22"/>
          <w:lang w:val="en-US" w:eastAsia="en-US"/>
        </w:rPr>
        <w:t>NSW 2000</w:t>
      </w:r>
    </w:p>
    <w:p w14:paraId="73DDC4BE" w14:textId="77777777" w:rsidR="00317FA0" w:rsidRPr="00317FA0" w:rsidRDefault="00317FA0" w:rsidP="00317FA0">
      <w:pPr>
        <w:widowControl w:val="0"/>
        <w:spacing w:before="8" w:after="0"/>
        <w:ind w:left="1069" w:right="2417"/>
        <w:rPr>
          <w:rFonts w:eastAsia="Arial" w:cs="Arial"/>
          <w:sz w:val="16"/>
          <w:szCs w:val="16"/>
          <w:lang w:val="en-US" w:eastAsia="en-US"/>
        </w:rPr>
      </w:pPr>
      <w:r w:rsidRPr="00317FA0">
        <w:rPr>
          <w:rFonts w:eastAsia="Calibri" w:cs="Arial"/>
          <w:color w:val="231F20"/>
          <w:sz w:val="16"/>
          <w:szCs w:val="22"/>
          <w:lang w:val="en-US" w:eastAsia="en-US"/>
        </w:rPr>
        <w:t>GPO</w:t>
      </w:r>
      <w:r w:rsidRPr="00317FA0">
        <w:rPr>
          <w:rFonts w:eastAsia="Calibri" w:cs="Arial"/>
          <w:color w:val="231F20"/>
          <w:spacing w:val="-2"/>
          <w:sz w:val="16"/>
          <w:szCs w:val="22"/>
          <w:lang w:val="en-US" w:eastAsia="en-US"/>
        </w:rPr>
        <w:t xml:space="preserve"> </w:t>
      </w:r>
      <w:r w:rsidRPr="00317FA0">
        <w:rPr>
          <w:rFonts w:eastAsia="Calibri" w:cs="Arial"/>
          <w:color w:val="231F20"/>
          <w:sz w:val="16"/>
          <w:szCs w:val="22"/>
          <w:lang w:val="en-US" w:eastAsia="en-US"/>
        </w:rPr>
        <w:t>Box</w:t>
      </w:r>
      <w:r w:rsidRPr="00317FA0">
        <w:rPr>
          <w:rFonts w:eastAsia="Calibri" w:cs="Arial"/>
          <w:color w:val="231F20"/>
          <w:spacing w:val="-2"/>
          <w:sz w:val="16"/>
          <w:szCs w:val="22"/>
          <w:lang w:val="en-US" w:eastAsia="en-US"/>
        </w:rPr>
        <w:t xml:space="preserve"> </w:t>
      </w:r>
      <w:r w:rsidRPr="00317FA0">
        <w:rPr>
          <w:rFonts w:eastAsia="Calibri" w:cs="Arial"/>
          <w:color w:val="231F20"/>
          <w:spacing w:val="-1"/>
          <w:sz w:val="16"/>
          <w:szCs w:val="22"/>
          <w:lang w:val="en-US" w:eastAsia="en-US"/>
        </w:rPr>
        <w:t xml:space="preserve">5218, </w:t>
      </w:r>
      <w:r w:rsidRPr="00317FA0">
        <w:rPr>
          <w:rFonts w:eastAsia="Calibri" w:cs="Arial"/>
          <w:color w:val="231F20"/>
          <w:sz w:val="16"/>
          <w:szCs w:val="22"/>
          <w:lang w:val="en-US" w:eastAsia="en-US"/>
        </w:rPr>
        <w:t>Sydney</w:t>
      </w:r>
      <w:r w:rsidRPr="00317FA0">
        <w:rPr>
          <w:rFonts w:eastAsia="Calibri" w:cs="Arial"/>
          <w:color w:val="231F20"/>
          <w:spacing w:val="-1"/>
          <w:sz w:val="16"/>
          <w:szCs w:val="22"/>
          <w:lang w:val="en-US" w:eastAsia="en-US"/>
        </w:rPr>
        <w:t xml:space="preserve"> NSW 2001</w:t>
      </w:r>
    </w:p>
    <w:p w14:paraId="1DD199BF" w14:textId="77777777" w:rsidR="00317FA0" w:rsidRPr="00317FA0" w:rsidRDefault="00317FA0" w:rsidP="00317FA0">
      <w:pPr>
        <w:widowControl w:val="0"/>
        <w:spacing w:before="121" w:after="0"/>
        <w:ind w:left="1069" w:right="2417"/>
        <w:rPr>
          <w:rFonts w:eastAsia="Arial" w:cs="Arial"/>
          <w:sz w:val="16"/>
          <w:szCs w:val="16"/>
          <w:lang w:val="en-US" w:eastAsia="en-US"/>
        </w:rPr>
      </w:pPr>
      <w:r w:rsidRPr="00317FA0">
        <w:rPr>
          <w:rFonts w:eastAsia="Calibri" w:cs="Arial"/>
          <w:i/>
          <w:color w:val="231F20"/>
          <w:spacing w:val="-3"/>
          <w:sz w:val="16"/>
          <w:szCs w:val="22"/>
          <w:lang w:val="en-US" w:eastAsia="en-US"/>
        </w:rPr>
        <w:t>Telephone:</w:t>
      </w:r>
      <w:r w:rsidRPr="00317FA0">
        <w:rPr>
          <w:rFonts w:eastAsia="Calibri" w:cs="Arial"/>
          <w:i/>
          <w:color w:val="231F20"/>
          <w:spacing w:val="-1"/>
          <w:sz w:val="16"/>
          <w:szCs w:val="22"/>
          <w:lang w:val="en-US" w:eastAsia="en-US"/>
        </w:rPr>
        <w:t xml:space="preserve"> </w:t>
      </w:r>
      <w:r w:rsidRPr="00317FA0">
        <w:rPr>
          <w:rFonts w:eastAsia="Calibri" w:cs="Arial"/>
          <w:color w:val="231F20"/>
          <w:spacing w:val="-1"/>
          <w:sz w:val="16"/>
          <w:szCs w:val="22"/>
          <w:lang w:val="en-US" w:eastAsia="en-US"/>
        </w:rPr>
        <w:t>02</w:t>
      </w:r>
      <w:r w:rsidRPr="00317FA0">
        <w:rPr>
          <w:rFonts w:eastAsia="Calibri" w:cs="Arial"/>
          <w:color w:val="231F20"/>
          <w:sz w:val="16"/>
          <w:szCs w:val="22"/>
          <w:lang w:val="en-US" w:eastAsia="en-US"/>
        </w:rPr>
        <w:t xml:space="preserve"> </w:t>
      </w:r>
      <w:r w:rsidRPr="00317FA0">
        <w:rPr>
          <w:rFonts w:eastAsia="Calibri" w:cs="Arial"/>
          <w:color w:val="231F20"/>
          <w:spacing w:val="-1"/>
          <w:sz w:val="16"/>
          <w:szCs w:val="22"/>
          <w:lang w:val="en-US" w:eastAsia="en-US"/>
        </w:rPr>
        <w:t>9284</w:t>
      </w:r>
      <w:r w:rsidRPr="00317FA0">
        <w:rPr>
          <w:rFonts w:eastAsia="Calibri" w:cs="Arial"/>
          <w:color w:val="231F20"/>
          <w:sz w:val="16"/>
          <w:szCs w:val="22"/>
          <w:lang w:val="en-US" w:eastAsia="en-US"/>
        </w:rPr>
        <w:t xml:space="preserve"> </w:t>
      </w:r>
      <w:r w:rsidRPr="00317FA0">
        <w:rPr>
          <w:rFonts w:eastAsia="Calibri" w:cs="Arial"/>
          <w:color w:val="231F20"/>
          <w:spacing w:val="-1"/>
          <w:sz w:val="16"/>
          <w:szCs w:val="22"/>
          <w:lang w:val="en-US" w:eastAsia="en-US"/>
        </w:rPr>
        <w:t>9600</w:t>
      </w:r>
    </w:p>
    <w:p w14:paraId="0D03FD72" w14:textId="77777777" w:rsidR="00317FA0" w:rsidRPr="00317FA0" w:rsidRDefault="00317FA0" w:rsidP="00317FA0">
      <w:pPr>
        <w:widowControl w:val="0"/>
        <w:spacing w:before="8" w:after="0"/>
        <w:ind w:left="1069" w:right="2417"/>
        <w:rPr>
          <w:rFonts w:eastAsia="Arial" w:cs="Arial"/>
          <w:sz w:val="16"/>
          <w:szCs w:val="16"/>
          <w:lang w:val="en-US" w:eastAsia="en-US"/>
        </w:rPr>
      </w:pPr>
      <w:r w:rsidRPr="00317FA0">
        <w:rPr>
          <w:rFonts w:eastAsia="Calibri" w:cs="Arial"/>
          <w:i/>
          <w:color w:val="231F20"/>
          <w:sz w:val="16"/>
          <w:szCs w:val="22"/>
          <w:lang w:val="en-US" w:eastAsia="en-US"/>
        </w:rPr>
        <w:t>Facsimile:</w:t>
      </w:r>
      <w:r w:rsidRPr="00317FA0">
        <w:rPr>
          <w:rFonts w:eastAsia="Calibri" w:cs="Arial"/>
          <w:i/>
          <w:color w:val="231F20"/>
          <w:spacing w:val="-1"/>
          <w:sz w:val="16"/>
          <w:szCs w:val="22"/>
          <w:lang w:val="en-US" w:eastAsia="en-US"/>
        </w:rPr>
        <w:t xml:space="preserve"> </w:t>
      </w:r>
      <w:r w:rsidRPr="00317FA0">
        <w:rPr>
          <w:rFonts w:eastAsia="Calibri" w:cs="Arial"/>
          <w:color w:val="231F20"/>
          <w:spacing w:val="-1"/>
          <w:sz w:val="16"/>
          <w:szCs w:val="22"/>
          <w:lang w:val="en-US" w:eastAsia="en-US"/>
        </w:rPr>
        <w:t>02</w:t>
      </w:r>
      <w:r w:rsidRPr="00317FA0">
        <w:rPr>
          <w:rFonts w:eastAsia="Calibri" w:cs="Arial"/>
          <w:color w:val="231F20"/>
          <w:sz w:val="16"/>
          <w:szCs w:val="22"/>
          <w:lang w:val="en-US" w:eastAsia="en-US"/>
        </w:rPr>
        <w:t xml:space="preserve"> </w:t>
      </w:r>
      <w:r w:rsidRPr="00317FA0">
        <w:rPr>
          <w:rFonts w:eastAsia="Calibri" w:cs="Arial"/>
          <w:color w:val="231F20"/>
          <w:spacing w:val="-1"/>
          <w:sz w:val="16"/>
          <w:szCs w:val="22"/>
          <w:lang w:val="en-US" w:eastAsia="en-US"/>
        </w:rPr>
        <w:t>9284</w:t>
      </w:r>
      <w:r w:rsidRPr="00317FA0">
        <w:rPr>
          <w:rFonts w:eastAsia="Calibri" w:cs="Arial"/>
          <w:color w:val="231F20"/>
          <w:sz w:val="16"/>
          <w:szCs w:val="22"/>
          <w:lang w:val="en-US" w:eastAsia="en-US"/>
        </w:rPr>
        <w:t xml:space="preserve"> </w:t>
      </w:r>
      <w:r w:rsidRPr="00317FA0">
        <w:rPr>
          <w:rFonts w:eastAsia="Calibri" w:cs="Arial"/>
          <w:color w:val="231F20"/>
          <w:spacing w:val="-4"/>
          <w:sz w:val="16"/>
          <w:szCs w:val="22"/>
          <w:lang w:val="en-US" w:eastAsia="en-US"/>
        </w:rPr>
        <w:t>9611</w:t>
      </w:r>
    </w:p>
    <w:p w14:paraId="6D1EB5B5" w14:textId="77777777" w:rsidR="00317FA0" w:rsidRPr="00317FA0" w:rsidRDefault="00317FA0" w:rsidP="00317FA0">
      <w:pPr>
        <w:widowControl w:val="0"/>
        <w:spacing w:before="8" w:after="0"/>
        <w:ind w:left="1069" w:right="2417"/>
        <w:rPr>
          <w:rFonts w:eastAsia="Arial" w:cs="Arial"/>
          <w:sz w:val="16"/>
          <w:szCs w:val="16"/>
          <w:lang w:val="en-US" w:eastAsia="en-US"/>
        </w:rPr>
      </w:pPr>
      <w:r w:rsidRPr="00317FA0">
        <w:rPr>
          <w:rFonts w:eastAsia="Calibri" w:cs="Arial"/>
          <w:i/>
          <w:color w:val="231F20"/>
          <w:spacing w:val="-2"/>
          <w:sz w:val="16"/>
          <w:szCs w:val="22"/>
          <w:lang w:val="en-US" w:eastAsia="en-US"/>
        </w:rPr>
        <w:t xml:space="preserve">Website: </w:t>
      </w:r>
      <w:hyperlink r:id="rId30">
        <w:r w:rsidRPr="00317FA0">
          <w:rPr>
            <w:rFonts w:eastAsia="Calibri" w:cs="Arial"/>
            <w:color w:val="231F20"/>
            <w:spacing w:val="-2"/>
            <w:sz w:val="16"/>
            <w:szCs w:val="22"/>
            <w:lang w:val="en-US" w:eastAsia="en-US"/>
          </w:rPr>
          <w:t>www.humanrights.gov.au</w:t>
        </w:r>
      </w:hyperlink>
    </w:p>
    <w:p w14:paraId="1077B2BF" w14:textId="72143EBE" w:rsidR="00957C72" w:rsidRPr="00BD1C67" w:rsidRDefault="00317FA0" w:rsidP="00354AA1">
      <w:pPr>
        <w:spacing w:before="0" w:after="0"/>
        <w:jc w:val="both"/>
        <w:rPr>
          <w:b/>
        </w:rPr>
      </w:pPr>
      <w:r>
        <w:rPr>
          <w:b/>
        </w:rPr>
        <w:br w:type="column"/>
      </w:r>
      <w:r w:rsidR="00957C72" w:rsidRPr="00BD1C67">
        <w:rPr>
          <w:b/>
        </w:rPr>
        <w:lastRenderedPageBreak/>
        <w:t>About the National Children’s Commissioner</w:t>
      </w:r>
    </w:p>
    <w:p w14:paraId="5B10F478" w14:textId="77777777" w:rsidR="00957C72" w:rsidRDefault="00957C72" w:rsidP="00354AA1">
      <w:pPr>
        <w:spacing w:before="0" w:after="0"/>
        <w:jc w:val="both"/>
      </w:pPr>
    </w:p>
    <w:p w14:paraId="347F8A71" w14:textId="77777777" w:rsidR="00957C72" w:rsidRDefault="00957C72" w:rsidP="00354AA1">
      <w:pPr>
        <w:spacing w:before="0" w:after="0"/>
        <w:jc w:val="both"/>
      </w:pPr>
      <w:r>
        <w:t>Legislation establishing the position of National Children’s Commissioner was passed by the federal Parliament on 25 June 2012.</w:t>
      </w:r>
    </w:p>
    <w:p w14:paraId="1BEEEBA4" w14:textId="77777777" w:rsidR="00957C72" w:rsidRDefault="00957C72" w:rsidP="00354AA1">
      <w:pPr>
        <w:spacing w:before="0" w:after="0"/>
        <w:jc w:val="both"/>
      </w:pPr>
    </w:p>
    <w:p w14:paraId="37D2BD35" w14:textId="77777777" w:rsidR="00957C72" w:rsidRDefault="00957C72" w:rsidP="00354AA1">
      <w:pPr>
        <w:spacing w:before="0" w:after="0"/>
        <w:jc w:val="both"/>
      </w:pPr>
      <w:r>
        <w:t xml:space="preserve">Ms Megan Mitchell was appointed as the inaugural National Children’s Commissioner on 25 February 2013 and commenced in the role on 25 March 2013. </w:t>
      </w:r>
    </w:p>
    <w:p w14:paraId="2AB170CC" w14:textId="77777777" w:rsidR="00957C72" w:rsidRDefault="00957C72" w:rsidP="00354AA1">
      <w:pPr>
        <w:spacing w:before="0" w:after="0"/>
        <w:jc w:val="both"/>
      </w:pPr>
    </w:p>
    <w:p w14:paraId="74411414" w14:textId="77777777" w:rsidR="00957C72" w:rsidRDefault="00957C72" w:rsidP="00354AA1">
      <w:pPr>
        <w:spacing w:before="0" w:after="0"/>
        <w:jc w:val="both"/>
      </w:pPr>
      <w:r>
        <w:t xml:space="preserve">Section 46MB of the </w:t>
      </w:r>
      <w:r w:rsidRPr="0073376A">
        <w:rPr>
          <w:i/>
        </w:rPr>
        <w:t>Australian Human Rights Commission Act 1986</w:t>
      </w:r>
      <w:r>
        <w:t xml:space="preserve"> (Cth) (the Act) describes the functions that are to be performed by the National Children’s Commissioner. Under the Act, the National Children’s Commissioner is specifically required to:</w:t>
      </w:r>
    </w:p>
    <w:p w14:paraId="7FAC3886" w14:textId="77777777" w:rsidR="00957C72" w:rsidRDefault="00957C72" w:rsidP="00354AA1">
      <w:pPr>
        <w:spacing w:before="0" w:after="0"/>
        <w:jc w:val="both"/>
      </w:pPr>
    </w:p>
    <w:p w14:paraId="0D01773A" w14:textId="77777777" w:rsidR="00957C72" w:rsidRDefault="00957C72" w:rsidP="000D1D92">
      <w:pPr>
        <w:pStyle w:val="ListParagraph"/>
        <w:numPr>
          <w:ilvl w:val="0"/>
          <w:numId w:val="71"/>
        </w:numPr>
        <w:spacing w:before="0" w:after="0"/>
        <w:jc w:val="both"/>
      </w:pPr>
      <w:r>
        <w:t>submit a report to the Minister as soon as practicable after 30 June in each year. This report must deal with matters, relating to the enjoyment and exercise of human rights by children in Australia, as the National Children’s Commissioner considers appropriate; and may include recommendations that the Commissioner considers appropriate as to the action that should be taken to ensure the enjoyment and exercise of human rights by children in Australia</w:t>
      </w:r>
    </w:p>
    <w:p w14:paraId="0C479A01" w14:textId="77777777" w:rsidR="00957C72" w:rsidRDefault="00957C72" w:rsidP="000D1D92">
      <w:pPr>
        <w:pStyle w:val="ListParagraph"/>
        <w:numPr>
          <w:ilvl w:val="0"/>
          <w:numId w:val="71"/>
        </w:numPr>
        <w:spacing w:before="0" w:after="0"/>
        <w:jc w:val="both"/>
      </w:pPr>
      <w:r>
        <w:t>promote discussion and awareness of matters relating to the human rights of children in Australia</w:t>
      </w:r>
    </w:p>
    <w:p w14:paraId="31EBD91A" w14:textId="77777777" w:rsidR="00957C72" w:rsidRDefault="00957C72" w:rsidP="000D1D92">
      <w:pPr>
        <w:pStyle w:val="ListParagraph"/>
        <w:numPr>
          <w:ilvl w:val="0"/>
          <w:numId w:val="71"/>
        </w:numPr>
        <w:spacing w:before="0" w:after="0"/>
        <w:jc w:val="both"/>
      </w:pPr>
      <w:r>
        <w:t>undertake research, or educational or other programs, for the purpose of promoting respect for the human rights of children in Australia, and promoting the enjoyment and exercise of human rights by children in Australia</w:t>
      </w:r>
    </w:p>
    <w:p w14:paraId="3FF491E3" w14:textId="77777777" w:rsidR="00957C72" w:rsidRDefault="00957C72" w:rsidP="000D1D92">
      <w:pPr>
        <w:pStyle w:val="ListParagraph"/>
        <w:numPr>
          <w:ilvl w:val="0"/>
          <w:numId w:val="71"/>
        </w:numPr>
        <w:spacing w:before="0" w:after="0"/>
        <w:jc w:val="both"/>
      </w:pPr>
      <w:r>
        <w:t>examine existing and proposed Commonwealth enactments for the purpose of ascertaining whether they recognise and protect the human rights of children in Australia, and to report to the Minister the results of any such examination.</w:t>
      </w:r>
    </w:p>
    <w:p w14:paraId="248D8A55" w14:textId="77777777" w:rsidR="00957C72" w:rsidRDefault="00957C72" w:rsidP="00354AA1">
      <w:pPr>
        <w:spacing w:before="0" w:after="0"/>
        <w:jc w:val="both"/>
      </w:pPr>
    </w:p>
    <w:p w14:paraId="6500A2B0" w14:textId="77777777" w:rsidR="00957C72" w:rsidRDefault="00957C72" w:rsidP="00354AA1">
      <w:pPr>
        <w:spacing w:before="0" w:after="0"/>
        <w:jc w:val="both"/>
      </w:pPr>
      <w:r>
        <w:t xml:space="preserve">In performing these functions, the National Children’s Commissioner may give particular attention to children who are at risk or vulnerable. </w:t>
      </w:r>
    </w:p>
    <w:p w14:paraId="646E2289" w14:textId="77777777" w:rsidR="00957C72" w:rsidRDefault="00957C72" w:rsidP="00354AA1">
      <w:pPr>
        <w:spacing w:before="0" w:after="0"/>
        <w:jc w:val="both"/>
      </w:pPr>
    </w:p>
    <w:p w14:paraId="702FD17C" w14:textId="77777777" w:rsidR="00957C72" w:rsidRDefault="00957C72" w:rsidP="00354AA1">
      <w:pPr>
        <w:spacing w:before="0" w:after="0"/>
        <w:jc w:val="both"/>
      </w:pPr>
      <w:r>
        <w:t>Under the Act, the National Children’s Commissioner is able to compel the production of documents and information held by the Commonwealth.</w:t>
      </w:r>
    </w:p>
    <w:p w14:paraId="75847B94" w14:textId="77777777" w:rsidR="00957C72" w:rsidRDefault="00957C72" w:rsidP="00354AA1">
      <w:pPr>
        <w:spacing w:before="0" w:after="0"/>
        <w:jc w:val="both"/>
      </w:pPr>
    </w:p>
    <w:p w14:paraId="7685CE94" w14:textId="77777777" w:rsidR="00957C72" w:rsidRDefault="00957C72" w:rsidP="00354AA1">
      <w:pPr>
        <w:spacing w:before="0" w:after="0"/>
        <w:jc w:val="both"/>
      </w:pPr>
      <w:r>
        <w:t>The United Nations Convention on the Rights of the Child underpins the work of the National Children’s Commissioner. In addition to having regard to the Convention on the Rights of the Child, the National Children’s Commissioner must have regard to a range of human rights instruments:</w:t>
      </w:r>
    </w:p>
    <w:p w14:paraId="065300AD" w14:textId="77777777" w:rsidR="00957C72" w:rsidRDefault="00957C72" w:rsidP="00354AA1">
      <w:pPr>
        <w:spacing w:before="0" w:after="0"/>
        <w:jc w:val="both"/>
      </w:pPr>
    </w:p>
    <w:p w14:paraId="394D9888" w14:textId="77777777" w:rsidR="00957C72" w:rsidRDefault="00957C72" w:rsidP="000D1D92">
      <w:pPr>
        <w:pStyle w:val="ListParagraph"/>
        <w:numPr>
          <w:ilvl w:val="0"/>
          <w:numId w:val="72"/>
        </w:numPr>
        <w:spacing w:before="0" w:after="0"/>
        <w:jc w:val="both"/>
      </w:pPr>
      <w:r>
        <w:t>Universal Declaration of Human Rights</w:t>
      </w:r>
    </w:p>
    <w:p w14:paraId="70E16F45" w14:textId="77777777" w:rsidR="00957C72" w:rsidRDefault="00957C72" w:rsidP="000D1D92">
      <w:pPr>
        <w:pStyle w:val="ListParagraph"/>
        <w:numPr>
          <w:ilvl w:val="0"/>
          <w:numId w:val="72"/>
        </w:numPr>
        <w:spacing w:before="0" w:after="0"/>
        <w:jc w:val="both"/>
      </w:pPr>
      <w:r>
        <w:t>International Convention on the Elimination of All Forms of Racial Discrimination</w:t>
      </w:r>
    </w:p>
    <w:p w14:paraId="1376B06A" w14:textId="77777777" w:rsidR="00957C72" w:rsidRDefault="00957C72" w:rsidP="000D1D92">
      <w:pPr>
        <w:pStyle w:val="ListParagraph"/>
        <w:numPr>
          <w:ilvl w:val="0"/>
          <w:numId w:val="72"/>
        </w:numPr>
        <w:spacing w:before="0" w:after="0"/>
        <w:jc w:val="both"/>
      </w:pPr>
      <w:r>
        <w:t>International Covenant on Economic, Social and Cultural Rights</w:t>
      </w:r>
    </w:p>
    <w:p w14:paraId="4B5AA035" w14:textId="77777777" w:rsidR="00957C72" w:rsidRDefault="00957C72" w:rsidP="000D1D92">
      <w:pPr>
        <w:pStyle w:val="ListParagraph"/>
        <w:numPr>
          <w:ilvl w:val="0"/>
          <w:numId w:val="72"/>
        </w:numPr>
        <w:spacing w:before="0" w:after="0"/>
        <w:jc w:val="both"/>
      </w:pPr>
      <w:r>
        <w:t>International Covenant on Civil and Political Rights</w:t>
      </w:r>
    </w:p>
    <w:p w14:paraId="6EC0F8F4" w14:textId="77777777" w:rsidR="00957C72" w:rsidRDefault="00957C72" w:rsidP="000D1D92">
      <w:pPr>
        <w:pStyle w:val="ListParagraph"/>
        <w:numPr>
          <w:ilvl w:val="0"/>
          <w:numId w:val="72"/>
        </w:numPr>
        <w:spacing w:before="0" w:after="0"/>
        <w:jc w:val="both"/>
      </w:pPr>
      <w:r>
        <w:t>Convention on the Elimination of All Forms of Discrimination Against Women</w:t>
      </w:r>
    </w:p>
    <w:p w14:paraId="7C1B9176" w14:textId="77777777" w:rsidR="00957C72" w:rsidRDefault="00957C72" w:rsidP="000D1D92">
      <w:pPr>
        <w:pStyle w:val="ListParagraph"/>
        <w:numPr>
          <w:ilvl w:val="0"/>
          <w:numId w:val="72"/>
        </w:numPr>
        <w:spacing w:before="0" w:after="0"/>
        <w:jc w:val="both"/>
      </w:pPr>
      <w:r>
        <w:t>Convention on the Rights of Persons with Disabilities</w:t>
      </w:r>
    </w:p>
    <w:p w14:paraId="48A86091" w14:textId="77777777" w:rsidR="00957C72" w:rsidRDefault="00957C72" w:rsidP="00354AA1">
      <w:pPr>
        <w:spacing w:before="0" w:after="0"/>
        <w:ind w:firstLine="720"/>
        <w:jc w:val="both"/>
      </w:pPr>
      <w:r>
        <w:t xml:space="preserve">and such other instruments relating to human rights considered relevant. </w:t>
      </w:r>
    </w:p>
    <w:p w14:paraId="7E8D6886" w14:textId="77777777" w:rsidR="00957C72" w:rsidRDefault="00957C72" w:rsidP="00354AA1">
      <w:pPr>
        <w:spacing w:before="0" w:after="0"/>
        <w:jc w:val="both"/>
      </w:pPr>
    </w:p>
    <w:p w14:paraId="11EFD252" w14:textId="38C45932" w:rsidR="00957C72" w:rsidRDefault="00957C72" w:rsidP="00354AA1">
      <w:pPr>
        <w:spacing w:before="0" w:after="0"/>
        <w:jc w:val="both"/>
      </w:pPr>
      <w:r>
        <w:t>All Australian states and territories have Children’s Commissioners and/or Guardians and/or Advocates. The legislative functions of these roles differ between jurisdictions.</w:t>
      </w:r>
      <w:r w:rsidR="00317FA0">
        <w:t xml:space="preserve"> </w:t>
      </w:r>
      <w:r>
        <w:lastRenderedPageBreak/>
        <w:t>Some have a broad focus, which include all children, whereas others have specified responsibilities relating to children who are at risk or who are vulnerable. Their primary focus is on issues concerning children within their individual jurisdictions. The National Children’s Commissioner works collaboratively with the state and territory Children’s Commissioners, Guardians and Advocate</w:t>
      </w:r>
      <w:r w:rsidR="0086587F">
        <w:t>s</w:t>
      </w:r>
      <w:r>
        <w:t xml:space="preserve"> through the Australian Children’s Commissioners and Guardians Group. </w:t>
      </w:r>
    </w:p>
    <w:p w14:paraId="38644E29" w14:textId="77777777" w:rsidR="00957C72" w:rsidRDefault="00957C72" w:rsidP="00354AA1">
      <w:pPr>
        <w:spacing w:before="0" w:after="0"/>
        <w:jc w:val="both"/>
        <w:rPr>
          <w:b/>
        </w:rPr>
      </w:pPr>
    </w:p>
    <w:p w14:paraId="7B174179" w14:textId="77777777" w:rsidR="00957C72" w:rsidRPr="0073376A" w:rsidRDefault="00957C72" w:rsidP="00354AA1">
      <w:pPr>
        <w:spacing w:before="0" w:after="0"/>
        <w:jc w:val="both"/>
        <w:rPr>
          <w:b/>
        </w:rPr>
      </w:pPr>
      <w:r w:rsidRPr="0073376A">
        <w:rPr>
          <w:b/>
        </w:rPr>
        <w:t>Previous roles and qualifications</w:t>
      </w:r>
    </w:p>
    <w:p w14:paraId="4637C335" w14:textId="77777777" w:rsidR="00957C72" w:rsidRDefault="00957C72" w:rsidP="00354AA1">
      <w:pPr>
        <w:spacing w:before="0" w:after="0"/>
        <w:jc w:val="both"/>
      </w:pPr>
    </w:p>
    <w:p w14:paraId="644892A8" w14:textId="64295F00" w:rsidR="00957C72" w:rsidRDefault="00317FA0" w:rsidP="00354AA1">
      <w:pPr>
        <w:spacing w:before="0" w:after="0"/>
        <w:jc w:val="both"/>
      </w:pPr>
      <w:r>
        <w:t>Commissioner Mitchell</w:t>
      </w:r>
      <w:r w:rsidR="00957C72">
        <w:t xml:space="preserve"> has extensive experience working with children from all types of backgrounds, including practical expertise in child protection, juvenile justice</w:t>
      </w:r>
      <w:r w:rsidR="00C550A3">
        <w:t xml:space="preserve">, and children’s services. </w:t>
      </w:r>
      <w:r w:rsidR="00957C72">
        <w:t xml:space="preserve">Previous roles include, NSW Commissioner for Children and Young People, Executive Director of the ACT Office for Children, Youth and Family Support, Executive Director for Out-of-Home Care in the NSW Department of Community Services, and CEO of the Australian Council of Social Service. </w:t>
      </w:r>
    </w:p>
    <w:p w14:paraId="4F2F1F08" w14:textId="77777777" w:rsidR="00957C72" w:rsidRDefault="00957C72" w:rsidP="00354AA1">
      <w:pPr>
        <w:spacing w:before="0" w:after="0"/>
        <w:jc w:val="both"/>
      </w:pPr>
    </w:p>
    <w:p w14:paraId="5DC6543D" w14:textId="6B108EB8" w:rsidR="00957C72" w:rsidRDefault="00317FA0" w:rsidP="00354AA1">
      <w:pPr>
        <w:spacing w:before="0" w:after="0"/>
        <w:jc w:val="both"/>
      </w:pPr>
      <w:r>
        <w:t>Commissioner Mitchell</w:t>
      </w:r>
      <w:r w:rsidR="00957C72">
        <w:t xml:space="preserve"> has qualifications in social policy, psychology and education: a Bachelor of Arts from the University of Sydney (1979), a Diploma of Education from the Sydney Teachers College (1980), a Master of Arts (Psychology) from the University of Sydney (1982), and a Master of Arts (Social Policy) from the University of York (1989).</w:t>
      </w:r>
    </w:p>
    <w:p w14:paraId="1C9A9C4D" w14:textId="77777777" w:rsidR="00957C72" w:rsidRDefault="00957C72" w:rsidP="00354AA1">
      <w:pPr>
        <w:spacing w:before="0" w:after="0"/>
        <w:jc w:val="both"/>
      </w:pPr>
    </w:p>
    <w:p w14:paraId="726AFE47" w14:textId="1A61AC52" w:rsidR="00957C72" w:rsidRPr="00A02F56" w:rsidRDefault="00957C72" w:rsidP="00354AA1">
      <w:pPr>
        <w:spacing w:before="0" w:after="0"/>
        <w:jc w:val="both"/>
      </w:pPr>
      <w:r>
        <w:t xml:space="preserve">For information on the work of the National Children’s Commissioner, please visit: </w:t>
      </w:r>
      <w:hyperlink r:id="rId31" w:history="1">
        <w:r w:rsidR="00C550A3" w:rsidRPr="00126108">
          <w:rPr>
            <w:rStyle w:val="Hyperlink"/>
          </w:rPr>
          <w:t>http://www.humanrights.gov.au/our-work/childrens-rights</w:t>
        </w:r>
      </w:hyperlink>
      <w:r>
        <w:t>.</w:t>
      </w:r>
    </w:p>
    <w:p w14:paraId="0DA9CE80" w14:textId="77777777" w:rsidR="005F7541" w:rsidRPr="005F7541" w:rsidRDefault="005F7541" w:rsidP="00354AA1">
      <w:pPr>
        <w:pStyle w:val="TOC1"/>
        <w:jc w:val="both"/>
        <w:rPr>
          <w:rFonts w:asciiTheme="majorHAnsi" w:hAnsiTheme="majorHAnsi"/>
          <w:b/>
          <w:caps/>
          <w:noProof/>
          <w:sz w:val="30"/>
          <w:szCs w:val="30"/>
        </w:rPr>
      </w:pPr>
      <w:r>
        <w:rPr>
          <w:rFonts w:asciiTheme="majorHAnsi" w:hAnsiTheme="majorHAnsi"/>
          <w:b/>
          <w:caps/>
          <w:noProof/>
          <w:sz w:val="30"/>
          <w:szCs w:val="30"/>
        </w:rPr>
        <w:br w:type="column"/>
      </w:r>
      <w:r w:rsidRPr="005F7541">
        <w:rPr>
          <w:rFonts w:asciiTheme="majorHAnsi" w:hAnsiTheme="majorHAnsi"/>
          <w:b/>
          <w:caps/>
          <w:noProof/>
          <w:sz w:val="30"/>
          <w:szCs w:val="30"/>
        </w:rPr>
        <w:lastRenderedPageBreak/>
        <w:t>TABLE OF CONTENTS</w:t>
      </w:r>
    </w:p>
    <w:p w14:paraId="2E53B2A3" w14:textId="77777777" w:rsidR="000C5FE3" w:rsidRDefault="005F7541">
      <w:pPr>
        <w:pStyle w:val="TOC1"/>
        <w:rPr>
          <w:rFonts w:asciiTheme="minorHAnsi" w:eastAsiaTheme="minorEastAsia" w:hAnsiTheme="minorHAnsi" w:cstheme="minorBidi"/>
          <w:bCs w:val="0"/>
          <w:noProof/>
          <w:sz w:val="22"/>
          <w:szCs w:val="22"/>
        </w:rPr>
      </w:pPr>
      <w:r>
        <w:rPr>
          <w:rFonts w:asciiTheme="majorHAnsi" w:hAnsiTheme="majorHAnsi"/>
          <w:caps/>
          <w:noProof/>
          <w:sz w:val="22"/>
        </w:rPr>
        <w:fldChar w:fldCharType="begin"/>
      </w:r>
      <w:r>
        <w:rPr>
          <w:rFonts w:asciiTheme="majorHAnsi" w:hAnsiTheme="majorHAnsi"/>
          <w:caps/>
          <w:noProof/>
          <w:sz w:val="22"/>
        </w:rPr>
        <w:instrText xml:space="preserve"> TOC \o "1-2" \h \z \u </w:instrText>
      </w:r>
      <w:r>
        <w:rPr>
          <w:rFonts w:asciiTheme="majorHAnsi" w:hAnsiTheme="majorHAnsi"/>
          <w:caps/>
          <w:noProof/>
          <w:sz w:val="22"/>
        </w:rPr>
        <w:fldChar w:fldCharType="separate"/>
      </w:r>
      <w:hyperlink w:anchor="_Toc432577298" w:history="1">
        <w:r w:rsidR="000C5FE3" w:rsidRPr="003258EF">
          <w:rPr>
            <w:rStyle w:val="Hyperlink"/>
            <w:noProof/>
          </w:rPr>
          <w:t>Chapter 1</w:t>
        </w:r>
        <w:r w:rsidR="000C5FE3">
          <w:rPr>
            <w:rFonts w:asciiTheme="minorHAnsi" w:eastAsiaTheme="minorEastAsia" w:hAnsiTheme="minorHAnsi" w:cstheme="minorBidi"/>
            <w:bCs w:val="0"/>
            <w:noProof/>
            <w:sz w:val="22"/>
            <w:szCs w:val="22"/>
          </w:rPr>
          <w:tab/>
        </w:r>
        <w:r w:rsidR="000C5FE3" w:rsidRPr="003258EF">
          <w:rPr>
            <w:rStyle w:val="Hyperlink"/>
            <w:noProof/>
          </w:rPr>
          <w:t>My work to promote discussion and awareness of children’s rights in Australia</w:t>
        </w:r>
        <w:r w:rsidR="000C5FE3">
          <w:rPr>
            <w:noProof/>
            <w:webHidden/>
          </w:rPr>
          <w:tab/>
        </w:r>
        <w:r w:rsidR="000C5FE3">
          <w:rPr>
            <w:noProof/>
            <w:webHidden/>
          </w:rPr>
          <w:fldChar w:fldCharType="begin"/>
        </w:r>
        <w:r w:rsidR="000C5FE3">
          <w:rPr>
            <w:noProof/>
            <w:webHidden/>
          </w:rPr>
          <w:instrText xml:space="preserve"> PAGEREF _Toc432577298 \h </w:instrText>
        </w:r>
        <w:r w:rsidR="000C5FE3">
          <w:rPr>
            <w:noProof/>
            <w:webHidden/>
          </w:rPr>
        </w:r>
        <w:r w:rsidR="000C5FE3">
          <w:rPr>
            <w:noProof/>
            <w:webHidden/>
          </w:rPr>
          <w:fldChar w:fldCharType="separate"/>
        </w:r>
        <w:r w:rsidR="000C5FE3">
          <w:rPr>
            <w:noProof/>
            <w:webHidden/>
          </w:rPr>
          <w:t>2</w:t>
        </w:r>
        <w:r w:rsidR="000C5FE3">
          <w:rPr>
            <w:noProof/>
            <w:webHidden/>
          </w:rPr>
          <w:fldChar w:fldCharType="end"/>
        </w:r>
      </w:hyperlink>
    </w:p>
    <w:p w14:paraId="5BF8E0DE" w14:textId="77777777" w:rsidR="000C5FE3" w:rsidRDefault="00185AE1">
      <w:pPr>
        <w:pStyle w:val="TOC2"/>
        <w:tabs>
          <w:tab w:val="left" w:pos="960"/>
          <w:tab w:val="right" w:pos="9060"/>
        </w:tabs>
        <w:rPr>
          <w:rFonts w:asciiTheme="minorHAnsi" w:eastAsiaTheme="minorEastAsia" w:hAnsiTheme="minorHAnsi" w:cstheme="minorBidi"/>
          <w:noProof/>
          <w:sz w:val="22"/>
          <w:szCs w:val="22"/>
        </w:rPr>
      </w:pPr>
      <w:hyperlink w:anchor="_Toc432577299" w:history="1">
        <w:r w:rsidR="000C5FE3" w:rsidRPr="003258EF">
          <w:rPr>
            <w:rStyle w:val="Hyperlink"/>
            <w:noProof/>
          </w:rPr>
          <w:t>1.1</w:t>
        </w:r>
        <w:r w:rsidR="000C5FE3">
          <w:rPr>
            <w:rFonts w:asciiTheme="minorHAnsi" w:eastAsiaTheme="minorEastAsia" w:hAnsiTheme="minorHAnsi" w:cstheme="minorBidi"/>
            <w:noProof/>
            <w:sz w:val="22"/>
            <w:szCs w:val="22"/>
          </w:rPr>
          <w:tab/>
        </w:r>
        <w:r w:rsidR="000C5FE3" w:rsidRPr="003258EF">
          <w:rPr>
            <w:rStyle w:val="Hyperlink"/>
            <w:noProof/>
          </w:rPr>
          <w:t>Introduction</w:t>
        </w:r>
        <w:r w:rsidR="000C5FE3">
          <w:rPr>
            <w:noProof/>
            <w:webHidden/>
          </w:rPr>
          <w:tab/>
        </w:r>
        <w:r w:rsidR="000C5FE3">
          <w:rPr>
            <w:noProof/>
            <w:webHidden/>
          </w:rPr>
          <w:fldChar w:fldCharType="begin"/>
        </w:r>
        <w:r w:rsidR="000C5FE3">
          <w:rPr>
            <w:noProof/>
            <w:webHidden/>
          </w:rPr>
          <w:instrText xml:space="preserve"> PAGEREF _Toc432577299 \h </w:instrText>
        </w:r>
        <w:r w:rsidR="000C5FE3">
          <w:rPr>
            <w:noProof/>
            <w:webHidden/>
          </w:rPr>
        </w:r>
        <w:r w:rsidR="000C5FE3">
          <w:rPr>
            <w:noProof/>
            <w:webHidden/>
          </w:rPr>
          <w:fldChar w:fldCharType="separate"/>
        </w:r>
        <w:r w:rsidR="000C5FE3">
          <w:rPr>
            <w:noProof/>
            <w:webHidden/>
          </w:rPr>
          <w:t>3</w:t>
        </w:r>
        <w:r w:rsidR="000C5FE3">
          <w:rPr>
            <w:noProof/>
            <w:webHidden/>
          </w:rPr>
          <w:fldChar w:fldCharType="end"/>
        </w:r>
      </w:hyperlink>
    </w:p>
    <w:p w14:paraId="75D793B0" w14:textId="77777777" w:rsidR="000C5FE3" w:rsidRDefault="00185AE1">
      <w:pPr>
        <w:pStyle w:val="TOC2"/>
        <w:tabs>
          <w:tab w:val="left" w:pos="960"/>
          <w:tab w:val="right" w:pos="9060"/>
        </w:tabs>
        <w:rPr>
          <w:rFonts w:asciiTheme="minorHAnsi" w:eastAsiaTheme="minorEastAsia" w:hAnsiTheme="minorHAnsi" w:cstheme="minorBidi"/>
          <w:noProof/>
          <w:sz w:val="22"/>
          <w:szCs w:val="22"/>
        </w:rPr>
      </w:pPr>
      <w:hyperlink w:anchor="_Toc432577300" w:history="1">
        <w:r w:rsidR="000C5FE3" w:rsidRPr="003258EF">
          <w:rPr>
            <w:rStyle w:val="Hyperlink"/>
            <w:noProof/>
          </w:rPr>
          <w:t>1.2</w:t>
        </w:r>
        <w:r w:rsidR="000C5FE3">
          <w:rPr>
            <w:rFonts w:asciiTheme="minorHAnsi" w:eastAsiaTheme="minorEastAsia" w:hAnsiTheme="minorHAnsi" w:cstheme="minorBidi"/>
            <w:noProof/>
            <w:sz w:val="22"/>
            <w:szCs w:val="22"/>
          </w:rPr>
          <w:tab/>
        </w:r>
        <w:r w:rsidR="000C5FE3" w:rsidRPr="003258EF">
          <w:rPr>
            <w:rStyle w:val="Hyperlink"/>
            <w:noProof/>
          </w:rPr>
          <w:t>A right to be heard</w:t>
        </w:r>
        <w:r w:rsidR="000C5FE3">
          <w:rPr>
            <w:noProof/>
            <w:webHidden/>
          </w:rPr>
          <w:tab/>
        </w:r>
        <w:r w:rsidR="000C5FE3">
          <w:rPr>
            <w:noProof/>
            <w:webHidden/>
          </w:rPr>
          <w:fldChar w:fldCharType="begin"/>
        </w:r>
        <w:r w:rsidR="000C5FE3">
          <w:rPr>
            <w:noProof/>
            <w:webHidden/>
          </w:rPr>
          <w:instrText xml:space="preserve"> PAGEREF _Toc432577300 \h </w:instrText>
        </w:r>
        <w:r w:rsidR="000C5FE3">
          <w:rPr>
            <w:noProof/>
            <w:webHidden/>
          </w:rPr>
        </w:r>
        <w:r w:rsidR="000C5FE3">
          <w:rPr>
            <w:noProof/>
            <w:webHidden/>
          </w:rPr>
          <w:fldChar w:fldCharType="separate"/>
        </w:r>
        <w:r w:rsidR="000C5FE3">
          <w:rPr>
            <w:noProof/>
            <w:webHidden/>
          </w:rPr>
          <w:t>4</w:t>
        </w:r>
        <w:r w:rsidR="000C5FE3">
          <w:rPr>
            <w:noProof/>
            <w:webHidden/>
          </w:rPr>
          <w:fldChar w:fldCharType="end"/>
        </w:r>
      </w:hyperlink>
    </w:p>
    <w:p w14:paraId="6A49CE7B" w14:textId="77777777" w:rsidR="000C5FE3" w:rsidRDefault="00185AE1">
      <w:pPr>
        <w:pStyle w:val="TOC2"/>
        <w:tabs>
          <w:tab w:val="left" w:pos="960"/>
          <w:tab w:val="right" w:pos="9060"/>
        </w:tabs>
        <w:rPr>
          <w:rFonts w:asciiTheme="minorHAnsi" w:eastAsiaTheme="minorEastAsia" w:hAnsiTheme="minorHAnsi" w:cstheme="minorBidi"/>
          <w:noProof/>
          <w:sz w:val="22"/>
          <w:szCs w:val="22"/>
        </w:rPr>
      </w:pPr>
      <w:hyperlink w:anchor="_Toc432577301" w:history="1">
        <w:r w:rsidR="000C5FE3" w:rsidRPr="003258EF">
          <w:rPr>
            <w:rStyle w:val="Hyperlink"/>
            <w:noProof/>
          </w:rPr>
          <w:t>1.3</w:t>
        </w:r>
        <w:r w:rsidR="000C5FE3">
          <w:rPr>
            <w:rFonts w:asciiTheme="minorHAnsi" w:eastAsiaTheme="minorEastAsia" w:hAnsiTheme="minorHAnsi" w:cstheme="minorBidi"/>
            <w:noProof/>
            <w:sz w:val="22"/>
            <w:szCs w:val="22"/>
          </w:rPr>
          <w:tab/>
        </w:r>
        <w:r w:rsidR="000C5FE3" w:rsidRPr="003258EF">
          <w:rPr>
            <w:rStyle w:val="Hyperlink"/>
            <w:noProof/>
          </w:rPr>
          <w:t>Freedom from violence, abuse and neglect</w:t>
        </w:r>
        <w:r w:rsidR="000C5FE3">
          <w:rPr>
            <w:noProof/>
            <w:webHidden/>
          </w:rPr>
          <w:tab/>
        </w:r>
        <w:r w:rsidR="000C5FE3">
          <w:rPr>
            <w:noProof/>
            <w:webHidden/>
          </w:rPr>
          <w:fldChar w:fldCharType="begin"/>
        </w:r>
        <w:r w:rsidR="000C5FE3">
          <w:rPr>
            <w:noProof/>
            <w:webHidden/>
          </w:rPr>
          <w:instrText xml:space="preserve"> PAGEREF _Toc432577301 \h </w:instrText>
        </w:r>
        <w:r w:rsidR="000C5FE3">
          <w:rPr>
            <w:noProof/>
            <w:webHidden/>
          </w:rPr>
        </w:r>
        <w:r w:rsidR="000C5FE3">
          <w:rPr>
            <w:noProof/>
            <w:webHidden/>
          </w:rPr>
          <w:fldChar w:fldCharType="separate"/>
        </w:r>
        <w:r w:rsidR="000C5FE3">
          <w:rPr>
            <w:noProof/>
            <w:webHidden/>
          </w:rPr>
          <w:t>7</w:t>
        </w:r>
        <w:r w:rsidR="000C5FE3">
          <w:rPr>
            <w:noProof/>
            <w:webHidden/>
          </w:rPr>
          <w:fldChar w:fldCharType="end"/>
        </w:r>
      </w:hyperlink>
    </w:p>
    <w:p w14:paraId="2C833527" w14:textId="77777777" w:rsidR="000C5FE3" w:rsidRDefault="00185AE1">
      <w:pPr>
        <w:pStyle w:val="TOC2"/>
        <w:tabs>
          <w:tab w:val="left" w:pos="960"/>
          <w:tab w:val="right" w:pos="9060"/>
        </w:tabs>
        <w:rPr>
          <w:rFonts w:asciiTheme="minorHAnsi" w:eastAsiaTheme="minorEastAsia" w:hAnsiTheme="minorHAnsi" w:cstheme="minorBidi"/>
          <w:noProof/>
          <w:sz w:val="22"/>
          <w:szCs w:val="22"/>
        </w:rPr>
      </w:pPr>
      <w:hyperlink w:anchor="_Toc432577302" w:history="1">
        <w:r w:rsidR="000C5FE3" w:rsidRPr="003258EF">
          <w:rPr>
            <w:rStyle w:val="Hyperlink"/>
            <w:noProof/>
          </w:rPr>
          <w:t>1.4</w:t>
        </w:r>
        <w:r w:rsidR="000C5FE3">
          <w:rPr>
            <w:rFonts w:asciiTheme="minorHAnsi" w:eastAsiaTheme="minorEastAsia" w:hAnsiTheme="minorHAnsi" w:cstheme="minorBidi"/>
            <w:noProof/>
            <w:sz w:val="22"/>
            <w:szCs w:val="22"/>
          </w:rPr>
          <w:tab/>
        </w:r>
        <w:r w:rsidR="000C5FE3" w:rsidRPr="003258EF">
          <w:rPr>
            <w:rStyle w:val="Hyperlink"/>
            <w:noProof/>
          </w:rPr>
          <w:t>Opportunity to thrive</w:t>
        </w:r>
        <w:r w:rsidR="000C5FE3">
          <w:rPr>
            <w:noProof/>
            <w:webHidden/>
          </w:rPr>
          <w:tab/>
        </w:r>
        <w:r w:rsidR="000C5FE3">
          <w:rPr>
            <w:noProof/>
            <w:webHidden/>
          </w:rPr>
          <w:fldChar w:fldCharType="begin"/>
        </w:r>
        <w:r w:rsidR="000C5FE3">
          <w:rPr>
            <w:noProof/>
            <w:webHidden/>
          </w:rPr>
          <w:instrText xml:space="preserve"> PAGEREF _Toc432577302 \h </w:instrText>
        </w:r>
        <w:r w:rsidR="000C5FE3">
          <w:rPr>
            <w:noProof/>
            <w:webHidden/>
          </w:rPr>
        </w:r>
        <w:r w:rsidR="000C5FE3">
          <w:rPr>
            <w:noProof/>
            <w:webHidden/>
          </w:rPr>
          <w:fldChar w:fldCharType="separate"/>
        </w:r>
        <w:r w:rsidR="000C5FE3">
          <w:rPr>
            <w:noProof/>
            <w:webHidden/>
          </w:rPr>
          <w:t>10</w:t>
        </w:r>
        <w:r w:rsidR="000C5FE3">
          <w:rPr>
            <w:noProof/>
            <w:webHidden/>
          </w:rPr>
          <w:fldChar w:fldCharType="end"/>
        </w:r>
      </w:hyperlink>
    </w:p>
    <w:p w14:paraId="409AE54C" w14:textId="77777777" w:rsidR="000C5FE3" w:rsidRDefault="00185AE1">
      <w:pPr>
        <w:pStyle w:val="TOC2"/>
        <w:tabs>
          <w:tab w:val="left" w:pos="960"/>
          <w:tab w:val="right" w:pos="9060"/>
        </w:tabs>
        <w:rPr>
          <w:rFonts w:asciiTheme="minorHAnsi" w:eastAsiaTheme="minorEastAsia" w:hAnsiTheme="minorHAnsi" w:cstheme="minorBidi"/>
          <w:noProof/>
          <w:sz w:val="22"/>
          <w:szCs w:val="22"/>
        </w:rPr>
      </w:pPr>
      <w:hyperlink w:anchor="_Toc432577303" w:history="1">
        <w:r w:rsidR="000C5FE3" w:rsidRPr="003258EF">
          <w:rPr>
            <w:rStyle w:val="Hyperlink"/>
            <w:noProof/>
          </w:rPr>
          <w:t>1.5</w:t>
        </w:r>
        <w:r w:rsidR="000C5FE3">
          <w:rPr>
            <w:rFonts w:asciiTheme="minorHAnsi" w:eastAsiaTheme="minorEastAsia" w:hAnsiTheme="minorHAnsi" w:cstheme="minorBidi"/>
            <w:noProof/>
            <w:sz w:val="22"/>
            <w:szCs w:val="22"/>
          </w:rPr>
          <w:tab/>
        </w:r>
        <w:r w:rsidR="000C5FE3" w:rsidRPr="003258EF">
          <w:rPr>
            <w:rStyle w:val="Hyperlink"/>
            <w:noProof/>
          </w:rPr>
          <w:t>Engaged citizenship</w:t>
        </w:r>
        <w:r w:rsidR="000C5FE3">
          <w:rPr>
            <w:noProof/>
            <w:webHidden/>
          </w:rPr>
          <w:tab/>
        </w:r>
        <w:r w:rsidR="000C5FE3">
          <w:rPr>
            <w:noProof/>
            <w:webHidden/>
          </w:rPr>
          <w:fldChar w:fldCharType="begin"/>
        </w:r>
        <w:r w:rsidR="000C5FE3">
          <w:rPr>
            <w:noProof/>
            <w:webHidden/>
          </w:rPr>
          <w:instrText xml:space="preserve"> PAGEREF _Toc432577303 \h </w:instrText>
        </w:r>
        <w:r w:rsidR="000C5FE3">
          <w:rPr>
            <w:noProof/>
            <w:webHidden/>
          </w:rPr>
        </w:r>
        <w:r w:rsidR="000C5FE3">
          <w:rPr>
            <w:noProof/>
            <w:webHidden/>
          </w:rPr>
          <w:fldChar w:fldCharType="separate"/>
        </w:r>
        <w:r w:rsidR="000C5FE3">
          <w:rPr>
            <w:noProof/>
            <w:webHidden/>
          </w:rPr>
          <w:t>13</w:t>
        </w:r>
        <w:r w:rsidR="000C5FE3">
          <w:rPr>
            <w:noProof/>
            <w:webHidden/>
          </w:rPr>
          <w:fldChar w:fldCharType="end"/>
        </w:r>
      </w:hyperlink>
    </w:p>
    <w:p w14:paraId="115B5D11" w14:textId="77777777" w:rsidR="000C5FE3" w:rsidRDefault="00185AE1">
      <w:pPr>
        <w:pStyle w:val="TOC2"/>
        <w:tabs>
          <w:tab w:val="left" w:pos="960"/>
          <w:tab w:val="right" w:pos="9060"/>
        </w:tabs>
        <w:rPr>
          <w:rFonts w:asciiTheme="minorHAnsi" w:eastAsiaTheme="minorEastAsia" w:hAnsiTheme="minorHAnsi" w:cstheme="minorBidi"/>
          <w:noProof/>
          <w:sz w:val="22"/>
          <w:szCs w:val="22"/>
        </w:rPr>
      </w:pPr>
      <w:hyperlink w:anchor="_Toc432577304" w:history="1">
        <w:r w:rsidR="000C5FE3" w:rsidRPr="003258EF">
          <w:rPr>
            <w:rStyle w:val="Hyperlink"/>
            <w:noProof/>
          </w:rPr>
          <w:t>1.6</w:t>
        </w:r>
        <w:r w:rsidR="000C5FE3">
          <w:rPr>
            <w:rFonts w:asciiTheme="minorHAnsi" w:eastAsiaTheme="minorEastAsia" w:hAnsiTheme="minorHAnsi" w:cstheme="minorBidi"/>
            <w:noProof/>
            <w:sz w:val="22"/>
            <w:szCs w:val="22"/>
          </w:rPr>
          <w:tab/>
        </w:r>
        <w:r w:rsidR="000C5FE3" w:rsidRPr="003258EF">
          <w:rPr>
            <w:rStyle w:val="Hyperlink"/>
            <w:noProof/>
          </w:rPr>
          <w:t>Action and accountability</w:t>
        </w:r>
        <w:r w:rsidR="000C5FE3">
          <w:rPr>
            <w:noProof/>
            <w:webHidden/>
          </w:rPr>
          <w:tab/>
        </w:r>
        <w:r w:rsidR="000C5FE3">
          <w:rPr>
            <w:noProof/>
            <w:webHidden/>
          </w:rPr>
          <w:fldChar w:fldCharType="begin"/>
        </w:r>
        <w:r w:rsidR="000C5FE3">
          <w:rPr>
            <w:noProof/>
            <w:webHidden/>
          </w:rPr>
          <w:instrText xml:space="preserve"> PAGEREF _Toc432577304 \h </w:instrText>
        </w:r>
        <w:r w:rsidR="000C5FE3">
          <w:rPr>
            <w:noProof/>
            <w:webHidden/>
          </w:rPr>
        </w:r>
        <w:r w:rsidR="000C5FE3">
          <w:rPr>
            <w:noProof/>
            <w:webHidden/>
          </w:rPr>
          <w:fldChar w:fldCharType="separate"/>
        </w:r>
        <w:r w:rsidR="000C5FE3">
          <w:rPr>
            <w:noProof/>
            <w:webHidden/>
          </w:rPr>
          <w:t>15</w:t>
        </w:r>
        <w:r w:rsidR="000C5FE3">
          <w:rPr>
            <w:noProof/>
            <w:webHidden/>
          </w:rPr>
          <w:fldChar w:fldCharType="end"/>
        </w:r>
      </w:hyperlink>
    </w:p>
    <w:p w14:paraId="790E2173" w14:textId="77777777" w:rsidR="000C5FE3" w:rsidRDefault="00185AE1">
      <w:pPr>
        <w:pStyle w:val="TOC2"/>
        <w:tabs>
          <w:tab w:val="left" w:pos="960"/>
          <w:tab w:val="right" w:pos="9060"/>
        </w:tabs>
        <w:rPr>
          <w:rFonts w:asciiTheme="minorHAnsi" w:eastAsiaTheme="minorEastAsia" w:hAnsiTheme="minorHAnsi" w:cstheme="minorBidi"/>
          <w:noProof/>
          <w:sz w:val="22"/>
          <w:szCs w:val="22"/>
        </w:rPr>
      </w:pPr>
      <w:hyperlink w:anchor="_Toc432577305" w:history="1">
        <w:r w:rsidR="000C5FE3" w:rsidRPr="003258EF">
          <w:rPr>
            <w:rStyle w:val="Hyperlink"/>
            <w:noProof/>
          </w:rPr>
          <w:t>1.7</w:t>
        </w:r>
        <w:r w:rsidR="000C5FE3">
          <w:rPr>
            <w:rFonts w:asciiTheme="minorHAnsi" w:eastAsiaTheme="minorEastAsia" w:hAnsiTheme="minorHAnsi" w:cstheme="minorBidi"/>
            <w:noProof/>
            <w:sz w:val="22"/>
            <w:szCs w:val="22"/>
          </w:rPr>
          <w:tab/>
        </w:r>
        <w:r w:rsidR="000C5FE3" w:rsidRPr="003258EF">
          <w:rPr>
            <w:rStyle w:val="Hyperlink"/>
            <w:noProof/>
          </w:rPr>
          <w:t>Acknowledgments</w:t>
        </w:r>
        <w:r w:rsidR="000C5FE3">
          <w:rPr>
            <w:noProof/>
            <w:webHidden/>
          </w:rPr>
          <w:tab/>
        </w:r>
        <w:r w:rsidR="000C5FE3">
          <w:rPr>
            <w:noProof/>
            <w:webHidden/>
          </w:rPr>
          <w:fldChar w:fldCharType="begin"/>
        </w:r>
        <w:r w:rsidR="000C5FE3">
          <w:rPr>
            <w:noProof/>
            <w:webHidden/>
          </w:rPr>
          <w:instrText xml:space="preserve"> PAGEREF _Toc432577305 \h </w:instrText>
        </w:r>
        <w:r w:rsidR="000C5FE3">
          <w:rPr>
            <w:noProof/>
            <w:webHidden/>
          </w:rPr>
        </w:r>
        <w:r w:rsidR="000C5FE3">
          <w:rPr>
            <w:noProof/>
            <w:webHidden/>
          </w:rPr>
          <w:fldChar w:fldCharType="separate"/>
        </w:r>
        <w:r w:rsidR="000C5FE3">
          <w:rPr>
            <w:noProof/>
            <w:webHidden/>
          </w:rPr>
          <w:t>24</w:t>
        </w:r>
        <w:r w:rsidR="000C5FE3">
          <w:rPr>
            <w:noProof/>
            <w:webHidden/>
          </w:rPr>
          <w:fldChar w:fldCharType="end"/>
        </w:r>
      </w:hyperlink>
    </w:p>
    <w:p w14:paraId="2E263589" w14:textId="77777777" w:rsidR="000C5FE3" w:rsidRDefault="00185AE1">
      <w:pPr>
        <w:pStyle w:val="TOC1"/>
        <w:rPr>
          <w:rFonts w:asciiTheme="minorHAnsi" w:eastAsiaTheme="minorEastAsia" w:hAnsiTheme="minorHAnsi" w:cstheme="minorBidi"/>
          <w:bCs w:val="0"/>
          <w:noProof/>
          <w:sz w:val="22"/>
          <w:szCs w:val="22"/>
        </w:rPr>
      </w:pPr>
      <w:hyperlink w:anchor="_Toc432577306" w:history="1">
        <w:r w:rsidR="000C5FE3" w:rsidRPr="003258EF">
          <w:rPr>
            <w:rStyle w:val="Hyperlink"/>
            <w:noProof/>
          </w:rPr>
          <w:t>Chapter 2</w:t>
        </w:r>
        <w:r w:rsidR="000C5FE3">
          <w:rPr>
            <w:rFonts w:asciiTheme="minorHAnsi" w:eastAsiaTheme="minorEastAsia" w:hAnsiTheme="minorHAnsi" w:cstheme="minorBidi"/>
            <w:bCs w:val="0"/>
            <w:noProof/>
            <w:sz w:val="22"/>
            <w:szCs w:val="22"/>
          </w:rPr>
          <w:tab/>
        </w:r>
        <w:r w:rsidR="000C5FE3" w:rsidRPr="003258EF">
          <w:rPr>
            <w:rStyle w:val="Hyperlink"/>
            <w:noProof/>
          </w:rPr>
          <w:t>Child rights in legislation and court proceedings</w:t>
        </w:r>
        <w:r w:rsidR="000C5FE3">
          <w:rPr>
            <w:noProof/>
            <w:webHidden/>
          </w:rPr>
          <w:tab/>
        </w:r>
        <w:r w:rsidR="000C5FE3">
          <w:rPr>
            <w:noProof/>
            <w:webHidden/>
          </w:rPr>
          <w:fldChar w:fldCharType="begin"/>
        </w:r>
        <w:r w:rsidR="000C5FE3">
          <w:rPr>
            <w:noProof/>
            <w:webHidden/>
          </w:rPr>
          <w:instrText xml:space="preserve"> PAGEREF _Toc432577306 \h </w:instrText>
        </w:r>
        <w:r w:rsidR="000C5FE3">
          <w:rPr>
            <w:noProof/>
            <w:webHidden/>
          </w:rPr>
        </w:r>
        <w:r w:rsidR="000C5FE3">
          <w:rPr>
            <w:noProof/>
            <w:webHidden/>
          </w:rPr>
          <w:fldChar w:fldCharType="separate"/>
        </w:r>
        <w:r w:rsidR="000C5FE3">
          <w:rPr>
            <w:noProof/>
            <w:webHidden/>
          </w:rPr>
          <w:t>2</w:t>
        </w:r>
        <w:r w:rsidR="000C5FE3">
          <w:rPr>
            <w:noProof/>
            <w:webHidden/>
          </w:rPr>
          <w:fldChar w:fldCharType="end"/>
        </w:r>
      </w:hyperlink>
    </w:p>
    <w:p w14:paraId="0AE08CE2" w14:textId="77777777" w:rsidR="000C5FE3" w:rsidRDefault="00185AE1">
      <w:pPr>
        <w:pStyle w:val="TOC2"/>
        <w:tabs>
          <w:tab w:val="left" w:pos="960"/>
          <w:tab w:val="right" w:pos="9060"/>
        </w:tabs>
        <w:rPr>
          <w:rFonts w:asciiTheme="minorHAnsi" w:eastAsiaTheme="minorEastAsia" w:hAnsiTheme="minorHAnsi" w:cstheme="minorBidi"/>
          <w:noProof/>
          <w:sz w:val="22"/>
          <w:szCs w:val="22"/>
        </w:rPr>
      </w:pPr>
      <w:hyperlink w:anchor="_Toc432577307" w:history="1">
        <w:r w:rsidR="000C5FE3" w:rsidRPr="003258EF">
          <w:rPr>
            <w:rStyle w:val="Hyperlink"/>
            <w:noProof/>
          </w:rPr>
          <w:t>2.1</w:t>
        </w:r>
        <w:r w:rsidR="000C5FE3">
          <w:rPr>
            <w:rFonts w:asciiTheme="minorHAnsi" w:eastAsiaTheme="minorEastAsia" w:hAnsiTheme="minorHAnsi" w:cstheme="minorBidi"/>
            <w:noProof/>
            <w:sz w:val="22"/>
            <w:szCs w:val="22"/>
          </w:rPr>
          <w:tab/>
        </w:r>
        <w:r w:rsidR="000C5FE3" w:rsidRPr="003258EF">
          <w:rPr>
            <w:rStyle w:val="Hyperlink"/>
            <w:noProof/>
          </w:rPr>
          <w:t>The PJC’s consideration of child rights</w:t>
        </w:r>
        <w:r w:rsidR="000C5FE3">
          <w:rPr>
            <w:noProof/>
            <w:webHidden/>
          </w:rPr>
          <w:tab/>
        </w:r>
        <w:r w:rsidR="000C5FE3">
          <w:rPr>
            <w:noProof/>
            <w:webHidden/>
          </w:rPr>
          <w:fldChar w:fldCharType="begin"/>
        </w:r>
        <w:r w:rsidR="000C5FE3">
          <w:rPr>
            <w:noProof/>
            <w:webHidden/>
          </w:rPr>
          <w:instrText xml:space="preserve"> PAGEREF _Toc432577307 \h </w:instrText>
        </w:r>
        <w:r w:rsidR="000C5FE3">
          <w:rPr>
            <w:noProof/>
            <w:webHidden/>
          </w:rPr>
        </w:r>
        <w:r w:rsidR="000C5FE3">
          <w:rPr>
            <w:noProof/>
            <w:webHidden/>
          </w:rPr>
          <w:fldChar w:fldCharType="separate"/>
        </w:r>
        <w:r w:rsidR="000C5FE3">
          <w:rPr>
            <w:noProof/>
            <w:webHidden/>
          </w:rPr>
          <w:t>3</w:t>
        </w:r>
        <w:r w:rsidR="000C5FE3">
          <w:rPr>
            <w:noProof/>
            <w:webHidden/>
          </w:rPr>
          <w:fldChar w:fldCharType="end"/>
        </w:r>
      </w:hyperlink>
    </w:p>
    <w:p w14:paraId="638971D9" w14:textId="77777777" w:rsidR="000C5FE3" w:rsidRDefault="00185AE1">
      <w:pPr>
        <w:pStyle w:val="TOC2"/>
        <w:tabs>
          <w:tab w:val="left" w:pos="960"/>
          <w:tab w:val="right" w:pos="9060"/>
        </w:tabs>
        <w:rPr>
          <w:rFonts w:asciiTheme="minorHAnsi" w:eastAsiaTheme="minorEastAsia" w:hAnsiTheme="minorHAnsi" w:cstheme="minorBidi"/>
          <w:noProof/>
          <w:sz w:val="22"/>
          <w:szCs w:val="22"/>
        </w:rPr>
      </w:pPr>
      <w:hyperlink w:anchor="_Toc432577308" w:history="1">
        <w:r w:rsidR="000C5FE3" w:rsidRPr="003258EF">
          <w:rPr>
            <w:rStyle w:val="Hyperlink"/>
            <w:noProof/>
          </w:rPr>
          <w:t>2.2</w:t>
        </w:r>
        <w:r w:rsidR="000C5FE3">
          <w:rPr>
            <w:rFonts w:asciiTheme="minorHAnsi" w:eastAsiaTheme="minorEastAsia" w:hAnsiTheme="minorHAnsi" w:cstheme="minorBidi"/>
            <w:noProof/>
            <w:sz w:val="22"/>
            <w:szCs w:val="22"/>
          </w:rPr>
          <w:tab/>
        </w:r>
        <w:r w:rsidR="000C5FE3" w:rsidRPr="003258EF">
          <w:rPr>
            <w:rStyle w:val="Hyperlink"/>
            <w:noProof/>
          </w:rPr>
          <w:t>Bills that had a substantially positive impact on child rights</w:t>
        </w:r>
        <w:r w:rsidR="000C5FE3">
          <w:rPr>
            <w:noProof/>
            <w:webHidden/>
          </w:rPr>
          <w:tab/>
        </w:r>
        <w:r w:rsidR="000C5FE3">
          <w:rPr>
            <w:noProof/>
            <w:webHidden/>
          </w:rPr>
          <w:fldChar w:fldCharType="begin"/>
        </w:r>
        <w:r w:rsidR="000C5FE3">
          <w:rPr>
            <w:noProof/>
            <w:webHidden/>
          </w:rPr>
          <w:instrText xml:space="preserve"> PAGEREF _Toc432577308 \h </w:instrText>
        </w:r>
        <w:r w:rsidR="000C5FE3">
          <w:rPr>
            <w:noProof/>
            <w:webHidden/>
          </w:rPr>
        </w:r>
        <w:r w:rsidR="000C5FE3">
          <w:rPr>
            <w:noProof/>
            <w:webHidden/>
          </w:rPr>
          <w:fldChar w:fldCharType="separate"/>
        </w:r>
        <w:r w:rsidR="000C5FE3">
          <w:rPr>
            <w:noProof/>
            <w:webHidden/>
          </w:rPr>
          <w:t>4</w:t>
        </w:r>
        <w:r w:rsidR="000C5FE3">
          <w:rPr>
            <w:noProof/>
            <w:webHidden/>
          </w:rPr>
          <w:fldChar w:fldCharType="end"/>
        </w:r>
      </w:hyperlink>
    </w:p>
    <w:p w14:paraId="2AE17111" w14:textId="77777777" w:rsidR="000C5FE3" w:rsidRDefault="00185AE1">
      <w:pPr>
        <w:pStyle w:val="TOC2"/>
        <w:tabs>
          <w:tab w:val="left" w:pos="960"/>
          <w:tab w:val="right" w:pos="9060"/>
        </w:tabs>
        <w:rPr>
          <w:rFonts w:asciiTheme="minorHAnsi" w:eastAsiaTheme="minorEastAsia" w:hAnsiTheme="minorHAnsi" w:cstheme="minorBidi"/>
          <w:noProof/>
          <w:sz w:val="22"/>
          <w:szCs w:val="22"/>
        </w:rPr>
      </w:pPr>
      <w:hyperlink w:anchor="_Toc432577309" w:history="1">
        <w:r w:rsidR="000C5FE3" w:rsidRPr="003258EF">
          <w:rPr>
            <w:rStyle w:val="Hyperlink"/>
            <w:noProof/>
          </w:rPr>
          <w:t>2.3</w:t>
        </w:r>
        <w:r w:rsidR="000C5FE3">
          <w:rPr>
            <w:rFonts w:asciiTheme="minorHAnsi" w:eastAsiaTheme="minorEastAsia" w:hAnsiTheme="minorHAnsi" w:cstheme="minorBidi"/>
            <w:noProof/>
            <w:sz w:val="22"/>
            <w:szCs w:val="22"/>
          </w:rPr>
          <w:tab/>
        </w:r>
        <w:r w:rsidR="000C5FE3" w:rsidRPr="003258EF">
          <w:rPr>
            <w:rStyle w:val="Hyperlink"/>
            <w:noProof/>
          </w:rPr>
          <w:t>Bills that had a substantially negative impact on child rights</w:t>
        </w:r>
        <w:r w:rsidR="000C5FE3">
          <w:rPr>
            <w:noProof/>
            <w:webHidden/>
          </w:rPr>
          <w:tab/>
        </w:r>
        <w:r w:rsidR="000C5FE3">
          <w:rPr>
            <w:noProof/>
            <w:webHidden/>
          </w:rPr>
          <w:fldChar w:fldCharType="begin"/>
        </w:r>
        <w:r w:rsidR="000C5FE3">
          <w:rPr>
            <w:noProof/>
            <w:webHidden/>
          </w:rPr>
          <w:instrText xml:space="preserve"> PAGEREF _Toc432577309 \h </w:instrText>
        </w:r>
        <w:r w:rsidR="000C5FE3">
          <w:rPr>
            <w:noProof/>
            <w:webHidden/>
          </w:rPr>
        </w:r>
        <w:r w:rsidR="000C5FE3">
          <w:rPr>
            <w:noProof/>
            <w:webHidden/>
          </w:rPr>
          <w:fldChar w:fldCharType="separate"/>
        </w:r>
        <w:r w:rsidR="000C5FE3">
          <w:rPr>
            <w:noProof/>
            <w:webHidden/>
          </w:rPr>
          <w:t>7</w:t>
        </w:r>
        <w:r w:rsidR="000C5FE3">
          <w:rPr>
            <w:noProof/>
            <w:webHidden/>
          </w:rPr>
          <w:fldChar w:fldCharType="end"/>
        </w:r>
      </w:hyperlink>
    </w:p>
    <w:p w14:paraId="25BB6DD9" w14:textId="77777777" w:rsidR="000C5FE3" w:rsidRDefault="00185AE1">
      <w:pPr>
        <w:pStyle w:val="TOC2"/>
        <w:tabs>
          <w:tab w:val="left" w:pos="960"/>
          <w:tab w:val="right" w:pos="9060"/>
        </w:tabs>
        <w:rPr>
          <w:rFonts w:asciiTheme="minorHAnsi" w:eastAsiaTheme="minorEastAsia" w:hAnsiTheme="minorHAnsi" w:cstheme="minorBidi"/>
          <w:noProof/>
          <w:sz w:val="22"/>
          <w:szCs w:val="22"/>
        </w:rPr>
      </w:pPr>
      <w:hyperlink w:anchor="_Toc432577310" w:history="1">
        <w:r w:rsidR="000C5FE3" w:rsidRPr="003258EF">
          <w:rPr>
            <w:rStyle w:val="Hyperlink"/>
            <w:noProof/>
          </w:rPr>
          <w:t>2.4</w:t>
        </w:r>
        <w:r w:rsidR="000C5FE3">
          <w:rPr>
            <w:rFonts w:asciiTheme="minorHAnsi" w:eastAsiaTheme="minorEastAsia" w:hAnsiTheme="minorHAnsi" w:cstheme="minorBidi"/>
            <w:noProof/>
            <w:sz w:val="22"/>
            <w:szCs w:val="22"/>
          </w:rPr>
          <w:tab/>
        </w:r>
        <w:r w:rsidR="000C5FE3" w:rsidRPr="003258EF">
          <w:rPr>
            <w:rStyle w:val="Hyperlink"/>
            <w:noProof/>
          </w:rPr>
          <w:t>Bills initially considered to have had a negative impact on children’s rights but later considered to be compatible</w:t>
        </w:r>
        <w:r w:rsidR="000C5FE3">
          <w:rPr>
            <w:noProof/>
            <w:webHidden/>
          </w:rPr>
          <w:tab/>
        </w:r>
        <w:r w:rsidR="000C5FE3">
          <w:rPr>
            <w:noProof/>
            <w:webHidden/>
          </w:rPr>
          <w:fldChar w:fldCharType="begin"/>
        </w:r>
        <w:r w:rsidR="000C5FE3">
          <w:rPr>
            <w:noProof/>
            <w:webHidden/>
          </w:rPr>
          <w:instrText xml:space="preserve"> PAGEREF _Toc432577310 \h </w:instrText>
        </w:r>
        <w:r w:rsidR="000C5FE3">
          <w:rPr>
            <w:noProof/>
            <w:webHidden/>
          </w:rPr>
        </w:r>
        <w:r w:rsidR="000C5FE3">
          <w:rPr>
            <w:noProof/>
            <w:webHidden/>
          </w:rPr>
          <w:fldChar w:fldCharType="separate"/>
        </w:r>
        <w:r w:rsidR="000C5FE3">
          <w:rPr>
            <w:noProof/>
            <w:webHidden/>
          </w:rPr>
          <w:t>11</w:t>
        </w:r>
        <w:r w:rsidR="000C5FE3">
          <w:rPr>
            <w:noProof/>
            <w:webHidden/>
          </w:rPr>
          <w:fldChar w:fldCharType="end"/>
        </w:r>
      </w:hyperlink>
    </w:p>
    <w:p w14:paraId="2271DB0D" w14:textId="77777777" w:rsidR="000C5FE3" w:rsidRDefault="00185AE1">
      <w:pPr>
        <w:pStyle w:val="TOC2"/>
        <w:tabs>
          <w:tab w:val="left" w:pos="960"/>
          <w:tab w:val="right" w:pos="9060"/>
        </w:tabs>
        <w:rPr>
          <w:rFonts w:asciiTheme="minorHAnsi" w:eastAsiaTheme="minorEastAsia" w:hAnsiTheme="minorHAnsi" w:cstheme="minorBidi"/>
          <w:noProof/>
          <w:sz w:val="22"/>
          <w:szCs w:val="22"/>
        </w:rPr>
      </w:pPr>
      <w:hyperlink w:anchor="_Toc432577311" w:history="1">
        <w:r w:rsidR="000C5FE3" w:rsidRPr="003258EF">
          <w:rPr>
            <w:rStyle w:val="Hyperlink"/>
            <w:noProof/>
          </w:rPr>
          <w:t>2.5</w:t>
        </w:r>
        <w:r w:rsidR="000C5FE3">
          <w:rPr>
            <w:rFonts w:asciiTheme="minorHAnsi" w:eastAsiaTheme="minorEastAsia" w:hAnsiTheme="minorHAnsi" w:cstheme="minorBidi"/>
            <w:noProof/>
            <w:sz w:val="22"/>
            <w:szCs w:val="22"/>
          </w:rPr>
          <w:tab/>
        </w:r>
        <w:r w:rsidR="000C5FE3" w:rsidRPr="003258EF">
          <w:rPr>
            <w:rStyle w:val="Hyperlink"/>
            <w:noProof/>
          </w:rPr>
          <w:t>The Commission’s intervention in Bateman &amp; Kavan [2014] FCCA 2521</w:t>
        </w:r>
        <w:r w:rsidR="000C5FE3">
          <w:rPr>
            <w:noProof/>
            <w:webHidden/>
          </w:rPr>
          <w:tab/>
        </w:r>
        <w:r w:rsidR="000C5FE3">
          <w:rPr>
            <w:noProof/>
            <w:webHidden/>
          </w:rPr>
          <w:fldChar w:fldCharType="begin"/>
        </w:r>
        <w:r w:rsidR="000C5FE3">
          <w:rPr>
            <w:noProof/>
            <w:webHidden/>
          </w:rPr>
          <w:instrText xml:space="preserve"> PAGEREF _Toc432577311 \h </w:instrText>
        </w:r>
        <w:r w:rsidR="000C5FE3">
          <w:rPr>
            <w:noProof/>
            <w:webHidden/>
          </w:rPr>
        </w:r>
        <w:r w:rsidR="000C5FE3">
          <w:rPr>
            <w:noProof/>
            <w:webHidden/>
          </w:rPr>
          <w:fldChar w:fldCharType="separate"/>
        </w:r>
        <w:r w:rsidR="000C5FE3">
          <w:rPr>
            <w:noProof/>
            <w:webHidden/>
          </w:rPr>
          <w:t>12</w:t>
        </w:r>
        <w:r w:rsidR="000C5FE3">
          <w:rPr>
            <w:noProof/>
            <w:webHidden/>
          </w:rPr>
          <w:fldChar w:fldCharType="end"/>
        </w:r>
      </w:hyperlink>
    </w:p>
    <w:p w14:paraId="04ED4490" w14:textId="77777777" w:rsidR="000C5FE3" w:rsidRDefault="00185AE1">
      <w:pPr>
        <w:pStyle w:val="TOC2"/>
        <w:tabs>
          <w:tab w:val="left" w:pos="960"/>
          <w:tab w:val="right" w:pos="9060"/>
        </w:tabs>
        <w:rPr>
          <w:rFonts w:asciiTheme="minorHAnsi" w:eastAsiaTheme="minorEastAsia" w:hAnsiTheme="minorHAnsi" w:cstheme="minorBidi"/>
          <w:noProof/>
          <w:sz w:val="22"/>
          <w:szCs w:val="22"/>
        </w:rPr>
      </w:pPr>
      <w:hyperlink w:anchor="_Toc432577312" w:history="1">
        <w:r w:rsidR="000C5FE3" w:rsidRPr="003258EF">
          <w:rPr>
            <w:rStyle w:val="Hyperlink"/>
            <w:noProof/>
          </w:rPr>
          <w:t>2.6</w:t>
        </w:r>
        <w:r w:rsidR="000C5FE3">
          <w:rPr>
            <w:rFonts w:asciiTheme="minorHAnsi" w:eastAsiaTheme="minorEastAsia" w:hAnsiTheme="minorHAnsi" w:cstheme="minorBidi"/>
            <w:noProof/>
            <w:sz w:val="22"/>
            <w:szCs w:val="22"/>
          </w:rPr>
          <w:tab/>
        </w:r>
        <w:r w:rsidR="000C5FE3" w:rsidRPr="003258EF">
          <w:rPr>
            <w:rStyle w:val="Hyperlink"/>
            <w:noProof/>
          </w:rPr>
          <w:t>Conclusion</w:t>
        </w:r>
        <w:r w:rsidR="000C5FE3">
          <w:rPr>
            <w:noProof/>
            <w:webHidden/>
          </w:rPr>
          <w:tab/>
        </w:r>
        <w:r w:rsidR="000C5FE3">
          <w:rPr>
            <w:noProof/>
            <w:webHidden/>
          </w:rPr>
          <w:fldChar w:fldCharType="begin"/>
        </w:r>
        <w:r w:rsidR="000C5FE3">
          <w:rPr>
            <w:noProof/>
            <w:webHidden/>
          </w:rPr>
          <w:instrText xml:space="preserve"> PAGEREF _Toc432577312 \h </w:instrText>
        </w:r>
        <w:r w:rsidR="000C5FE3">
          <w:rPr>
            <w:noProof/>
            <w:webHidden/>
          </w:rPr>
        </w:r>
        <w:r w:rsidR="000C5FE3">
          <w:rPr>
            <w:noProof/>
            <w:webHidden/>
          </w:rPr>
          <w:fldChar w:fldCharType="separate"/>
        </w:r>
        <w:r w:rsidR="000C5FE3">
          <w:rPr>
            <w:noProof/>
            <w:webHidden/>
          </w:rPr>
          <w:t>14</w:t>
        </w:r>
        <w:r w:rsidR="000C5FE3">
          <w:rPr>
            <w:noProof/>
            <w:webHidden/>
          </w:rPr>
          <w:fldChar w:fldCharType="end"/>
        </w:r>
      </w:hyperlink>
    </w:p>
    <w:p w14:paraId="1D6BFCB1" w14:textId="77777777" w:rsidR="000C5FE3" w:rsidRDefault="00185AE1">
      <w:pPr>
        <w:pStyle w:val="TOC1"/>
        <w:rPr>
          <w:rFonts w:asciiTheme="minorHAnsi" w:eastAsiaTheme="minorEastAsia" w:hAnsiTheme="minorHAnsi" w:cstheme="minorBidi"/>
          <w:bCs w:val="0"/>
          <w:noProof/>
          <w:sz w:val="22"/>
          <w:szCs w:val="22"/>
        </w:rPr>
      </w:pPr>
      <w:hyperlink w:anchor="_Toc432577313" w:history="1">
        <w:r w:rsidR="000C5FE3" w:rsidRPr="003258EF">
          <w:rPr>
            <w:rStyle w:val="Hyperlink"/>
            <w:noProof/>
          </w:rPr>
          <w:t>Chapter 3</w:t>
        </w:r>
        <w:r w:rsidR="000C5FE3">
          <w:rPr>
            <w:rFonts w:asciiTheme="minorHAnsi" w:eastAsiaTheme="minorEastAsia" w:hAnsiTheme="minorHAnsi" w:cstheme="minorBidi"/>
            <w:bCs w:val="0"/>
            <w:noProof/>
            <w:sz w:val="22"/>
            <w:szCs w:val="22"/>
          </w:rPr>
          <w:tab/>
        </w:r>
        <w:r w:rsidR="000C5FE3" w:rsidRPr="003258EF">
          <w:rPr>
            <w:rStyle w:val="Hyperlink"/>
            <w:noProof/>
          </w:rPr>
          <w:t>Business and children’s rights</w:t>
        </w:r>
        <w:r w:rsidR="000C5FE3">
          <w:rPr>
            <w:noProof/>
            <w:webHidden/>
          </w:rPr>
          <w:tab/>
        </w:r>
        <w:r w:rsidR="000C5FE3">
          <w:rPr>
            <w:noProof/>
            <w:webHidden/>
          </w:rPr>
          <w:fldChar w:fldCharType="begin"/>
        </w:r>
        <w:r w:rsidR="000C5FE3">
          <w:rPr>
            <w:noProof/>
            <w:webHidden/>
          </w:rPr>
          <w:instrText xml:space="preserve"> PAGEREF _Toc432577313 \h </w:instrText>
        </w:r>
        <w:r w:rsidR="000C5FE3">
          <w:rPr>
            <w:noProof/>
            <w:webHidden/>
          </w:rPr>
        </w:r>
        <w:r w:rsidR="000C5FE3">
          <w:rPr>
            <w:noProof/>
            <w:webHidden/>
          </w:rPr>
          <w:fldChar w:fldCharType="separate"/>
        </w:r>
        <w:r w:rsidR="000C5FE3">
          <w:rPr>
            <w:noProof/>
            <w:webHidden/>
          </w:rPr>
          <w:t>2</w:t>
        </w:r>
        <w:r w:rsidR="000C5FE3">
          <w:rPr>
            <w:noProof/>
            <w:webHidden/>
          </w:rPr>
          <w:fldChar w:fldCharType="end"/>
        </w:r>
      </w:hyperlink>
    </w:p>
    <w:p w14:paraId="52C9C480" w14:textId="77777777" w:rsidR="000C5FE3" w:rsidRDefault="00185AE1">
      <w:pPr>
        <w:pStyle w:val="TOC2"/>
        <w:tabs>
          <w:tab w:val="left" w:pos="960"/>
          <w:tab w:val="right" w:pos="9060"/>
        </w:tabs>
        <w:rPr>
          <w:rFonts w:asciiTheme="minorHAnsi" w:eastAsiaTheme="minorEastAsia" w:hAnsiTheme="minorHAnsi" w:cstheme="minorBidi"/>
          <w:noProof/>
          <w:sz w:val="22"/>
          <w:szCs w:val="22"/>
        </w:rPr>
      </w:pPr>
      <w:hyperlink w:anchor="_Toc432577314" w:history="1">
        <w:r w:rsidR="000C5FE3" w:rsidRPr="003258EF">
          <w:rPr>
            <w:rStyle w:val="Hyperlink"/>
            <w:noProof/>
          </w:rPr>
          <w:t>3.1</w:t>
        </w:r>
        <w:r w:rsidR="000C5FE3">
          <w:rPr>
            <w:rFonts w:asciiTheme="minorHAnsi" w:eastAsiaTheme="minorEastAsia" w:hAnsiTheme="minorHAnsi" w:cstheme="minorBidi"/>
            <w:noProof/>
            <w:sz w:val="22"/>
            <w:szCs w:val="22"/>
          </w:rPr>
          <w:tab/>
        </w:r>
        <w:r w:rsidR="000C5FE3" w:rsidRPr="003258EF">
          <w:rPr>
            <w:rStyle w:val="Hyperlink"/>
            <w:noProof/>
          </w:rPr>
          <w:t>Introduction</w:t>
        </w:r>
        <w:r w:rsidR="000C5FE3">
          <w:rPr>
            <w:noProof/>
            <w:webHidden/>
          </w:rPr>
          <w:tab/>
        </w:r>
        <w:r w:rsidR="000C5FE3">
          <w:rPr>
            <w:noProof/>
            <w:webHidden/>
          </w:rPr>
          <w:fldChar w:fldCharType="begin"/>
        </w:r>
        <w:r w:rsidR="000C5FE3">
          <w:rPr>
            <w:noProof/>
            <w:webHidden/>
          </w:rPr>
          <w:instrText xml:space="preserve"> PAGEREF _Toc432577314 \h </w:instrText>
        </w:r>
        <w:r w:rsidR="000C5FE3">
          <w:rPr>
            <w:noProof/>
            <w:webHidden/>
          </w:rPr>
        </w:r>
        <w:r w:rsidR="000C5FE3">
          <w:rPr>
            <w:noProof/>
            <w:webHidden/>
          </w:rPr>
          <w:fldChar w:fldCharType="separate"/>
        </w:r>
        <w:r w:rsidR="000C5FE3">
          <w:rPr>
            <w:noProof/>
            <w:webHidden/>
          </w:rPr>
          <w:t>3</w:t>
        </w:r>
        <w:r w:rsidR="000C5FE3">
          <w:rPr>
            <w:noProof/>
            <w:webHidden/>
          </w:rPr>
          <w:fldChar w:fldCharType="end"/>
        </w:r>
      </w:hyperlink>
    </w:p>
    <w:p w14:paraId="2184572A" w14:textId="77777777" w:rsidR="000C5FE3" w:rsidRDefault="00185AE1">
      <w:pPr>
        <w:pStyle w:val="TOC2"/>
        <w:tabs>
          <w:tab w:val="left" w:pos="960"/>
          <w:tab w:val="right" w:pos="9060"/>
        </w:tabs>
        <w:rPr>
          <w:rFonts w:asciiTheme="minorHAnsi" w:eastAsiaTheme="minorEastAsia" w:hAnsiTheme="minorHAnsi" w:cstheme="minorBidi"/>
          <w:noProof/>
          <w:sz w:val="22"/>
          <w:szCs w:val="22"/>
        </w:rPr>
      </w:pPr>
      <w:hyperlink w:anchor="_Toc432577315" w:history="1">
        <w:r w:rsidR="000C5FE3" w:rsidRPr="003258EF">
          <w:rPr>
            <w:rStyle w:val="Hyperlink"/>
            <w:noProof/>
          </w:rPr>
          <w:t>3.2</w:t>
        </w:r>
        <w:r w:rsidR="000C5FE3">
          <w:rPr>
            <w:rFonts w:asciiTheme="minorHAnsi" w:eastAsiaTheme="minorEastAsia" w:hAnsiTheme="minorHAnsi" w:cstheme="minorBidi"/>
            <w:noProof/>
            <w:sz w:val="22"/>
            <w:szCs w:val="22"/>
          </w:rPr>
          <w:tab/>
        </w:r>
        <w:r w:rsidR="000C5FE3" w:rsidRPr="003258EF">
          <w:rPr>
            <w:rStyle w:val="Hyperlink"/>
            <w:noProof/>
          </w:rPr>
          <w:t>Literature review</w:t>
        </w:r>
        <w:r w:rsidR="000C5FE3">
          <w:rPr>
            <w:noProof/>
            <w:webHidden/>
          </w:rPr>
          <w:tab/>
        </w:r>
        <w:r w:rsidR="000C5FE3">
          <w:rPr>
            <w:noProof/>
            <w:webHidden/>
          </w:rPr>
          <w:fldChar w:fldCharType="begin"/>
        </w:r>
        <w:r w:rsidR="000C5FE3">
          <w:rPr>
            <w:noProof/>
            <w:webHidden/>
          </w:rPr>
          <w:instrText xml:space="preserve"> PAGEREF _Toc432577315 \h </w:instrText>
        </w:r>
        <w:r w:rsidR="000C5FE3">
          <w:rPr>
            <w:noProof/>
            <w:webHidden/>
          </w:rPr>
        </w:r>
        <w:r w:rsidR="000C5FE3">
          <w:rPr>
            <w:noProof/>
            <w:webHidden/>
          </w:rPr>
          <w:fldChar w:fldCharType="separate"/>
        </w:r>
        <w:r w:rsidR="000C5FE3">
          <w:rPr>
            <w:noProof/>
            <w:webHidden/>
          </w:rPr>
          <w:t>9</w:t>
        </w:r>
        <w:r w:rsidR="000C5FE3">
          <w:rPr>
            <w:noProof/>
            <w:webHidden/>
          </w:rPr>
          <w:fldChar w:fldCharType="end"/>
        </w:r>
      </w:hyperlink>
    </w:p>
    <w:p w14:paraId="6D10B8FA" w14:textId="77777777" w:rsidR="000C5FE3" w:rsidRDefault="00185AE1">
      <w:pPr>
        <w:pStyle w:val="TOC2"/>
        <w:tabs>
          <w:tab w:val="left" w:pos="960"/>
          <w:tab w:val="right" w:pos="9060"/>
        </w:tabs>
        <w:rPr>
          <w:rFonts w:asciiTheme="minorHAnsi" w:eastAsiaTheme="minorEastAsia" w:hAnsiTheme="minorHAnsi" w:cstheme="minorBidi"/>
          <w:noProof/>
          <w:sz w:val="22"/>
          <w:szCs w:val="22"/>
        </w:rPr>
      </w:pPr>
      <w:hyperlink w:anchor="_Toc432577316" w:history="1">
        <w:r w:rsidR="000C5FE3" w:rsidRPr="003258EF">
          <w:rPr>
            <w:rStyle w:val="Hyperlink"/>
            <w:noProof/>
          </w:rPr>
          <w:t>3.3</w:t>
        </w:r>
        <w:r w:rsidR="000C5FE3">
          <w:rPr>
            <w:rFonts w:asciiTheme="minorHAnsi" w:eastAsiaTheme="minorEastAsia" w:hAnsiTheme="minorHAnsi" w:cstheme="minorBidi"/>
            <w:noProof/>
            <w:sz w:val="22"/>
            <w:szCs w:val="22"/>
          </w:rPr>
          <w:tab/>
        </w:r>
        <w:r w:rsidR="000C5FE3" w:rsidRPr="003258EF">
          <w:rPr>
            <w:rStyle w:val="Hyperlink"/>
            <w:noProof/>
          </w:rPr>
          <w:t>Australian consumer protection and children</w:t>
        </w:r>
        <w:r w:rsidR="000C5FE3">
          <w:rPr>
            <w:noProof/>
            <w:webHidden/>
          </w:rPr>
          <w:tab/>
        </w:r>
        <w:r w:rsidR="000C5FE3">
          <w:rPr>
            <w:noProof/>
            <w:webHidden/>
          </w:rPr>
          <w:fldChar w:fldCharType="begin"/>
        </w:r>
        <w:r w:rsidR="000C5FE3">
          <w:rPr>
            <w:noProof/>
            <w:webHidden/>
          </w:rPr>
          <w:instrText xml:space="preserve"> PAGEREF _Toc432577316 \h </w:instrText>
        </w:r>
        <w:r w:rsidR="000C5FE3">
          <w:rPr>
            <w:noProof/>
            <w:webHidden/>
          </w:rPr>
        </w:r>
        <w:r w:rsidR="000C5FE3">
          <w:rPr>
            <w:noProof/>
            <w:webHidden/>
          </w:rPr>
          <w:fldChar w:fldCharType="separate"/>
        </w:r>
        <w:r w:rsidR="000C5FE3">
          <w:rPr>
            <w:noProof/>
            <w:webHidden/>
          </w:rPr>
          <w:t>16</w:t>
        </w:r>
        <w:r w:rsidR="000C5FE3">
          <w:rPr>
            <w:noProof/>
            <w:webHidden/>
          </w:rPr>
          <w:fldChar w:fldCharType="end"/>
        </w:r>
      </w:hyperlink>
    </w:p>
    <w:p w14:paraId="35953D0A" w14:textId="77777777" w:rsidR="000C5FE3" w:rsidRDefault="00185AE1">
      <w:pPr>
        <w:pStyle w:val="TOC2"/>
        <w:tabs>
          <w:tab w:val="left" w:pos="960"/>
          <w:tab w:val="right" w:pos="9060"/>
        </w:tabs>
        <w:rPr>
          <w:rFonts w:asciiTheme="minorHAnsi" w:eastAsiaTheme="minorEastAsia" w:hAnsiTheme="minorHAnsi" w:cstheme="minorBidi"/>
          <w:noProof/>
          <w:sz w:val="22"/>
          <w:szCs w:val="22"/>
        </w:rPr>
      </w:pPr>
      <w:hyperlink w:anchor="_Toc432577317" w:history="1">
        <w:r w:rsidR="000C5FE3" w:rsidRPr="003258EF">
          <w:rPr>
            <w:rStyle w:val="Hyperlink"/>
            <w:noProof/>
          </w:rPr>
          <w:t>3.4</w:t>
        </w:r>
        <w:r w:rsidR="000C5FE3">
          <w:rPr>
            <w:rFonts w:asciiTheme="minorHAnsi" w:eastAsiaTheme="minorEastAsia" w:hAnsiTheme="minorHAnsi" w:cstheme="minorBidi"/>
            <w:noProof/>
            <w:sz w:val="22"/>
            <w:szCs w:val="22"/>
          </w:rPr>
          <w:tab/>
        </w:r>
        <w:r w:rsidR="000C5FE3" w:rsidRPr="003258EF">
          <w:rPr>
            <w:rStyle w:val="Hyperlink"/>
            <w:noProof/>
          </w:rPr>
          <w:t>Consultations – what do children say?</w:t>
        </w:r>
        <w:r w:rsidR="000C5FE3">
          <w:rPr>
            <w:noProof/>
            <w:webHidden/>
          </w:rPr>
          <w:tab/>
        </w:r>
        <w:r w:rsidR="000C5FE3">
          <w:rPr>
            <w:noProof/>
            <w:webHidden/>
          </w:rPr>
          <w:fldChar w:fldCharType="begin"/>
        </w:r>
        <w:r w:rsidR="000C5FE3">
          <w:rPr>
            <w:noProof/>
            <w:webHidden/>
          </w:rPr>
          <w:instrText xml:space="preserve"> PAGEREF _Toc432577317 \h </w:instrText>
        </w:r>
        <w:r w:rsidR="000C5FE3">
          <w:rPr>
            <w:noProof/>
            <w:webHidden/>
          </w:rPr>
        </w:r>
        <w:r w:rsidR="000C5FE3">
          <w:rPr>
            <w:noProof/>
            <w:webHidden/>
          </w:rPr>
          <w:fldChar w:fldCharType="separate"/>
        </w:r>
        <w:r w:rsidR="000C5FE3">
          <w:rPr>
            <w:noProof/>
            <w:webHidden/>
          </w:rPr>
          <w:t>20</w:t>
        </w:r>
        <w:r w:rsidR="000C5FE3">
          <w:rPr>
            <w:noProof/>
            <w:webHidden/>
          </w:rPr>
          <w:fldChar w:fldCharType="end"/>
        </w:r>
      </w:hyperlink>
    </w:p>
    <w:p w14:paraId="395389F7" w14:textId="77777777" w:rsidR="000C5FE3" w:rsidRDefault="00185AE1">
      <w:pPr>
        <w:pStyle w:val="TOC2"/>
        <w:tabs>
          <w:tab w:val="left" w:pos="960"/>
          <w:tab w:val="right" w:pos="9060"/>
        </w:tabs>
        <w:rPr>
          <w:rFonts w:asciiTheme="minorHAnsi" w:eastAsiaTheme="minorEastAsia" w:hAnsiTheme="minorHAnsi" w:cstheme="minorBidi"/>
          <w:noProof/>
          <w:sz w:val="22"/>
          <w:szCs w:val="22"/>
        </w:rPr>
      </w:pPr>
      <w:hyperlink w:anchor="_Toc432577318" w:history="1">
        <w:r w:rsidR="000C5FE3" w:rsidRPr="003258EF">
          <w:rPr>
            <w:rStyle w:val="Hyperlink"/>
            <w:noProof/>
          </w:rPr>
          <w:t>3.5</w:t>
        </w:r>
        <w:r w:rsidR="000C5FE3">
          <w:rPr>
            <w:rFonts w:asciiTheme="minorHAnsi" w:eastAsiaTheme="minorEastAsia" w:hAnsiTheme="minorHAnsi" w:cstheme="minorBidi"/>
            <w:noProof/>
            <w:sz w:val="22"/>
            <w:szCs w:val="22"/>
          </w:rPr>
          <w:tab/>
        </w:r>
        <w:r w:rsidR="000C5FE3" w:rsidRPr="003258EF">
          <w:rPr>
            <w:rStyle w:val="Hyperlink"/>
            <w:noProof/>
          </w:rPr>
          <w:t>Conclusion: summary &amp; key concerns</w:t>
        </w:r>
        <w:r w:rsidR="000C5FE3">
          <w:rPr>
            <w:noProof/>
            <w:webHidden/>
          </w:rPr>
          <w:tab/>
        </w:r>
        <w:r w:rsidR="000C5FE3">
          <w:rPr>
            <w:noProof/>
            <w:webHidden/>
          </w:rPr>
          <w:fldChar w:fldCharType="begin"/>
        </w:r>
        <w:r w:rsidR="000C5FE3">
          <w:rPr>
            <w:noProof/>
            <w:webHidden/>
          </w:rPr>
          <w:instrText xml:space="preserve"> PAGEREF _Toc432577318 \h </w:instrText>
        </w:r>
        <w:r w:rsidR="000C5FE3">
          <w:rPr>
            <w:noProof/>
            <w:webHidden/>
          </w:rPr>
        </w:r>
        <w:r w:rsidR="000C5FE3">
          <w:rPr>
            <w:noProof/>
            <w:webHidden/>
          </w:rPr>
          <w:fldChar w:fldCharType="separate"/>
        </w:r>
        <w:r w:rsidR="000C5FE3">
          <w:rPr>
            <w:noProof/>
            <w:webHidden/>
          </w:rPr>
          <w:t>27</w:t>
        </w:r>
        <w:r w:rsidR="000C5FE3">
          <w:rPr>
            <w:noProof/>
            <w:webHidden/>
          </w:rPr>
          <w:fldChar w:fldCharType="end"/>
        </w:r>
      </w:hyperlink>
    </w:p>
    <w:p w14:paraId="54E0A0B2" w14:textId="77777777" w:rsidR="000C5FE3" w:rsidRDefault="00185AE1">
      <w:pPr>
        <w:pStyle w:val="TOC2"/>
        <w:tabs>
          <w:tab w:val="left" w:pos="960"/>
          <w:tab w:val="right" w:pos="9060"/>
        </w:tabs>
        <w:rPr>
          <w:rFonts w:asciiTheme="minorHAnsi" w:eastAsiaTheme="minorEastAsia" w:hAnsiTheme="minorHAnsi" w:cstheme="minorBidi"/>
          <w:noProof/>
          <w:sz w:val="22"/>
          <w:szCs w:val="22"/>
        </w:rPr>
      </w:pPr>
      <w:hyperlink w:anchor="_Toc432577319" w:history="1">
        <w:r w:rsidR="000C5FE3" w:rsidRPr="003258EF">
          <w:rPr>
            <w:rStyle w:val="Hyperlink"/>
            <w:noProof/>
          </w:rPr>
          <w:t>3.6</w:t>
        </w:r>
        <w:r w:rsidR="000C5FE3">
          <w:rPr>
            <w:rFonts w:asciiTheme="minorHAnsi" w:eastAsiaTheme="minorEastAsia" w:hAnsiTheme="minorHAnsi" w:cstheme="minorBidi"/>
            <w:noProof/>
            <w:sz w:val="22"/>
            <w:szCs w:val="22"/>
          </w:rPr>
          <w:tab/>
        </w:r>
        <w:r w:rsidR="000C5FE3" w:rsidRPr="003258EF">
          <w:rPr>
            <w:rStyle w:val="Hyperlink"/>
            <w:noProof/>
          </w:rPr>
          <w:t>Recommendations</w:t>
        </w:r>
        <w:r w:rsidR="000C5FE3">
          <w:rPr>
            <w:noProof/>
            <w:webHidden/>
          </w:rPr>
          <w:tab/>
        </w:r>
        <w:r w:rsidR="000C5FE3">
          <w:rPr>
            <w:noProof/>
            <w:webHidden/>
          </w:rPr>
          <w:fldChar w:fldCharType="begin"/>
        </w:r>
        <w:r w:rsidR="000C5FE3">
          <w:rPr>
            <w:noProof/>
            <w:webHidden/>
          </w:rPr>
          <w:instrText xml:space="preserve"> PAGEREF _Toc432577319 \h </w:instrText>
        </w:r>
        <w:r w:rsidR="000C5FE3">
          <w:rPr>
            <w:noProof/>
            <w:webHidden/>
          </w:rPr>
        </w:r>
        <w:r w:rsidR="000C5FE3">
          <w:rPr>
            <w:noProof/>
            <w:webHidden/>
          </w:rPr>
          <w:fldChar w:fldCharType="separate"/>
        </w:r>
        <w:r w:rsidR="000C5FE3">
          <w:rPr>
            <w:noProof/>
            <w:webHidden/>
          </w:rPr>
          <w:t>31</w:t>
        </w:r>
        <w:r w:rsidR="000C5FE3">
          <w:rPr>
            <w:noProof/>
            <w:webHidden/>
          </w:rPr>
          <w:fldChar w:fldCharType="end"/>
        </w:r>
      </w:hyperlink>
    </w:p>
    <w:p w14:paraId="4881AFF2" w14:textId="77777777" w:rsidR="000C5FE3" w:rsidRDefault="00185AE1">
      <w:pPr>
        <w:pStyle w:val="TOC2"/>
        <w:tabs>
          <w:tab w:val="left" w:pos="960"/>
          <w:tab w:val="right" w:pos="9060"/>
        </w:tabs>
        <w:rPr>
          <w:rFonts w:asciiTheme="minorHAnsi" w:eastAsiaTheme="minorEastAsia" w:hAnsiTheme="minorHAnsi" w:cstheme="minorBidi"/>
          <w:noProof/>
          <w:sz w:val="22"/>
          <w:szCs w:val="22"/>
        </w:rPr>
      </w:pPr>
      <w:hyperlink w:anchor="_Toc432577320" w:history="1">
        <w:r w:rsidR="000C5FE3" w:rsidRPr="003258EF">
          <w:rPr>
            <w:rStyle w:val="Hyperlink"/>
            <w:noProof/>
          </w:rPr>
          <w:t>3.7</w:t>
        </w:r>
        <w:r w:rsidR="000C5FE3">
          <w:rPr>
            <w:rFonts w:asciiTheme="minorHAnsi" w:eastAsiaTheme="minorEastAsia" w:hAnsiTheme="minorHAnsi" w:cstheme="minorBidi"/>
            <w:noProof/>
            <w:sz w:val="22"/>
            <w:szCs w:val="22"/>
          </w:rPr>
          <w:tab/>
        </w:r>
        <w:r w:rsidR="000C5FE3" w:rsidRPr="003258EF">
          <w:rPr>
            <w:rStyle w:val="Hyperlink"/>
            <w:noProof/>
          </w:rPr>
          <w:t>Acknowledgments</w:t>
        </w:r>
        <w:r w:rsidR="000C5FE3">
          <w:rPr>
            <w:noProof/>
            <w:webHidden/>
          </w:rPr>
          <w:tab/>
        </w:r>
        <w:r w:rsidR="000C5FE3">
          <w:rPr>
            <w:noProof/>
            <w:webHidden/>
          </w:rPr>
          <w:fldChar w:fldCharType="begin"/>
        </w:r>
        <w:r w:rsidR="000C5FE3">
          <w:rPr>
            <w:noProof/>
            <w:webHidden/>
          </w:rPr>
          <w:instrText xml:space="preserve"> PAGEREF _Toc432577320 \h </w:instrText>
        </w:r>
        <w:r w:rsidR="000C5FE3">
          <w:rPr>
            <w:noProof/>
            <w:webHidden/>
          </w:rPr>
        </w:r>
        <w:r w:rsidR="000C5FE3">
          <w:rPr>
            <w:noProof/>
            <w:webHidden/>
          </w:rPr>
          <w:fldChar w:fldCharType="separate"/>
        </w:r>
        <w:r w:rsidR="000C5FE3">
          <w:rPr>
            <w:noProof/>
            <w:webHidden/>
          </w:rPr>
          <w:t>31</w:t>
        </w:r>
        <w:r w:rsidR="000C5FE3">
          <w:rPr>
            <w:noProof/>
            <w:webHidden/>
          </w:rPr>
          <w:fldChar w:fldCharType="end"/>
        </w:r>
      </w:hyperlink>
    </w:p>
    <w:p w14:paraId="3247A43E" w14:textId="77777777" w:rsidR="000C5FE3" w:rsidRDefault="00185AE1">
      <w:pPr>
        <w:pStyle w:val="TOC1"/>
        <w:rPr>
          <w:rFonts w:asciiTheme="minorHAnsi" w:eastAsiaTheme="minorEastAsia" w:hAnsiTheme="minorHAnsi" w:cstheme="minorBidi"/>
          <w:bCs w:val="0"/>
          <w:noProof/>
          <w:sz w:val="22"/>
          <w:szCs w:val="22"/>
        </w:rPr>
      </w:pPr>
      <w:hyperlink w:anchor="_Toc432577321" w:history="1">
        <w:r w:rsidR="000C5FE3" w:rsidRPr="003258EF">
          <w:rPr>
            <w:rStyle w:val="Hyperlink"/>
            <w:noProof/>
          </w:rPr>
          <w:t>Chapter 4</w:t>
        </w:r>
        <w:r w:rsidR="000C5FE3">
          <w:rPr>
            <w:rFonts w:asciiTheme="minorHAnsi" w:eastAsiaTheme="minorEastAsia" w:hAnsiTheme="minorHAnsi" w:cstheme="minorBidi"/>
            <w:bCs w:val="0"/>
            <w:noProof/>
            <w:sz w:val="22"/>
            <w:szCs w:val="22"/>
          </w:rPr>
          <w:tab/>
        </w:r>
        <w:r w:rsidR="000C5FE3" w:rsidRPr="003258EF">
          <w:rPr>
            <w:rStyle w:val="Hyperlink"/>
            <w:noProof/>
          </w:rPr>
          <w:t>“All I want is a life free from violence” – the impact of family and domestic violence on children</w:t>
        </w:r>
        <w:r w:rsidR="000C5FE3">
          <w:rPr>
            <w:noProof/>
            <w:webHidden/>
          </w:rPr>
          <w:tab/>
        </w:r>
        <w:r w:rsidR="000C5FE3">
          <w:rPr>
            <w:noProof/>
            <w:webHidden/>
          </w:rPr>
          <w:fldChar w:fldCharType="begin"/>
        </w:r>
        <w:r w:rsidR="000C5FE3">
          <w:rPr>
            <w:noProof/>
            <w:webHidden/>
          </w:rPr>
          <w:instrText xml:space="preserve"> PAGEREF _Toc432577321 \h </w:instrText>
        </w:r>
        <w:r w:rsidR="000C5FE3">
          <w:rPr>
            <w:noProof/>
            <w:webHidden/>
          </w:rPr>
        </w:r>
        <w:r w:rsidR="000C5FE3">
          <w:rPr>
            <w:noProof/>
            <w:webHidden/>
          </w:rPr>
          <w:fldChar w:fldCharType="separate"/>
        </w:r>
        <w:r w:rsidR="000C5FE3">
          <w:rPr>
            <w:noProof/>
            <w:webHidden/>
          </w:rPr>
          <w:t>2</w:t>
        </w:r>
        <w:r w:rsidR="000C5FE3">
          <w:rPr>
            <w:noProof/>
            <w:webHidden/>
          </w:rPr>
          <w:fldChar w:fldCharType="end"/>
        </w:r>
      </w:hyperlink>
    </w:p>
    <w:p w14:paraId="0174A363" w14:textId="77777777" w:rsidR="000C5FE3" w:rsidRDefault="00185AE1">
      <w:pPr>
        <w:pStyle w:val="TOC2"/>
        <w:tabs>
          <w:tab w:val="left" w:pos="960"/>
          <w:tab w:val="right" w:pos="9060"/>
        </w:tabs>
        <w:rPr>
          <w:rFonts w:asciiTheme="minorHAnsi" w:eastAsiaTheme="minorEastAsia" w:hAnsiTheme="minorHAnsi" w:cstheme="minorBidi"/>
          <w:noProof/>
          <w:sz w:val="22"/>
          <w:szCs w:val="22"/>
        </w:rPr>
      </w:pPr>
      <w:hyperlink w:anchor="_Toc432577322" w:history="1">
        <w:r w:rsidR="000C5FE3" w:rsidRPr="003258EF">
          <w:rPr>
            <w:rStyle w:val="Hyperlink"/>
            <w:noProof/>
          </w:rPr>
          <w:t>4.1</w:t>
        </w:r>
        <w:r w:rsidR="000C5FE3">
          <w:rPr>
            <w:rFonts w:asciiTheme="minorHAnsi" w:eastAsiaTheme="minorEastAsia" w:hAnsiTheme="minorHAnsi" w:cstheme="minorBidi"/>
            <w:noProof/>
            <w:sz w:val="22"/>
            <w:szCs w:val="22"/>
          </w:rPr>
          <w:tab/>
        </w:r>
        <w:r w:rsidR="000C5FE3" w:rsidRPr="003258EF">
          <w:rPr>
            <w:rStyle w:val="Hyperlink"/>
            <w:noProof/>
          </w:rPr>
          <w:t>Introduction</w:t>
        </w:r>
        <w:r w:rsidR="000C5FE3">
          <w:rPr>
            <w:noProof/>
            <w:webHidden/>
          </w:rPr>
          <w:tab/>
        </w:r>
        <w:r w:rsidR="000C5FE3">
          <w:rPr>
            <w:noProof/>
            <w:webHidden/>
          </w:rPr>
          <w:fldChar w:fldCharType="begin"/>
        </w:r>
        <w:r w:rsidR="000C5FE3">
          <w:rPr>
            <w:noProof/>
            <w:webHidden/>
          </w:rPr>
          <w:instrText xml:space="preserve"> PAGEREF _Toc432577322 \h </w:instrText>
        </w:r>
        <w:r w:rsidR="000C5FE3">
          <w:rPr>
            <w:noProof/>
            <w:webHidden/>
          </w:rPr>
        </w:r>
        <w:r w:rsidR="000C5FE3">
          <w:rPr>
            <w:noProof/>
            <w:webHidden/>
          </w:rPr>
          <w:fldChar w:fldCharType="separate"/>
        </w:r>
        <w:r w:rsidR="000C5FE3">
          <w:rPr>
            <w:noProof/>
            <w:webHidden/>
          </w:rPr>
          <w:t>2</w:t>
        </w:r>
        <w:r w:rsidR="000C5FE3">
          <w:rPr>
            <w:noProof/>
            <w:webHidden/>
          </w:rPr>
          <w:fldChar w:fldCharType="end"/>
        </w:r>
      </w:hyperlink>
    </w:p>
    <w:p w14:paraId="72ACBDAA" w14:textId="77777777" w:rsidR="000C5FE3" w:rsidRDefault="00185AE1">
      <w:pPr>
        <w:pStyle w:val="TOC2"/>
        <w:tabs>
          <w:tab w:val="left" w:pos="960"/>
          <w:tab w:val="right" w:pos="9060"/>
        </w:tabs>
        <w:rPr>
          <w:rFonts w:asciiTheme="minorHAnsi" w:eastAsiaTheme="minorEastAsia" w:hAnsiTheme="minorHAnsi" w:cstheme="minorBidi"/>
          <w:noProof/>
          <w:sz w:val="22"/>
          <w:szCs w:val="22"/>
        </w:rPr>
      </w:pPr>
      <w:hyperlink w:anchor="_Toc432577323" w:history="1">
        <w:r w:rsidR="000C5FE3" w:rsidRPr="003258EF">
          <w:rPr>
            <w:rStyle w:val="Hyperlink"/>
            <w:noProof/>
          </w:rPr>
          <w:t>4.2</w:t>
        </w:r>
        <w:r w:rsidR="000C5FE3">
          <w:rPr>
            <w:rFonts w:asciiTheme="minorHAnsi" w:eastAsiaTheme="minorEastAsia" w:hAnsiTheme="minorHAnsi" w:cstheme="minorBidi"/>
            <w:noProof/>
            <w:sz w:val="22"/>
            <w:szCs w:val="22"/>
          </w:rPr>
          <w:tab/>
        </w:r>
        <w:r w:rsidR="000C5FE3" w:rsidRPr="003258EF">
          <w:rPr>
            <w:rStyle w:val="Hyperlink"/>
            <w:noProof/>
          </w:rPr>
          <w:t>What did we know about children and family and domestic violence before starting this examination?</w:t>
        </w:r>
        <w:r w:rsidR="000C5FE3">
          <w:rPr>
            <w:noProof/>
            <w:webHidden/>
          </w:rPr>
          <w:tab/>
        </w:r>
        <w:r w:rsidR="000C5FE3">
          <w:rPr>
            <w:noProof/>
            <w:webHidden/>
          </w:rPr>
          <w:fldChar w:fldCharType="begin"/>
        </w:r>
        <w:r w:rsidR="000C5FE3">
          <w:rPr>
            <w:noProof/>
            <w:webHidden/>
          </w:rPr>
          <w:instrText xml:space="preserve"> PAGEREF _Toc432577323 \h </w:instrText>
        </w:r>
        <w:r w:rsidR="000C5FE3">
          <w:rPr>
            <w:noProof/>
            <w:webHidden/>
          </w:rPr>
        </w:r>
        <w:r w:rsidR="000C5FE3">
          <w:rPr>
            <w:noProof/>
            <w:webHidden/>
          </w:rPr>
          <w:fldChar w:fldCharType="separate"/>
        </w:r>
        <w:r w:rsidR="000C5FE3">
          <w:rPr>
            <w:noProof/>
            <w:webHidden/>
          </w:rPr>
          <w:t>6</w:t>
        </w:r>
        <w:r w:rsidR="000C5FE3">
          <w:rPr>
            <w:noProof/>
            <w:webHidden/>
          </w:rPr>
          <w:fldChar w:fldCharType="end"/>
        </w:r>
      </w:hyperlink>
    </w:p>
    <w:p w14:paraId="67F52582" w14:textId="77777777" w:rsidR="000C5FE3" w:rsidRDefault="00185AE1">
      <w:pPr>
        <w:pStyle w:val="TOC2"/>
        <w:tabs>
          <w:tab w:val="left" w:pos="960"/>
          <w:tab w:val="right" w:pos="9060"/>
        </w:tabs>
        <w:rPr>
          <w:rFonts w:asciiTheme="minorHAnsi" w:eastAsiaTheme="minorEastAsia" w:hAnsiTheme="minorHAnsi" w:cstheme="minorBidi"/>
          <w:noProof/>
          <w:sz w:val="22"/>
          <w:szCs w:val="22"/>
        </w:rPr>
      </w:pPr>
      <w:hyperlink w:anchor="_Toc432577324" w:history="1">
        <w:r w:rsidR="000C5FE3" w:rsidRPr="003258EF">
          <w:rPr>
            <w:rStyle w:val="Hyperlink"/>
            <w:noProof/>
          </w:rPr>
          <w:t>4.3</w:t>
        </w:r>
        <w:r w:rsidR="000C5FE3">
          <w:rPr>
            <w:rFonts w:asciiTheme="minorHAnsi" w:eastAsiaTheme="minorEastAsia" w:hAnsiTheme="minorHAnsi" w:cstheme="minorBidi"/>
            <w:noProof/>
            <w:sz w:val="22"/>
            <w:szCs w:val="22"/>
          </w:rPr>
          <w:tab/>
        </w:r>
        <w:r w:rsidR="000C5FE3" w:rsidRPr="003258EF">
          <w:rPr>
            <w:rStyle w:val="Hyperlink"/>
            <w:noProof/>
          </w:rPr>
          <w:t>Why is family and domestic violence a child rights issue?</w:t>
        </w:r>
        <w:r w:rsidR="000C5FE3">
          <w:rPr>
            <w:noProof/>
            <w:webHidden/>
          </w:rPr>
          <w:tab/>
        </w:r>
        <w:r w:rsidR="000C5FE3">
          <w:rPr>
            <w:noProof/>
            <w:webHidden/>
          </w:rPr>
          <w:fldChar w:fldCharType="begin"/>
        </w:r>
        <w:r w:rsidR="000C5FE3">
          <w:rPr>
            <w:noProof/>
            <w:webHidden/>
          </w:rPr>
          <w:instrText xml:space="preserve"> PAGEREF _Toc432577324 \h </w:instrText>
        </w:r>
        <w:r w:rsidR="000C5FE3">
          <w:rPr>
            <w:noProof/>
            <w:webHidden/>
          </w:rPr>
        </w:r>
        <w:r w:rsidR="000C5FE3">
          <w:rPr>
            <w:noProof/>
            <w:webHidden/>
          </w:rPr>
          <w:fldChar w:fldCharType="separate"/>
        </w:r>
        <w:r w:rsidR="000C5FE3">
          <w:rPr>
            <w:noProof/>
            <w:webHidden/>
          </w:rPr>
          <w:t>9</w:t>
        </w:r>
        <w:r w:rsidR="000C5FE3">
          <w:rPr>
            <w:noProof/>
            <w:webHidden/>
          </w:rPr>
          <w:fldChar w:fldCharType="end"/>
        </w:r>
      </w:hyperlink>
    </w:p>
    <w:p w14:paraId="42ACD042" w14:textId="77777777" w:rsidR="000C5FE3" w:rsidRDefault="00185AE1">
      <w:pPr>
        <w:pStyle w:val="TOC2"/>
        <w:tabs>
          <w:tab w:val="left" w:pos="960"/>
          <w:tab w:val="right" w:pos="9060"/>
        </w:tabs>
        <w:rPr>
          <w:rFonts w:asciiTheme="minorHAnsi" w:eastAsiaTheme="minorEastAsia" w:hAnsiTheme="minorHAnsi" w:cstheme="minorBidi"/>
          <w:noProof/>
          <w:sz w:val="22"/>
          <w:szCs w:val="22"/>
        </w:rPr>
      </w:pPr>
      <w:hyperlink w:anchor="_Toc432577325" w:history="1">
        <w:r w:rsidR="000C5FE3" w:rsidRPr="003258EF">
          <w:rPr>
            <w:rStyle w:val="Hyperlink"/>
            <w:noProof/>
          </w:rPr>
          <w:t>4.4</w:t>
        </w:r>
        <w:r w:rsidR="000C5FE3">
          <w:rPr>
            <w:rFonts w:asciiTheme="minorHAnsi" w:eastAsiaTheme="minorEastAsia" w:hAnsiTheme="minorHAnsi" w:cstheme="minorBidi"/>
            <w:noProof/>
            <w:sz w:val="22"/>
            <w:szCs w:val="22"/>
          </w:rPr>
          <w:tab/>
        </w:r>
        <w:r w:rsidR="000C5FE3" w:rsidRPr="003258EF">
          <w:rPr>
            <w:rStyle w:val="Hyperlink"/>
            <w:noProof/>
          </w:rPr>
          <w:t>National examination into the impact of family and domestic violence on children</w:t>
        </w:r>
        <w:r w:rsidR="000C5FE3">
          <w:rPr>
            <w:noProof/>
            <w:webHidden/>
          </w:rPr>
          <w:tab/>
        </w:r>
        <w:r w:rsidR="000C5FE3">
          <w:rPr>
            <w:noProof/>
            <w:webHidden/>
          </w:rPr>
          <w:fldChar w:fldCharType="begin"/>
        </w:r>
        <w:r w:rsidR="000C5FE3">
          <w:rPr>
            <w:noProof/>
            <w:webHidden/>
          </w:rPr>
          <w:instrText xml:space="preserve"> PAGEREF _Toc432577325 \h </w:instrText>
        </w:r>
        <w:r w:rsidR="000C5FE3">
          <w:rPr>
            <w:noProof/>
            <w:webHidden/>
          </w:rPr>
        </w:r>
        <w:r w:rsidR="000C5FE3">
          <w:rPr>
            <w:noProof/>
            <w:webHidden/>
          </w:rPr>
          <w:fldChar w:fldCharType="separate"/>
        </w:r>
        <w:r w:rsidR="000C5FE3">
          <w:rPr>
            <w:noProof/>
            <w:webHidden/>
          </w:rPr>
          <w:t>10</w:t>
        </w:r>
        <w:r w:rsidR="000C5FE3">
          <w:rPr>
            <w:noProof/>
            <w:webHidden/>
          </w:rPr>
          <w:fldChar w:fldCharType="end"/>
        </w:r>
      </w:hyperlink>
    </w:p>
    <w:p w14:paraId="7ABE3A42" w14:textId="77777777" w:rsidR="000C5FE3" w:rsidRDefault="00185AE1">
      <w:pPr>
        <w:pStyle w:val="TOC2"/>
        <w:tabs>
          <w:tab w:val="left" w:pos="960"/>
          <w:tab w:val="right" w:pos="9060"/>
        </w:tabs>
        <w:rPr>
          <w:rFonts w:asciiTheme="minorHAnsi" w:eastAsiaTheme="minorEastAsia" w:hAnsiTheme="minorHAnsi" w:cstheme="minorBidi"/>
          <w:noProof/>
          <w:sz w:val="22"/>
          <w:szCs w:val="22"/>
        </w:rPr>
      </w:pPr>
      <w:hyperlink w:anchor="_Toc432577326" w:history="1">
        <w:r w:rsidR="000C5FE3" w:rsidRPr="003258EF">
          <w:rPr>
            <w:rStyle w:val="Hyperlink"/>
            <w:noProof/>
          </w:rPr>
          <w:t>4.5</w:t>
        </w:r>
        <w:r w:rsidR="000C5FE3">
          <w:rPr>
            <w:rFonts w:asciiTheme="minorHAnsi" w:eastAsiaTheme="minorEastAsia" w:hAnsiTheme="minorHAnsi" w:cstheme="minorBidi"/>
            <w:noProof/>
            <w:sz w:val="22"/>
            <w:szCs w:val="22"/>
          </w:rPr>
          <w:tab/>
        </w:r>
        <w:r w:rsidR="000C5FE3" w:rsidRPr="003258EF">
          <w:rPr>
            <w:rStyle w:val="Hyperlink"/>
            <w:noProof/>
          </w:rPr>
          <w:t>What did we find out about children’s experiences of family and domestic violence?</w:t>
        </w:r>
        <w:r w:rsidR="000C5FE3">
          <w:rPr>
            <w:noProof/>
            <w:webHidden/>
          </w:rPr>
          <w:tab/>
        </w:r>
        <w:r w:rsidR="000C5FE3">
          <w:rPr>
            <w:noProof/>
            <w:webHidden/>
          </w:rPr>
          <w:fldChar w:fldCharType="begin"/>
        </w:r>
        <w:r w:rsidR="000C5FE3">
          <w:rPr>
            <w:noProof/>
            <w:webHidden/>
          </w:rPr>
          <w:instrText xml:space="preserve"> PAGEREF _Toc432577326 \h </w:instrText>
        </w:r>
        <w:r w:rsidR="000C5FE3">
          <w:rPr>
            <w:noProof/>
            <w:webHidden/>
          </w:rPr>
        </w:r>
        <w:r w:rsidR="000C5FE3">
          <w:rPr>
            <w:noProof/>
            <w:webHidden/>
          </w:rPr>
          <w:fldChar w:fldCharType="separate"/>
        </w:r>
        <w:r w:rsidR="000C5FE3">
          <w:rPr>
            <w:noProof/>
            <w:webHidden/>
          </w:rPr>
          <w:t>18</w:t>
        </w:r>
        <w:r w:rsidR="000C5FE3">
          <w:rPr>
            <w:noProof/>
            <w:webHidden/>
          </w:rPr>
          <w:fldChar w:fldCharType="end"/>
        </w:r>
      </w:hyperlink>
    </w:p>
    <w:p w14:paraId="6ECDDE59" w14:textId="77777777" w:rsidR="000C5FE3" w:rsidRDefault="00185AE1">
      <w:pPr>
        <w:pStyle w:val="TOC2"/>
        <w:tabs>
          <w:tab w:val="left" w:pos="960"/>
          <w:tab w:val="right" w:pos="9060"/>
        </w:tabs>
        <w:rPr>
          <w:rFonts w:asciiTheme="minorHAnsi" w:eastAsiaTheme="minorEastAsia" w:hAnsiTheme="minorHAnsi" w:cstheme="minorBidi"/>
          <w:noProof/>
          <w:sz w:val="22"/>
          <w:szCs w:val="22"/>
        </w:rPr>
      </w:pPr>
      <w:hyperlink w:anchor="_Toc432577327" w:history="1">
        <w:r w:rsidR="000C5FE3" w:rsidRPr="003258EF">
          <w:rPr>
            <w:rStyle w:val="Hyperlink"/>
            <w:noProof/>
          </w:rPr>
          <w:t>4.6</w:t>
        </w:r>
        <w:r w:rsidR="000C5FE3">
          <w:rPr>
            <w:rFonts w:asciiTheme="minorHAnsi" w:eastAsiaTheme="minorEastAsia" w:hAnsiTheme="minorHAnsi" w:cstheme="minorBidi"/>
            <w:noProof/>
            <w:sz w:val="22"/>
            <w:szCs w:val="22"/>
          </w:rPr>
          <w:tab/>
        </w:r>
        <w:r w:rsidR="000C5FE3" w:rsidRPr="003258EF">
          <w:rPr>
            <w:rStyle w:val="Hyperlink"/>
            <w:noProof/>
          </w:rPr>
          <w:t>Key issues arising out of my examination</w:t>
        </w:r>
        <w:r w:rsidR="000C5FE3">
          <w:rPr>
            <w:noProof/>
            <w:webHidden/>
          </w:rPr>
          <w:tab/>
        </w:r>
        <w:r w:rsidR="000C5FE3">
          <w:rPr>
            <w:noProof/>
            <w:webHidden/>
          </w:rPr>
          <w:fldChar w:fldCharType="begin"/>
        </w:r>
        <w:r w:rsidR="000C5FE3">
          <w:rPr>
            <w:noProof/>
            <w:webHidden/>
          </w:rPr>
          <w:instrText xml:space="preserve"> PAGEREF _Toc432577327 \h </w:instrText>
        </w:r>
        <w:r w:rsidR="000C5FE3">
          <w:rPr>
            <w:noProof/>
            <w:webHidden/>
          </w:rPr>
        </w:r>
        <w:r w:rsidR="000C5FE3">
          <w:rPr>
            <w:noProof/>
            <w:webHidden/>
          </w:rPr>
          <w:fldChar w:fldCharType="separate"/>
        </w:r>
        <w:r w:rsidR="000C5FE3">
          <w:rPr>
            <w:noProof/>
            <w:webHidden/>
          </w:rPr>
          <w:t>58</w:t>
        </w:r>
        <w:r w:rsidR="000C5FE3">
          <w:rPr>
            <w:noProof/>
            <w:webHidden/>
          </w:rPr>
          <w:fldChar w:fldCharType="end"/>
        </w:r>
      </w:hyperlink>
    </w:p>
    <w:p w14:paraId="6AD7FD95" w14:textId="77777777" w:rsidR="000C5FE3" w:rsidRDefault="00185AE1">
      <w:pPr>
        <w:pStyle w:val="TOC2"/>
        <w:tabs>
          <w:tab w:val="left" w:pos="960"/>
          <w:tab w:val="right" w:pos="9060"/>
        </w:tabs>
        <w:rPr>
          <w:rFonts w:asciiTheme="minorHAnsi" w:eastAsiaTheme="minorEastAsia" w:hAnsiTheme="minorHAnsi" w:cstheme="minorBidi"/>
          <w:noProof/>
          <w:sz w:val="22"/>
          <w:szCs w:val="22"/>
        </w:rPr>
      </w:pPr>
      <w:hyperlink w:anchor="_Toc432577328" w:history="1">
        <w:r w:rsidR="000C5FE3" w:rsidRPr="003258EF">
          <w:rPr>
            <w:rStyle w:val="Hyperlink"/>
            <w:noProof/>
          </w:rPr>
          <w:t>4.7</w:t>
        </w:r>
        <w:r w:rsidR="000C5FE3">
          <w:rPr>
            <w:rFonts w:asciiTheme="minorHAnsi" w:eastAsiaTheme="minorEastAsia" w:hAnsiTheme="minorHAnsi" w:cstheme="minorBidi"/>
            <w:noProof/>
            <w:sz w:val="22"/>
            <w:szCs w:val="22"/>
          </w:rPr>
          <w:tab/>
        </w:r>
        <w:r w:rsidR="000C5FE3" w:rsidRPr="003258EF">
          <w:rPr>
            <w:rStyle w:val="Hyperlink"/>
            <w:noProof/>
          </w:rPr>
          <w:t>Conclusion</w:t>
        </w:r>
        <w:r w:rsidR="000C5FE3">
          <w:rPr>
            <w:noProof/>
            <w:webHidden/>
          </w:rPr>
          <w:tab/>
        </w:r>
        <w:r w:rsidR="000C5FE3">
          <w:rPr>
            <w:noProof/>
            <w:webHidden/>
          </w:rPr>
          <w:fldChar w:fldCharType="begin"/>
        </w:r>
        <w:r w:rsidR="000C5FE3">
          <w:rPr>
            <w:noProof/>
            <w:webHidden/>
          </w:rPr>
          <w:instrText xml:space="preserve"> PAGEREF _Toc432577328 \h </w:instrText>
        </w:r>
        <w:r w:rsidR="000C5FE3">
          <w:rPr>
            <w:noProof/>
            <w:webHidden/>
          </w:rPr>
        </w:r>
        <w:r w:rsidR="000C5FE3">
          <w:rPr>
            <w:noProof/>
            <w:webHidden/>
          </w:rPr>
          <w:fldChar w:fldCharType="separate"/>
        </w:r>
        <w:r w:rsidR="000C5FE3">
          <w:rPr>
            <w:noProof/>
            <w:webHidden/>
          </w:rPr>
          <w:t>72</w:t>
        </w:r>
        <w:r w:rsidR="000C5FE3">
          <w:rPr>
            <w:noProof/>
            <w:webHidden/>
          </w:rPr>
          <w:fldChar w:fldCharType="end"/>
        </w:r>
      </w:hyperlink>
    </w:p>
    <w:p w14:paraId="7B2823B4" w14:textId="77777777" w:rsidR="000C5FE3" w:rsidRDefault="00185AE1">
      <w:pPr>
        <w:pStyle w:val="TOC2"/>
        <w:tabs>
          <w:tab w:val="left" w:pos="960"/>
          <w:tab w:val="right" w:pos="9060"/>
        </w:tabs>
        <w:rPr>
          <w:rFonts w:asciiTheme="minorHAnsi" w:eastAsiaTheme="minorEastAsia" w:hAnsiTheme="minorHAnsi" w:cstheme="minorBidi"/>
          <w:noProof/>
          <w:sz w:val="22"/>
          <w:szCs w:val="22"/>
        </w:rPr>
      </w:pPr>
      <w:hyperlink w:anchor="_Toc432577329" w:history="1">
        <w:r w:rsidR="000C5FE3" w:rsidRPr="003258EF">
          <w:rPr>
            <w:rStyle w:val="Hyperlink"/>
            <w:noProof/>
          </w:rPr>
          <w:t>4.8</w:t>
        </w:r>
        <w:r w:rsidR="000C5FE3">
          <w:rPr>
            <w:rFonts w:asciiTheme="minorHAnsi" w:eastAsiaTheme="minorEastAsia" w:hAnsiTheme="minorHAnsi" w:cstheme="minorBidi"/>
            <w:noProof/>
            <w:sz w:val="22"/>
            <w:szCs w:val="22"/>
          </w:rPr>
          <w:tab/>
        </w:r>
        <w:r w:rsidR="000C5FE3" w:rsidRPr="003258EF">
          <w:rPr>
            <w:rStyle w:val="Hyperlink"/>
            <w:noProof/>
          </w:rPr>
          <w:t>Acknowledgments</w:t>
        </w:r>
        <w:r w:rsidR="000C5FE3">
          <w:rPr>
            <w:noProof/>
            <w:webHidden/>
          </w:rPr>
          <w:tab/>
        </w:r>
        <w:r w:rsidR="000C5FE3">
          <w:rPr>
            <w:noProof/>
            <w:webHidden/>
          </w:rPr>
          <w:fldChar w:fldCharType="begin"/>
        </w:r>
        <w:r w:rsidR="000C5FE3">
          <w:rPr>
            <w:noProof/>
            <w:webHidden/>
          </w:rPr>
          <w:instrText xml:space="preserve"> PAGEREF _Toc432577329 \h </w:instrText>
        </w:r>
        <w:r w:rsidR="000C5FE3">
          <w:rPr>
            <w:noProof/>
            <w:webHidden/>
          </w:rPr>
        </w:r>
        <w:r w:rsidR="000C5FE3">
          <w:rPr>
            <w:noProof/>
            <w:webHidden/>
          </w:rPr>
          <w:fldChar w:fldCharType="separate"/>
        </w:r>
        <w:r w:rsidR="000C5FE3">
          <w:rPr>
            <w:noProof/>
            <w:webHidden/>
          </w:rPr>
          <w:t>72</w:t>
        </w:r>
        <w:r w:rsidR="000C5FE3">
          <w:rPr>
            <w:noProof/>
            <w:webHidden/>
          </w:rPr>
          <w:fldChar w:fldCharType="end"/>
        </w:r>
      </w:hyperlink>
    </w:p>
    <w:p w14:paraId="4DEEA3DB" w14:textId="77777777" w:rsidR="000C5FE3" w:rsidRDefault="00185AE1">
      <w:pPr>
        <w:pStyle w:val="TOC2"/>
        <w:tabs>
          <w:tab w:val="left" w:pos="960"/>
          <w:tab w:val="right" w:pos="9060"/>
        </w:tabs>
        <w:rPr>
          <w:rFonts w:asciiTheme="minorHAnsi" w:eastAsiaTheme="minorEastAsia" w:hAnsiTheme="minorHAnsi" w:cstheme="minorBidi"/>
          <w:noProof/>
          <w:sz w:val="22"/>
          <w:szCs w:val="22"/>
        </w:rPr>
      </w:pPr>
      <w:hyperlink w:anchor="_Toc432577330" w:history="1">
        <w:r w:rsidR="000C5FE3" w:rsidRPr="003258EF">
          <w:rPr>
            <w:rStyle w:val="Hyperlink"/>
            <w:noProof/>
          </w:rPr>
          <w:t>4.9</w:t>
        </w:r>
        <w:r w:rsidR="000C5FE3">
          <w:rPr>
            <w:rFonts w:asciiTheme="minorHAnsi" w:eastAsiaTheme="minorEastAsia" w:hAnsiTheme="minorHAnsi" w:cstheme="minorBidi"/>
            <w:noProof/>
            <w:sz w:val="22"/>
            <w:szCs w:val="22"/>
          </w:rPr>
          <w:tab/>
        </w:r>
        <w:r w:rsidR="000C5FE3" w:rsidRPr="003258EF">
          <w:rPr>
            <w:rStyle w:val="Hyperlink"/>
            <w:noProof/>
          </w:rPr>
          <w:t>Recommendations</w:t>
        </w:r>
        <w:r w:rsidR="000C5FE3">
          <w:rPr>
            <w:noProof/>
            <w:webHidden/>
          </w:rPr>
          <w:tab/>
        </w:r>
        <w:r w:rsidR="000C5FE3">
          <w:rPr>
            <w:noProof/>
            <w:webHidden/>
          </w:rPr>
          <w:fldChar w:fldCharType="begin"/>
        </w:r>
        <w:r w:rsidR="000C5FE3">
          <w:rPr>
            <w:noProof/>
            <w:webHidden/>
          </w:rPr>
          <w:instrText xml:space="preserve"> PAGEREF _Toc432577330 \h </w:instrText>
        </w:r>
        <w:r w:rsidR="000C5FE3">
          <w:rPr>
            <w:noProof/>
            <w:webHidden/>
          </w:rPr>
        </w:r>
        <w:r w:rsidR="000C5FE3">
          <w:rPr>
            <w:noProof/>
            <w:webHidden/>
          </w:rPr>
          <w:fldChar w:fldCharType="separate"/>
        </w:r>
        <w:r w:rsidR="000C5FE3">
          <w:rPr>
            <w:noProof/>
            <w:webHidden/>
          </w:rPr>
          <w:t>74</w:t>
        </w:r>
        <w:r w:rsidR="000C5FE3">
          <w:rPr>
            <w:noProof/>
            <w:webHidden/>
          </w:rPr>
          <w:fldChar w:fldCharType="end"/>
        </w:r>
      </w:hyperlink>
    </w:p>
    <w:p w14:paraId="5710DEF3" w14:textId="77777777" w:rsidR="000C5FE3" w:rsidRDefault="00185AE1">
      <w:pPr>
        <w:pStyle w:val="TOC1"/>
        <w:rPr>
          <w:rFonts w:asciiTheme="minorHAnsi" w:eastAsiaTheme="minorEastAsia" w:hAnsiTheme="minorHAnsi" w:cstheme="minorBidi"/>
          <w:bCs w:val="0"/>
          <w:noProof/>
          <w:sz w:val="22"/>
          <w:szCs w:val="22"/>
        </w:rPr>
      </w:pPr>
      <w:hyperlink w:anchor="_Toc432577331" w:history="1">
        <w:r w:rsidR="000C5FE3" w:rsidRPr="003258EF">
          <w:rPr>
            <w:rStyle w:val="Hyperlink"/>
            <w:noProof/>
          </w:rPr>
          <w:t>Appendices</w:t>
        </w:r>
        <w:r w:rsidR="000C5FE3">
          <w:rPr>
            <w:noProof/>
            <w:webHidden/>
          </w:rPr>
          <w:tab/>
        </w:r>
        <w:r w:rsidR="000C5FE3">
          <w:rPr>
            <w:noProof/>
            <w:webHidden/>
          </w:rPr>
          <w:fldChar w:fldCharType="begin"/>
        </w:r>
        <w:r w:rsidR="000C5FE3">
          <w:rPr>
            <w:noProof/>
            <w:webHidden/>
          </w:rPr>
          <w:instrText xml:space="preserve"> PAGEREF _Toc432577331 \h </w:instrText>
        </w:r>
        <w:r w:rsidR="000C5FE3">
          <w:rPr>
            <w:noProof/>
            <w:webHidden/>
          </w:rPr>
        </w:r>
        <w:r w:rsidR="000C5FE3">
          <w:rPr>
            <w:noProof/>
            <w:webHidden/>
          </w:rPr>
          <w:fldChar w:fldCharType="separate"/>
        </w:r>
        <w:r w:rsidR="000C5FE3">
          <w:rPr>
            <w:noProof/>
            <w:webHidden/>
          </w:rPr>
          <w:t>89</w:t>
        </w:r>
        <w:r w:rsidR="000C5FE3">
          <w:rPr>
            <w:noProof/>
            <w:webHidden/>
          </w:rPr>
          <w:fldChar w:fldCharType="end"/>
        </w:r>
      </w:hyperlink>
    </w:p>
    <w:p w14:paraId="3D45FAAD" w14:textId="77777777" w:rsidR="000C5FE3" w:rsidRDefault="00185AE1">
      <w:pPr>
        <w:pStyle w:val="TOC2"/>
        <w:tabs>
          <w:tab w:val="right" w:pos="9060"/>
        </w:tabs>
        <w:rPr>
          <w:rFonts w:asciiTheme="minorHAnsi" w:eastAsiaTheme="minorEastAsia" w:hAnsiTheme="minorHAnsi" w:cstheme="minorBidi"/>
          <w:noProof/>
          <w:sz w:val="22"/>
          <w:szCs w:val="22"/>
        </w:rPr>
      </w:pPr>
      <w:hyperlink w:anchor="_Toc432577332" w:history="1">
        <w:r w:rsidR="000C5FE3" w:rsidRPr="003258EF">
          <w:rPr>
            <w:rStyle w:val="Hyperlink"/>
            <w:noProof/>
          </w:rPr>
          <w:t>Appendix 1: Speaking engagements</w:t>
        </w:r>
        <w:r w:rsidR="000C5FE3">
          <w:rPr>
            <w:noProof/>
            <w:webHidden/>
          </w:rPr>
          <w:tab/>
        </w:r>
        <w:r w:rsidR="000C5FE3">
          <w:rPr>
            <w:noProof/>
            <w:webHidden/>
          </w:rPr>
          <w:fldChar w:fldCharType="begin"/>
        </w:r>
        <w:r w:rsidR="000C5FE3">
          <w:rPr>
            <w:noProof/>
            <w:webHidden/>
          </w:rPr>
          <w:instrText xml:space="preserve"> PAGEREF _Toc432577332 \h </w:instrText>
        </w:r>
        <w:r w:rsidR="000C5FE3">
          <w:rPr>
            <w:noProof/>
            <w:webHidden/>
          </w:rPr>
        </w:r>
        <w:r w:rsidR="000C5FE3">
          <w:rPr>
            <w:noProof/>
            <w:webHidden/>
          </w:rPr>
          <w:fldChar w:fldCharType="separate"/>
        </w:r>
        <w:r w:rsidR="000C5FE3">
          <w:rPr>
            <w:noProof/>
            <w:webHidden/>
          </w:rPr>
          <w:t>89</w:t>
        </w:r>
        <w:r w:rsidR="000C5FE3">
          <w:rPr>
            <w:noProof/>
            <w:webHidden/>
          </w:rPr>
          <w:fldChar w:fldCharType="end"/>
        </w:r>
      </w:hyperlink>
    </w:p>
    <w:p w14:paraId="40AE95FD" w14:textId="77777777" w:rsidR="000C5FE3" w:rsidRDefault="00185AE1">
      <w:pPr>
        <w:pStyle w:val="TOC2"/>
        <w:tabs>
          <w:tab w:val="right" w:pos="9060"/>
        </w:tabs>
        <w:rPr>
          <w:rFonts w:asciiTheme="minorHAnsi" w:eastAsiaTheme="minorEastAsia" w:hAnsiTheme="minorHAnsi" w:cstheme="minorBidi"/>
          <w:noProof/>
          <w:sz w:val="22"/>
          <w:szCs w:val="22"/>
        </w:rPr>
      </w:pPr>
      <w:hyperlink w:anchor="_Toc432577333" w:history="1">
        <w:r w:rsidR="000C5FE3" w:rsidRPr="003258EF">
          <w:rPr>
            <w:rStyle w:val="Hyperlink"/>
            <w:noProof/>
          </w:rPr>
          <w:t>Appendix 2: Face to face meetings and teleconferences about issues affecting children and young people</w:t>
        </w:r>
        <w:r w:rsidR="000C5FE3">
          <w:rPr>
            <w:noProof/>
            <w:webHidden/>
          </w:rPr>
          <w:tab/>
        </w:r>
        <w:r w:rsidR="000C5FE3">
          <w:rPr>
            <w:noProof/>
            <w:webHidden/>
          </w:rPr>
          <w:fldChar w:fldCharType="begin"/>
        </w:r>
        <w:r w:rsidR="000C5FE3">
          <w:rPr>
            <w:noProof/>
            <w:webHidden/>
          </w:rPr>
          <w:instrText xml:space="preserve"> PAGEREF _Toc432577333 \h </w:instrText>
        </w:r>
        <w:r w:rsidR="000C5FE3">
          <w:rPr>
            <w:noProof/>
            <w:webHidden/>
          </w:rPr>
        </w:r>
        <w:r w:rsidR="000C5FE3">
          <w:rPr>
            <w:noProof/>
            <w:webHidden/>
          </w:rPr>
          <w:fldChar w:fldCharType="separate"/>
        </w:r>
        <w:r w:rsidR="000C5FE3">
          <w:rPr>
            <w:noProof/>
            <w:webHidden/>
          </w:rPr>
          <w:t>92</w:t>
        </w:r>
        <w:r w:rsidR="000C5FE3">
          <w:rPr>
            <w:noProof/>
            <w:webHidden/>
          </w:rPr>
          <w:fldChar w:fldCharType="end"/>
        </w:r>
      </w:hyperlink>
    </w:p>
    <w:p w14:paraId="04BCEE45" w14:textId="77777777" w:rsidR="000C5FE3" w:rsidRDefault="00185AE1">
      <w:pPr>
        <w:pStyle w:val="TOC2"/>
        <w:tabs>
          <w:tab w:val="right" w:pos="9060"/>
        </w:tabs>
        <w:rPr>
          <w:rFonts w:asciiTheme="minorHAnsi" w:eastAsiaTheme="minorEastAsia" w:hAnsiTheme="minorHAnsi" w:cstheme="minorBidi"/>
          <w:noProof/>
          <w:sz w:val="22"/>
          <w:szCs w:val="22"/>
        </w:rPr>
      </w:pPr>
      <w:hyperlink w:anchor="_Toc432577334" w:history="1">
        <w:r w:rsidR="000C5FE3" w:rsidRPr="003258EF">
          <w:rPr>
            <w:rStyle w:val="Hyperlink"/>
            <w:noProof/>
          </w:rPr>
          <w:t>Appendix 3: Memberships of advisory groups and ambassadorships</w:t>
        </w:r>
        <w:r w:rsidR="000C5FE3">
          <w:rPr>
            <w:noProof/>
            <w:webHidden/>
          </w:rPr>
          <w:tab/>
        </w:r>
        <w:r w:rsidR="000C5FE3">
          <w:rPr>
            <w:noProof/>
            <w:webHidden/>
          </w:rPr>
          <w:fldChar w:fldCharType="begin"/>
        </w:r>
        <w:r w:rsidR="000C5FE3">
          <w:rPr>
            <w:noProof/>
            <w:webHidden/>
          </w:rPr>
          <w:instrText xml:space="preserve"> PAGEREF _Toc432577334 \h </w:instrText>
        </w:r>
        <w:r w:rsidR="000C5FE3">
          <w:rPr>
            <w:noProof/>
            <w:webHidden/>
          </w:rPr>
        </w:r>
        <w:r w:rsidR="000C5FE3">
          <w:rPr>
            <w:noProof/>
            <w:webHidden/>
          </w:rPr>
          <w:fldChar w:fldCharType="separate"/>
        </w:r>
        <w:r w:rsidR="000C5FE3">
          <w:rPr>
            <w:noProof/>
            <w:webHidden/>
          </w:rPr>
          <w:t>102</w:t>
        </w:r>
        <w:r w:rsidR="000C5FE3">
          <w:rPr>
            <w:noProof/>
            <w:webHidden/>
          </w:rPr>
          <w:fldChar w:fldCharType="end"/>
        </w:r>
      </w:hyperlink>
    </w:p>
    <w:p w14:paraId="5F0D7AFF" w14:textId="77777777" w:rsidR="000C5FE3" w:rsidRDefault="00185AE1">
      <w:pPr>
        <w:pStyle w:val="TOC2"/>
        <w:tabs>
          <w:tab w:val="right" w:pos="9060"/>
        </w:tabs>
        <w:rPr>
          <w:rFonts w:asciiTheme="minorHAnsi" w:eastAsiaTheme="minorEastAsia" w:hAnsiTheme="minorHAnsi" w:cstheme="minorBidi"/>
          <w:noProof/>
          <w:sz w:val="22"/>
          <w:szCs w:val="22"/>
        </w:rPr>
      </w:pPr>
      <w:hyperlink w:anchor="_Toc432577335" w:history="1">
        <w:r w:rsidR="000C5FE3" w:rsidRPr="003258EF">
          <w:rPr>
            <w:rStyle w:val="Hyperlink"/>
            <w:noProof/>
          </w:rPr>
          <w:t>Appendix 4: Consultations about business and children’s rights</w:t>
        </w:r>
        <w:r w:rsidR="000C5FE3">
          <w:rPr>
            <w:noProof/>
            <w:webHidden/>
          </w:rPr>
          <w:tab/>
        </w:r>
        <w:r w:rsidR="000C5FE3">
          <w:rPr>
            <w:noProof/>
            <w:webHidden/>
          </w:rPr>
          <w:fldChar w:fldCharType="begin"/>
        </w:r>
        <w:r w:rsidR="000C5FE3">
          <w:rPr>
            <w:noProof/>
            <w:webHidden/>
          </w:rPr>
          <w:instrText xml:space="preserve"> PAGEREF _Toc432577335 \h </w:instrText>
        </w:r>
        <w:r w:rsidR="000C5FE3">
          <w:rPr>
            <w:noProof/>
            <w:webHidden/>
          </w:rPr>
        </w:r>
        <w:r w:rsidR="000C5FE3">
          <w:rPr>
            <w:noProof/>
            <w:webHidden/>
          </w:rPr>
          <w:fldChar w:fldCharType="separate"/>
        </w:r>
        <w:r w:rsidR="000C5FE3">
          <w:rPr>
            <w:noProof/>
            <w:webHidden/>
          </w:rPr>
          <w:t>103</w:t>
        </w:r>
        <w:r w:rsidR="000C5FE3">
          <w:rPr>
            <w:noProof/>
            <w:webHidden/>
          </w:rPr>
          <w:fldChar w:fldCharType="end"/>
        </w:r>
      </w:hyperlink>
    </w:p>
    <w:p w14:paraId="23346FBD" w14:textId="77777777" w:rsidR="000C5FE3" w:rsidRDefault="00185AE1">
      <w:pPr>
        <w:pStyle w:val="TOC2"/>
        <w:tabs>
          <w:tab w:val="right" w:pos="9060"/>
        </w:tabs>
        <w:rPr>
          <w:rFonts w:asciiTheme="minorHAnsi" w:eastAsiaTheme="minorEastAsia" w:hAnsiTheme="minorHAnsi" w:cstheme="minorBidi"/>
          <w:noProof/>
          <w:sz w:val="22"/>
          <w:szCs w:val="22"/>
        </w:rPr>
      </w:pPr>
      <w:hyperlink w:anchor="_Toc432577336" w:history="1">
        <w:r w:rsidR="000C5FE3" w:rsidRPr="003258EF">
          <w:rPr>
            <w:rStyle w:val="Hyperlink"/>
            <w:noProof/>
          </w:rPr>
          <w:t>Appendix 5: Submissions to my examination of family and domestic violence affecting children</w:t>
        </w:r>
        <w:r w:rsidR="000C5FE3">
          <w:rPr>
            <w:noProof/>
            <w:webHidden/>
          </w:rPr>
          <w:tab/>
        </w:r>
        <w:r w:rsidR="000C5FE3">
          <w:rPr>
            <w:noProof/>
            <w:webHidden/>
          </w:rPr>
          <w:fldChar w:fldCharType="begin"/>
        </w:r>
        <w:r w:rsidR="000C5FE3">
          <w:rPr>
            <w:noProof/>
            <w:webHidden/>
          </w:rPr>
          <w:instrText xml:space="preserve"> PAGEREF _Toc432577336 \h </w:instrText>
        </w:r>
        <w:r w:rsidR="000C5FE3">
          <w:rPr>
            <w:noProof/>
            <w:webHidden/>
          </w:rPr>
        </w:r>
        <w:r w:rsidR="000C5FE3">
          <w:rPr>
            <w:noProof/>
            <w:webHidden/>
          </w:rPr>
          <w:fldChar w:fldCharType="separate"/>
        </w:r>
        <w:r w:rsidR="000C5FE3">
          <w:rPr>
            <w:noProof/>
            <w:webHidden/>
          </w:rPr>
          <w:t>103</w:t>
        </w:r>
        <w:r w:rsidR="000C5FE3">
          <w:rPr>
            <w:noProof/>
            <w:webHidden/>
          </w:rPr>
          <w:fldChar w:fldCharType="end"/>
        </w:r>
      </w:hyperlink>
    </w:p>
    <w:p w14:paraId="2DAF7D1A" w14:textId="77777777" w:rsidR="000C5FE3" w:rsidRDefault="00185AE1">
      <w:pPr>
        <w:pStyle w:val="TOC2"/>
        <w:tabs>
          <w:tab w:val="right" w:pos="9060"/>
        </w:tabs>
        <w:rPr>
          <w:rFonts w:asciiTheme="minorHAnsi" w:eastAsiaTheme="minorEastAsia" w:hAnsiTheme="minorHAnsi" w:cstheme="minorBidi"/>
          <w:noProof/>
          <w:sz w:val="22"/>
          <w:szCs w:val="22"/>
        </w:rPr>
      </w:pPr>
      <w:hyperlink w:anchor="_Toc432577337" w:history="1">
        <w:r w:rsidR="000C5FE3" w:rsidRPr="003258EF">
          <w:rPr>
            <w:rStyle w:val="Hyperlink"/>
            <w:noProof/>
          </w:rPr>
          <w:t>Appendix 6: National roundtables for my examination of family and domestic violence affecting children</w:t>
        </w:r>
        <w:r w:rsidR="000C5FE3">
          <w:rPr>
            <w:noProof/>
            <w:webHidden/>
          </w:rPr>
          <w:tab/>
        </w:r>
        <w:r w:rsidR="000C5FE3">
          <w:rPr>
            <w:noProof/>
            <w:webHidden/>
          </w:rPr>
          <w:fldChar w:fldCharType="begin"/>
        </w:r>
        <w:r w:rsidR="000C5FE3">
          <w:rPr>
            <w:noProof/>
            <w:webHidden/>
          </w:rPr>
          <w:instrText xml:space="preserve"> PAGEREF _Toc432577337 \h </w:instrText>
        </w:r>
        <w:r w:rsidR="000C5FE3">
          <w:rPr>
            <w:noProof/>
            <w:webHidden/>
          </w:rPr>
        </w:r>
        <w:r w:rsidR="000C5FE3">
          <w:rPr>
            <w:noProof/>
            <w:webHidden/>
          </w:rPr>
          <w:fldChar w:fldCharType="separate"/>
        </w:r>
        <w:r w:rsidR="000C5FE3">
          <w:rPr>
            <w:noProof/>
            <w:webHidden/>
          </w:rPr>
          <w:t>107</w:t>
        </w:r>
        <w:r w:rsidR="000C5FE3">
          <w:rPr>
            <w:noProof/>
            <w:webHidden/>
          </w:rPr>
          <w:fldChar w:fldCharType="end"/>
        </w:r>
      </w:hyperlink>
    </w:p>
    <w:p w14:paraId="405F2750" w14:textId="77777777" w:rsidR="000C5FE3" w:rsidRDefault="00185AE1">
      <w:pPr>
        <w:pStyle w:val="TOC2"/>
        <w:tabs>
          <w:tab w:val="right" w:pos="9060"/>
        </w:tabs>
        <w:rPr>
          <w:rFonts w:asciiTheme="minorHAnsi" w:eastAsiaTheme="minorEastAsia" w:hAnsiTheme="minorHAnsi" w:cstheme="minorBidi"/>
          <w:noProof/>
          <w:sz w:val="22"/>
          <w:szCs w:val="22"/>
        </w:rPr>
      </w:pPr>
      <w:hyperlink w:anchor="_Toc432577338" w:history="1">
        <w:r w:rsidR="000C5FE3" w:rsidRPr="003258EF">
          <w:rPr>
            <w:rStyle w:val="Hyperlink"/>
            <w:noProof/>
          </w:rPr>
          <w:t>Appendix 7: Individual consultations with stakeholders relating to my examination of family and domestic violence affecting children</w:t>
        </w:r>
        <w:r w:rsidR="000C5FE3">
          <w:rPr>
            <w:noProof/>
            <w:webHidden/>
          </w:rPr>
          <w:tab/>
        </w:r>
        <w:r w:rsidR="000C5FE3">
          <w:rPr>
            <w:noProof/>
            <w:webHidden/>
          </w:rPr>
          <w:fldChar w:fldCharType="begin"/>
        </w:r>
        <w:r w:rsidR="000C5FE3">
          <w:rPr>
            <w:noProof/>
            <w:webHidden/>
          </w:rPr>
          <w:instrText xml:space="preserve"> PAGEREF _Toc432577338 \h </w:instrText>
        </w:r>
        <w:r w:rsidR="000C5FE3">
          <w:rPr>
            <w:noProof/>
            <w:webHidden/>
          </w:rPr>
        </w:r>
        <w:r w:rsidR="000C5FE3">
          <w:rPr>
            <w:noProof/>
            <w:webHidden/>
          </w:rPr>
          <w:fldChar w:fldCharType="separate"/>
        </w:r>
        <w:r w:rsidR="000C5FE3">
          <w:rPr>
            <w:noProof/>
            <w:webHidden/>
          </w:rPr>
          <w:t>115</w:t>
        </w:r>
        <w:r w:rsidR="000C5FE3">
          <w:rPr>
            <w:noProof/>
            <w:webHidden/>
          </w:rPr>
          <w:fldChar w:fldCharType="end"/>
        </w:r>
      </w:hyperlink>
    </w:p>
    <w:p w14:paraId="1D73EBE0" w14:textId="77777777" w:rsidR="000C5FE3" w:rsidRDefault="00185AE1">
      <w:pPr>
        <w:pStyle w:val="TOC2"/>
        <w:tabs>
          <w:tab w:val="right" w:pos="9060"/>
        </w:tabs>
        <w:rPr>
          <w:rFonts w:asciiTheme="minorHAnsi" w:eastAsiaTheme="minorEastAsia" w:hAnsiTheme="minorHAnsi" w:cstheme="minorBidi"/>
          <w:noProof/>
          <w:sz w:val="22"/>
          <w:szCs w:val="22"/>
        </w:rPr>
      </w:pPr>
      <w:hyperlink w:anchor="_Toc432577339" w:history="1">
        <w:r w:rsidR="000C5FE3" w:rsidRPr="003258EF">
          <w:rPr>
            <w:rStyle w:val="Hyperlink"/>
            <w:noProof/>
          </w:rPr>
          <w:t>Appendix 8: ABS Recorded Crime – Victims data about children aged 0 to 17 years who were victims of physical assault and sexual assault</w:t>
        </w:r>
        <w:r w:rsidR="000C5FE3">
          <w:rPr>
            <w:noProof/>
            <w:webHidden/>
          </w:rPr>
          <w:tab/>
        </w:r>
        <w:r w:rsidR="000C5FE3">
          <w:rPr>
            <w:noProof/>
            <w:webHidden/>
          </w:rPr>
          <w:fldChar w:fldCharType="begin"/>
        </w:r>
        <w:r w:rsidR="000C5FE3">
          <w:rPr>
            <w:noProof/>
            <w:webHidden/>
          </w:rPr>
          <w:instrText xml:space="preserve"> PAGEREF _Toc432577339 \h </w:instrText>
        </w:r>
        <w:r w:rsidR="000C5FE3">
          <w:rPr>
            <w:noProof/>
            <w:webHidden/>
          </w:rPr>
        </w:r>
        <w:r w:rsidR="000C5FE3">
          <w:rPr>
            <w:noProof/>
            <w:webHidden/>
          </w:rPr>
          <w:fldChar w:fldCharType="separate"/>
        </w:r>
        <w:r w:rsidR="000C5FE3">
          <w:rPr>
            <w:noProof/>
            <w:webHidden/>
          </w:rPr>
          <w:t>115</w:t>
        </w:r>
        <w:r w:rsidR="000C5FE3">
          <w:rPr>
            <w:noProof/>
            <w:webHidden/>
          </w:rPr>
          <w:fldChar w:fldCharType="end"/>
        </w:r>
      </w:hyperlink>
    </w:p>
    <w:p w14:paraId="032CB29E" w14:textId="77777777" w:rsidR="000C5FE3" w:rsidRDefault="00185AE1">
      <w:pPr>
        <w:pStyle w:val="TOC2"/>
        <w:tabs>
          <w:tab w:val="right" w:pos="9060"/>
        </w:tabs>
        <w:rPr>
          <w:rFonts w:asciiTheme="minorHAnsi" w:eastAsiaTheme="minorEastAsia" w:hAnsiTheme="minorHAnsi" w:cstheme="minorBidi"/>
          <w:noProof/>
          <w:sz w:val="22"/>
          <w:szCs w:val="22"/>
        </w:rPr>
      </w:pPr>
      <w:hyperlink w:anchor="_Toc432577340" w:history="1">
        <w:r w:rsidR="000C5FE3" w:rsidRPr="003258EF">
          <w:rPr>
            <w:rStyle w:val="Hyperlink"/>
            <w:noProof/>
          </w:rPr>
          <w:t>Appendix 9: ABS Personal Safety Survey data about children aged 0 to 14 years who experienced physical abuse and sexual abuse</w:t>
        </w:r>
        <w:r w:rsidR="000C5FE3">
          <w:rPr>
            <w:noProof/>
            <w:webHidden/>
          </w:rPr>
          <w:tab/>
        </w:r>
        <w:r w:rsidR="000C5FE3">
          <w:rPr>
            <w:noProof/>
            <w:webHidden/>
          </w:rPr>
          <w:fldChar w:fldCharType="begin"/>
        </w:r>
        <w:r w:rsidR="000C5FE3">
          <w:rPr>
            <w:noProof/>
            <w:webHidden/>
          </w:rPr>
          <w:instrText xml:space="preserve"> PAGEREF _Toc432577340 \h </w:instrText>
        </w:r>
        <w:r w:rsidR="000C5FE3">
          <w:rPr>
            <w:noProof/>
            <w:webHidden/>
          </w:rPr>
        </w:r>
        <w:r w:rsidR="000C5FE3">
          <w:rPr>
            <w:noProof/>
            <w:webHidden/>
          </w:rPr>
          <w:fldChar w:fldCharType="separate"/>
        </w:r>
        <w:r w:rsidR="000C5FE3">
          <w:rPr>
            <w:noProof/>
            <w:webHidden/>
          </w:rPr>
          <w:t>140</w:t>
        </w:r>
        <w:r w:rsidR="000C5FE3">
          <w:rPr>
            <w:noProof/>
            <w:webHidden/>
          </w:rPr>
          <w:fldChar w:fldCharType="end"/>
        </w:r>
      </w:hyperlink>
    </w:p>
    <w:p w14:paraId="64CCFA63" w14:textId="77777777" w:rsidR="000C5FE3" w:rsidRDefault="00185AE1">
      <w:pPr>
        <w:pStyle w:val="TOC2"/>
        <w:tabs>
          <w:tab w:val="right" w:pos="9060"/>
        </w:tabs>
        <w:rPr>
          <w:rFonts w:asciiTheme="minorHAnsi" w:eastAsiaTheme="minorEastAsia" w:hAnsiTheme="minorHAnsi" w:cstheme="minorBidi"/>
          <w:noProof/>
          <w:sz w:val="22"/>
          <w:szCs w:val="22"/>
        </w:rPr>
      </w:pPr>
      <w:hyperlink w:anchor="_Toc432577341" w:history="1">
        <w:r w:rsidR="000C5FE3" w:rsidRPr="003258EF">
          <w:rPr>
            <w:rStyle w:val="Hyperlink"/>
            <w:noProof/>
          </w:rPr>
          <w:t>Appendix 10: National Centre for Longitudinal Data research summaries</w:t>
        </w:r>
        <w:r w:rsidR="000C5FE3">
          <w:rPr>
            <w:noProof/>
            <w:webHidden/>
          </w:rPr>
          <w:tab/>
        </w:r>
        <w:r w:rsidR="000C5FE3">
          <w:rPr>
            <w:noProof/>
            <w:webHidden/>
          </w:rPr>
          <w:fldChar w:fldCharType="begin"/>
        </w:r>
        <w:r w:rsidR="000C5FE3">
          <w:rPr>
            <w:noProof/>
            <w:webHidden/>
          </w:rPr>
          <w:instrText xml:space="preserve"> PAGEREF _Toc432577341 \h </w:instrText>
        </w:r>
        <w:r w:rsidR="000C5FE3">
          <w:rPr>
            <w:noProof/>
            <w:webHidden/>
          </w:rPr>
        </w:r>
        <w:r w:rsidR="000C5FE3">
          <w:rPr>
            <w:noProof/>
            <w:webHidden/>
          </w:rPr>
          <w:fldChar w:fldCharType="separate"/>
        </w:r>
        <w:r w:rsidR="000C5FE3">
          <w:rPr>
            <w:noProof/>
            <w:webHidden/>
          </w:rPr>
          <w:t>146</w:t>
        </w:r>
        <w:r w:rsidR="000C5FE3">
          <w:rPr>
            <w:noProof/>
            <w:webHidden/>
          </w:rPr>
          <w:fldChar w:fldCharType="end"/>
        </w:r>
      </w:hyperlink>
    </w:p>
    <w:p w14:paraId="26AEA181" w14:textId="77777777" w:rsidR="000C5FE3" w:rsidRDefault="00185AE1">
      <w:pPr>
        <w:pStyle w:val="TOC2"/>
        <w:tabs>
          <w:tab w:val="right" w:pos="9060"/>
        </w:tabs>
        <w:rPr>
          <w:rFonts w:asciiTheme="minorHAnsi" w:eastAsiaTheme="minorEastAsia" w:hAnsiTheme="minorHAnsi" w:cstheme="minorBidi"/>
          <w:noProof/>
          <w:sz w:val="22"/>
          <w:szCs w:val="22"/>
        </w:rPr>
      </w:pPr>
      <w:hyperlink w:anchor="_Toc432577342" w:history="1">
        <w:r w:rsidR="000C5FE3" w:rsidRPr="003258EF">
          <w:rPr>
            <w:rStyle w:val="Hyperlink"/>
            <w:noProof/>
          </w:rPr>
          <w:t>Appendix 11: Kids Helpline data about children’s experiences of family and domestic violence</w:t>
        </w:r>
        <w:r w:rsidR="000C5FE3">
          <w:rPr>
            <w:noProof/>
            <w:webHidden/>
          </w:rPr>
          <w:tab/>
        </w:r>
        <w:r w:rsidR="000C5FE3">
          <w:rPr>
            <w:noProof/>
            <w:webHidden/>
          </w:rPr>
          <w:fldChar w:fldCharType="begin"/>
        </w:r>
        <w:r w:rsidR="000C5FE3">
          <w:rPr>
            <w:noProof/>
            <w:webHidden/>
          </w:rPr>
          <w:instrText xml:space="preserve"> PAGEREF _Toc432577342 \h </w:instrText>
        </w:r>
        <w:r w:rsidR="000C5FE3">
          <w:rPr>
            <w:noProof/>
            <w:webHidden/>
          </w:rPr>
        </w:r>
        <w:r w:rsidR="000C5FE3">
          <w:rPr>
            <w:noProof/>
            <w:webHidden/>
          </w:rPr>
          <w:fldChar w:fldCharType="separate"/>
        </w:r>
        <w:r w:rsidR="000C5FE3">
          <w:rPr>
            <w:noProof/>
            <w:webHidden/>
          </w:rPr>
          <w:t>149</w:t>
        </w:r>
        <w:r w:rsidR="000C5FE3">
          <w:rPr>
            <w:noProof/>
            <w:webHidden/>
          </w:rPr>
          <w:fldChar w:fldCharType="end"/>
        </w:r>
      </w:hyperlink>
    </w:p>
    <w:p w14:paraId="6BA011F1" w14:textId="27198E79" w:rsidR="003F7BF2" w:rsidRPr="00C73CE5" w:rsidRDefault="005F7541" w:rsidP="0076347E">
      <w:pPr>
        <w:spacing w:before="0" w:after="0"/>
        <w:jc w:val="both"/>
        <w:rPr>
          <w:b/>
        </w:rPr>
      </w:pPr>
      <w:r>
        <w:rPr>
          <w:rFonts w:asciiTheme="majorHAnsi" w:hAnsiTheme="majorHAnsi"/>
          <w:caps/>
          <w:noProof/>
          <w:sz w:val="22"/>
          <w:szCs w:val="20"/>
        </w:rPr>
        <w:fldChar w:fldCharType="end"/>
      </w:r>
    </w:p>
    <w:p w14:paraId="76DD3792" w14:textId="77777777" w:rsidR="003F7BF2" w:rsidRDefault="003F7BF2" w:rsidP="003F7BF2">
      <w:pPr>
        <w:spacing w:before="0" w:after="0"/>
      </w:pPr>
    </w:p>
    <w:p w14:paraId="470D647C" w14:textId="77777777" w:rsidR="009C7483" w:rsidRDefault="009C7483">
      <w:pPr>
        <w:spacing w:before="0" w:after="0"/>
        <w:rPr>
          <w:b/>
          <w:sz w:val="36"/>
          <w:szCs w:val="36"/>
        </w:rPr>
      </w:pPr>
      <w:r>
        <w:rPr>
          <w:b/>
          <w:sz w:val="36"/>
          <w:szCs w:val="36"/>
        </w:rPr>
        <w:br w:type="page"/>
      </w:r>
    </w:p>
    <w:p w14:paraId="13CDB3A1" w14:textId="199D6A8D" w:rsidR="00DC64E0" w:rsidRDefault="00DC64E0" w:rsidP="00DC64E0">
      <w:pPr>
        <w:spacing w:before="0" w:after="0"/>
        <w:jc w:val="both"/>
        <w:rPr>
          <w:b/>
          <w:sz w:val="36"/>
          <w:szCs w:val="36"/>
        </w:rPr>
      </w:pPr>
      <w:r w:rsidRPr="00DC64E0">
        <w:rPr>
          <w:b/>
          <w:sz w:val="36"/>
          <w:szCs w:val="36"/>
        </w:rPr>
        <w:lastRenderedPageBreak/>
        <w:t>Overview</w:t>
      </w:r>
    </w:p>
    <w:p w14:paraId="67F14BDB" w14:textId="77777777" w:rsidR="00DC64E0" w:rsidRDefault="00DC64E0" w:rsidP="00DC64E0">
      <w:pPr>
        <w:spacing w:before="0" w:after="0"/>
        <w:jc w:val="both"/>
        <w:rPr>
          <w:b/>
          <w:sz w:val="36"/>
          <w:szCs w:val="36"/>
        </w:rPr>
      </w:pPr>
    </w:p>
    <w:p w14:paraId="4237C9CA" w14:textId="5570EAEC" w:rsidR="00DC64E0" w:rsidRPr="00DC64E0" w:rsidRDefault="00DC64E0" w:rsidP="00DC64E0">
      <w:pPr>
        <w:spacing w:before="0" w:after="0"/>
        <w:jc w:val="both"/>
      </w:pPr>
      <w:r w:rsidRPr="00DC64E0">
        <w:t xml:space="preserve">It is with great pleasure that I present my third annual </w:t>
      </w:r>
      <w:r w:rsidRPr="00DC64E0">
        <w:rPr>
          <w:i/>
        </w:rPr>
        <w:t>Children’s Rights Report</w:t>
      </w:r>
      <w:r w:rsidRPr="00DC64E0">
        <w:t xml:space="preserve"> as the National Children’s Commissioner. This report details how I have fulfilled my statutory functions, outlined in Section 46MB of the </w:t>
      </w:r>
      <w:r w:rsidRPr="009C7483">
        <w:rPr>
          <w:i/>
        </w:rPr>
        <w:t>Australia Human Rights Commission Act 1986</w:t>
      </w:r>
      <w:r w:rsidRPr="00DC64E0">
        <w:t xml:space="preserve"> (Cth) (the Act) during the 2014-15 period.</w:t>
      </w:r>
    </w:p>
    <w:p w14:paraId="71452438" w14:textId="77777777" w:rsidR="00DC64E0" w:rsidRPr="00DC64E0" w:rsidRDefault="00DC64E0" w:rsidP="00DC64E0">
      <w:pPr>
        <w:spacing w:before="0" w:after="0"/>
        <w:jc w:val="both"/>
      </w:pPr>
    </w:p>
    <w:p w14:paraId="048B7062" w14:textId="4559DE23" w:rsidR="00DC64E0" w:rsidRPr="00DC64E0" w:rsidRDefault="00DC64E0" w:rsidP="00DC64E0">
      <w:pPr>
        <w:spacing w:before="0" w:after="0"/>
        <w:jc w:val="both"/>
      </w:pPr>
      <w:r w:rsidRPr="00DC64E0">
        <w:t xml:space="preserve">At the core of my role is the promotion and protection of children’s rights, in line with Australia’s commitments under the United Nations </w:t>
      </w:r>
      <w:r w:rsidRPr="00AE0B34">
        <w:t>Convention on the Rights of the Child</w:t>
      </w:r>
      <w:r w:rsidRPr="00DC64E0">
        <w:t xml:space="preserve">, and other international laws and conventions where children’s lives are affected. </w:t>
      </w:r>
    </w:p>
    <w:p w14:paraId="746312C6" w14:textId="77777777" w:rsidR="00DC64E0" w:rsidRPr="00DC64E0" w:rsidRDefault="00DC64E0" w:rsidP="00DC64E0">
      <w:pPr>
        <w:spacing w:before="0" w:after="0"/>
        <w:jc w:val="both"/>
      </w:pPr>
    </w:p>
    <w:p w14:paraId="17D43875" w14:textId="3A628815" w:rsidR="00DC64E0" w:rsidRPr="00DC64E0" w:rsidRDefault="00DC64E0" w:rsidP="00DC64E0">
      <w:pPr>
        <w:spacing w:before="0" w:after="0"/>
        <w:jc w:val="both"/>
      </w:pPr>
      <w:r w:rsidRPr="00DC64E0">
        <w:t xml:space="preserve">The work I do in this role is for all of the 5.2 million </w:t>
      </w:r>
      <w:r w:rsidR="008254A6">
        <w:t>children aged 0-17</w:t>
      </w:r>
      <w:r w:rsidRPr="00DC64E0">
        <w:t xml:space="preserve"> year</w:t>
      </w:r>
      <w:r w:rsidR="008254A6">
        <w:t>s</w:t>
      </w:r>
      <w:r w:rsidRPr="00DC64E0">
        <w:t xml:space="preserve"> across the nation,</w:t>
      </w:r>
      <w:r w:rsidR="008254A6">
        <w:rPr>
          <w:rStyle w:val="EndnoteReference"/>
        </w:rPr>
        <w:endnoteReference w:id="1"/>
      </w:r>
      <w:r w:rsidRPr="00DC64E0">
        <w:t xml:space="preserve"> with a particular focus on issues that arise when children’s rights are denied, disputed, neglected or violated, and where their voices largely go unheard.</w:t>
      </w:r>
    </w:p>
    <w:p w14:paraId="4386A42A" w14:textId="77777777" w:rsidR="00DC64E0" w:rsidRPr="00DC64E0" w:rsidRDefault="00DC64E0" w:rsidP="00DC64E0">
      <w:pPr>
        <w:spacing w:before="0" w:after="0"/>
        <w:jc w:val="both"/>
      </w:pPr>
    </w:p>
    <w:p w14:paraId="1F54B9EC" w14:textId="6978E24C" w:rsidR="00DC64E0" w:rsidRPr="00DC64E0" w:rsidRDefault="00DC64E0" w:rsidP="00DC64E0">
      <w:pPr>
        <w:spacing w:before="0" w:after="0"/>
        <w:jc w:val="both"/>
      </w:pPr>
      <w:r w:rsidRPr="00DC64E0">
        <w:t xml:space="preserve">In this </w:t>
      </w:r>
      <w:r w:rsidR="009C7483">
        <w:t>r</w:t>
      </w:r>
      <w:r w:rsidRPr="00DC64E0">
        <w:t xml:space="preserve">eport, you will read about, and I hope be encouraged by, the progress made in delivering a society that sees children and young people as citizens now, rather than citizens in waiting and as rights holders on their own behalf - a society whose members are committed to realising those rights and supporting their fulfilment. </w:t>
      </w:r>
    </w:p>
    <w:p w14:paraId="106D6456" w14:textId="77777777" w:rsidR="00DC64E0" w:rsidRPr="00DC64E0" w:rsidRDefault="00DC64E0" w:rsidP="00DC64E0">
      <w:pPr>
        <w:spacing w:before="0" w:after="0"/>
        <w:jc w:val="both"/>
      </w:pPr>
    </w:p>
    <w:p w14:paraId="4FAEE34D" w14:textId="77777777" w:rsidR="00DC64E0" w:rsidRPr="00DC64E0" w:rsidRDefault="00DC64E0" w:rsidP="00DC64E0">
      <w:pPr>
        <w:spacing w:before="0" w:after="0"/>
        <w:jc w:val="both"/>
      </w:pPr>
      <w:r w:rsidRPr="00DC64E0">
        <w:t>I hope that you will be inspired by what you read in this year’s report, including the results of two new projects on the impact of family and domestic violence on children, and on children’s rights and business.</w:t>
      </w:r>
    </w:p>
    <w:p w14:paraId="0352D353" w14:textId="77777777" w:rsidR="00DC64E0" w:rsidRPr="00DC64E0" w:rsidRDefault="00DC64E0" w:rsidP="00DC64E0">
      <w:pPr>
        <w:spacing w:before="0" w:after="0"/>
        <w:jc w:val="both"/>
      </w:pPr>
    </w:p>
    <w:p w14:paraId="1B81BC2B" w14:textId="77777777" w:rsidR="00DC64E0" w:rsidRPr="00DC64E0" w:rsidRDefault="00DC64E0" w:rsidP="00DC64E0">
      <w:pPr>
        <w:spacing w:before="0" w:after="0"/>
        <w:jc w:val="both"/>
      </w:pPr>
      <w:r w:rsidRPr="00DC64E0">
        <w:t>This could not be achieved without the efforts of the staff of the Australian Human Rights Commission, who have worked tirelessly to support me over the year and to deliver this report. Nor could I do my job without the generous support of the many individuals and agencies across government and community who care about and care for children and young people. And most importantly my heartfelt thanks to all the fabulous children and young people I have been able to engage with, learn from and be inspired by.</w:t>
      </w:r>
    </w:p>
    <w:p w14:paraId="5B1C8D1F" w14:textId="77777777" w:rsidR="00DC64E0" w:rsidRPr="00DC64E0" w:rsidRDefault="00DC64E0" w:rsidP="00DC64E0">
      <w:pPr>
        <w:spacing w:before="0" w:after="0"/>
        <w:jc w:val="both"/>
      </w:pPr>
    </w:p>
    <w:p w14:paraId="2EF7EE85" w14:textId="2A7E7CBD" w:rsidR="00DC64E0" w:rsidRDefault="00DC64E0" w:rsidP="0076347E">
      <w:pPr>
        <w:spacing w:before="0" w:after="0"/>
        <w:ind w:left="1440" w:hanging="1440"/>
        <w:jc w:val="both"/>
        <w:rPr>
          <w:b/>
        </w:rPr>
      </w:pPr>
      <w:r w:rsidRPr="00DC64E0">
        <w:rPr>
          <w:b/>
        </w:rPr>
        <w:t xml:space="preserve">Chapter 1: </w:t>
      </w:r>
      <w:r w:rsidR="006A687A">
        <w:rPr>
          <w:b/>
        </w:rPr>
        <w:tab/>
      </w:r>
      <w:r w:rsidRPr="00DC64E0">
        <w:rPr>
          <w:b/>
        </w:rPr>
        <w:t>My work to promote discussion and awareness of children’s rights in Australia</w:t>
      </w:r>
    </w:p>
    <w:p w14:paraId="33B0568E" w14:textId="77777777" w:rsidR="003449BE" w:rsidRDefault="00DC64E0" w:rsidP="00DC64E0">
      <w:pPr>
        <w:spacing w:before="0" w:after="0"/>
        <w:jc w:val="both"/>
        <w:sectPr w:rsidR="003449BE" w:rsidSect="00B63D24">
          <w:headerReference w:type="even" r:id="rId32"/>
          <w:headerReference w:type="default" r:id="rId33"/>
          <w:footerReference w:type="default" r:id="rId34"/>
          <w:headerReference w:type="first" r:id="rId35"/>
          <w:endnotePr>
            <w:numFmt w:val="decimal"/>
          </w:endnotePr>
          <w:pgSz w:w="11906" w:h="16838" w:code="9"/>
          <w:pgMar w:top="1134" w:right="1418" w:bottom="1134" w:left="1418" w:header="709" w:footer="709" w:gutter="0"/>
          <w:pgNumType w:start="2"/>
          <w:cols w:space="708"/>
          <w:docGrid w:linePitch="360"/>
        </w:sectPr>
      </w:pPr>
      <w:r w:rsidRPr="00DC64E0">
        <w:rPr>
          <w:b/>
        </w:rPr>
        <w:br/>
      </w:r>
      <w:r w:rsidRPr="00DC64E0">
        <w:t xml:space="preserve">Chapter 1 examines the work I have undertaken throughout the past year to promote discussion and awareness of matters relating to the human rights of children and young people in Australia. It also discuss the progress of recommendations that I made in my </w:t>
      </w:r>
      <w:r w:rsidRPr="00DC64E0">
        <w:rPr>
          <w:i/>
        </w:rPr>
        <w:t xml:space="preserve">Children’s Rights Report 2013 </w:t>
      </w:r>
      <w:r w:rsidRPr="00DC64E0">
        <w:t xml:space="preserve">and </w:t>
      </w:r>
      <w:r w:rsidRPr="00DC64E0">
        <w:rPr>
          <w:i/>
        </w:rPr>
        <w:t>2014</w:t>
      </w:r>
      <w:r w:rsidRPr="00DC64E0">
        <w:t>.</w:t>
      </w:r>
    </w:p>
    <w:p w14:paraId="49A02182" w14:textId="5184240B" w:rsidR="00DC64E0" w:rsidRPr="00DC64E0" w:rsidRDefault="00DC64E0" w:rsidP="00DC64E0">
      <w:pPr>
        <w:spacing w:before="0" w:after="0"/>
        <w:jc w:val="both"/>
        <w:rPr>
          <w:b/>
        </w:rPr>
      </w:pPr>
      <w:r w:rsidRPr="00DC64E0">
        <w:rPr>
          <w:b/>
        </w:rPr>
        <w:lastRenderedPageBreak/>
        <w:t xml:space="preserve">Chapter 2: </w:t>
      </w:r>
      <w:r w:rsidR="006A687A">
        <w:rPr>
          <w:b/>
        </w:rPr>
        <w:tab/>
      </w:r>
      <w:r w:rsidRPr="00DC64E0">
        <w:rPr>
          <w:b/>
        </w:rPr>
        <w:t>Child rights in legislation and court proceedings</w:t>
      </w:r>
    </w:p>
    <w:p w14:paraId="1F32451B" w14:textId="77777777" w:rsidR="00DC64E0" w:rsidRPr="00DC64E0" w:rsidRDefault="00DC64E0" w:rsidP="00DC64E0">
      <w:pPr>
        <w:spacing w:before="0" w:after="0"/>
        <w:jc w:val="both"/>
      </w:pPr>
    </w:p>
    <w:p w14:paraId="6691DE38" w14:textId="77777777" w:rsidR="00DC64E0" w:rsidRPr="00DC64E0" w:rsidRDefault="00DC64E0" w:rsidP="00DC64E0">
      <w:pPr>
        <w:spacing w:before="0" w:after="0"/>
        <w:jc w:val="both"/>
      </w:pPr>
      <w:r w:rsidRPr="00DC64E0">
        <w:t>Chapter 2 reports on my survey of the comments made by the Parliamentary Joint Committee on Human Rights regarding how the human rights of children and young people were taken into account by the Statements of Compatibility with Human Rights accompanying Bills introduced to Parliament during the reporting period. Where the Australian Human Rights Commission examined Bills in more detail and made submissions about these Bills, I have included a summary of our position.</w:t>
      </w:r>
    </w:p>
    <w:p w14:paraId="0506FA24" w14:textId="77777777" w:rsidR="00DC64E0" w:rsidRPr="00DC64E0" w:rsidRDefault="00DC64E0" w:rsidP="00DC64E0">
      <w:pPr>
        <w:spacing w:before="0" w:after="0"/>
        <w:jc w:val="both"/>
      </w:pPr>
    </w:p>
    <w:p w14:paraId="77B6EADA" w14:textId="18A91B06" w:rsidR="00DC64E0" w:rsidRPr="00DC64E0" w:rsidRDefault="00DC64E0" w:rsidP="00DC64E0">
      <w:pPr>
        <w:spacing w:before="0" w:after="0"/>
        <w:jc w:val="both"/>
        <w:rPr>
          <w:b/>
        </w:rPr>
      </w:pPr>
      <w:r w:rsidRPr="00DC64E0">
        <w:rPr>
          <w:b/>
        </w:rPr>
        <w:t xml:space="preserve">Chapter 3: </w:t>
      </w:r>
      <w:r w:rsidR="006A687A">
        <w:rPr>
          <w:b/>
        </w:rPr>
        <w:tab/>
      </w:r>
      <w:r w:rsidRPr="00DC64E0">
        <w:rPr>
          <w:b/>
        </w:rPr>
        <w:t>Business and Children’s Rights</w:t>
      </w:r>
    </w:p>
    <w:p w14:paraId="3F5C9ABE" w14:textId="77777777" w:rsidR="00DC64E0" w:rsidRPr="00DC64E0" w:rsidRDefault="00DC64E0" w:rsidP="00DC64E0">
      <w:pPr>
        <w:spacing w:before="0" w:after="0"/>
        <w:jc w:val="both"/>
        <w:rPr>
          <w:b/>
        </w:rPr>
      </w:pPr>
    </w:p>
    <w:p w14:paraId="5EA93414" w14:textId="723DD2F7" w:rsidR="00DC64E0" w:rsidRPr="00DC64E0" w:rsidRDefault="00DC64E0" w:rsidP="00DC64E0">
      <w:pPr>
        <w:spacing w:before="0" w:after="0"/>
        <w:jc w:val="both"/>
      </w:pPr>
      <w:r w:rsidRPr="00DC64E0">
        <w:t xml:space="preserve">Chapter 3 details the </w:t>
      </w:r>
      <w:r w:rsidR="00DA19E7">
        <w:t>work</w:t>
      </w:r>
      <w:r w:rsidRPr="00DC64E0">
        <w:t xml:space="preserve"> and research that I undertook in 2015, into the rights of children within the Australian business and consumer context, focusing on children as consumers of goods and services. As part of this </w:t>
      </w:r>
      <w:r w:rsidR="00DA19E7">
        <w:t>work,</w:t>
      </w:r>
      <w:r w:rsidRPr="00DC64E0">
        <w:t xml:space="preserve"> an extensive literature review was undertaken, and I consulted with financial advice services, the National Children’s Youth and Law Centre, and </w:t>
      </w:r>
      <w:r w:rsidR="00113512">
        <w:t>120</w:t>
      </w:r>
      <w:r w:rsidR="00113512" w:rsidRPr="00DC64E0">
        <w:t xml:space="preserve"> </w:t>
      </w:r>
      <w:r w:rsidRPr="00DC64E0">
        <w:t xml:space="preserve">students and young people, from a total of </w:t>
      </w:r>
      <w:r w:rsidR="00DA19E7">
        <w:t>seven</w:t>
      </w:r>
      <w:r w:rsidRPr="00DC64E0">
        <w:t xml:space="preserve"> schools and youth groups. </w:t>
      </w:r>
    </w:p>
    <w:p w14:paraId="1C3FC0EE" w14:textId="77777777" w:rsidR="00DC64E0" w:rsidRPr="00DC64E0" w:rsidRDefault="00DC64E0" w:rsidP="00DC64E0">
      <w:pPr>
        <w:spacing w:before="0" w:after="0"/>
        <w:jc w:val="both"/>
      </w:pPr>
    </w:p>
    <w:p w14:paraId="54D91FE2" w14:textId="7AED1586" w:rsidR="00DC64E0" w:rsidRPr="00DC64E0" w:rsidRDefault="00DA19E7" w:rsidP="00DC64E0">
      <w:pPr>
        <w:spacing w:before="0" w:after="0"/>
        <w:jc w:val="both"/>
      </w:pPr>
      <w:r>
        <w:t>Through my work, I found</w:t>
      </w:r>
      <w:r w:rsidR="00DC64E0" w:rsidRPr="00DC64E0">
        <w:t xml:space="preserve"> that children are very active as consumers, including in the on</w:t>
      </w:r>
      <w:r>
        <w:t>line environment. However</w:t>
      </w:r>
      <w:r w:rsidR="00DC64E0" w:rsidRPr="00DC64E0">
        <w:t xml:space="preserve"> relatively little is known about how children are affected as consumers, or of potential opportunities to pursue greater safeguards.</w:t>
      </w:r>
    </w:p>
    <w:p w14:paraId="28A90E80" w14:textId="77777777" w:rsidR="00DC64E0" w:rsidRPr="00DC64E0" w:rsidRDefault="00DC64E0" w:rsidP="00DC64E0">
      <w:pPr>
        <w:spacing w:before="0" w:after="0"/>
        <w:jc w:val="both"/>
      </w:pPr>
    </w:p>
    <w:p w14:paraId="789DFF77" w14:textId="77777777" w:rsidR="00DC64E0" w:rsidRPr="00DC64E0" w:rsidRDefault="00DC64E0" w:rsidP="00DC64E0">
      <w:pPr>
        <w:spacing w:before="0" w:after="0"/>
        <w:jc w:val="both"/>
      </w:pPr>
      <w:r w:rsidRPr="00DC64E0">
        <w:t>I recommend that research be supported in the Australian context to better understand children’s experiences as contemporary consumers, and how existing regulatory frameworks are shaping business efforts to raise awareness among children of their rights as consumers.</w:t>
      </w:r>
    </w:p>
    <w:p w14:paraId="605E768F" w14:textId="77777777" w:rsidR="00DC64E0" w:rsidRPr="00DC64E0" w:rsidRDefault="00DC64E0" w:rsidP="00DC64E0">
      <w:pPr>
        <w:spacing w:before="0" w:after="0"/>
        <w:jc w:val="both"/>
      </w:pPr>
    </w:p>
    <w:p w14:paraId="129567F6" w14:textId="63631C78" w:rsidR="006A687A" w:rsidRDefault="00DC64E0" w:rsidP="00DC64E0">
      <w:pPr>
        <w:spacing w:before="0" w:after="0"/>
        <w:jc w:val="both"/>
        <w:rPr>
          <w:b/>
        </w:rPr>
      </w:pPr>
      <w:r w:rsidRPr="00DC64E0">
        <w:rPr>
          <w:b/>
        </w:rPr>
        <w:t xml:space="preserve">Chapter 4: </w:t>
      </w:r>
      <w:r w:rsidR="006A687A">
        <w:rPr>
          <w:b/>
        </w:rPr>
        <w:tab/>
        <w:t xml:space="preserve">“All I want is a life </w:t>
      </w:r>
      <w:r w:rsidR="00684616">
        <w:rPr>
          <w:b/>
        </w:rPr>
        <w:t>free from violence</w:t>
      </w:r>
      <w:r w:rsidR="006A687A">
        <w:rPr>
          <w:b/>
        </w:rPr>
        <w:t xml:space="preserve">” </w:t>
      </w:r>
    </w:p>
    <w:p w14:paraId="2C761AE1" w14:textId="77777777" w:rsidR="006A687A" w:rsidRDefault="006A687A" w:rsidP="0076347E">
      <w:pPr>
        <w:spacing w:before="0" w:after="0"/>
        <w:ind w:left="720" w:firstLine="720"/>
        <w:jc w:val="both"/>
        <w:rPr>
          <w:b/>
        </w:rPr>
      </w:pPr>
    </w:p>
    <w:p w14:paraId="22F72F62" w14:textId="07045141" w:rsidR="00DC64E0" w:rsidRPr="00DC64E0" w:rsidRDefault="006A687A" w:rsidP="0076347E">
      <w:pPr>
        <w:spacing w:before="0" w:after="0"/>
        <w:ind w:left="720" w:firstLine="720"/>
        <w:jc w:val="both"/>
        <w:rPr>
          <w:b/>
        </w:rPr>
      </w:pPr>
      <w:r>
        <w:rPr>
          <w:b/>
        </w:rPr>
        <w:t>The impact of family and domestic violence on children</w:t>
      </w:r>
    </w:p>
    <w:p w14:paraId="7FE1777F" w14:textId="77777777" w:rsidR="00DC64E0" w:rsidRPr="00DC64E0" w:rsidRDefault="00DC64E0" w:rsidP="00DC64E0">
      <w:pPr>
        <w:spacing w:before="0" w:after="0"/>
        <w:jc w:val="both"/>
        <w:rPr>
          <w:b/>
        </w:rPr>
      </w:pPr>
    </w:p>
    <w:p w14:paraId="07B24C7C" w14:textId="1CA12B06" w:rsidR="00DC64E0" w:rsidRPr="00DC64E0" w:rsidRDefault="00DC64E0" w:rsidP="00DC64E0">
      <w:pPr>
        <w:spacing w:before="0" w:after="0"/>
        <w:jc w:val="both"/>
      </w:pPr>
      <w:r w:rsidRPr="00DC64E0">
        <w:t xml:space="preserve">Chapter 4 details the </w:t>
      </w:r>
      <w:r w:rsidR="00D815EB">
        <w:t xml:space="preserve">national consultation </w:t>
      </w:r>
      <w:r w:rsidRPr="00DC64E0">
        <w:t>I undertook in 2015</w:t>
      </w:r>
      <w:r w:rsidR="00D815EB">
        <w:t xml:space="preserve"> </w:t>
      </w:r>
      <w:r w:rsidRPr="00DC64E0">
        <w:t>into the impact of family and domestic violence on the human rights of children and young people under the age of 18</w:t>
      </w:r>
      <w:r w:rsidR="00113512">
        <w:t xml:space="preserve"> years</w:t>
      </w:r>
      <w:r w:rsidRPr="00DC64E0">
        <w:t xml:space="preserve">. As part of my </w:t>
      </w:r>
      <w:r w:rsidR="0068086E">
        <w:t>consultation</w:t>
      </w:r>
      <w:r w:rsidRPr="00DC64E0">
        <w:t xml:space="preserve">, I held roundtables in all state and territory capital cities across Australia with experts in </w:t>
      </w:r>
      <w:r w:rsidR="0068086E">
        <w:t>family</w:t>
      </w:r>
      <w:r w:rsidR="0068086E" w:rsidRPr="00DC64E0">
        <w:t xml:space="preserve"> </w:t>
      </w:r>
      <w:r w:rsidRPr="00DC64E0">
        <w:t xml:space="preserve">and </w:t>
      </w:r>
      <w:r w:rsidR="0068086E">
        <w:t>domestic</w:t>
      </w:r>
      <w:r w:rsidR="0068086E" w:rsidRPr="00DC64E0">
        <w:t xml:space="preserve"> </w:t>
      </w:r>
      <w:r w:rsidRPr="00DC64E0">
        <w:t>violence, and received 62 responses to my call for submissions. I also sourced previously unpublished data from the Australian Bureau of Statistics, the National Centre for Longitudinal Data, and the Kids Helpline.</w:t>
      </w:r>
    </w:p>
    <w:p w14:paraId="5E2CE293" w14:textId="77777777" w:rsidR="00DC64E0" w:rsidRPr="00DC64E0" w:rsidRDefault="00DC64E0" w:rsidP="00DC64E0">
      <w:pPr>
        <w:spacing w:before="0" w:after="0"/>
        <w:jc w:val="both"/>
      </w:pPr>
    </w:p>
    <w:p w14:paraId="433DD19C" w14:textId="6DFC57AC" w:rsidR="00113512" w:rsidRDefault="00DC64E0" w:rsidP="00DC64E0">
      <w:pPr>
        <w:spacing w:before="0" w:after="0"/>
        <w:jc w:val="both"/>
      </w:pPr>
      <w:r w:rsidRPr="00DC64E0">
        <w:t xml:space="preserve">The primary finding from my </w:t>
      </w:r>
      <w:r w:rsidR="0068086E">
        <w:t>consultation</w:t>
      </w:r>
      <w:r w:rsidR="0068086E" w:rsidRPr="00DC64E0">
        <w:t xml:space="preserve"> </w:t>
      </w:r>
      <w:r w:rsidRPr="00DC64E0">
        <w:t xml:space="preserve">is that while the evidence base about the harmful effects of family and domestic violence is strong, much less is known about the variability in impact and the accessibility of or effectiveness of interventions. </w:t>
      </w:r>
    </w:p>
    <w:p w14:paraId="33FB3270" w14:textId="77777777" w:rsidR="00113512" w:rsidRDefault="00113512" w:rsidP="00DC64E0">
      <w:pPr>
        <w:spacing w:before="0" w:after="0"/>
        <w:jc w:val="both"/>
      </w:pPr>
    </w:p>
    <w:p w14:paraId="7AFCFDB6" w14:textId="359F1BD3" w:rsidR="00DC64E0" w:rsidRPr="00DC64E0" w:rsidRDefault="00DC64E0" w:rsidP="00DC64E0">
      <w:pPr>
        <w:spacing w:before="0" w:after="0"/>
        <w:jc w:val="both"/>
      </w:pPr>
      <w:r w:rsidRPr="00DC64E0">
        <w:t>Comprehensive, quality data and research at a national level is required to improve our understanding of both the prevalence and impact of family and domestic violence on children. Early intervention and education is also urgently needed to prevent violence and provide better protection for children.</w:t>
      </w:r>
    </w:p>
    <w:p w14:paraId="569E26ED" w14:textId="77777777" w:rsidR="00DC64E0" w:rsidRPr="00DC64E0" w:rsidRDefault="00DC64E0" w:rsidP="00DC64E0">
      <w:pPr>
        <w:spacing w:before="0" w:after="0"/>
        <w:jc w:val="both"/>
      </w:pPr>
    </w:p>
    <w:p w14:paraId="0C483D06" w14:textId="49E84F84" w:rsidR="00DC64E0" w:rsidRPr="00DC64E0" w:rsidRDefault="00C77150" w:rsidP="00DC64E0">
      <w:pPr>
        <w:spacing w:before="0" w:after="0"/>
        <w:jc w:val="both"/>
      </w:pPr>
      <w:r>
        <w:t xml:space="preserve">I make </w:t>
      </w:r>
      <w:r w:rsidR="0068086E">
        <w:t>14</w:t>
      </w:r>
      <w:r w:rsidR="0068086E" w:rsidRPr="00DC64E0">
        <w:t xml:space="preserve"> </w:t>
      </w:r>
      <w:r w:rsidR="00DC64E0" w:rsidRPr="00DC64E0">
        <w:t>recommendations which provide direction for moving forward.</w:t>
      </w:r>
    </w:p>
    <w:p w14:paraId="4A59CA5F" w14:textId="77777777" w:rsidR="00DC64E0" w:rsidRPr="00DC64E0" w:rsidRDefault="00DC64E0" w:rsidP="00DC64E0">
      <w:pPr>
        <w:spacing w:before="0" w:after="0"/>
        <w:jc w:val="both"/>
      </w:pPr>
    </w:p>
    <w:p w14:paraId="0EF559A9" w14:textId="77777777" w:rsidR="003449BE" w:rsidRDefault="003449BE" w:rsidP="00DC64E0">
      <w:pPr>
        <w:spacing w:before="0" w:after="0"/>
        <w:jc w:val="both"/>
        <w:rPr>
          <w:b/>
        </w:rPr>
      </w:pPr>
    </w:p>
    <w:p w14:paraId="71B58B61" w14:textId="77777777" w:rsidR="00DC64E0" w:rsidRPr="00DC64E0" w:rsidRDefault="00DC64E0" w:rsidP="00DC64E0">
      <w:pPr>
        <w:spacing w:before="0" w:after="0"/>
        <w:jc w:val="both"/>
      </w:pPr>
      <w:r w:rsidRPr="00DC64E0">
        <w:rPr>
          <w:b/>
        </w:rPr>
        <w:lastRenderedPageBreak/>
        <w:t>Support Services</w:t>
      </w:r>
    </w:p>
    <w:p w14:paraId="5CB10584" w14:textId="77777777" w:rsidR="00DC64E0" w:rsidRPr="00DC64E0" w:rsidRDefault="00DC64E0" w:rsidP="00DC64E0">
      <w:pPr>
        <w:spacing w:before="0" w:after="0"/>
        <w:jc w:val="both"/>
      </w:pPr>
    </w:p>
    <w:p w14:paraId="1F9BBABF" w14:textId="77777777" w:rsidR="00DC64E0" w:rsidRDefault="00DC64E0" w:rsidP="00DC64E0">
      <w:pPr>
        <w:spacing w:before="0" w:after="0"/>
        <w:jc w:val="both"/>
      </w:pPr>
      <w:r w:rsidRPr="00DC64E0">
        <w:t>If you are feeling distressed or are experiencing family and domestic violence and would like to talk to someone, please contact:</w:t>
      </w:r>
    </w:p>
    <w:p w14:paraId="0E2D8DC5" w14:textId="2E4F3D4A" w:rsidR="00DC64E0" w:rsidRPr="00DC64E0" w:rsidRDefault="00DC64E0" w:rsidP="00DC64E0">
      <w:pPr>
        <w:spacing w:before="0" w:after="0"/>
        <w:jc w:val="both"/>
      </w:pPr>
    </w:p>
    <w:p w14:paraId="34BD75E6" w14:textId="7EE5FE9A" w:rsidR="00DC64E0" w:rsidRPr="0076347E" w:rsidRDefault="00DC64E0" w:rsidP="000D1D92">
      <w:pPr>
        <w:numPr>
          <w:ilvl w:val="0"/>
          <w:numId w:val="74"/>
        </w:numPr>
        <w:spacing w:before="0" w:after="0"/>
        <w:jc w:val="both"/>
        <w:rPr>
          <w:sz w:val="20"/>
          <w:szCs w:val="20"/>
        </w:rPr>
      </w:pPr>
      <w:r w:rsidRPr="0076347E">
        <w:rPr>
          <w:sz w:val="20"/>
          <w:szCs w:val="20"/>
        </w:rPr>
        <w:t xml:space="preserve">Kids Helpline on 1800 55 1800 or </w:t>
      </w:r>
      <w:hyperlink r:id="rId36" w:history="1">
        <w:r w:rsidRPr="0076347E">
          <w:rPr>
            <w:rStyle w:val="Hyperlink"/>
            <w:sz w:val="20"/>
            <w:szCs w:val="20"/>
          </w:rPr>
          <w:t>www.kidshelp.com.au</w:t>
        </w:r>
      </w:hyperlink>
      <w:r w:rsidRPr="0076347E">
        <w:rPr>
          <w:sz w:val="20"/>
          <w:szCs w:val="20"/>
        </w:rPr>
        <w:t xml:space="preserve"> </w:t>
      </w:r>
    </w:p>
    <w:p w14:paraId="15AD9045" w14:textId="612324C3" w:rsidR="00DC64E0" w:rsidRPr="0076347E" w:rsidRDefault="00DC64E0" w:rsidP="000D1D92">
      <w:pPr>
        <w:numPr>
          <w:ilvl w:val="0"/>
          <w:numId w:val="74"/>
        </w:numPr>
        <w:spacing w:before="0" w:after="0"/>
        <w:jc w:val="both"/>
        <w:rPr>
          <w:sz w:val="20"/>
          <w:szCs w:val="20"/>
        </w:rPr>
      </w:pPr>
      <w:r w:rsidRPr="0076347E">
        <w:rPr>
          <w:sz w:val="20"/>
          <w:szCs w:val="20"/>
        </w:rPr>
        <w:t>Headspace on 1800 650 890</w:t>
      </w:r>
    </w:p>
    <w:p w14:paraId="3BF5B479" w14:textId="77777777" w:rsidR="00DC64E0" w:rsidRPr="0076347E" w:rsidRDefault="00DC64E0" w:rsidP="000D1D92">
      <w:pPr>
        <w:numPr>
          <w:ilvl w:val="0"/>
          <w:numId w:val="74"/>
        </w:numPr>
        <w:spacing w:before="0" w:after="0"/>
        <w:jc w:val="both"/>
        <w:rPr>
          <w:sz w:val="20"/>
          <w:szCs w:val="20"/>
        </w:rPr>
      </w:pPr>
      <w:r w:rsidRPr="0076347E">
        <w:rPr>
          <w:sz w:val="20"/>
          <w:szCs w:val="20"/>
        </w:rPr>
        <w:t>Lifeline on 13 11 14 or ww.lifeline.org</w:t>
      </w:r>
    </w:p>
    <w:p w14:paraId="32FCF99D" w14:textId="77777777" w:rsidR="00DC64E0" w:rsidRPr="0076347E" w:rsidRDefault="00DC64E0" w:rsidP="000D1D92">
      <w:pPr>
        <w:numPr>
          <w:ilvl w:val="0"/>
          <w:numId w:val="74"/>
        </w:numPr>
        <w:spacing w:before="0" w:after="0"/>
        <w:jc w:val="both"/>
        <w:rPr>
          <w:rStyle w:val="Hyperlink"/>
          <w:color w:val="auto"/>
          <w:sz w:val="20"/>
          <w:szCs w:val="20"/>
          <w:u w:val="none"/>
        </w:rPr>
      </w:pPr>
      <w:r w:rsidRPr="0076347E">
        <w:rPr>
          <w:sz w:val="20"/>
          <w:szCs w:val="20"/>
        </w:rPr>
        <w:t xml:space="preserve">1800 RESPECT on 1800 732 732 or </w:t>
      </w:r>
      <w:hyperlink r:id="rId37" w:history="1">
        <w:r w:rsidRPr="0076347E">
          <w:rPr>
            <w:rStyle w:val="Hyperlink"/>
            <w:sz w:val="20"/>
            <w:szCs w:val="20"/>
          </w:rPr>
          <w:t>www.1800respect.org.au</w:t>
        </w:r>
      </w:hyperlink>
    </w:p>
    <w:p w14:paraId="160DF0A3" w14:textId="0C1CB6DC" w:rsidR="00727707" w:rsidRPr="0076347E" w:rsidRDefault="00727707" w:rsidP="000D1D92">
      <w:pPr>
        <w:numPr>
          <w:ilvl w:val="0"/>
          <w:numId w:val="74"/>
        </w:numPr>
        <w:spacing w:before="0" w:after="0"/>
        <w:jc w:val="both"/>
        <w:rPr>
          <w:sz w:val="20"/>
          <w:szCs w:val="20"/>
        </w:rPr>
      </w:pPr>
      <w:r w:rsidRPr="0076347E">
        <w:rPr>
          <w:sz w:val="20"/>
          <w:szCs w:val="20"/>
        </w:rPr>
        <w:t xml:space="preserve">MensLine Australia on 1300 78 99 78 or </w:t>
      </w:r>
      <w:hyperlink r:id="rId38" w:history="1">
        <w:r w:rsidRPr="0076347E">
          <w:rPr>
            <w:rStyle w:val="Hyperlink"/>
            <w:sz w:val="20"/>
            <w:szCs w:val="20"/>
          </w:rPr>
          <w:t>www.mensline.org.au</w:t>
        </w:r>
      </w:hyperlink>
      <w:r w:rsidRPr="0076347E">
        <w:rPr>
          <w:sz w:val="20"/>
          <w:szCs w:val="20"/>
        </w:rPr>
        <w:t xml:space="preserve"> </w:t>
      </w:r>
    </w:p>
    <w:p w14:paraId="139428FA" w14:textId="07EEB8F0" w:rsidR="00990761" w:rsidRDefault="00DC64E0" w:rsidP="000D1D92">
      <w:pPr>
        <w:numPr>
          <w:ilvl w:val="0"/>
          <w:numId w:val="74"/>
        </w:numPr>
        <w:spacing w:before="0" w:after="0"/>
        <w:jc w:val="both"/>
        <w:rPr>
          <w:sz w:val="20"/>
          <w:szCs w:val="20"/>
        </w:rPr>
      </w:pPr>
      <w:r w:rsidRPr="00B77005">
        <w:rPr>
          <w:sz w:val="20"/>
          <w:szCs w:val="20"/>
        </w:rPr>
        <w:t>Police and ambulance services on 000</w:t>
      </w:r>
    </w:p>
    <w:p w14:paraId="22994BE8" w14:textId="757D543A" w:rsidR="00B77005" w:rsidRDefault="003449BE" w:rsidP="00B77005">
      <w:pPr>
        <w:spacing w:before="0" w:after="0"/>
        <w:jc w:val="both"/>
        <w:rPr>
          <w:b/>
        </w:rPr>
      </w:pPr>
      <w:r>
        <w:rPr>
          <w:b/>
        </w:rPr>
        <w:br w:type="column"/>
      </w:r>
      <w:r w:rsidR="00B77005">
        <w:rPr>
          <w:b/>
        </w:rPr>
        <w:lastRenderedPageBreak/>
        <w:t>Recommendations</w:t>
      </w:r>
    </w:p>
    <w:p w14:paraId="3536D58D" w14:textId="77777777" w:rsidR="00B77005" w:rsidRDefault="00B77005" w:rsidP="00B77005">
      <w:pPr>
        <w:spacing w:before="0" w:after="0"/>
        <w:jc w:val="both"/>
        <w:rPr>
          <w:b/>
        </w:rPr>
      </w:pPr>
    </w:p>
    <w:tbl>
      <w:tblPr>
        <w:tblStyle w:val="TableGrid"/>
        <w:tblW w:w="0" w:type="auto"/>
        <w:tblLook w:val="04A0" w:firstRow="1" w:lastRow="0" w:firstColumn="1" w:lastColumn="0" w:noHBand="0" w:noVBand="1"/>
      </w:tblPr>
      <w:tblGrid>
        <w:gridCol w:w="9060"/>
      </w:tblGrid>
      <w:tr w:rsidR="00D32172" w:rsidRPr="007774A1" w14:paraId="2F656321" w14:textId="77777777" w:rsidTr="003A09B4">
        <w:trPr>
          <w:trHeight w:val="430"/>
        </w:trPr>
        <w:tc>
          <w:tcPr>
            <w:tcW w:w="9060" w:type="dxa"/>
            <w:tcBorders>
              <w:top w:val="nil"/>
              <w:left w:val="nil"/>
              <w:bottom w:val="dotted" w:sz="4" w:space="0" w:color="auto"/>
              <w:right w:val="nil"/>
            </w:tcBorders>
            <w:vAlign w:val="center"/>
          </w:tcPr>
          <w:p w14:paraId="5F61361A" w14:textId="77777777" w:rsidR="00D32172" w:rsidRPr="007774A1" w:rsidRDefault="00D32172" w:rsidP="003A09B4">
            <w:pPr>
              <w:spacing w:before="0" w:after="0"/>
              <w:jc w:val="both"/>
              <w:rPr>
                <w:b/>
                <w:sz w:val="21"/>
                <w:szCs w:val="21"/>
              </w:rPr>
            </w:pPr>
            <w:r>
              <w:rPr>
                <w:b/>
                <w:sz w:val="21"/>
                <w:szCs w:val="21"/>
              </w:rPr>
              <w:t>Recommendation 1:</w:t>
            </w:r>
            <w:r>
              <w:t xml:space="preserve"> </w:t>
            </w:r>
            <w:r w:rsidRPr="009B72BC">
              <w:rPr>
                <w:sz w:val="21"/>
                <w:szCs w:val="21"/>
              </w:rPr>
              <w:t>The Australian Government provide guidance to business and industry on how it can better respect and support children’s rights.</w:t>
            </w:r>
          </w:p>
        </w:tc>
      </w:tr>
      <w:tr w:rsidR="00D32172" w:rsidRPr="007774A1" w14:paraId="0234F3AB" w14:textId="77777777" w:rsidTr="003A09B4">
        <w:trPr>
          <w:trHeight w:val="415"/>
        </w:trPr>
        <w:tc>
          <w:tcPr>
            <w:tcW w:w="9060" w:type="dxa"/>
            <w:tcBorders>
              <w:top w:val="nil"/>
              <w:left w:val="nil"/>
              <w:bottom w:val="dotted" w:sz="4" w:space="0" w:color="auto"/>
              <w:right w:val="nil"/>
            </w:tcBorders>
            <w:vAlign w:val="center"/>
          </w:tcPr>
          <w:p w14:paraId="5F98C11A" w14:textId="77777777" w:rsidR="00D32172" w:rsidRPr="007774A1" w:rsidRDefault="00D32172" w:rsidP="003A09B4">
            <w:pPr>
              <w:spacing w:before="0" w:after="0"/>
              <w:jc w:val="both"/>
              <w:rPr>
                <w:b/>
                <w:sz w:val="21"/>
                <w:szCs w:val="21"/>
              </w:rPr>
            </w:pPr>
            <w:r>
              <w:rPr>
                <w:b/>
                <w:sz w:val="21"/>
                <w:szCs w:val="21"/>
              </w:rPr>
              <w:t>Recommendation 2:</w:t>
            </w:r>
            <w:r>
              <w:t xml:space="preserve"> </w:t>
            </w:r>
            <w:r w:rsidRPr="009B72BC">
              <w:rPr>
                <w:sz w:val="21"/>
                <w:szCs w:val="21"/>
              </w:rPr>
              <w:t>The Australian Government resource the Australian Human Rights Commission to undertake research on the relationship between business and children’s rights in the Australian context, particularly in relation to high risk areas such as the online consumer environment.</w:t>
            </w:r>
          </w:p>
        </w:tc>
      </w:tr>
      <w:tr w:rsidR="00D32172" w:rsidRPr="007774A1" w14:paraId="453F7514" w14:textId="77777777" w:rsidTr="003A09B4">
        <w:trPr>
          <w:trHeight w:val="415"/>
        </w:trPr>
        <w:tc>
          <w:tcPr>
            <w:tcW w:w="9060" w:type="dxa"/>
            <w:tcBorders>
              <w:top w:val="nil"/>
              <w:left w:val="nil"/>
              <w:bottom w:val="dotted" w:sz="4" w:space="0" w:color="auto"/>
              <w:right w:val="nil"/>
            </w:tcBorders>
            <w:vAlign w:val="center"/>
          </w:tcPr>
          <w:p w14:paraId="447485D7" w14:textId="77777777" w:rsidR="00D32172" w:rsidRPr="007774A1" w:rsidRDefault="00D32172" w:rsidP="003A09B4">
            <w:pPr>
              <w:spacing w:before="0" w:after="0"/>
              <w:jc w:val="both"/>
              <w:rPr>
                <w:sz w:val="21"/>
                <w:szCs w:val="21"/>
              </w:rPr>
            </w:pPr>
            <w:r w:rsidRPr="007774A1">
              <w:rPr>
                <w:b/>
                <w:sz w:val="21"/>
                <w:szCs w:val="21"/>
              </w:rPr>
              <w:t xml:space="preserve">Recommendation </w:t>
            </w:r>
            <w:r>
              <w:rPr>
                <w:b/>
                <w:sz w:val="21"/>
                <w:szCs w:val="21"/>
              </w:rPr>
              <w:t>3</w:t>
            </w:r>
            <w:r w:rsidRPr="007774A1">
              <w:rPr>
                <w:b/>
                <w:sz w:val="21"/>
                <w:szCs w:val="21"/>
              </w:rPr>
              <w:t>:</w:t>
            </w:r>
            <w:r w:rsidRPr="007774A1">
              <w:rPr>
                <w:sz w:val="21"/>
                <w:szCs w:val="21"/>
              </w:rPr>
              <w:t xml:space="preserve"> </w:t>
            </w:r>
            <w:r w:rsidRPr="007537EB">
              <w:rPr>
                <w:sz w:val="21"/>
                <w:szCs w:val="21"/>
              </w:rPr>
              <w:t xml:space="preserve">The Annual Progress Reports of the National Plan to Reduce Violence </w:t>
            </w:r>
            <w:r>
              <w:rPr>
                <w:sz w:val="21"/>
                <w:szCs w:val="21"/>
              </w:rPr>
              <w:t>a</w:t>
            </w:r>
            <w:r w:rsidRPr="007537EB">
              <w:rPr>
                <w:sz w:val="21"/>
                <w:szCs w:val="21"/>
              </w:rPr>
              <w:t>gainst Women and their Children should detail how all jurisdictions are working towards implementing the Australian Bureau of Statistics National Data Collection and Reporting Framework.</w:t>
            </w:r>
          </w:p>
        </w:tc>
      </w:tr>
      <w:tr w:rsidR="00D32172" w:rsidRPr="007774A1" w14:paraId="4F3678B8" w14:textId="77777777" w:rsidTr="003A09B4">
        <w:trPr>
          <w:trHeight w:val="306"/>
        </w:trPr>
        <w:tc>
          <w:tcPr>
            <w:tcW w:w="9060" w:type="dxa"/>
            <w:tcBorders>
              <w:top w:val="nil"/>
              <w:left w:val="nil"/>
              <w:bottom w:val="dotted" w:sz="4" w:space="0" w:color="auto"/>
              <w:right w:val="nil"/>
            </w:tcBorders>
            <w:vAlign w:val="center"/>
          </w:tcPr>
          <w:p w14:paraId="2E7B674B" w14:textId="77777777" w:rsidR="00D32172" w:rsidRPr="007774A1" w:rsidRDefault="00D32172" w:rsidP="003A09B4">
            <w:pPr>
              <w:spacing w:before="0" w:after="0"/>
              <w:jc w:val="both"/>
              <w:rPr>
                <w:sz w:val="21"/>
                <w:szCs w:val="21"/>
              </w:rPr>
            </w:pPr>
            <w:r w:rsidRPr="007774A1">
              <w:rPr>
                <w:b/>
                <w:sz w:val="21"/>
                <w:szCs w:val="21"/>
              </w:rPr>
              <w:t xml:space="preserve">Recommendation </w:t>
            </w:r>
            <w:r>
              <w:rPr>
                <w:b/>
                <w:sz w:val="21"/>
                <w:szCs w:val="21"/>
              </w:rPr>
              <w:t>4</w:t>
            </w:r>
            <w:r w:rsidRPr="007774A1">
              <w:rPr>
                <w:b/>
                <w:sz w:val="21"/>
                <w:szCs w:val="21"/>
              </w:rPr>
              <w:t>:</w:t>
            </w:r>
            <w:r w:rsidRPr="007774A1">
              <w:rPr>
                <w:sz w:val="21"/>
                <w:szCs w:val="21"/>
              </w:rPr>
              <w:t xml:space="preserve"> </w:t>
            </w:r>
            <w:r w:rsidRPr="007537EB">
              <w:rPr>
                <w:sz w:val="21"/>
                <w:szCs w:val="21"/>
              </w:rPr>
              <w:t>Data about a child’s experience as a victim of family and domestic violence should be recorded as a separate entry in the Australian Bureau of Statistics National Data Collection and Reporting Framework, and not just part of an adult entry.</w:t>
            </w:r>
          </w:p>
        </w:tc>
      </w:tr>
      <w:tr w:rsidR="00D32172" w:rsidRPr="007774A1" w14:paraId="69B339D0" w14:textId="77777777" w:rsidTr="003A09B4">
        <w:trPr>
          <w:trHeight w:val="259"/>
        </w:trPr>
        <w:tc>
          <w:tcPr>
            <w:tcW w:w="9060" w:type="dxa"/>
            <w:tcBorders>
              <w:top w:val="nil"/>
              <w:left w:val="nil"/>
              <w:bottom w:val="dotted" w:sz="4" w:space="0" w:color="auto"/>
              <w:right w:val="nil"/>
            </w:tcBorders>
            <w:vAlign w:val="center"/>
          </w:tcPr>
          <w:p w14:paraId="77C207D4" w14:textId="77777777" w:rsidR="00D32172" w:rsidRPr="007774A1" w:rsidRDefault="00D32172" w:rsidP="003A09B4">
            <w:pPr>
              <w:spacing w:before="0" w:after="0"/>
              <w:jc w:val="both"/>
              <w:rPr>
                <w:sz w:val="21"/>
                <w:szCs w:val="21"/>
              </w:rPr>
            </w:pPr>
            <w:r w:rsidRPr="007774A1">
              <w:rPr>
                <w:b/>
                <w:sz w:val="21"/>
                <w:szCs w:val="21"/>
              </w:rPr>
              <w:t xml:space="preserve">Recommendation </w:t>
            </w:r>
            <w:r>
              <w:rPr>
                <w:b/>
                <w:sz w:val="21"/>
                <w:szCs w:val="21"/>
              </w:rPr>
              <w:t>5</w:t>
            </w:r>
            <w:r w:rsidRPr="007774A1">
              <w:rPr>
                <w:b/>
                <w:sz w:val="21"/>
                <w:szCs w:val="21"/>
              </w:rPr>
              <w:t>:</w:t>
            </w:r>
            <w:r w:rsidRPr="007774A1">
              <w:rPr>
                <w:sz w:val="21"/>
                <w:szCs w:val="21"/>
              </w:rPr>
              <w:t xml:space="preserve"> </w:t>
            </w:r>
            <w:r w:rsidRPr="007537EB">
              <w:rPr>
                <w:sz w:val="21"/>
                <w:szCs w:val="21"/>
              </w:rPr>
              <w:t>Data about lesbian, gay, bisexual, transgender and intersex status should be recorded in the Australian Bureau of Statistics National Data Collection and Reporting Framework.</w:t>
            </w:r>
          </w:p>
        </w:tc>
      </w:tr>
      <w:tr w:rsidR="00D32172" w:rsidRPr="007774A1" w14:paraId="5B623388" w14:textId="77777777" w:rsidTr="003A09B4">
        <w:trPr>
          <w:trHeight w:val="99"/>
        </w:trPr>
        <w:tc>
          <w:tcPr>
            <w:tcW w:w="9060" w:type="dxa"/>
            <w:tcBorders>
              <w:top w:val="nil"/>
              <w:left w:val="nil"/>
              <w:bottom w:val="dotted" w:sz="4" w:space="0" w:color="auto"/>
              <w:right w:val="nil"/>
            </w:tcBorders>
            <w:vAlign w:val="center"/>
          </w:tcPr>
          <w:p w14:paraId="1BBDCCB0" w14:textId="77777777" w:rsidR="00D32172" w:rsidRPr="007774A1" w:rsidRDefault="00D32172" w:rsidP="003A09B4">
            <w:pPr>
              <w:spacing w:before="0" w:after="0"/>
              <w:jc w:val="both"/>
              <w:rPr>
                <w:sz w:val="21"/>
                <w:szCs w:val="21"/>
              </w:rPr>
            </w:pPr>
            <w:r w:rsidRPr="007774A1">
              <w:rPr>
                <w:b/>
                <w:sz w:val="21"/>
                <w:szCs w:val="21"/>
              </w:rPr>
              <w:t xml:space="preserve">Recommendation </w:t>
            </w:r>
            <w:r>
              <w:rPr>
                <w:b/>
                <w:sz w:val="21"/>
                <w:szCs w:val="21"/>
              </w:rPr>
              <w:t>6</w:t>
            </w:r>
            <w:r w:rsidRPr="007774A1">
              <w:rPr>
                <w:b/>
                <w:sz w:val="21"/>
                <w:szCs w:val="21"/>
              </w:rPr>
              <w:t>:</w:t>
            </w:r>
            <w:r w:rsidRPr="007774A1">
              <w:rPr>
                <w:sz w:val="21"/>
                <w:szCs w:val="21"/>
              </w:rPr>
              <w:t xml:space="preserve"> </w:t>
            </w:r>
            <w:r w:rsidRPr="007537EB">
              <w:rPr>
                <w:sz w:val="21"/>
                <w:szCs w:val="21"/>
              </w:rPr>
              <w:t xml:space="preserve">The Annual Progress Reports of the National Plan to Reduce Violence </w:t>
            </w:r>
            <w:r>
              <w:rPr>
                <w:sz w:val="21"/>
                <w:szCs w:val="21"/>
              </w:rPr>
              <w:t>a</w:t>
            </w:r>
            <w:r w:rsidRPr="007537EB">
              <w:rPr>
                <w:sz w:val="21"/>
                <w:szCs w:val="21"/>
              </w:rPr>
              <w:t>gainst Women and their Children should detail how the Australian Bureau of Statistics Personal Safety Survey is working towards surveying adequate sampling sizes across vulnerable groups.</w:t>
            </w:r>
          </w:p>
        </w:tc>
      </w:tr>
      <w:tr w:rsidR="00D32172" w:rsidRPr="007774A1" w14:paraId="3623C916" w14:textId="77777777" w:rsidTr="003A09B4">
        <w:trPr>
          <w:trHeight w:val="507"/>
        </w:trPr>
        <w:tc>
          <w:tcPr>
            <w:tcW w:w="9060" w:type="dxa"/>
            <w:tcBorders>
              <w:top w:val="nil"/>
              <w:left w:val="nil"/>
              <w:bottom w:val="dotted" w:sz="4" w:space="0" w:color="auto"/>
              <w:right w:val="nil"/>
            </w:tcBorders>
            <w:vAlign w:val="center"/>
          </w:tcPr>
          <w:p w14:paraId="615FE011" w14:textId="77777777" w:rsidR="00D32172" w:rsidRPr="007774A1" w:rsidRDefault="00D32172" w:rsidP="003A09B4">
            <w:pPr>
              <w:spacing w:before="0" w:after="0"/>
              <w:jc w:val="both"/>
              <w:rPr>
                <w:sz w:val="21"/>
                <w:szCs w:val="21"/>
              </w:rPr>
            </w:pPr>
            <w:r w:rsidRPr="007774A1">
              <w:rPr>
                <w:b/>
                <w:sz w:val="21"/>
                <w:szCs w:val="21"/>
              </w:rPr>
              <w:t xml:space="preserve">Recommendation </w:t>
            </w:r>
            <w:r>
              <w:rPr>
                <w:b/>
                <w:sz w:val="21"/>
                <w:szCs w:val="21"/>
              </w:rPr>
              <w:t>7</w:t>
            </w:r>
            <w:r w:rsidRPr="007774A1">
              <w:rPr>
                <w:b/>
                <w:sz w:val="21"/>
                <w:szCs w:val="21"/>
              </w:rPr>
              <w:t>:</w:t>
            </w:r>
            <w:r w:rsidRPr="007774A1">
              <w:rPr>
                <w:sz w:val="21"/>
                <w:szCs w:val="21"/>
              </w:rPr>
              <w:t xml:space="preserve"> </w:t>
            </w:r>
            <w:r w:rsidRPr="007537EB">
              <w:rPr>
                <w:sz w:val="21"/>
                <w:szCs w:val="21"/>
              </w:rPr>
              <w:t>Support for the Australian Longitudinal Study on Women’s Health (ALSWH) project by the Australian Government Department of Health is extended after 30 June 2016 and support for the Mothers and their Children’s Health (MatCH) project by the Australian Government Department of Health is also extended after its National Health and Medical Research Council grant expires in 2017.</w:t>
            </w:r>
          </w:p>
        </w:tc>
      </w:tr>
      <w:tr w:rsidR="00D32172" w:rsidRPr="007774A1" w14:paraId="3B5EEF88" w14:textId="77777777" w:rsidTr="003A09B4">
        <w:trPr>
          <w:trHeight w:val="567"/>
        </w:trPr>
        <w:tc>
          <w:tcPr>
            <w:tcW w:w="9060" w:type="dxa"/>
            <w:tcBorders>
              <w:top w:val="nil"/>
              <w:left w:val="nil"/>
              <w:bottom w:val="dotted" w:sz="4" w:space="0" w:color="auto"/>
              <w:right w:val="nil"/>
            </w:tcBorders>
            <w:vAlign w:val="center"/>
          </w:tcPr>
          <w:p w14:paraId="15E633D3" w14:textId="77777777" w:rsidR="00D32172" w:rsidRPr="007774A1" w:rsidRDefault="00D32172" w:rsidP="003A09B4">
            <w:pPr>
              <w:spacing w:before="0" w:after="0"/>
              <w:jc w:val="both"/>
              <w:rPr>
                <w:sz w:val="21"/>
                <w:szCs w:val="21"/>
              </w:rPr>
            </w:pPr>
            <w:r w:rsidRPr="007774A1">
              <w:rPr>
                <w:b/>
                <w:sz w:val="21"/>
                <w:szCs w:val="21"/>
              </w:rPr>
              <w:t xml:space="preserve">Recommendation </w:t>
            </w:r>
            <w:r>
              <w:rPr>
                <w:b/>
                <w:sz w:val="21"/>
                <w:szCs w:val="21"/>
              </w:rPr>
              <w:t>8</w:t>
            </w:r>
            <w:r w:rsidRPr="007774A1">
              <w:rPr>
                <w:b/>
                <w:sz w:val="21"/>
                <w:szCs w:val="21"/>
              </w:rPr>
              <w:t>:</w:t>
            </w:r>
            <w:r w:rsidRPr="007774A1">
              <w:rPr>
                <w:sz w:val="21"/>
                <w:szCs w:val="21"/>
              </w:rPr>
              <w:t xml:space="preserve"> </w:t>
            </w:r>
            <w:r w:rsidRPr="007537EB">
              <w:rPr>
                <w:sz w:val="21"/>
                <w:szCs w:val="21"/>
              </w:rPr>
              <w:t>The data linkage study currently being conducted in the Northern Territory by Menzies School of Health Research (Improving the developmental outcomes of Northern Territory children: a data linkage study to inform policy and practice in health, family services and education) is supported by the Australian Government Department of Social Services after its National Health and Medical Research Council grant expires in 2017.</w:t>
            </w:r>
          </w:p>
        </w:tc>
      </w:tr>
      <w:tr w:rsidR="00D32172" w:rsidRPr="007774A1" w14:paraId="6A771217" w14:textId="77777777" w:rsidTr="003A09B4">
        <w:trPr>
          <w:trHeight w:val="85"/>
        </w:trPr>
        <w:tc>
          <w:tcPr>
            <w:tcW w:w="9060" w:type="dxa"/>
            <w:tcBorders>
              <w:top w:val="nil"/>
              <w:left w:val="nil"/>
              <w:bottom w:val="dotted" w:sz="4" w:space="0" w:color="auto"/>
              <w:right w:val="nil"/>
            </w:tcBorders>
            <w:vAlign w:val="center"/>
          </w:tcPr>
          <w:p w14:paraId="441811FE" w14:textId="77777777" w:rsidR="00D32172" w:rsidRPr="006977DC" w:rsidRDefault="00D32172" w:rsidP="003A09B4">
            <w:pPr>
              <w:spacing w:before="0" w:after="0"/>
              <w:jc w:val="both"/>
              <w:rPr>
                <w:sz w:val="21"/>
                <w:szCs w:val="21"/>
              </w:rPr>
            </w:pPr>
            <w:r w:rsidRPr="006977DC">
              <w:rPr>
                <w:b/>
                <w:sz w:val="21"/>
                <w:szCs w:val="21"/>
              </w:rPr>
              <w:t xml:space="preserve">Recommendation </w:t>
            </w:r>
            <w:r>
              <w:rPr>
                <w:b/>
                <w:sz w:val="21"/>
                <w:szCs w:val="21"/>
              </w:rPr>
              <w:t>9</w:t>
            </w:r>
            <w:r w:rsidRPr="006977DC">
              <w:rPr>
                <w:b/>
                <w:sz w:val="21"/>
                <w:szCs w:val="21"/>
              </w:rPr>
              <w:t>:</w:t>
            </w:r>
            <w:r w:rsidRPr="006977DC">
              <w:rPr>
                <w:sz w:val="21"/>
                <w:szCs w:val="21"/>
              </w:rPr>
              <w:t xml:space="preserve"> </w:t>
            </w:r>
            <w:r w:rsidRPr="007537EB">
              <w:rPr>
                <w:sz w:val="21"/>
                <w:szCs w:val="21"/>
              </w:rPr>
              <w:t>The Council of Australian Governments prioritise the development of a policy framework for responses to family and domestic violence affecting children.</w:t>
            </w:r>
          </w:p>
        </w:tc>
      </w:tr>
      <w:tr w:rsidR="00D32172" w:rsidRPr="007774A1" w14:paraId="63E83A64" w14:textId="77777777" w:rsidTr="003A09B4">
        <w:trPr>
          <w:trHeight w:val="407"/>
        </w:trPr>
        <w:tc>
          <w:tcPr>
            <w:tcW w:w="9060" w:type="dxa"/>
            <w:tcBorders>
              <w:top w:val="nil"/>
              <w:left w:val="nil"/>
              <w:bottom w:val="dotted" w:sz="4" w:space="0" w:color="auto"/>
              <w:right w:val="nil"/>
            </w:tcBorders>
            <w:vAlign w:val="center"/>
          </w:tcPr>
          <w:p w14:paraId="74FDEDDE" w14:textId="77777777" w:rsidR="00D32172" w:rsidRPr="007537EB" w:rsidRDefault="00D32172" w:rsidP="003A09B4">
            <w:pPr>
              <w:spacing w:before="0" w:after="0"/>
              <w:jc w:val="both"/>
              <w:rPr>
                <w:sz w:val="21"/>
                <w:szCs w:val="21"/>
              </w:rPr>
            </w:pPr>
            <w:r w:rsidRPr="007774A1">
              <w:rPr>
                <w:b/>
                <w:sz w:val="21"/>
                <w:szCs w:val="21"/>
              </w:rPr>
              <w:t xml:space="preserve">Recommendation </w:t>
            </w:r>
            <w:r>
              <w:rPr>
                <w:b/>
                <w:sz w:val="21"/>
                <w:szCs w:val="21"/>
              </w:rPr>
              <w:t>10</w:t>
            </w:r>
            <w:r w:rsidRPr="007774A1">
              <w:rPr>
                <w:b/>
                <w:sz w:val="21"/>
                <w:szCs w:val="21"/>
              </w:rPr>
              <w:t>:</w:t>
            </w:r>
            <w:r w:rsidRPr="007774A1">
              <w:rPr>
                <w:sz w:val="21"/>
                <w:szCs w:val="21"/>
              </w:rPr>
              <w:t xml:space="preserve"> </w:t>
            </w:r>
            <w:r w:rsidRPr="007537EB">
              <w:rPr>
                <w:sz w:val="21"/>
                <w:szCs w:val="21"/>
              </w:rPr>
              <w:t>A review of the criteria for entry into the Magellan program should be undertaken by the Family Court of Australia or another appropriate entity.</w:t>
            </w:r>
          </w:p>
          <w:p w14:paraId="4C9B64F8" w14:textId="77777777" w:rsidR="00D32172" w:rsidRPr="007537EB" w:rsidRDefault="00D32172" w:rsidP="003A09B4">
            <w:pPr>
              <w:spacing w:before="0" w:after="0"/>
              <w:jc w:val="both"/>
              <w:rPr>
                <w:sz w:val="21"/>
                <w:szCs w:val="21"/>
              </w:rPr>
            </w:pPr>
          </w:p>
          <w:p w14:paraId="007D59BC" w14:textId="77777777" w:rsidR="00D32172" w:rsidRPr="00B42C86" w:rsidRDefault="00D32172" w:rsidP="003A09B4">
            <w:pPr>
              <w:spacing w:before="0" w:after="0"/>
              <w:jc w:val="both"/>
              <w:rPr>
                <w:sz w:val="22"/>
                <w:szCs w:val="22"/>
              </w:rPr>
            </w:pPr>
            <w:r w:rsidRPr="007537EB">
              <w:rPr>
                <w:sz w:val="21"/>
                <w:szCs w:val="21"/>
              </w:rPr>
              <w:t>Regard should be given to the findings and recommendations of the Victorian Royal Commission into Family Violence and also the Family Law Council Inquiry into families with complex needs and the intersection of the family law and child protection systems.</w:t>
            </w:r>
          </w:p>
        </w:tc>
      </w:tr>
      <w:tr w:rsidR="00D32172" w:rsidRPr="007774A1" w14:paraId="42773B99" w14:textId="77777777" w:rsidTr="003A09B4">
        <w:trPr>
          <w:trHeight w:val="357"/>
        </w:trPr>
        <w:tc>
          <w:tcPr>
            <w:tcW w:w="9060" w:type="dxa"/>
            <w:tcBorders>
              <w:top w:val="nil"/>
              <w:left w:val="nil"/>
              <w:bottom w:val="dotted" w:sz="4" w:space="0" w:color="auto"/>
              <w:right w:val="nil"/>
            </w:tcBorders>
            <w:vAlign w:val="center"/>
          </w:tcPr>
          <w:p w14:paraId="5F14F7E7" w14:textId="77777777" w:rsidR="00D32172" w:rsidRPr="007774A1" w:rsidRDefault="00D32172" w:rsidP="003A09B4">
            <w:pPr>
              <w:spacing w:before="0" w:after="0"/>
              <w:jc w:val="both"/>
              <w:rPr>
                <w:sz w:val="21"/>
                <w:szCs w:val="21"/>
              </w:rPr>
            </w:pPr>
            <w:r w:rsidRPr="007774A1">
              <w:rPr>
                <w:b/>
                <w:sz w:val="21"/>
                <w:szCs w:val="21"/>
              </w:rPr>
              <w:t xml:space="preserve">Recommendation </w:t>
            </w:r>
            <w:r>
              <w:rPr>
                <w:b/>
                <w:sz w:val="21"/>
                <w:szCs w:val="21"/>
              </w:rPr>
              <w:t>11</w:t>
            </w:r>
            <w:r w:rsidRPr="007774A1">
              <w:rPr>
                <w:b/>
                <w:sz w:val="21"/>
                <w:szCs w:val="21"/>
              </w:rPr>
              <w:t>:</w:t>
            </w:r>
            <w:r w:rsidRPr="007774A1">
              <w:rPr>
                <w:sz w:val="21"/>
                <w:szCs w:val="21"/>
              </w:rPr>
              <w:t xml:space="preserve"> </w:t>
            </w:r>
            <w:r w:rsidRPr="00660AD6">
              <w:rPr>
                <w:sz w:val="21"/>
                <w:szCs w:val="21"/>
              </w:rPr>
              <w:t>The Australian Bureau of Statistics Personal Safety Survey should extend its collection of information from men and women aged 18 years and over about their experiences of abuse from the ages of 0-15 years to the ages of 0-17 years.</w:t>
            </w:r>
          </w:p>
        </w:tc>
      </w:tr>
      <w:tr w:rsidR="00D32172" w:rsidRPr="007774A1" w14:paraId="0317704C" w14:textId="77777777" w:rsidTr="003A09B4">
        <w:trPr>
          <w:trHeight w:val="85"/>
        </w:trPr>
        <w:tc>
          <w:tcPr>
            <w:tcW w:w="9060" w:type="dxa"/>
            <w:tcBorders>
              <w:top w:val="nil"/>
              <w:left w:val="nil"/>
              <w:bottom w:val="dotted" w:sz="4" w:space="0" w:color="auto"/>
              <w:right w:val="nil"/>
            </w:tcBorders>
            <w:vAlign w:val="center"/>
          </w:tcPr>
          <w:p w14:paraId="73363EE3" w14:textId="77777777" w:rsidR="00D32172" w:rsidRPr="007774A1" w:rsidRDefault="00D32172" w:rsidP="003A09B4">
            <w:pPr>
              <w:spacing w:before="0" w:after="0"/>
              <w:jc w:val="both"/>
              <w:rPr>
                <w:sz w:val="21"/>
                <w:szCs w:val="21"/>
              </w:rPr>
            </w:pPr>
            <w:r w:rsidRPr="007774A1">
              <w:rPr>
                <w:b/>
                <w:sz w:val="21"/>
                <w:szCs w:val="21"/>
              </w:rPr>
              <w:t xml:space="preserve">Recommendation </w:t>
            </w:r>
            <w:r>
              <w:rPr>
                <w:b/>
                <w:sz w:val="21"/>
                <w:szCs w:val="21"/>
              </w:rPr>
              <w:t>12</w:t>
            </w:r>
            <w:r w:rsidRPr="007774A1">
              <w:rPr>
                <w:b/>
                <w:sz w:val="21"/>
                <w:szCs w:val="21"/>
              </w:rPr>
              <w:t>:</w:t>
            </w:r>
            <w:r w:rsidRPr="007774A1">
              <w:rPr>
                <w:sz w:val="21"/>
                <w:szCs w:val="21"/>
              </w:rPr>
              <w:t xml:space="preserve"> </w:t>
            </w:r>
            <w:r w:rsidRPr="007537EB">
              <w:rPr>
                <w:sz w:val="21"/>
                <w:szCs w:val="21"/>
              </w:rPr>
              <w:t>The Australian Bureau of Statistics prioritise working with state and territory jurisdictions to achieve national consistency in the coding of offender relationships to child victims.</w:t>
            </w:r>
          </w:p>
        </w:tc>
      </w:tr>
      <w:tr w:rsidR="00D32172" w:rsidRPr="007774A1" w14:paraId="5076F27F" w14:textId="77777777" w:rsidTr="003A09B4">
        <w:trPr>
          <w:trHeight w:val="85"/>
        </w:trPr>
        <w:tc>
          <w:tcPr>
            <w:tcW w:w="9060" w:type="dxa"/>
            <w:tcBorders>
              <w:top w:val="nil"/>
              <w:left w:val="nil"/>
              <w:bottom w:val="dotted" w:sz="4" w:space="0" w:color="auto"/>
              <w:right w:val="nil"/>
            </w:tcBorders>
            <w:vAlign w:val="center"/>
          </w:tcPr>
          <w:p w14:paraId="353BC164" w14:textId="77777777" w:rsidR="00D32172" w:rsidRPr="007774A1" w:rsidRDefault="00D32172" w:rsidP="003A09B4">
            <w:pPr>
              <w:spacing w:before="0" w:after="0"/>
              <w:jc w:val="both"/>
              <w:rPr>
                <w:b/>
                <w:sz w:val="21"/>
                <w:szCs w:val="21"/>
              </w:rPr>
            </w:pPr>
            <w:r w:rsidRPr="007774A1">
              <w:rPr>
                <w:b/>
                <w:sz w:val="21"/>
                <w:szCs w:val="21"/>
              </w:rPr>
              <w:t xml:space="preserve">Recommendation </w:t>
            </w:r>
            <w:r>
              <w:rPr>
                <w:b/>
                <w:sz w:val="21"/>
                <w:szCs w:val="21"/>
              </w:rPr>
              <w:t>13</w:t>
            </w:r>
            <w:r w:rsidRPr="007774A1">
              <w:rPr>
                <w:b/>
                <w:sz w:val="21"/>
                <w:szCs w:val="21"/>
              </w:rPr>
              <w:t>:</w:t>
            </w:r>
            <w:r w:rsidRPr="007774A1">
              <w:rPr>
                <w:sz w:val="21"/>
                <w:szCs w:val="21"/>
              </w:rPr>
              <w:t xml:space="preserve"> </w:t>
            </w:r>
            <w:r w:rsidRPr="007537EB">
              <w:rPr>
                <w:sz w:val="21"/>
                <w:szCs w:val="21"/>
              </w:rPr>
              <w:t>Options for data collection on screening for family and domestic violence during pregnancy through the National Perinatal Data Collection are progressed by the Australian Institute of Health and Welfare.</w:t>
            </w:r>
          </w:p>
        </w:tc>
      </w:tr>
      <w:tr w:rsidR="00D32172" w:rsidRPr="007774A1" w14:paraId="3BCDF7EB" w14:textId="77777777" w:rsidTr="003A09B4">
        <w:trPr>
          <w:trHeight w:val="85"/>
        </w:trPr>
        <w:tc>
          <w:tcPr>
            <w:tcW w:w="9060" w:type="dxa"/>
            <w:tcBorders>
              <w:top w:val="nil"/>
              <w:left w:val="nil"/>
              <w:bottom w:val="dotted" w:sz="4" w:space="0" w:color="auto"/>
              <w:right w:val="nil"/>
            </w:tcBorders>
            <w:vAlign w:val="center"/>
          </w:tcPr>
          <w:p w14:paraId="7E41C275" w14:textId="77777777" w:rsidR="00D32172" w:rsidRPr="007774A1" w:rsidRDefault="00D32172" w:rsidP="003A09B4">
            <w:pPr>
              <w:spacing w:before="0" w:after="0"/>
              <w:jc w:val="both"/>
              <w:rPr>
                <w:sz w:val="21"/>
                <w:szCs w:val="21"/>
              </w:rPr>
            </w:pPr>
            <w:r w:rsidRPr="007774A1">
              <w:rPr>
                <w:b/>
                <w:sz w:val="21"/>
                <w:szCs w:val="21"/>
              </w:rPr>
              <w:t>Recommendation 1</w:t>
            </w:r>
            <w:r>
              <w:rPr>
                <w:b/>
                <w:sz w:val="21"/>
                <w:szCs w:val="21"/>
              </w:rPr>
              <w:t>4</w:t>
            </w:r>
            <w:r w:rsidRPr="007774A1">
              <w:rPr>
                <w:b/>
                <w:sz w:val="21"/>
                <w:szCs w:val="21"/>
              </w:rPr>
              <w:t>:</w:t>
            </w:r>
            <w:r w:rsidRPr="007774A1">
              <w:rPr>
                <w:sz w:val="21"/>
                <w:szCs w:val="21"/>
              </w:rPr>
              <w:t xml:space="preserve"> </w:t>
            </w:r>
            <w:r w:rsidRPr="007537EB">
              <w:rPr>
                <w:sz w:val="21"/>
                <w:szCs w:val="21"/>
              </w:rPr>
              <w:t>The Australian Government Department of Social Services support the work of Professor Arabena and the Indigenous Health Equity Unit at the University of Melbourne to progress the early intervention research agenda under the First 1000 Days initiative.</w:t>
            </w:r>
          </w:p>
        </w:tc>
      </w:tr>
      <w:tr w:rsidR="00D32172" w:rsidRPr="007774A1" w14:paraId="69069D9A" w14:textId="77777777" w:rsidTr="003A09B4">
        <w:trPr>
          <w:trHeight w:val="85"/>
        </w:trPr>
        <w:tc>
          <w:tcPr>
            <w:tcW w:w="9060" w:type="dxa"/>
            <w:tcBorders>
              <w:top w:val="nil"/>
              <w:left w:val="nil"/>
              <w:bottom w:val="dotted" w:sz="4" w:space="0" w:color="auto"/>
              <w:right w:val="nil"/>
            </w:tcBorders>
            <w:vAlign w:val="center"/>
          </w:tcPr>
          <w:p w14:paraId="67ACBE1F" w14:textId="77777777" w:rsidR="00D32172" w:rsidRPr="007774A1" w:rsidRDefault="00D32172" w:rsidP="003A09B4">
            <w:pPr>
              <w:spacing w:before="0" w:after="0"/>
              <w:jc w:val="both"/>
              <w:rPr>
                <w:b/>
                <w:sz w:val="21"/>
                <w:szCs w:val="21"/>
              </w:rPr>
            </w:pPr>
            <w:r w:rsidRPr="007774A1">
              <w:rPr>
                <w:b/>
                <w:sz w:val="21"/>
                <w:szCs w:val="21"/>
              </w:rPr>
              <w:t>Recommendation 1</w:t>
            </w:r>
            <w:r>
              <w:rPr>
                <w:b/>
                <w:sz w:val="21"/>
                <w:szCs w:val="21"/>
              </w:rPr>
              <w:t>5</w:t>
            </w:r>
            <w:r w:rsidRPr="007774A1">
              <w:rPr>
                <w:b/>
                <w:sz w:val="21"/>
                <w:szCs w:val="21"/>
              </w:rPr>
              <w:t>:</w:t>
            </w:r>
            <w:r w:rsidRPr="007774A1">
              <w:rPr>
                <w:sz w:val="21"/>
                <w:szCs w:val="21"/>
              </w:rPr>
              <w:t xml:space="preserve"> </w:t>
            </w:r>
            <w:r w:rsidRPr="005A47D7">
              <w:rPr>
                <w:sz w:val="21"/>
                <w:szCs w:val="21"/>
              </w:rPr>
              <w:t>The next ANROWS (Australia’s National Research Organisation for Women’s Safety) Research Program should include research into sibling violence.</w:t>
            </w:r>
          </w:p>
        </w:tc>
      </w:tr>
      <w:tr w:rsidR="00D32172" w:rsidRPr="007774A1" w14:paraId="488E8289" w14:textId="77777777" w:rsidTr="003A09B4">
        <w:trPr>
          <w:trHeight w:val="85"/>
        </w:trPr>
        <w:tc>
          <w:tcPr>
            <w:tcW w:w="9060" w:type="dxa"/>
            <w:tcBorders>
              <w:top w:val="nil"/>
              <w:left w:val="nil"/>
              <w:bottom w:val="dotted" w:sz="4" w:space="0" w:color="auto"/>
              <w:right w:val="nil"/>
            </w:tcBorders>
            <w:vAlign w:val="center"/>
          </w:tcPr>
          <w:p w14:paraId="3DD8FDD4" w14:textId="77777777" w:rsidR="00D32172" w:rsidRPr="007774A1" w:rsidRDefault="00D32172" w:rsidP="003A09B4">
            <w:pPr>
              <w:spacing w:before="0" w:after="0"/>
              <w:jc w:val="both"/>
              <w:rPr>
                <w:b/>
                <w:sz w:val="21"/>
                <w:szCs w:val="21"/>
              </w:rPr>
            </w:pPr>
            <w:r w:rsidRPr="007774A1">
              <w:rPr>
                <w:b/>
                <w:sz w:val="21"/>
                <w:szCs w:val="21"/>
              </w:rPr>
              <w:t>Recommendation 1</w:t>
            </w:r>
            <w:r>
              <w:rPr>
                <w:b/>
                <w:sz w:val="21"/>
                <w:szCs w:val="21"/>
              </w:rPr>
              <w:t>6</w:t>
            </w:r>
            <w:r w:rsidRPr="007774A1">
              <w:rPr>
                <w:b/>
                <w:sz w:val="21"/>
                <w:szCs w:val="21"/>
              </w:rPr>
              <w:t>:</w:t>
            </w:r>
            <w:r w:rsidRPr="007774A1">
              <w:rPr>
                <w:sz w:val="21"/>
                <w:szCs w:val="21"/>
              </w:rPr>
              <w:t xml:space="preserve"> </w:t>
            </w:r>
            <w:r w:rsidRPr="005A47D7">
              <w:rPr>
                <w:sz w:val="21"/>
                <w:szCs w:val="21"/>
              </w:rPr>
              <w:t>The next ANROWS (Australia’s National Research Organisation for Women’s Safety) Research Program should include research into female children aged 15 to 17 years affected by family and domestic violence.</w:t>
            </w:r>
          </w:p>
        </w:tc>
      </w:tr>
    </w:tbl>
    <w:p w14:paraId="51A71D69" w14:textId="719CACAD" w:rsidR="00B77005" w:rsidRPr="00B77005" w:rsidRDefault="00B77005" w:rsidP="00B77005">
      <w:pPr>
        <w:spacing w:before="0" w:after="0"/>
        <w:jc w:val="both"/>
        <w:rPr>
          <w:sz w:val="20"/>
          <w:szCs w:val="20"/>
        </w:rPr>
        <w:sectPr w:rsidR="00B77005" w:rsidRPr="00B77005" w:rsidSect="001715AD">
          <w:endnotePr>
            <w:numFmt w:val="decimal"/>
          </w:endnotePr>
          <w:pgSz w:w="11906" w:h="16838" w:code="9"/>
          <w:pgMar w:top="1134" w:right="1418" w:bottom="1134" w:left="1418" w:header="709" w:footer="709" w:gutter="0"/>
          <w:cols w:space="708"/>
          <w:docGrid w:linePitch="360"/>
        </w:sectPr>
      </w:pPr>
    </w:p>
    <w:p w14:paraId="59E90EB8" w14:textId="7C2A3914" w:rsidR="00607A44" w:rsidRDefault="00D94316" w:rsidP="00354AA1">
      <w:pPr>
        <w:pStyle w:val="Heading1"/>
        <w:jc w:val="both"/>
      </w:pPr>
      <w:bookmarkStart w:id="3" w:name="_Toc430767442"/>
      <w:bookmarkStart w:id="4" w:name="_Toc432577298"/>
      <w:r w:rsidRPr="00D94316">
        <w:lastRenderedPageBreak/>
        <w:t>My work to promote discussion and awareness of children’s rights in Australia</w:t>
      </w:r>
      <w:bookmarkEnd w:id="3"/>
      <w:bookmarkEnd w:id="4"/>
    </w:p>
    <w:p w14:paraId="23F57CF7" w14:textId="77777777" w:rsidR="00C550A3" w:rsidRPr="00C550A3" w:rsidRDefault="00C550A3" w:rsidP="00C550A3"/>
    <w:p w14:paraId="5CE6915E" w14:textId="77777777" w:rsidR="006970D8" w:rsidRPr="006970D8" w:rsidRDefault="00185AE1" w:rsidP="00354AA1">
      <w:pPr>
        <w:pStyle w:val="TOC2"/>
        <w:tabs>
          <w:tab w:val="left" w:pos="960"/>
          <w:tab w:val="right" w:pos="9060"/>
        </w:tabs>
        <w:jc w:val="both"/>
        <w:rPr>
          <w:rFonts w:asciiTheme="minorHAnsi" w:eastAsiaTheme="minorEastAsia" w:hAnsiTheme="minorHAnsi" w:cstheme="minorBidi"/>
          <w:noProof/>
          <w:sz w:val="22"/>
          <w:szCs w:val="22"/>
        </w:rPr>
      </w:pPr>
      <w:hyperlink w:anchor="_Toc430778316" w:history="1">
        <w:r w:rsidR="006970D8" w:rsidRPr="006970D8">
          <w:rPr>
            <w:rStyle w:val="Hyperlink"/>
            <w:noProof/>
            <w:color w:val="auto"/>
            <w:u w:val="none"/>
          </w:rPr>
          <w:t>1.1</w:t>
        </w:r>
        <w:r w:rsidR="006970D8" w:rsidRPr="006970D8">
          <w:rPr>
            <w:rFonts w:asciiTheme="minorHAnsi" w:eastAsiaTheme="minorEastAsia" w:hAnsiTheme="minorHAnsi" w:cstheme="minorBidi"/>
            <w:noProof/>
            <w:sz w:val="22"/>
            <w:szCs w:val="22"/>
          </w:rPr>
          <w:tab/>
        </w:r>
        <w:r w:rsidR="006970D8" w:rsidRPr="006970D8">
          <w:rPr>
            <w:rStyle w:val="Hyperlink"/>
            <w:noProof/>
            <w:color w:val="auto"/>
            <w:u w:val="none"/>
          </w:rPr>
          <w:t>Introduction</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_Toc430778316 \h </w:instrText>
        </w:r>
        <w:r w:rsidR="006970D8" w:rsidRPr="006970D8">
          <w:rPr>
            <w:noProof/>
            <w:webHidden/>
          </w:rPr>
        </w:r>
        <w:r w:rsidR="006970D8" w:rsidRPr="006970D8">
          <w:rPr>
            <w:noProof/>
            <w:webHidden/>
          </w:rPr>
          <w:fldChar w:fldCharType="separate"/>
        </w:r>
        <w:r w:rsidR="006970D8" w:rsidRPr="006970D8">
          <w:rPr>
            <w:noProof/>
            <w:webHidden/>
          </w:rPr>
          <w:t>6</w:t>
        </w:r>
        <w:r w:rsidR="006970D8" w:rsidRPr="006970D8">
          <w:rPr>
            <w:noProof/>
            <w:webHidden/>
          </w:rPr>
          <w:fldChar w:fldCharType="end"/>
        </w:r>
      </w:hyperlink>
    </w:p>
    <w:p w14:paraId="1463ABE7" w14:textId="77777777" w:rsidR="006970D8" w:rsidRPr="006970D8" w:rsidRDefault="00185AE1" w:rsidP="00354AA1">
      <w:pPr>
        <w:pStyle w:val="TOC2"/>
        <w:tabs>
          <w:tab w:val="left" w:pos="960"/>
          <w:tab w:val="right" w:pos="9060"/>
        </w:tabs>
        <w:jc w:val="both"/>
        <w:rPr>
          <w:rFonts w:asciiTheme="minorHAnsi" w:eastAsiaTheme="minorEastAsia" w:hAnsiTheme="minorHAnsi" w:cstheme="minorBidi"/>
          <w:noProof/>
          <w:sz w:val="22"/>
          <w:szCs w:val="22"/>
        </w:rPr>
      </w:pPr>
      <w:hyperlink w:anchor="_Toc430778317" w:history="1">
        <w:r w:rsidR="006970D8" w:rsidRPr="006970D8">
          <w:rPr>
            <w:rStyle w:val="Hyperlink"/>
            <w:noProof/>
            <w:color w:val="auto"/>
            <w:u w:val="none"/>
          </w:rPr>
          <w:t>1.2</w:t>
        </w:r>
        <w:r w:rsidR="006970D8" w:rsidRPr="006970D8">
          <w:rPr>
            <w:rFonts w:asciiTheme="minorHAnsi" w:eastAsiaTheme="minorEastAsia" w:hAnsiTheme="minorHAnsi" w:cstheme="minorBidi"/>
            <w:noProof/>
            <w:sz w:val="22"/>
            <w:szCs w:val="22"/>
          </w:rPr>
          <w:tab/>
        </w:r>
        <w:r w:rsidR="006970D8" w:rsidRPr="006970D8">
          <w:rPr>
            <w:rStyle w:val="Hyperlink"/>
            <w:noProof/>
            <w:color w:val="auto"/>
            <w:u w:val="none"/>
          </w:rPr>
          <w:t>A right to be heard</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_Toc430778317 \h </w:instrText>
        </w:r>
        <w:r w:rsidR="006970D8" w:rsidRPr="006970D8">
          <w:rPr>
            <w:noProof/>
            <w:webHidden/>
          </w:rPr>
        </w:r>
        <w:r w:rsidR="006970D8" w:rsidRPr="006970D8">
          <w:rPr>
            <w:noProof/>
            <w:webHidden/>
          </w:rPr>
          <w:fldChar w:fldCharType="separate"/>
        </w:r>
        <w:r w:rsidR="006970D8" w:rsidRPr="006970D8">
          <w:rPr>
            <w:noProof/>
            <w:webHidden/>
          </w:rPr>
          <w:t>7</w:t>
        </w:r>
        <w:r w:rsidR="006970D8" w:rsidRPr="006970D8">
          <w:rPr>
            <w:noProof/>
            <w:webHidden/>
          </w:rPr>
          <w:fldChar w:fldCharType="end"/>
        </w:r>
      </w:hyperlink>
    </w:p>
    <w:p w14:paraId="4EC66DD8" w14:textId="28E51E80" w:rsidR="006970D8" w:rsidRPr="006970D8" w:rsidRDefault="00185AE1" w:rsidP="00354AA1">
      <w:pPr>
        <w:pStyle w:val="TOC3"/>
        <w:tabs>
          <w:tab w:val="left" w:pos="1440"/>
          <w:tab w:val="right" w:pos="9060"/>
        </w:tabs>
        <w:ind w:left="1440" w:hanging="960"/>
        <w:jc w:val="both"/>
        <w:rPr>
          <w:rFonts w:asciiTheme="minorHAnsi" w:eastAsiaTheme="minorEastAsia" w:hAnsiTheme="minorHAnsi" w:cstheme="minorBidi"/>
          <w:iCs w:val="0"/>
          <w:noProof/>
          <w:sz w:val="22"/>
          <w:szCs w:val="22"/>
        </w:rPr>
      </w:pPr>
      <w:hyperlink w:anchor="_Toc430778318" w:history="1">
        <w:r w:rsidR="006970D8" w:rsidRPr="006970D8">
          <w:rPr>
            <w:rStyle w:val="Hyperlink"/>
            <w:noProof/>
            <w:color w:val="auto"/>
            <w:u w:val="none"/>
          </w:rPr>
          <w:t>1.2.1</w:t>
        </w:r>
        <w:r w:rsidR="006970D8" w:rsidRPr="006970D8">
          <w:rPr>
            <w:rFonts w:asciiTheme="minorHAnsi" w:eastAsiaTheme="minorEastAsia" w:hAnsiTheme="minorHAnsi" w:cstheme="minorBidi"/>
            <w:iCs w:val="0"/>
            <w:noProof/>
            <w:sz w:val="22"/>
            <w:szCs w:val="22"/>
          </w:rPr>
          <w:tab/>
        </w:r>
        <w:r w:rsidR="006970D8" w:rsidRPr="006970D8">
          <w:rPr>
            <w:rStyle w:val="Hyperlink"/>
            <w:noProof/>
            <w:color w:val="auto"/>
            <w:u w:val="none"/>
          </w:rPr>
          <w:t>The voice of the child in the Third Action Plan of the National Framework for Protecting Australia’s Children</w:t>
        </w:r>
        <w:r w:rsidR="000D73CC">
          <w:rPr>
            <w:rStyle w:val="Hyperlink"/>
            <w:noProof/>
            <w:color w:val="auto"/>
            <w:u w:val="none"/>
          </w:rPr>
          <w:t xml:space="preserve"> (National Framework)</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_Toc430778318 \h </w:instrText>
        </w:r>
        <w:r w:rsidR="006970D8" w:rsidRPr="006970D8">
          <w:rPr>
            <w:noProof/>
            <w:webHidden/>
          </w:rPr>
        </w:r>
        <w:r w:rsidR="006970D8" w:rsidRPr="006970D8">
          <w:rPr>
            <w:noProof/>
            <w:webHidden/>
          </w:rPr>
          <w:fldChar w:fldCharType="separate"/>
        </w:r>
        <w:r w:rsidR="006970D8" w:rsidRPr="006970D8">
          <w:rPr>
            <w:noProof/>
            <w:webHidden/>
          </w:rPr>
          <w:t>7</w:t>
        </w:r>
        <w:r w:rsidR="006970D8" w:rsidRPr="006970D8">
          <w:rPr>
            <w:noProof/>
            <w:webHidden/>
          </w:rPr>
          <w:fldChar w:fldCharType="end"/>
        </w:r>
      </w:hyperlink>
    </w:p>
    <w:p w14:paraId="2D70E8C3" w14:textId="77777777" w:rsidR="006970D8" w:rsidRPr="006970D8" w:rsidRDefault="00185AE1" w:rsidP="00354AA1">
      <w:pPr>
        <w:pStyle w:val="TOC3"/>
        <w:tabs>
          <w:tab w:val="left" w:pos="1440"/>
          <w:tab w:val="right" w:pos="9060"/>
        </w:tabs>
        <w:jc w:val="both"/>
        <w:rPr>
          <w:rFonts w:asciiTheme="minorHAnsi" w:eastAsiaTheme="minorEastAsia" w:hAnsiTheme="minorHAnsi" w:cstheme="minorBidi"/>
          <w:iCs w:val="0"/>
          <w:noProof/>
          <w:sz w:val="22"/>
          <w:szCs w:val="22"/>
        </w:rPr>
      </w:pPr>
      <w:hyperlink w:anchor="_Toc430778319" w:history="1">
        <w:r w:rsidR="006970D8" w:rsidRPr="006970D8">
          <w:rPr>
            <w:rStyle w:val="Hyperlink"/>
            <w:noProof/>
            <w:color w:val="auto"/>
            <w:u w:val="none"/>
          </w:rPr>
          <w:t>1.2.2</w:t>
        </w:r>
        <w:r w:rsidR="006970D8" w:rsidRPr="006970D8">
          <w:rPr>
            <w:rFonts w:asciiTheme="minorHAnsi" w:eastAsiaTheme="minorEastAsia" w:hAnsiTheme="minorHAnsi" w:cstheme="minorBidi"/>
            <w:iCs w:val="0"/>
            <w:noProof/>
            <w:sz w:val="22"/>
            <w:szCs w:val="22"/>
          </w:rPr>
          <w:tab/>
        </w:r>
        <w:r w:rsidR="006970D8" w:rsidRPr="006970D8">
          <w:rPr>
            <w:rStyle w:val="Hyperlink"/>
            <w:noProof/>
            <w:color w:val="auto"/>
            <w:u w:val="none"/>
          </w:rPr>
          <w:t>The voice of the child in the family law system</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_Toc430778319 \h </w:instrText>
        </w:r>
        <w:r w:rsidR="006970D8" w:rsidRPr="006970D8">
          <w:rPr>
            <w:noProof/>
            <w:webHidden/>
          </w:rPr>
        </w:r>
        <w:r w:rsidR="006970D8" w:rsidRPr="006970D8">
          <w:rPr>
            <w:noProof/>
            <w:webHidden/>
          </w:rPr>
          <w:fldChar w:fldCharType="separate"/>
        </w:r>
        <w:r w:rsidR="006970D8" w:rsidRPr="006970D8">
          <w:rPr>
            <w:noProof/>
            <w:webHidden/>
          </w:rPr>
          <w:t>8</w:t>
        </w:r>
        <w:r w:rsidR="006970D8" w:rsidRPr="006970D8">
          <w:rPr>
            <w:noProof/>
            <w:webHidden/>
          </w:rPr>
          <w:fldChar w:fldCharType="end"/>
        </w:r>
      </w:hyperlink>
    </w:p>
    <w:p w14:paraId="5F9E4CE4" w14:textId="77777777" w:rsidR="006970D8" w:rsidRPr="006970D8" w:rsidRDefault="00185AE1" w:rsidP="00354AA1">
      <w:pPr>
        <w:pStyle w:val="TOC3"/>
        <w:tabs>
          <w:tab w:val="left" w:pos="1440"/>
          <w:tab w:val="right" w:pos="9060"/>
        </w:tabs>
        <w:jc w:val="both"/>
        <w:rPr>
          <w:rFonts w:asciiTheme="minorHAnsi" w:eastAsiaTheme="minorEastAsia" w:hAnsiTheme="minorHAnsi" w:cstheme="minorBidi"/>
          <w:iCs w:val="0"/>
          <w:noProof/>
          <w:sz w:val="22"/>
          <w:szCs w:val="22"/>
        </w:rPr>
      </w:pPr>
      <w:hyperlink w:anchor="_Toc430778320" w:history="1">
        <w:r w:rsidR="006970D8" w:rsidRPr="006970D8">
          <w:rPr>
            <w:rStyle w:val="Hyperlink"/>
            <w:noProof/>
            <w:color w:val="auto"/>
            <w:u w:val="none"/>
          </w:rPr>
          <w:t>1.2.3</w:t>
        </w:r>
        <w:r w:rsidR="006970D8" w:rsidRPr="006970D8">
          <w:rPr>
            <w:rFonts w:asciiTheme="minorHAnsi" w:eastAsiaTheme="minorEastAsia" w:hAnsiTheme="minorHAnsi" w:cstheme="minorBidi"/>
            <w:iCs w:val="0"/>
            <w:noProof/>
            <w:sz w:val="22"/>
            <w:szCs w:val="22"/>
          </w:rPr>
          <w:tab/>
        </w:r>
        <w:r w:rsidR="006970D8" w:rsidRPr="006970D8">
          <w:rPr>
            <w:rStyle w:val="Hyperlink"/>
            <w:noProof/>
            <w:color w:val="auto"/>
            <w:u w:val="none"/>
          </w:rPr>
          <w:t>The voice of the child in complaints processes</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_Toc430778320 \h </w:instrText>
        </w:r>
        <w:r w:rsidR="006970D8" w:rsidRPr="006970D8">
          <w:rPr>
            <w:noProof/>
            <w:webHidden/>
          </w:rPr>
        </w:r>
        <w:r w:rsidR="006970D8" w:rsidRPr="006970D8">
          <w:rPr>
            <w:noProof/>
            <w:webHidden/>
          </w:rPr>
          <w:fldChar w:fldCharType="separate"/>
        </w:r>
        <w:r w:rsidR="006970D8" w:rsidRPr="006970D8">
          <w:rPr>
            <w:noProof/>
            <w:webHidden/>
          </w:rPr>
          <w:t>9</w:t>
        </w:r>
        <w:r w:rsidR="006970D8" w:rsidRPr="006970D8">
          <w:rPr>
            <w:noProof/>
            <w:webHidden/>
          </w:rPr>
          <w:fldChar w:fldCharType="end"/>
        </w:r>
      </w:hyperlink>
    </w:p>
    <w:p w14:paraId="56F8AEAD" w14:textId="047FFC9D" w:rsidR="006970D8" w:rsidRPr="006970D8" w:rsidRDefault="00185AE1" w:rsidP="00354AA1">
      <w:pPr>
        <w:pStyle w:val="TOC3"/>
        <w:tabs>
          <w:tab w:val="left" w:pos="1440"/>
          <w:tab w:val="right" w:pos="9060"/>
        </w:tabs>
        <w:jc w:val="both"/>
        <w:rPr>
          <w:rFonts w:asciiTheme="minorHAnsi" w:eastAsiaTheme="minorEastAsia" w:hAnsiTheme="minorHAnsi" w:cstheme="minorBidi"/>
          <w:iCs w:val="0"/>
          <w:noProof/>
          <w:sz w:val="22"/>
          <w:szCs w:val="22"/>
        </w:rPr>
      </w:pPr>
      <w:hyperlink w:anchor="_Toc430778321" w:history="1">
        <w:r w:rsidR="006970D8" w:rsidRPr="006970D8">
          <w:rPr>
            <w:rStyle w:val="Hyperlink"/>
            <w:noProof/>
            <w:color w:val="auto"/>
            <w:u w:val="none"/>
          </w:rPr>
          <w:t>1.2.4</w:t>
        </w:r>
        <w:r w:rsidR="006970D8" w:rsidRPr="006970D8">
          <w:rPr>
            <w:rFonts w:asciiTheme="minorHAnsi" w:eastAsiaTheme="minorEastAsia" w:hAnsiTheme="minorHAnsi" w:cstheme="minorBidi"/>
            <w:iCs w:val="0"/>
            <w:noProof/>
            <w:sz w:val="22"/>
            <w:szCs w:val="22"/>
          </w:rPr>
          <w:tab/>
        </w:r>
        <w:r w:rsidR="006970D8" w:rsidRPr="006970D8">
          <w:rPr>
            <w:rStyle w:val="Hyperlink"/>
            <w:noProof/>
            <w:color w:val="auto"/>
            <w:u w:val="none"/>
          </w:rPr>
          <w:t>Children</w:t>
        </w:r>
        <w:r w:rsidR="004053D1">
          <w:rPr>
            <w:rStyle w:val="Hyperlink"/>
            <w:noProof/>
            <w:color w:val="auto"/>
            <w:u w:val="none"/>
          </w:rPr>
          <w:t>’s</w:t>
        </w:r>
        <w:r w:rsidR="006970D8" w:rsidRPr="006970D8">
          <w:rPr>
            <w:rStyle w:val="Hyperlink"/>
            <w:noProof/>
            <w:color w:val="auto"/>
            <w:u w:val="none"/>
          </w:rPr>
          <w:t xml:space="preserve"> and young people’s voices on consumer rights</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_Toc430778321 \h </w:instrText>
        </w:r>
        <w:r w:rsidR="006970D8" w:rsidRPr="006970D8">
          <w:rPr>
            <w:noProof/>
            <w:webHidden/>
          </w:rPr>
        </w:r>
        <w:r w:rsidR="006970D8" w:rsidRPr="006970D8">
          <w:rPr>
            <w:noProof/>
            <w:webHidden/>
          </w:rPr>
          <w:fldChar w:fldCharType="separate"/>
        </w:r>
        <w:r w:rsidR="006970D8" w:rsidRPr="006970D8">
          <w:rPr>
            <w:noProof/>
            <w:webHidden/>
          </w:rPr>
          <w:t>10</w:t>
        </w:r>
        <w:r w:rsidR="006970D8" w:rsidRPr="006970D8">
          <w:rPr>
            <w:noProof/>
            <w:webHidden/>
          </w:rPr>
          <w:fldChar w:fldCharType="end"/>
        </w:r>
      </w:hyperlink>
    </w:p>
    <w:p w14:paraId="1D52199D" w14:textId="77777777" w:rsidR="006970D8" w:rsidRPr="006970D8" w:rsidRDefault="00185AE1" w:rsidP="00354AA1">
      <w:pPr>
        <w:pStyle w:val="TOC2"/>
        <w:tabs>
          <w:tab w:val="left" w:pos="960"/>
          <w:tab w:val="right" w:pos="9060"/>
        </w:tabs>
        <w:jc w:val="both"/>
        <w:rPr>
          <w:rFonts w:asciiTheme="minorHAnsi" w:eastAsiaTheme="minorEastAsia" w:hAnsiTheme="minorHAnsi" w:cstheme="minorBidi"/>
          <w:noProof/>
          <w:sz w:val="22"/>
          <w:szCs w:val="22"/>
        </w:rPr>
      </w:pPr>
      <w:hyperlink w:anchor="_Toc430778322" w:history="1">
        <w:r w:rsidR="006970D8" w:rsidRPr="006970D8">
          <w:rPr>
            <w:rStyle w:val="Hyperlink"/>
            <w:noProof/>
            <w:color w:val="auto"/>
            <w:u w:val="none"/>
          </w:rPr>
          <w:t>1.3</w:t>
        </w:r>
        <w:r w:rsidR="006970D8" w:rsidRPr="006970D8">
          <w:rPr>
            <w:rFonts w:asciiTheme="minorHAnsi" w:eastAsiaTheme="minorEastAsia" w:hAnsiTheme="minorHAnsi" w:cstheme="minorBidi"/>
            <w:noProof/>
            <w:sz w:val="22"/>
            <w:szCs w:val="22"/>
          </w:rPr>
          <w:tab/>
        </w:r>
        <w:r w:rsidR="006970D8" w:rsidRPr="006970D8">
          <w:rPr>
            <w:rStyle w:val="Hyperlink"/>
            <w:noProof/>
            <w:color w:val="auto"/>
            <w:u w:val="none"/>
          </w:rPr>
          <w:t>Freedom from violence, abuse and neglect</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_Toc430778322 \h </w:instrText>
        </w:r>
        <w:r w:rsidR="006970D8" w:rsidRPr="006970D8">
          <w:rPr>
            <w:noProof/>
            <w:webHidden/>
          </w:rPr>
        </w:r>
        <w:r w:rsidR="006970D8" w:rsidRPr="006970D8">
          <w:rPr>
            <w:noProof/>
            <w:webHidden/>
          </w:rPr>
          <w:fldChar w:fldCharType="separate"/>
        </w:r>
        <w:r w:rsidR="006970D8" w:rsidRPr="006970D8">
          <w:rPr>
            <w:noProof/>
            <w:webHidden/>
          </w:rPr>
          <w:t>10</w:t>
        </w:r>
        <w:r w:rsidR="006970D8" w:rsidRPr="006970D8">
          <w:rPr>
            <w:noProof/>
            <w:webHidden/>
          </w:rPr>
          <w:fldChar w:fldCharType="end"/>
        </w:r>
      </w:hyperlink>
    </w:p>
    <w:p w14:paraId="71AD4BB0" w14:textId="77777777" w:rsidR="006970D8" w:rsidRPr="006970D8" w:rsidRDefault="00185AE1" w:rsidP="00354AA1">
      <w:pPr>
        <w:pStyle w:val="TOC3"/>
        <w:tabs>
          <w:tab w:val="left" w:pos="1440"/>
          <w:tab w:val="right" w:pos="9060"/>
        </w:tabs>
        <w:ind w:left="1440" w:hanging="960"/>
        <w:jc w:val="both"/>
        <w:rPr>
          <w:rFonts w:asciiTheme="minorHAnsi" w:eastAsiaTheme="minorEastAsia" w:hAnsiTheme="minorHAnsi" w:cstheme="minorBidi"/>
          <w:iCs w:val="0"/>
          <w:noProof/>
          <w:sz w:val="22"/>
          <w:szCs w:val="22"/>
        </w:rPr>
      </w:pPr>
      <w:hyperlink w:anchor="_Toc430778323" w:history="1">
        <w:r w:rsidR="006970D8" w:rsidRPr="006970D8">
          <w:rPr>
            <w:rStyle w:val="Hyperlink"/>
            <w:noProof/>
            <w:color w:val="auto"/>
            <w:u w:val="none"/>
          </w:rPr>
          <w:t>1.3.1</w:t>
        </w:r>
        <w:r w:rsidR="006970D8" w:rsidRPr="006970D8">
          <w:rPr>
            <w:rFonts w:asciiTheme="minorHAnsi" w:eastAsiaTheme="minorEastAsia" w:hAnsiTheme="minorHAnsi" w:cstheme="minorBidi"/>
            <w:iCs w:val="0"/>
            <w:noProof/>
            <w:sz w:val="22"/>
            <w:szCs w:val="22"/>
          </w:rPr>
          <w:tab/>
        </w:r>
        <w:r w:rsidR="006970D8" w:rsidRPr="006970D8">
          <w:rPr>
            <w:rStyle w:val="Hyperlink"/>
            <w:noProof/>
            <w:color w:val="auto"/>
            <w:u w:val="none"/>
          </w:rPr>
          <w:t>Self-harm and suicidal behaviour in Aboriginal and Torres Strait Islander children and young people</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_Toc430778323 \h </w:instrText>
        </w:r>
        <w:r w:rsidR="006970D8" w:rsidRPr="006970D8">
          <w:rPr>
            <w:noProof/>
            <w:webHidden/>
          </w:rPr>
        </w:r>
        <w:r w:rsidR="006970D8" w:rsidRPr="006970D8">
          <w:rPr>
            <w:noProof/>
            <w:webHidden/>
          </w:rPr>
          <w:fldChar w:fldCharType="separate"/>
        </w:r>
        <w:r w:rsidR="006970D8" w:rsidRPr="006970D8">
          <w:rPr>
            <w:noProof/>
            <w:webHidden/>
          </w:rPr>
          <w:t>11</w:t>
        </w:r>
        <w:r w:rsidR="006970D8" w:rsidRPr="006970D8">
          <w:rPr>
            <w:noProof/>
            <w:webHidden/>
          </w:rPr>
          <w:fldChar w:fldCharType="end"/>
        </w:r>
      </w:hyperlink>
    </w:p>
    <w:p w14:paraId="203D8CDC" w14:textId="77777777" w:rsidR="006970D8" w:rsidRPr="006970D8" w:rsidRDefault="00185AE1" w:rsidP="00354AA1">
      <w:pPr>
        <w:pStyle w:val="TOC3"/>
        <w:tabs>
          <w:tab w:val="left" w:pos="1440"/>
          <w:tab w:val="right" w:pos="9060"/>
        </w:tabs>
        <w:ind w:left="1440" w:hanging="960"/>
        <w:jc w:val="both"/>
        <w:rPr>
          <w:rFonts w:asciiTheme="minorHAnsi" w:eastAsiaTheme="minorEastAsia" w:hAnsiTheme="minorHAnsi" w:cstheme="minorBidi"/>
          <w:iCs w:val="0"/>
          <w:noProof/>
          <w:sz w:val="22"/>
          <w:szCs w:val="22"/>
        </w:rPr>
      </w:pPr>
      <w:hyperlink w:anchor="_Toc430778324" w:history="1">
        <w:r w:rsidR="006970D8" w:rsidRPr="006970D8">
          <w:rPr>
            <w:rStyle w:val="Hyperlink"/>
            <w:noProof/>
            <w:color w:val="auto"/>
            <w:u w:val="none"/>
          </w:rPr>
          <w:t>1.3.2</w:t>
        </w:r>
        <w:r w:rsidR="006970D8" w:rsidRPr="006970D8">
          <w:rPr>
            <w:rFonts w:asciiTheme="minorHAnsi" w:eastAsiaTheme="minorEastAsia" w:hAnsiTheme="minorHAnsi" w:cstheme="minorBidi"/>
            <w:iCs w:val="0"/>
            <w:noProof/>
            <w:sz w:val="22"/>
            <w:szCs w:val="22"/>
          </w:rPr>
          <w:tab/>
        </w:r>
        <w:r w:rsidR="006970D8" w:rsidRPr="006970D8">
          <w:rPr>
            <w:rStyle w:val="Hyperlink"/>
            <w:noProof/>
            <w:color w:val="auto"/>
            <w:u w:val="none"/>
          </w:rPr>
          <w:t>The impact of family and domestic violence on children and young people</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_Toc430778324 \h </w:instrText>
        </w:r>
        <w:r w:rsidR="006970D8" w:rsidRPr="006970D8">
          <w:rPr>
            <w:noProof/>
            <w:webHidden/>
          </w:rPr>
        </w:r>
        <w:r w:rsidR="006970D8" w:rsidRPr="006970D8">
          <w:rPr>
            <w:noProof/>
            <w:webHidden/>
          </w:rPr>
          <w:fldChar w:fldCharType="separate"/>
        </w:r>
        <w:r w:rsidR="006970D8" w:rsidRPr="006970D8">
          <w:rPr>
            <w:noProof/>
            <w:webHidden/>
          </w:rPr>
          <w:t>13</w:t>
        </w:r>
        <w:r w:rsidR="006970D8" w:rsidRPr="006970D8">
          <w:rPr>
            <w:noProof/>
            <w:webHidden/>
          </w:rPr>
          <w:fldChar w:fldCharType="end"/>
        </w:r>
      </w:hyperlink>
    </w:p>
    <w:p w14:paraId="74519961" w14:textId="77777777" w:rsidR="006970D8" w:rsidRPr="006970D8" w:rsidRDefault="00185AE1" w:rsidP="00354AA1">
      <w:pPr>
        <w:pStyle w:val="TOC2"/>
        <w:tabs>
          <w:tab w:val="left" w:pos="960"/>
          <w:tab w:val="right" w:pos="9060"/>
        </w:tabs>
        <w:jc w:val="both"/>
        <w:rPr>
          <w:rFonts w:asciiTheme="minorHAnsi" w:eastAsiaTheme="minorEastAsia" w:hAnsiTheme="minorHAnsi" w:cstheme="minorBidi"/>
          <w:noProof/>
          <w:sz w:val="22"/>
          <w:szCs w:val="22"/>
        </w:rPr>
      </w:pPr>
      <w:hyperlink w:anchor="_Toc430778325" w:history="1">
        <w:r w:rsidR="006970D8" w:rsidRPr="006970D8">
          <w:rPr>
            <w:rStyle w:val="Hyperlink"/>
            <w:noProof/>
            <w:color w:val="auto"/>
            <w:u w:val="none"/>
          </w:rPr>
          <w:t>1.4</w:t>
        </w:r>
        <w:r w:rsidR="006970D8" w:rsidRPr="006970D8">
          <w:rPr>
            <w:rFonts w:asciiTheme="minorHAnsi" w:eastAsiaTheme="minorEastAsia" w:hAnsiTheme="minorHAnsi" w:cstheme="minorBidi"/>
            <w:noProof/>
            <w:sz w:val="22"/>
            <w:szCs w:val="22"/>
          </w:rPr>
          <w:tab/>
        </w:r>
        <w:r w:rsidR="006970D8" w:rsidRPr="006970D8">
          <w:rPr>
            <w:rStyle w:val="Hyperlink"/>
            <w:noProof/>
            <w:color w:val="auto"/>
            <w:u w:val="none"/>
          </w:rPr>
          <w:t>Opportunity to thrive</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_Toc430778325 \h </w:instrText>
        </w:r>
        <w:r w:rsidR="006970D8" w:rsidRPr="006970D8">
          <w:rPr>
            <w:noProof/>
            <w:webHidden/>
          </w:rPr>
        </w:r>
        <w:r w:rsidR="006970D8" w:rsidRPr="006970D8">
          <w:rPr>
            <w:noProof/>
            <w:webHidden/>
          </w:rPr>
          <w:fldChar w:fldCharType="separate"/>
        </w:r>
        <w:r w:rsidR="006970D8" w:rsidRPr="006970D8">
          <w:rPr>
            <w:noProof/>
            <w:webHidden/>
          </w:rPr>
          <w:t>13</w:t>
        </w:r>
        <w:r w:rsidR="006970D8" w:rsidRPr="006970D8">
          <w:rPr>
            <w:noProof/>
            <w:webHidden/>
          </w:rPr>
          <w:fldChar w:fldCharType="end"/>
        </w:r>
      </w:hyperlink>
    </w:p>
    <w:p w14:paraId="797606AF" w14:textId="77777777" w:rsidR="006970D8" w:rsidRPr="006970D8" w:rsidRDefault="00185AE1" w:rsidP="00354AA1">
      <w:pPr>
        <w:pStyle w:val="TOC3"/>
        <w:tabs>
          <w:tab w:val="left" w:pos="1440"/>
          <w:tab w:val="right" w:pos="9060"/>
        </w:tabs>
        <w:jc w:val="both"/>
        <w:rPr>
          <w:rFonts w:asciiTheme="minorHAnsi" w:eastAsiaTheme="minorEastAsia" w:hAnsiTheme="minorHAnsi" w:cstheme="minorBidi"/>
          <w:iCs w:val="0"/>
          <w:noProof/>
          <w:sz w:val="22"/>
          <w:szCs w:val="22"/>
        </w:rPr>
      </w:pPr>
      <w:hyperlink w:anchor="_Toc430778326" w:history="1">
        <w:r w:rsidR="006970D8" w:rsidRPr="006970D8">
          <w:rPr>
            <w:rStyle w:val="Hyperlink"/>
            <w:noProof/>
            <w:color w:val="auto"/>
            <w:u w:val="none"/>
          </w:rPr>
          <w:t>1.4.1</w:t>
        </w:r>
        <w:r w:rsidR="006970D8" w:rsidRPr="006970D8">
          <w:rPr>
            <w:rFonts w:asciiTheme="minorHAnsi" w:eastAsiaTheme="minorEastAsia" w:hAnsiTheme="minorHAnsi" w:cstheme="minorBidi"/>
            <w:iCs w:val="0"/>
            <w:noProof/>
            <w:sz w:val="22"/>
            <w:szCs w:val="22"/>
          </w:rPr>
          <w:tab/>
        </w:r>
        <w:r w:rsidR="006970D8" w:rsidRPr="006970D8">
          <w:rPr>
            <w:rStyle w:val="Hyperlink"/>
            <w:noProof/>
            <w:color w:val="auto"/>
            <w:u w:val="none"/>
          </w:rPr>
          <w:t>Protecting the rights of children in need of care and protection</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_Toc430778326 \h </w:instrText>
        </w:r>
        <w:r w:rsidR="006970D8" w:rsidRPr="006970D8">
          <w:rPr>
            <w:noProof/>
            <w:webHidden/>
          </w:rPr>
        </w:r>
        <w:r w:rsidR="006970D8" w:rsidRPr="006970D8">
          <w:rPr>
            <w:noProof/>
            <w:webHidden/>
          </w:rPr>
          <w:fldChar w:fldCharType="separate"/>
        </w:r>
        <w:r w:rsidR="006970D8" w:rsidRPr="006970D8">
          <w:rPr>
            <w:noProof/>
            <w:webHidden/>
          </w:rPr>
          <w:t>13</w:t>
        </w:r>
        <w:r w:rsidR="006970D8" w:rsidRPr="006970D8">
          <w:rPr>
            <w:noProof/>
            <w:webHidden/>
          </w:rPr>
          <w:fldChar w:fldCharType="end"/>
        </w:r>
      </w:hyperlink>
    </w:p>
    <w:p w14:paraId="3FEB6FDE" w14:textId="77777777" w:rsidR="006970D8" w:rsidRPr="006970D8" w:rsidRDefault="00185AE1" w:rsidP="00354AA1">
      <w:pPr>
        <w:pStyle w:val="TOC3"/>
        <w:tabs>
          <w:tab w:val="left" w:pos="1440"/>
          <w:tab w:val="right" w:pos="9060"/>
        </w:tabs>
        <w:ind w:left="1440" w:hanging="960"/>
        <w:jc w:val="both"/>
        <w:rPr>
          <w:rFonts w:asciiTheme="minorHAnsi" w:eastAsiaTheme="minorEastAsia" w:hAnsiTheme="minorHAnsi" w:cstheme="minorBidi"/>
          <w:iCs w:val="0"/>
          <w:noProof/>
          <w:sz w:val="22"/>
          <w:szCs w:val="22"/>
        </w:rPr>
      </w:pPr>
      <w:hyperlink w:anchor="_Toc430778327" w:history="1">
        <w:r w:rsidR="006970D8" w:rsidRPr="006970D8">
          <w:rPr>
            <w:rStyle w:val="Hyperlink"/>
            <w:noProof/>
            <w:color w:val="auto"/>
            <w:u w:val="none"/>
          </w:rPr>
          <w:t>1.4.2</w:t>
        </w:r>
        <w:r w:rsidR="006970D8" w:rsidRPr="006970D8">
          <w:rPr>
            <w:rFonts w:asciiTheme="minorHAnsi" w:eastAsiaTheme="minorEastAsia" w:hAnsiTheme="minorHAnsi" w:cstheme="minorBidi"/>
            <w:iCs w:val="0"/>
            <w:noProof/>
            <w:sz w:val="22"/>
            <w:szCs w:val="22"/>
          </w:rPr>
          <w:tab/>
        </w:r>
        <w:r w:rsidR="006970D8" w:rsidRPr="006970D8">
          <w:rPr>
            <w:rStyle w:val="Hyperlink"/>
            <w:noProof/>
            <w:color w:val="auto"/>
            <w:u w:val="none"/>
          </w:rPr>
          <w:t>Promoting the rights of Aboriginal and Torres Strait Islander children and young people in the National Framework</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_Toc430778327 \h </w:instrText>
        </w:r>
        <w:r w:rsidR="006970D8" w:rsidRPr="006970D8">
          <w:rPr>
            <w:noProof/>
            <w:webHidden/>
          </w:rPr>
        </w:r>
        <w:r w:rsidR="006970D8" w:rsidRPr="006970D8">
          <w:rPr>
            <w:noProof/>
            <w:webHidden/>
          </w:rPr>
          <w:fldChar w:fldCharType="separate"/>
        </w:r>
        <w:r w:rsidR="006970D8" w:rsidRPr="006970D8">
          <w:rPr>
            <w:noProof/>
            <w:webHidden/>
          </w:rPr>
          <w:t>16</w:t>
        </w:r>
        <w:r w:rsidR="006970D8" w:rsidRPr="006970D8">
          <w:rPr>
            <w:noProof/>
            <w:webHidden/>
          </w:rPr>
          <w:fldChar w:fldCharType="end"/>
        </w:r>
      </w:hyperlink>
    </w:p>
    <w:p w14:paraId="462F8113" w14:textId="77777777" w:rsidR="006970D8" w:rsidRPr="006970D8" w:rsidRDefault="00185AE1" w:rsidP="00354AA1">
      <w:pPr>
        <w:pStyle w:val="TOC2"/>
        <w:tabs>
          <w:tab w:val="left" w:pos="960"/>
          <w:tab w:val="right" w:pos="9060"/>
        </w:tabs>
        <w:jc w:val="both"/>
        <w:rPr>
          <w:rFonts w:asciiTheme="minorHAnsi" w:eastAsiaTheme="minorEastAsia" w:hAnsiTheme="minorHAnsi" w:cstheme="minorBidi"/>
          <w:noProof/>
          <w:sz w:val="22"/>
          <w:szCs w:val="22"/>
        </w:rPr>
      </w:pPr>
      <w:hyperlink w:anchor="_Toc430778328" w:history="1">
        <w:r w:rsidR="006970D8" w:rsidRPr="006970D8">
          <w:rPr>
            <w:rStyle w:val="Hyperlink"/>
            <w:noProof/>
            <w:color w:val="auto"/>
            <w:u w:val="none"/>
          </w:rPr>
          <w:t>1.5</w:t>
        </w:r>
        <w:r w:rsidR="006970D8" w:rsidRPr="006970D8">
          <w:rPr>
            <w:rFonts w:asciiTheme="minorHAnsi" w:eastAsiaTheme="minorEastAsia" w:hAnsiTheme="minorHAnsi" w:cstheme="minorBidi"/>
            <w:noProof/>
            <w:sz w:val="22"/>
            <w:szCs w:val="22"/>
          </w:rPr>
          <w:tab/>
        </w:r>
        <w:r w:rsidR="006970D8" w:rsidRPr="006970D8">
          <w:rPr>
            <w:rStyle w:val="Hyperlink"/>
            <w:noProof/>
            <w:color w:val="auto"/>
            <w:u w:val="none"/>
          </w:rPr>
          <w:t>Engaged citizenship</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_Toc430778328 \h </w:instrText>
        </w:r>
        <w:r w:rsidR="006970D8" w:rsidRPr="006970D8">
          <w:rPr>
            <w:noProof/>
            <w:webHidden/>
          </w:rPr>
        </w:r>
        <w:r w:rsidR="006970D8" w:rsidRPr="006970D8">
          <w:rPr>
            <w:noProof/>
            <w:webHidden/>
          </w:rPr>
          <w:fldChar w:fldCharType="separate"/>
        </w:r>
        <w:r w:rsidR="006970D8" w:rsidRPr="006970D8">
          <w:rPr>
            <w:noProof/>
            <w:webHidden/>
          </w:rPr>
          <w:t>16</w:t>
        </w:r>
        <w:r w:rsidR="006970D8" w:rsidRPr="006970D8">
          <w:rPr>
            <w:noProof/>
            <w:webHidden/>
          </w:rPr>
          <w:fldChar w:fldCharType="end"/>
        </w:r>
      </w:hyperlink>
    </w:p>
    <w:p w14:paraId="27777F2F" w14:textId="77777777" w:rsidR="006970D8" w:rsidRPr="006970D8" w:rsidRDefault="00185AE1" w:rsidP="00354AA1">
      <w:pPr>
        <w:pStyle w:val="TOC3"/>
        <w:tabs>
          <w:tab w:val="left" w:pos="1440"/>
          <w:tab w:val="right" w:pos="9060"/>
        </w:tabs>
        <w:ind w:left="1440" w:hanging="960"/>
        <w:jc w:val="both"/>
        <w:rPr>
          <w:rFonts w:asciiTheme="minorHAnsi" w:eastAsiaTheme="minorEastAsia" w:hAnsiTheme="minorHAnsi" w:cstheme="minorBidi"/>
          <w:iCs w:val="0"/>
          <w:noProof/>
          <w:sz w:val="22"/>
          <w:szCs w:val="22"/>
        </w:rPr>
      </w:pPr>
      <w:hyperlink w:anchor="_Toc430778329" w:history="1">
        <w:r w:rsidR="006970D8" w:rsidRPr="006970D8">
          <w:rPr>
            <w:rStyle w:val="Hyperlink"/>
            <w:noProof/>
            <w:color w:val="auto"/>
            <w:u w:val="none"/>
          </w:rPr>
          <w:t>1.5.1</w:t>
        </w:r>
        <w:r w:rsidR="006970D8" w:rsidRPr="006970D8">
          <w:rPr>
            <w:rFonts w:asciiTheme="minorHAnsi" w:eastAsiaTheme="minorEastAsia" w:hAnsiTheme="minorHAnsi" w:cstheme="minorBidi"/>
            <w:iCs w:val="0"/>
            <w:noProof/>
            <w:sz w:val="22"/>
            <w:szCs w:val="22"/>
          </w:rPr>
          <w:tab/>
        </w:r>
        <w:r w:rsidR="006970D8" w:rsidRPr="006970D8">
          <w:rPr>
            <w:rStyle w:val="Hyperlink"/>
            <w:noProof/>
            <w:color w:val="auto"/>
            <w:u w:val="none"/>
          </w:rPr>
          <w:t>Co-presenting with a young person to Australian Public Service employees</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_Toc430778329 \h </w:instrText>
        </w:r>
        <w:r w:rsidR="006970D8" w:rsidRPr="006970D8">
          <w:rPr>
            <w:noProof/>
            <w:webHidden/>
          </w:rPr>
        </w:r>
        <w:r w:rsidR="006970D8" w:rsidRPr="006970D8">
          <w:rPr>
            <w:noProof/>
            <w:webHidden/>
          </w:rPr>
          <w:fldChar w:fldCharType="separate"/>
        </w:r>
        <w:r w:rsidR="006970D8" w:rsidRPr="006970D8">
          <w:rPr>
            <w:noProof/>
            <w:webHidden/>
          </w:rPr>
          <w:t>17</w:t>
        </w:r>
        <w:r w:rsidR="006970D8" w:rsidRPr="006970D8">
          <w:rPr>
            <w:noProof/>
            <w:webHidden/>
          </w:rPr>
          <w:fldChar w:fldCharType="end"/>
        </w:r>
      </w:hyperlink>
    </w:p>
    <w:p w14:paraId="2E56FA47" w14:textId="77777777" w:rsidR="006970D8" w:rsidRPr="006970D8" w:rsidRDefault="00185AE1" w:rsidP="00354AA1">
      <w:pPr>
        <w:pStyle w:val="TOC3"/>
        <w:tabs>
          <w:tab w:val="left" w:pos="1440"/>
          <w:tab w:val="right" w:pos="9060"/>
        </w:tabs>
        <w:jc w:val="both"/>
        <w:rPr>
          <w:rFonts w:asciiTheme="minorHAnsi" w:eastAsiaTheme="minorEastAsia" w:hAnsiTheme="minorHAnsi" w:cstheme="minorBidi"/>
          <w:iCs w:val="0"/>
          <w:noProof/>
          <w:sz w:val="22"/>
          <w:szCs w:val="22"/>
        </w:rPr>
      </w:pPr>
      <w:hyperlink w:anchor="_Toc430778330" w:history="1">
        <w:r w:rsidR="006970D8" w:rsidRPr="006970D8">
          <w:rPr>
            <w:rStyle w:val="Hyperlink"/>
            <w:noProof/>
            <w:color w:val="auto"/>
            <w:u w:val="none"/>
          </w:rPr>
          <w:t>1.5.2</w:t>
        </w:r>
        <w:r w:rsidR="006970D8" w:rsidRPr="006970D8">
          <w:rPr>
            <w:rFonts w:asciiTheme="minorHAnsi" w:eastAsiaTheme="minorEastAsia" w:hAnsiTheme="minorHAnsi" w:cstheme="minorBidi"/>
            <w:iCs w:val="0"/>
            <w:noProof/>
            <w:sz w:val="22"/>
            <w:szCs w:val="22"/>
          </w:rPr>
          <w:tab/>
        </w:r>
        <w:r w:rsidR="006970D8" w:rsidRPr="006970D8">
          <w:rPr>
            <w:rStyle w:val="Hyperlink"/>
            <w:noProof/>
            <w:color w:val="auto"/>
            <w:u w:val="none"/>
          </w:rPr>
          <w:t>Encouraging human rights education in schools</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_Toc430778330 \h </w:instrText>
        </w:r>
        <w:r w:rsidR="006970D8" w:rsidRPr="006970D8">
          <w:rPr>
            <w:noProof/>
            <w:webHidden/>
          </w:rPr>
        </w:r>
        <w:r w:rsidR="006970D8" w:rsidRPr="006970D8">
          <w:rPr>
            <w:noProof/>
            <w:webHidden/>
          </w:rPr>
          <w:fldChar w:fldCharType="separate"/>
        </w:r>
        <w:r w:rsidR="006970D8" w:rsidRPr="006970D8">
          <w:rPr>
            <w:noProof/>
            <w:webHidden/>
          </w:rPr>
          <w:t>17</w:t>
        </w:r>
        <w:r w:rsidR="006970D8" w:rsidRPr="006970D8">
          <w:rPr>
            <w:noProof/>
            <w:webHidden/>
          </w:rPr>
          <w:fldChar w:fldCharType="end"/>
        </w:r>
      </w:hyperlink>
    </w:p>
    <w:p w14:paraId="59CC4537" w14:textId="77777777" w:rsidR="006970D8" w:rsidRPr="006970D8" w:rsidRDefault="00185AE1" w:rsidP="00354AA1">
      <w:pPr>
        <w:pStyle w:val="TOC3"/>
        <w:tabs>
          <w:tab w:val="left" w:pos="1440"/>
          <w:tab w:val="right" w:pos="9060"/>
        </w:tabs>
        <w:jc w:val="both"/>
        <w:rPr>
          <w:rFonts w:asciiTheme="minorHAnsi" w:eastAsiaTheme="minorEastAsia" w:hAnsiTheme="minorHAnsi" w:cstheme="minorBidi"/>
          <w:iCs w:val="0"/>
          <w:noProof/>
          <w:sz w:val="22"/>
          <w:szCs w:val="22"/>
        </w:rPr>
      </w:pPr>
      <w:hyperlink w:anchor="_Toc430778331" w:history="1">
        <w:r w:rsidR="006970D8" w:rsidRPr="006970D8">
          <w:rPr>
            <w:rStyle w:val="Hyperlink"/>
            <w:noProof/>
            <w:color w:val="auto"/>
            <w:u w:val="none"/>
          </w:rPr>
          <w:t>1.5.3</w:t>
        </w:r>
        <w:r w:rsidR="006970D8" w:rsidRPr="006970D8">
          <w:rPr>
            <w:rFonts w:asciiTheme="minorHAnsi" w:eastAsiaTheme="minorEastAsia" w:hAnsiTheme="minorHAnsi" w:cstheme="minorBidi"/>
            <w:iCs w:val="0"/>
            <w:noProof/>
            <w:sz w:val="22"/>
            <w:szCs w:val="22"/>
          </w:rPr>
          <w:tab/>
        </w:r>
        <w:r w:rsidR="006970D8" w:rsidRPr="006970D8">
          <w:rPr>
            <w:rStyle w:val="Hyperlink"/>
            <w:noProof/>
            <w:color w:val="auto"/>
            <w:u w:val="none"/>
          </w:rPr>
          <w:t>Submissions</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_Toc430778331 \h </w:instrText>
        </w:r>
        <w:r w:rsidR="006970D8" w:rsidRPr="006970D8">
          <w:rPr>
            <w:noProof/>
            <w:webHidden/>
          </w:rPr>
        </w:r>
        <w:r w:rsidR="006970D8" w:rsidRPr="006970D8">
          <w:rPr>
            <w:noProof/>
            <w:webHidden/>
          </w:rPr>
          <w:fldChar w:fldCharType="separate"/>
        </w:r>
        <w:r w:rsidR="006970D8" w:rsidRPr="006970D8">
          <w:rPr>
            <w:noProof/>
            <w:webHidden/>
          </w:rPr>
          <w:t>18</w:t>
        </w:r>
        <w:r w:rsidR="006970D8" w:rsidRPr="006970D8">
          <w:rPr>
            <w:noProof/>
            <w:webHidden/>
          </w:rPr>
          <w:fldChar w:fldCharType="end"/>
        </w:r>
      </w:hyperlink>
    </w:p>
    <w:p w14:paraId="0C883D81" w14:textId="77777777" w:rsidR="006970D8" w:rsidRPr="006970D8" w:rsidRDefault="00185AE1" w:rsidP="00354AA1">
      <w:pPr>
        <w:pStyle w:val="TOC2"/>
        <w:tabs>
          <w:tab w:val="left" w:pos="960"/>
          <w:tab w:val="right" w:pos="9060"/>
        </w:tabs>
        <w:jc w:val="both"/>
        <w:rPr>
          <w:rFonts w:asciiTheme="minorHAnsi" w:eastAsiaTheme="minorEastAsia" w:hAnsiTheme="minorHAnsi" w:cstheme="minorBidi"/>
          <w:noProof/>
          <w:sz w:val="22"/>
          <w:szCs w:val="22"/>
        </w:rPr>
      </w:pPr>
      <w:hyperlink w:anchor="_Toc430778332" w:history="1">
        <w:r w:rsidR="006970D8" w:rsidRPr="006970D8">
          <w:rPr>
            <w:rStyle w:val="Hyperlink"/>
            <w:noProof/>
            <w:color w:val="auto"/>
            <w:u w:val="none"/>
          </w:rPr>
          <w:t>1.6</w:t>
        </w:r>
        <w:r w:rsidR="006970D8" w:rsidRPr="006970D8">
          <w:rPr>
            <w:rFonts w:asciiTheme="minorHAnsi" w:eastAsiaTheme="minorEastAsia" w:hAnsiTheme="minorHAnsi" w:cstheme="minorBidi"/>
            <w:noProof/>
            <w:sz w:val="22"/>
            <w:szCs w:val="22"/>
          </w:rPr>
          <w:tab/>
        </w:r>
        <w:r w:rsidR="006970D8" w:rsidRPr="006970D8">
          <w:rPr>
            <w:rStyle w:val="Hyperlink"/>
            <w:noProof/>
            <w:color w:val="auto"/>
            <w:u w:val="none"/>
          </w:rPr>
          <w:t>Action and accountability</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_Toc430778332 \h </w:instrText>
        </w:r>
        <w:r w:rsidR="006970D8" w:rsidRPr="006970D8">
          <w:rPr>
            <w:noProof/>
            <w:webHidden/>
          </w:rPr>
        </w:r>
        <w:r w:rsidR="006970D8" w:rsidRPr="006970D8">
          <w:rPr>
            <w:noProof/>
            <w:webHidden/>
          </w:rPr>
          <w:fldChar w:fldCharType="separate"/>
        </w:r>
        <w:r w:rsidR="006970D8" w:rsidRPr="006970D8">
          <w:rPr>
            <w:noProof/>
            <w:webHidden/>
          </w:rPr>
          <w:t>18</w:t>
        </w:r>
        <w:r w:rsidR="006970D8" w:rsidRPr="006970D8">
          <w:rPr>
            <w:noProof/>
            <w:webHidden/>
          </w:rPr>
          <w:fldChar w:fldCharType="end"/>
        </w:r>
      </w:hyperlink>
    </w:p>
    <w:p w14:paraId="61AC2E44" w14:textId="77777777" w:rsidR="006970D8" w:rsidRPr="006970D8" w:rsidRDefault="00185AE1" w:rsidP="00354AA1">
      <w:pPr>
        <w:pStyle w:val="TOC3"/>
        <w:tabs>
          <w:tab w:val="left" w:pos="1440"/>
          <w:tab w:val="right" w:pos="9060"/>
        </w:tabs>
        <w:jc w:val="both"/>
        <w:rPr>
          <w:rFonts w:asciiTheme="minorHAnsi" w:eastAsiaTheme="minorEastAsia" w:hAnsiTheme="minorHAnsi" w:cstheme="minorBidi"/>
          <w:iCs w:val="0"/>
          <w:noProof/>
          <w:sz w:val="22"/>
          <w:szCs w:val="22"/>
        </w:rPr>
      </w:pPr>
      <w:hyperlink w:anchor="_Toc430778333" w:history="1">
        <w:r w:rsidR="006970D8" w:rsidRPr="006970D8">
          <w:rPr>
            <w:rStyle w:val="Hyperlink"/>
            <w:noProof/>
            <w:color w:val="auto"/>
            <w:u w:val="none"/>
          </w:rPr>
          <w:t>1.6.1</w:t>
        </w:r>
        <w:r w:rsidR="006970D8" w:rsidRPr="006970D8">
          <w:rPr>
            <w:rFonts w:asciiTheme="minorHAnsi" w:eastAsiaTheme="minorEastAsia" w:hAnsiTheme="minorHAnsi" w:cstheme="minorBidi"/>
            <w:iCs w:val="0"/>
            <w:noProof/>
            <w:sz w:val="22"/>
            <w:szCs w:val="22"/>
          </w:rPr>
          <w:tab/>
        </w:r>
        <w:r w:rsidR="006970D8" w:rsidRPr="006970D8">
          <w:rPr>
            <w:rStyle w:val="Hyperlink"/>
            <w:noProof/>
            <w:color w:val="auto"/>
            <w:u w:val="none"/>
          </w:rPr>
          <w:t>Recommendations made in the Children’s Rights Report 2014</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_Toc430778333 \h </w:instrText>
        </w:r>
        <w:r w:rsidR="006970D8" w:rsidRPr="006970D8">
          <w:rPr>
            <w:noProof/>
            <w:webHidden/>
          </w:rPr>
        </w:r>
        <w:r w:rsidR="006970D8" w:rsidRPr="006970D8">
          <w:rPr>
            <w:noProof/>
            <w:webHidden/>
          </w:rPr>
          <w:fldChar w:fldCharType="separate"/>
        </w:r>
        <w:r w:rsidR="006970D8" w:rsidRPr="006970D8">
          <w:rPr>
            <w:noProof/>
            <w:webHidden/>
          </w:rPr>
          <w:t>19</w:t>
        </w:r>
        <w:r w:rsidR="006970D8" w:rsidRPr="006970D8">
          <w:rPr>
            <w:noProof/>
            <w:webHidden/>
          </w:rPr>
          <w:fldChar w:fldCharType="end"/>
        </w:r>
      </w:hyperlink>
    </w:p>
    <w:p w14:paraId="2577CD95" w14:textId="77777777" w:rsidR="006970D8" w:rsidRPr="006970D8" w:rsidRDefault="00185AE1" w:rsidP="00354AA1">
      <w:pPr>
        <w:pStyle w:val="TOC3"/>
        <w:tabs>
          <w:tab w:val="left" w:pos="1440"/>
          <w:tab w:val="right" w:pos="9060"/>
        </w:tabs>
        <w:jc w:val="both"/>
        <w:rPr>
          <w:rFonts w:asciiTheme="minorHAnsi" w:eastAsiaTheme="minorEastAsia" w:hAnsiTheme="minorHAnsi" w:cstheme="minorBidi"/>
          <w:iCs w:val="0"/>
          <w:noProof/>
          <w:sz w:val="22"/>
          <w:szCs w:val="22"/>
        </w:rPr>
      </w:pPr>
      <w:hyperlink w:anchor="_Toc430778334" w:history="1">
        <w:r w:rsidR="006970D8" w:rsidRPr="006970D8">
          <w:rPr>
            <w:rStyle w:val="Hyperlink"/>
            <w:noProof/>
            <w:color w:val="auto"/>
            <w:u w:val="none"/>
          </w:rPr>
          <w:t>1.6.2</w:t>
        </w:r>
        <w:r w:rsidR="006970D8" w:rsidRPr="006970D8">
          <w:rPr>
            <w:rFonts w:asciiTheme="minorHAnsi" w:eastAsiaTheme="minorEastAsia" w:hAnsiTheme="minorHAnsi" w:cstheme="minorBidi"/>
            <w:iCs w:val="0"/>
            <w:noProof/>
            <w:sz w:val="22"/>
            <w:szCs w:val="22"/>
          </w:rPr>
          <w:tab/>
        </w:r>
        <w:r w:rsidR="006970D8" w:rsidRPr="006970D8">
          <w:rPr>
            <w:rStyle w:val="Hyperlink"/>
            <w:noProof/>
            <w:color w:val="auto"/>
            <w:u w:val="none"/>
          </w:rPr>
          <w:t>Recommendations made in the Children’s Rights Report 2013</w:t>
        </w:r>
        <w:r w:rsidR="006970D8" w:rsidRPr="006970D8">
          <w:rPr>
            <w:noProof/>
            <w:webHidden/>
          </w:rPr>
          <w:tab/>
        </w:r>
        <w:r w:rsidR="006970D8" w:rsidRPr="006970D8">
          <w:rPr>
            <w:noProof/>
            <w:webHidden/>
          </w:rPr>
          <w:fldChar w:fldCharType="begin"/>
        </w:r>
        <w:r w:rsidR="006970D8" w:rsidRPr="006970D8">
          <w:rPr>
            <w:noProof/>
            <w:webHidden/>
          </w:rPr>
          <w:instrText xml:space="preserve"> PAGEREF _Toc430778334 \h </w:instrText>
        </w:r>
        <w:r w:rsidR="006970D8" w:rsidRPr="006970D8">
          <w:rPr>
            <w:noProof/>
            <w:webHidden/>
          </w:rPr>
        </w:r>
        <w:r w:rsidR="006970D8" w:rsidRPr="006970D8">
          <w:rPr>
            <w:noProof/>
            <w:webHidden/>
          </w:rPr>
          <w:fldChar w:fldCharType="separate"/>
        </w:r>
        <w:r w:rsidR="006970D8" w:rsidRPr="006970D8">
          <w:rPr>
            <w:noProof/>
            <w:webHidden/>
          </w:rPr>
          <w:t>24</w:t>
        </w:r>
        <w:r w:rsidR="006970D8" w:rsidRPr="006970D8">
          <w:rPr>
            <w:noProof/>
            <w:webHidden/>
          </w:rPr>
          <w:fldChar w:fldCharType="end"/>
        </w:r>
      </w:hyperlink>
    </w:p>
    <w:p w14:paraId="00168FAB" w14:textId="14768DCF" w:rsidR="00C550A3" w:rsidRDefault="00C550A3">
      <w:pPr>
        <w:spacing w:before="0" w:after="0"/>
      </w:pPr>
      <w:r>
        <w:br w:type="page"/>
      </w:r>
    </w:p>
    <w:p w14:paraId="1460199A" w14:textId="4DE1C780" w:rsidR="00AA3994" w:rsidRPr="00151800" w:rsidRDefault="00AA3994" w:rsidP="00354AA1">
      <w:pPr>
        <w:pStyle w:val="Heading2"/>
        <w:jc w:val="both"/>
      </w:pPr>
      <w:bookmarkStart w:id="5" w:name="_Toc432577299"/>
      <w:r>
        <w:lastRenderedPageBreak/>
        <w:t>Introduction</w:t>
      </w:r>
      <w:bookmarkEnd w:id="5"/>
    </w:p>
    <w:p w14:paraId="45C2DD2C" w14:textId="13F602A2" w:rsidR="00835B68" w:rsidRPr="000F4F54" w:rsidRDefault="00835B68" w:rsidP="00354AA1">
      <w:pPr>
        <w:jc w:val="both"/>
      </w:pPr>
      <w:r w:rsidRPr="000F4F54">
        <w:t xml:space="preserve">This chapter reports on the work that I have undertaken in the period 1 July 2014 to 30 June 2015 to promote the discussion and awareness of children’s rights in Australia. </w:t>
      </w:r>
    </w:p>
    <w:p w14:paraId="5FABAB9D" w14:textId="62CA5941" w:rsidR="00835B68" w:rsidRDefault="00835B68" w:rsidP="00354AA1">
      <w:pPr>
        <w:jc w:val="both"/>
      </w:pPr>
      <w:r>
        <w:t>I also report on</w:t>
      </w:r>
      <w:r w:rsidRPr="00151800">
        <w:t xml:space="preserve"> the progress of the recommendations made in my 2013 and 2014 statutory reports to federal </w:t>
      </w:r>
      <w:r w:rsidR="00E91F7E">
        <w:t>P</w:t>
      </w:r>
      <w:r w:rsidRPr="00151800">
        <w:t>arliament.</w:t>
      </w:r>
    </w:p>
    <w:p w14:paraId="57E37C94" w14:textId="6522D0F8" w:rsidR="0022654F" w:rsidRDefault="0022654F" w:rsidP="00354AA1">
      <w:pPr>
        <w:jc w:val="both"/>
      </w:pPr>
      <w:r w:rsidRPr="00151800">
        <w:t>When I started my term as National Children’s Commissioner in 2013, I conducted a national listening tour (</w:t>
      </w:r>
      <w:r w:rsidRPr="00AE0B34">
        <w:rPr>
          <w:i/>
        </w:rPr>
        <w:t>the Big Banter</w:t>
      </w:r>
      <w:r w:rsidRPr="00151800">
        <w:t xml:space="preserve">) to identify the main human rights issues affecting Australia’s children and young people. </w:t>
      </w:r>
    </w:p>
    <w:p w14:paraId="4D2F0BBD" w14:textId="64D8031F" w:rsidR="0022654F" w:rsidRPr="00151800" w:rsidRDefault="0022654F" w:rsidP="00354AA1">
      <w:pPr>
        <w:jc w:val="both"/>
      </w:pPr>
      <w:r w:rsidRPr="00151800">
        <w:t>From my consultations with children and young people, key stakeholders, academics, and service providers, I identified five key themes.</w:t>
      </w:r>
    </w:p>
    <w:p w14:paraId="20E22090" w14:textId="6EE8FA1D" w:rsidR="0022654F" w:rsidRPr="00151800" w:rsidRDefault="0022654F" w:rsidP="00354AA1">
      <w:pPr>
        <w:jc w:val="both"/>
      </w:pPr>
      <w:r w:rsidRPr="00151800">
        <w:t xml:space="preserve">These </w:t>
      </w:r>
      <w:r>
        <w:t>were</w:t>
      </w:r>
      <w:r w:rsidRPr="00151800">
        <w:t xml:space="preserve">: </w:t>
      </w:r>
    </w:p>
    <w:p w14:paraId="1E07F20E" w14:textId="77777777" w:rsidR="0022654F" w:rsidRPr="000F4F54" w:rsidRDefault="0022654F" w:rsidP="00354AA1">
      <w:pPr>
        <w:pStyle w:val="ListParagraph"/>
        <w:numPr>
          <w:ilvl w:val="0"/>
          <w:numId w:val="16"/>
        </w:numPr>
        <w:spacing w:after="120"/>
        <w:contextualSpacing w:val="0"/>
        <w:jc w:val="both"/>
        <w:rPr>
          <w:sz w:val="22"/>
          <w:szCs w:val="22"/>
        </w:rPr>
      </w:pPr>
      <w:r w:rsidRPr="000F4F54">
        <w:rPr>
          <w:b/>
          <w:sz w:val="22"/>
          <w:szCs w:val="22"/>
        </w:rPr>
        <w:t>A right to be heard:</w:t>
      </w:r>
      <w:r w:rsidRPr="000F4F54">
        <w:rPr>
          <w:sz w:val="22"/>
          <w:szCs w:val="22"/>
        </w:rPr>
        <w:t xml:space="preserve"> children’s voice and participation in decision-making processes; specifically involving children in issues that affect them; and ensuring that existing mechanisms for resolving disputes are accessible and available to children. </w:t>
      </w:r>
    </w:p>
    <w:p w14:paraId="31DDD057" w14:textId="77777777" w:rsidR="0022654F" w:rsidRPr="000F4F54" w:rsidRDefault="0022654F" w:rsidP="00354AA1">
      <w:pPr>
        <w:pStyle w:val="ListParagraph"/>
        <w:numPr>
          <w:ilvl w:val="0"/>
          <w:numId w:val="16"/>
        </w:numPr>
        <w:spacing w:after="120"/>
        <w:contextualSpacing w:val="0"/>
        <w:jc w:val="both"/>
        <w:rPr>
          <w:sz w:val="22"/>
          <w:szCs w:val="22"/>
        </w:rPr>
      </w:pPr>
      <w:r w:rsidRPr="000F4F54">
        <w:rPr>
          <w:b/>
          <w:sz w:val="22"/>
          <w:szCs w:val="22"/>
        </w:rPr>
        <w:t>Freedom from violence, abuse and neglect:</w:t>
      </w:r>
      <w:r w:rsidRPr="000F4F54">
        <w:rPr>
          <w:sz w:val="22"/>
          <w:szCs w:val="22"/>
        </w:rPr>
        <w:t xml:space="preserve"> ensuring safe environments and respect for the dignity of the child; specifically making sure that the commitments made in national frameworks are achieved and built upon, through adequate resourcing and action; encouraging a proactive approach to issues of child safety that places a premium on prevention, through enabling safe communities and environments for children; and building resilience among our children. </w:t>
      </w:r>
    </w:p>
    <w:p w14:paraId="258E5780" w14:textId="77777777" w:rsidR="0022654F" w:rsidRPr="000F4F54" w:rsidRDefault="0022654F" w:rsidP="00354AA1">
      <w:pPr>
        <w:pStyle w:val="ListParagraph"/>
        <w:numPr>
          <w:ilvl w:val="0"/>
          <w:numId w:val="16"/>
        </w:numPr>
        <w:spacing w:after="120"/>
        <w:contextualSpacing w:val="0"/>
        <w:jc w:val="both"/>
        <w:rPr>
          <w:sz w:val="22"/>
          <w:szCs w:val="22"/>
        </w:rPr>
      </w:pPr>
      <w:r w:rsidRPr="000F4F54">
        <w:rPr>
          <w:b/>
          <w:sz w:val="22"/>
          <w:szCs w:val="22"/>
        </w:rPr>
        <w:t>The opportunity to thrive:</w:t>
      </w:r>
      <w:r w:rsidRPr="000F4F54">
        <w:rPr>
          <w:sz w:val="22"/>
          <w:szCs w:val="22"/>
        </w:rPr>
        <w:t xml:space="preserve"> safeguarding the health and wellbeing of all children in Australia, which includes promoting and supporting children through early intervention and prevention; and identifying and focusing on the most marginalised and vulnerable children. </w:t>
      </w:r>
    </w:p>
    <w:p w14:paraId="60BF7E53" w14:textId="77777777" w:rsidR="0022654F" w:rsidRPr="000F4F54" w:rsidRDefault="0022654F" w:rsidP="00354AA1">
      <w:pPr>
        <w:pStyle w:val="ListParagraph"/>
        <w:numPr>
          <w:ilvl w:val="0"/>
          <w:numId w:val="16"/>
        </w:numPr>
        <w:spacing w:after="120"/>
        <w:contextualSpacing w:val="0"/>
        <w:jc w:val="both"/>
        <w:rPr>
          <w:sz w:val="22"/>
          <w:szCs w:val="22"/>
        </w:rPr>
      </w:pPr>
      <w:r w:rsidRPr="000F4F54">
        <w:rPr>
          <w:b/>
          <w:sz w:val="22"/>
          <w:szCs w:val="22"/>
        </w:rPr>
        <w:t>Engaged citizenship:</w:t>
      </w:r>
      <w:r w:rsidRPr="000F4F54">
        <w:rPr>
          <w:sz w:val="22"/>
          <w:szCs w:val="22"/>
        </w:rPr>
        <w:t xml:space="preserve"> promoting civic</w:t>
      </w:r>
      <w:r>
        <w:rPr>
          <w:sz w:val="22"/>
          <w:szCs w:val="22"/>
        </w:rPr>
        <w:t xml:space="preserve"> engagement and active </w:t>
      </w:r>
      <w:r w:rsidRPr="000F4F54">
        <w:rPr>
          <w:sz w:val="22"/>
          <w:szCs w:val="22"/>
        </w:rPr>
        <w:t xml:space="preserve">citizenship through education and awareness-raising. </w:t>
      </w:r>
    </w:p>
    <w:p w14:paraId="2D5E122A" w14:textId="77777777" w:rsidR="0022654F" w:rsidRPr="000F4F54" w:rsidRDefault="0022654F" w:rsidP="00354AA1">
      <w:pPr>
        <w:pStyle w:val="ListParagraph"/>
        <w:numPr>
          <w:ilvl w:val="0"/>
          <w:numId w:val="16"/>
        </w:numPr>
        <w:spacing w:after="120"/>
        <w:contextualSpacing w:val="0"/>
        <w:jc w:val="both"/>
        <w:rPr>
          <w:sz w:val="22"/>
          <w:szCs w:val="22"/>
        </w:rPr>
      </w:pPr>
      <w:r w:rsidRPr="000F4F54">
        <w:rPr>
          <w:b/>
          <w:sz w:val="22"/>
          <w:szCs w:val="22"/>
        </w:rPr>
        <w:t>Action and accountability</w:t>
      </w:r>
      <w:r w:rsidRPr="000F4F54">
        <w:rPr>
          <w:sz w:val="22"/>
          <w:szCs w:val="22"/>
        </w:rPr>
        <w:t xml:space="preserve">: taking deliberate and proactive steps to protect the wellbeing and rights of children, specifically by collecting comprehensive national data about the wellbeing and human rights of Australia’s children; progressing a national vision for Australia’s children through intergovernmental partnerships and agreements; developing outcome-based reporting and monitoring of government service delivery and policy development; and developing a children’s impact assessment process for law, policy and practice. </w:t>
      </w:r>
    </w:p>
    <w:p w14:paraId="0CEBB133" w14:textId="77777777" w:rsidR="0022654F" w:rsidRDefault="0022654F" w:rsidP="00354AA1">
      <w:pPr>
        <w:jc w:val="both"/>
      </w:pPr>
      <w:r w:rsidRPr="00151800">
        <w:t>These key themes guide my priorities, strategic advocacy</w:t>
      </w:r>
      <w:r>
        <w:t>, research,</w:t>
      </w:r>
      <w:r w:rsidRPr="00151800">
        <w:t xml:space="preserve"> an</w:t>
      </w:r>
      <w:r>
        <w:t xml:space="preserve">d engagement with stakeholders. This chapter outlines my work for the year according to these five key themes. </w:t>
      </w:r>
    </w:p>
    <w:p w14:paraId="48F9A022" w14:textId="77777777" w:rsidR="0022654F" w:rsidRPr="0022654F" w:rsidRDefault="0022654F" w:rsidP="00354AA1">
      <w:pPr>
        <w:jc w:val="both"/>
      </w:pPr>
      <w:r w:rsidRPr="0024569A">
        <w:t>My speaking engagements are detailed in Appendix 1, my meetings with stakeholders are listed in Appendix 2, and my memberships of advisory groups and ambassadorships are provided in Appendix 3.</w:t>
      </w:r>
      <w:r>
        <w:t xml:space="preserve"> These demonstrate the broad base of my strategic advocacy for children and young people and the level of my engagement with stakeholders.</w:t>
      </w:r>
    </w:p>
    <w:p w14:paraId="2B811171" w14:textId="77777777" w:rsidR="00D94316" w:rsidRDefault="00D94316" w:rsidP="00354AA1">
      <w:pPr>
        <w:pStyle w:val="Heading2"/>
        <w:jc w:val="both"/>
      </w:pPr>
      <w:bookmarkStart w:id="6" w:name="_Toc430767444"/>
      <w:bookmarkStart w:id="7" w:name="_Toc432577300"/>
      <w:r>
        <w:lastRenderedPageBreak/>
        <w:t>A right to be heard</w:t>
      </w:r>
      <w:bookmarkEnd w:id="6"/>
      <w:bookmarkEnd w:id="7"/>
    </w:p>
    <w:p w14:paraId="1186F4C5" w14:textId="77777777" w:rsidR="00E0649C" w:rsidRPr="009228A5" w:rsidRDefault="00E0649C" w:rsidP="00354AA1">
      <w:pPr>
        <w:jc w:val="both"/>
      </w:pPr>
      <w:r w:rsidRPr="009228A5">
        <w:t xml:space="preserve">One of the core aspects of my work as National Children’s Commissioner is to ensure that the voices of children are meaningfully incorporated into the decisions and processes that affect them. </w:t>
      </w:r>
    </w:p>
    <w:p w14:paraId="0168DF72" w14:textId="26662192" w:rsidR="00E0649C" w:rsidRPr="009228A5" w:rsidRDefault="00E0649C" w:rsidP="00354AA1">
      <w:pPr>
        <w:jc w:val="both"/>
      </w:pPr>
      <w:r w:rsidRPr="009228A5">
        <w:t xml:space="preserve">Respect for the views of children is one </w:t>
      </w:r>
      <w:r w:rsidR="00A1620C">
        <w:t xml:space="preserve">of </w:t>
      </w:r>
      <w:r w:rsidRPr="009228A5">
        <w:t xml:space="preserve">the four guiding principles of the Convention on the Rights of the Child, as stated in </w:t>
      </w:r>
      <w:r>
        <w:t>a</w:t>
      </w:r>
      <w:r w:rsidRPr="009228A5">
        <w:t>rticle 12:</w:t>
      </w:r>
    </w:p>
    <w:p w14:paraId="2F50BC88" w14:textId="77777777" w:rsidR="00E0649C" w:rsidRPr="00546273" w:rsidRDefault="00E0649C" w:rsidP="00354AA1">
      <w:pPr>
        <w:ind w:left="720"/>
        <w:jc w:val="both"/>
        <w:rPr>
          <w:sz w:val="22"/>
          <w:szCs w:val="22"/>
        </w:rPr>
      </w:pPr>
      <w:r w:rsidRPr="00546273">
        <w:rPr>
          <w:sz w:val="22"/>
          <w:szCs w:val="22"/>
        </w:rPr>
        <w:t>States Parties shall assure to the child who is capable of forming his or her own views the right to express those views freely in all matters affecting the child, the views of the child being given due weight in accordance with the age and maturity of the child</w:t>
      </w:r>
      <w:r w:rsidRPr="00546273">
        <w:rPr>
          <w:i/>
          <w:sz w:val="22"/>
          <w:szCs w:val="22"/>
        </w:rPr>
        <w:t>.</w:t>
      </w:r>
      <w:r w:rsidRPr="00546273">
        <w:rPr>
          <w:sz w:val="22"/>
          <w:szCs w:val="22"/>
          <w:vertAlign w:val="superscript"/>
        </w:rPr>
        <w:endnoteReference w:id="2"/>
      </w:r>
    </w:p>
    <w:p w14:paraId="475D7603" w14:textId="367CD2C0" w:rsidR="00E0649C" w:rsidRDefault="00E0649C" w:rsidP="00354AA1">
      <w:pPr>
        <w:jc w:val="both"/>
      </w:pPr>
      <w:r>
        <w:t>I seek to involve children and young people in my work in a variety of ways. I</w:t>
      </w:r>
      <w:r w:rsidRPr="009228A5">
        <w:t xml:space="preserve"> </w:t>
      </w:r>
      <w:r>
        <w:t>work with</w:t>
      </w:r>
      <w:r w:rsidRPr="009228A5">
        <w:t xml:space="preserve"> other organisations</w:t>
      </w:r>
      <w:r>
        <w:t xml:space="preserve"> to assist them to directly consult with children and young people</w:t>
      </w:r>
      <w:r w:rsidR="00AE0B34">
        <w:t>;</w:t>
      </w:r>
      <w:r>
        <w:t xml:space="preserve"> I consult independently with children and young people</w:t>
      </w:r>
      <w:r w:rsidR="00AE0B34">
        <w:t xml:space="preserve">; and </w:t>
      </w:r>
      <w:r>
        <w:t xml:space="preserve">I ask children and young people to co-present with me at speaking engagements. </w:t>
      </w:r>
    </w:p>
    <w:p w14:paraId="678536CE" w14:textId="77777777" w:rsidR="00E0649C" w:rsidRPr="00E0649C" w:rsidRDefault="00E0649C" w:rsidP="00354AA1">
      <w:pPr>
        <w:jc w:val="both"/>
      </w:pPr>
      <w:r>
        <w:t>In all my work, I advocate for the voices of children and young people to be directly heard.</w:t>
      </w:r>
    </w:p>
    <w:p w14:paraId="7C945998" w14:textId="52B94022" w:rsidR="00D94316" w:rsidRDefault="00D94316" w:rsidP="00354AA1">
      <w:pPr>
        <w:pStyle w:val="Heading3"/>
        <w:jc w:val="both"/>
      </w:pPr>
      <w:bookmarkStart w:id="8" w:name="_Toc430767445"/>
      <w:r w:rsidRPr="00607A44">
        <w:t>The voice of the child in the Third Action Plan of the National Framework for Protecting Australia’s Children</w:t>
      </w:r>
      <w:bookmarkEnd w:id="8"/>
      <w:r w:rsidR="00455AA2">
        <w:t xml:space="preserve"> (National Framework)</w:t>
      </w:r>
    </w:p>
    <w:p w14:paraId="623E1779" w14:textId="1AB0625D" w:rsidR="00E0649C" w:rsidRDefault="00E0649C" w:rsidP="00354AA1">
      <w:pPr>
        <w:jc w:val="both"/>
      </w:pPr>
      <w:r>
        <w:t>T</w:t>
      </w:r>
      <w:r w:rsidRPr="00783F7F">
        <w:t xml:space="preserve">he </w:t>
      </w:r>
      <w:r w:rsidRPr="00783F7F">
        <w:rPr>
          <w:i/>
        </w:rPr>
        <w:t>National Forum for Protecting Australia’s Children</w:t>
      </w:r>
      <w:r w:rsidRPr="00783F7F">
        <w:t xml:space="preserve"> is a</w:t>
      </w:r>
      <w:r w:rsidRPr="00783F7F">
        <w:rPr>
          <w:i/>
        </w:rPr>
        <w:t xml:space="preserve"> </w:t>
      </w:r>
      <w:r w:rsidRPr="00783F7F">
        <w:t xml:space="preserve">collaborative body of Commonwealth, state and territory governments and non-government organisations </w:t>
      </w:r>
      <w:r>
        <w:t xml:space="preserve">overseeing </w:t>
      </w:r>
      <w:r w:rsidRPr="00783F7F">
        <w:t xml:space="preserve">the implementation of the </w:t>
      </w:r>
      <w:r w:rsidRPr="00F10C2C">
        <w:rPr>
          <w:i/>
        </w:rPr>
        <w:t>National Framework for Protecting Australia’s Children 2009-2020</w:t>
      </w:r>
      <w:r w:rsidRPr="00783F7F">
        <w:t xml:space="preserve"> (the National </w:t>
      </w:r>
      <w:r>
        <w:t>F</w:t>
      </w:r>
      <w:r w:rsidRPr="00783F7F">
        <w:t>ramework).</w:t>
      </w:r>
      <w:r>
        <w:t xml:space="preserve"> In 2014</w:t>
      </w:r>
      <w:r w:rsidR="00B733DA">
        <w:t>,</w:t>
      </w:r>
      <w:r>
        <w:t xml:space="preserve"> I officially became a member of this group. </w:t>
      </w:r>
    </w:p>
    <w:p w14:paraId="03177585" w14:textId="0A3AF52E" w:rsidR="00E0649C" w:rsidRDefault="00E0649C" w:rsidP="00354AA1">
      <w:pPr>
        <w:jc w:val="both"/>
      </w:pPr>
      <w:r>
        <w:t xml:space="preserve">The </w:t>
      </w:r>
      <w:r w:rsidR="00196F57">
        <w:t xml:space="preserve">National </w:t>
      </w:r>
      <w:r>
        <w:t xml:space="preserve">Framework is a landmark initiative which brings together all jurisdictions in a sustained commitment and effort to keep Australia’s children safe and well, by reforming and enhancing systems and programs that impact on children. </w:t>
      </w:r>
      <w:r w:rsidRPr="00783F7F">
        <w:t xml:space="preserve">The implementation of the National Framework occurs through three year action plans. This year, I have </w:t>
      </w:r>
      <w:r>
        <w:t xml:space="preserve">participated in the development of the </w:t>
      </w:r>
      <w:r w:rsidR="00FE4A70" w:rsidRPr="00783F7F">
        <w:t>National Framework’s Third Action Plan</w:t>
      </w:r>
      <w:r w:rsidR="00FE4A70">
        <w:t xml:space="preserve">, </w:t>
      </w:r>
      <w:r>
        <w:t>covering the period 2015 to 2018</w:t>
      </w:r>
      <w:r w:rsidRPr="00783F7F">
        <w:t xml:space="preserve">. </w:t>
      </w:r>
    </w:p>
    <w:p w14:paraId="36042CC2" w14:textId="5F82EF44" w:rsidR="00E0649C" w:rsidRDefault="00E0649C" w:rsidP="00354AA1">
      <w:pPr>
        <w:jc w:val="both"/>
      </w:pPr>
      <w:r>
        <w:t xml:space="preserve">Early work against the </w:t>
      </w:r>
      <w:r w:rsidR="00196F57" w:rsidRPr="00783F7F">
        <w:t xml:space="preserve">National </w:t>
      </w:r>
      <w:r>
        <w:t>Framework primarily focused on improving the qua</w:t>
      </w:r>
      <w:r w:rsidR="00196F57">
        <w:t>lity and consistency of the out-</w:t>
      </w:r>
      <w:r>
        <w:t>of</w:t>
      </w:r>
      <w:r w:rsidR="00196F57">
        <w:t>-</w:t>
      </w:r>
      <w:r>
        <w:t xml:space="preserve">home care system, data development and exchange of information about children at risk of abuse. The actions in the </w:t>
      </w:r>
      <w:r w:rsidR="00FE4A70">
        <w:t>T</w:t>
      </w:r>
      <w:r>
        <w:t xml:space="preserve">hird </w:t>
      </w:r>
      <w:r w:rsidR="00FE4A70">
        <w:t>A</w:t>
      </w:r>
      <w:r w:rsidR="00FE4A70" w:rsidRPr="00783F7F">
        <w:t xml:space="preserve">ction </w:t>
      </w:r>
      <w:r w:rsidR="00FE4A70">
        <w:t>P</w:t>
      </w:r>
      <w:r>
        <w:t>lan are designed to build early intervention and prevention responses across the service sector, and break the cycle of intergenerational disadvantage.</w:t>
      </w:r>
    </w:p>
    <w:p w14:paraId="5935E638" w14:textId="40B97551" w:rsidR="00E0649C" w:rsidRDefault="00E0649C" w:rsidP="00354AA1">
      <w:pPr>
        <w:jc w:val="both"/>
      </w:pPr>
      <w:r>
        <w:t xml:space="preserve">Through my involvement, </w:t>
      </w:r>
      <w:r w:rsidRPr="00783F7F">
        <w:t xml:space="preserve">I have encouraged </w:t>
      </w:r>
      <w:r w:rsidR="00A1620C">
        <w:t>t</w:t>
      </w:r>
      <w:r w:rsidRPr="00783F7F">
        <w:t>he inclusion of children</w:t>
      </w:r>
      <w:r w:rsidR="00A1620C">
        <w:t>’s</w:t>
      </w:r>
      <w:r w:rsidRPr="00783F7F">
        <w:t xml:space="preserve"> and young people’s voices in the development of the Third Action Plan. </w:t>
      </w:r>
    </w:p>
    <w:p w14:paraId="03CDD7BA" w14:textId="69C394C9" w:rsidR="00E0649C" w:rsidRDefault="00E0649C" w:rsidP="00354AA1">
      <w:pPr>
        <w:jc w:val="both"/>
      </w:pPr>
      <w:r w:rsidRPr="00783F7F">
        <w:t>I worked in partnership with the Department of Social Services to facilitate two round</w:t>
      </w:r>
      <w:r>
        <w:t>tables with young people to assist in the development</w:t>
      </w:r>
      <w:r w:rsidRPr="00783F7F">
        <w:t xml:space="preserve"> of the Third Action Plan. This is the first time that the perspectives and ideas of children and young people have been directly sought in the development of an action plan.</w:t>
      </w:r>
      <w:r>
        <w:t xml:space="preserve"> </w:t>
      </w:r>
    </w:p>
    <w:p w14:paraId="5A9543F0" w14:textId="41D6208B" w:rsidR="00E0649C" w:rsidRPr="00783F7F" w:rsidRDefault="00E0649C" w:rsidP="00354AA1">
      <w:pPr>
        <w:jc w:val="both"/>
      </w:pPr>
      <w:r>
        <w:lastRenderedPageBreak/>
        <w:t>C</w:t>
      </w:r>
      <w:r w:rsidRPr="00783F7F">
        <w:t>onsultations took place in Lismore and Melbourne and involved a total of 17 young people</w:t>
      </w:r>
      <w:r>
        <w:t xml:space="preserve"> with a care experience</w:t>
      </w:r>
      <w:r w:rsidRPr="00783F7F">
        <w:t xml:space="preserve">, ranging in age from </w:t>
      </w:r>
      <w:r w:rsidR="001F6D70">
        <w:t>14</w:t>
      </w:r>
      <w:r w:rsidRPr="00783F7F">
        <w:t xml:space="preserve"> to </w:t>
      </w:r>
      <w:r w:rsidR="001F6D70">
        <w:t>25</w:t>
      </w:r>
      <w:r w:rsidRPr="00783F7F">
        <w:t xml:space="preserve"> years. The young people came from diverse backgrounds and all either </w:t>
      </w:r>
      <w:r>
        <w:t xml:space="preserve">had </w:t>
      </w:r>
      <w:r w:rsidRPr="00783F7F">
        <w:t xml:space="preserve">been </w:t>
      </w:r>
      <w:r>
        <w:t>in</w:t>
      </w:r>
      <w:r w:rsidR="001F6D70">
        <w:t>,</w:t>
      </w:r>
      <w:r>
        <w:t xml:space="preserve"> </w:t>
      </w:r>
      <w:r w:rsidRPr="00783F7F">
        <w:t>or were currently in</w:t>
      </w:r>
      <w:r w:rsidR="001F6D70">
        <w:t>,</w:t>
      </w:r>
      <w:r w:rsidRPr="00783F7F">
        <w:t xml:space="preserve"> out-of-home care</w:t>
      </w:r>
      <w:r>
        <w:t xml:space="preserve">. This included </w:t>
      </w:r>
      <w:r w:rsidRPr="00783F7F">
        <w:t xml:space="preserve">kinship care, foster care and residential care. Their time in out-of-home care varied from 2-3 years up to 15-16 years. </w:t>
      </w:r>
    </w:p>
    <w:p w14:paraId="2B5C2FBF" w14:textId="77777777" w:rsidR="00E0649C" w:rsidRDefault="00E0649C" w:rsidP="00354AA1">
      <w:pPr>
        <w:jc w:val="both"/>
      </w:pPr>
      <w:r w:rsidRPr="00783F7F">
        <w:t>The young people who participated in these consultations highlighted the importance of having a say in</w:t>
      </w:r>
      <w:r>
        <w:t xml:space="preserve"> decision-making processes. </w:t>
      </w:r>
    </w:p>
    <w:p w14:paraId="0AA078E6" w14:textId="77777777" w:rsidR="00E0649C" w:rsidRDefault="00E0649C" w:rsidP="00354AA1">
      <w:pPr>
        <w:jc w:val="both"/>
      </w:pPr>
      <w:r w:rsidRPr="0083646B">
        <w:t>One Melbourne participant stated ‘[we need] more understandable forums like this, so that young people can say what they need in a supportive environment’</w:t>
      </w:r>
      <w:r>
        <w:t>.</w:t>
      </w:r>
      <w:r w:rsidRPr="0083646B">
        <w:t xml:space="preserve"> </w:t>
      </w:r>
      <w:r>
        <w:t>A</w:t>
      </w:r>
      <w:r w:rsidRPr="0083646B">
        <w:t>nother said that ‘young people’s voices should be heard through CREATE and forums like this’. A</w:t>
      </w:r>
      <w:r>
        <w:t>nother</w:t>
      </w:r>
      <w:r w:rsidRPr="0083646B">
        <w:t xml:space="preserve"> Lismore participant stated it was important that adults ‘check with us, ask us, see if that’s OK’.</w:t>
      </w:r>
      <w:r w:rsidRPr="00EB132B">
        <w:t xml:space="preserve"> </w:t>
      </w:r>
    </w:p>
    <w:p w14:paraId="494AC01C" w14:textId="448F81A5" w:rsidR="00E0649C" w:rsidRPr="00EB132B" w:rsidRDefault="00E0649C" w:rsidP="00354AA1">
      <w:pPr>
        <w:jc w:val="both"/>
      </w:pPr>
      <w:r>
        <w:t xml:space="preserve">I commend those involved in the National Framework for recognising the need for ongoing engagement with children on </w:t>
      </w:r>
      <w:r w:rsidR="003B5A3B">
        <w:t xml:space="preserve">the </w:t>
      </w:r>
      <w:r>
        <w:t>development and implementation of actions under the</w:t>
      </w:r>
      <w:r w:rsidR="003B5A3B">
        <w:t xml:space="preserve"> National</w:t>
      </w:r>
      <w:r>
        <w:t xml:space="preserve"> Framework.</w:t>
      </w:r>
    </w:p>
    <w:p w14:paraId="53B8C09F" w14:textId="77777777" w:rsidR="00E0649C" w:rsidRDefault="00E0649C" w:rsidP="00354AA1">
      <w:pPr>
        <w:jc w:val="both"/>
      </w:pPr>
      <w:r>
        <w:t>Work under the National Framework also includes a national survey of</w:t>
      </w:r>
      <w:r w:rsidRPr="009228A5">
        <w:t xml:space="preserve"> children in out-of-home care. This survey </w:t>
      </w:r>
      <w:r>
        <w:t>provides</w:t>
      </w:r>
      <w:r w:rsidRPr="009228A5">
        <w:t xml:space="preserve"> a means of directly engaging with young people in out-of-home care and monitoring their ongoing wellbeing. </w:t>
      </w:r>
    </w:p>
    <w:p w14:paraId="71C2746B" w14:textId="77777777" w:rsidR="00E0649C" w:rsidRPr="00F84502" w:rsidRDefault="00E0649C" w:rsidP="00354AA1">
      <w:pPr>
        <w:jc w:val="both"/>
      </w:pPr>
      <w:r w:rsidRPr="009228A5">
        <w:t xml:space="preserve">Data collection for the survey is due to be completed this year and will be reported in the first </w:t>
      </w:r>
      <w:r w:rsidRPr="00AE0B34">
        <w:rPr>
          <w:i/>
        </w:rPr>
        <w:t xml:space="preserve">National Report into the Views of Children and Young People in Out-of-Home Care </w:t>
      </w:r>
      <w:r w:rsidRPr="00F84502">
        <w:t>in 2016.</w:t>
      </w:r>
    </w:p>
    <w:p w14:paraId="4BF912D9" w14:textId="77777777" w:rsidR="00D94316" w:rsidRDefault="00D94316" w:rsidP="00354AA1">
      <w:pPr>
        <w:pStyle w:val="Heading3"/>
        <w:jc w:val="both"/>
      </w:pPr>
      <w:bookmarkStart w:id="9" w:name="_Toc430767446"/>
      <w:r w:rsidRPr="00D94316">
        <w:t>The voice of the child</w:t>
      </w:r>
      <w:bookmarkEnd w:id="9"/>
      <w:r w:rsidR="000A04FB">
        <w:t xml:space="preserve"> in the family law system</w:t>
      </w:r>
    </w:p>
    <w:p w14:paraId="2D54F0EA" w14:textId="55683B1B" w:rsidR="000A04FB" w:rsidRPr="00783F7F" w:rsidRDefault="000A04FB" w:rsidP="00354AA1">
      <w:pPr>
        <w:jc w:val="both"/>
      </w:pPr>
      <w:r w:rsidRPr="00783F7F">
        <w:t xml:space="preserve">The Convention on the Rights of the Child specifically provides for children and young people to have a say in legal matters </w:t>
      </w:r>
      <w:r w:rsidR="00B733DA">
        <w:t>a</w:t>
      </w:r>
      <w:r w:rsidRPr="00783F7F">
        <w:t>ffecting them</w:t>
      </w:r>
      <w:r>
        <w:t>, stating that</w:t>
      </w:r>
      <w:r w:rsidRPr="00783F7F">
        <w:t xml:space="preserve">: </w:t>
      </w:r>
    </w:p>
    <w:p w14:paraId="2EAB11EF" w14:textId="77777777" w:rsidR="000A04FB" w:rsidRPr="00B2085A" w:rsidRDefault="000A04FB" w:rsidP="00354AA1">
      <w:pPr>
        <w:ind w:left="720"/>
        <w:jc w:val="both"/>
        <w:rPr>
          <w:sz w:val="22"/>
          <w:szCs w:val="22"/>
        </w:rPr>
      </w:pPr>
      <w:r w:rsidRPr="00B2085A">
        <w:rPr>
          <w:sz w:val="22"/>
          <w:szCs w:val="22"/>
        </w:rPr>
        <w:t>The child shall in particular be provided the opportunity to be heard in any judicial and administrative proceedings affecting the child, either directly, or through a representative or an appropriate body, in a manner consistent with the procedural rules of national law.</w:t>
      </w:r>
      <w:r w:rsidRPr="00B2085A">
        <w:rPr>
          <w:rStyle w:val="EndnoteReference"/>
          <w:sz w:val="22"/>
          <w:szCs w:val="22"/>
        </w:rPr>
        <w:endnoteReference w:id="3"/>
      </w:r>
    </w:p>
    <w:p w14:paraId="73DBB7E4" w14:textId="2D891576" w:rsidR="000A04FB" w:rsidRPr="00783F7F" w:rsidRDefault="000A04FB" w:rsidP="00354AA1">
      <w:pPr>
        <w:jc w:val="both"/>
      </w:pPr>
      <w:r w:rsidRPr="00783F7F">
        <w:t xml:space="preserve">In Australia, the majority of family law matters are resolved through </w:t>
      </w:r>
      <w:r>
        <w:t>family dispute resolution</w:t>
      </w:r>
      <w:r w:rsidRPr="00783F7F">
        <w:t xml:space="preserve"> before reaching the family law courts. Those that </w:t>
      </w:r>
      <w:r>
        <w:t>reach the courts</w:t>
      </w:r>
      <w:r w:rsidRPr="00783F7F">
        <w:t xml:space="preserve"> are handled by the Federal Circuit Court</w:t>
      </w:r>
      <w:r w:rsidR="00EB4D82">
        <w:t xml:space="preserve"> of Australia</w:t>
      </w:r>
      <w:r w:rsidRPr="00783F7F">
        <w:t xml:space="preserve"> and the</w:t>
      </w:r>
      <w:r w:rsidRPr="00934C1B">
        <w:t xml:space="preserve"> </w:t>
      </w:r>
      <w:r w:rsidRPr="00783F7F">
        <w:t>Family Court of Australia</w:t>
      </w:r>
      <w:r>
        <w:t>. Some cases are complex, characterised by child protection and family violence concerns</w:t>
      </w:r>
      <w:r w:rsidRPr="00783F7F">
        <w:t xml:space="preserve">. </w:t>
      </w:r>
    </w:p>
    <w:p w14:paraId="4F2A9D43" w14:textId="77777777" w:rsidR="000A04FB" w:rsidRPr="00783F7F" w:rsidRDefault="000A04FB" w:rsidP="00354AA1">
      <w:pPr>
        <w:jc w:val="both"/>
      </w:pPr>
      <w:r w:rsidRPr="00783F7F">
        <w:t>As part of my work as National Children’s Commissioner, I have advocated for improvements to the family law system</w:t>
      </w:r>
      <w:r>
        <w:t xml:space="preserve"> to allow for the increased participation of children and young people in family law matters.</w:t>
      </w:r>
      <w:r w:rsidRPr="00783F7F">
        <w:t xml:space="preserve"> </w:t>
      </w:r>
    </w:p>
    <w:p w14:paraId="30E001DC" w14:textId="4BA0E6D2" w:rsidR="000A04FB" w:rsidRDefault="000A04FB" w:rsidP="00354AA1">
      <w:pPr>
        <w:jc w:val="both"/>
      </w:pPr>
      <w:r w:rsidRPr="00783F7F">
        <w:t>In March 2015, I addressed the Coalition Backbench Policy Committee on Communications, Legal Affairs and Industry on matters relating to children's right</w:t>
      </w:r>
      <w:r>
        <w:t xml:space="preserve">s and the family </w:t>
      </w:r>
      <w:r w:rsidR="005B4E3D">
        <w:t>law</w:t>
      </w:r>
      <w:r>
        <w:t xml:space="preserve"> system. </w:t>
      </w:r>
    </w:p>
    <w:p w14:paraId="1C5DCB25" w14:textId="77777777" w:rsidR="002521C1" w:rsidRDefault="000A04FB" w:rsidP="00354AA1">
      <w:pPr>
        <w:jc w:val="both"/>
      </w:pPr>
      <w:r w:rsidRPr="00783F7F">
        <w:lastRenderedPageBreak/>
        <w:t>I emphasi</w:t>
      </w:r>
      <w:r>
        <w:t xml:space="preserve">sed the need to listen to the voices of the </w:t>
      </w:r>
      <w:r w:rsidRPr="00783F7F">
        <w:t>child</w:t>
      </w:r>
      <w:r>
        <w:t>ren</w:t>
      </w:r>
      <w:r w:rsidRPr="00783F7F">
        <w:t xml:space="preserve"> involved when making legal rulings. Professor Richard Chisholm</w:t>
      </w:r>
      <w:r>
        <w:t>, a former Family Law Court judge,</w:t>
      </w:r>
      <w:r w:rsidRPr="00783F7F">
        <w:t xml:space="preserve"> </w:t>
      </w:r>
      <w:r>
        <w:t>accompanied me for this appearance</w:t>
      </w:r>
      <w:r w:rsidR="002521C1">
        <w:t>.</w:t>
      </w:r>
    </w:p>
    <w:p w14:paraId="46FCE5D0" w14:textId="55470B8E" w:rsidR="000A04FB" w:rsidRDefault="000A04FB" w:rsidP="00354AA1">
      <w:pPr>
        <w:jc w:val="both"/>
      </w:pPr>
      <w:r w:rsidRPr="00783F7F">
        <w:t>I also participated in a facilitated discussion hosted by the Attorney-General’s Department, as part of the Garran Strategy Series, on the topic of 'The Family Law Act and the Changing Shape of the Family'. This workshop focussed on policy gaps in this area and explored ways of shaping positive policy responses.</w:t>
      </w:r>
    </w:p>
    <w:p w14:paraId="6F094576" w14:textId="21F49D38" w:rsidR="000A04FB" w:rsidRDefault="000A04FB" w:rsidP="00354AA1">
      <w:pPr>
        <w:jc w:val="both"/>
      </w:pPr>
      <w:r>
        <w:t xml:space="preserve">During the year I received a number of representations from people who had direct experiences in the </w:t>
      </w:r>
      <w:r w:rsidR="005B4E3D">
        <w:t>f</w:t>
      </w:r>
      <w:r>
        <w:t xml:space="preserve">amily </w:t>
      </w:r>
      <w:r w:rsidR="005B4E3D">
        <w:t>l</w:t>
      </w:r>
      <w:r>
        <w:t xml:space="preserve">aw system. </w:t>
      </w:r>
    </w:p>
    <w:p w14:paraId="51BAA518" w14:textId="1C6A1EDC" w:rsidR="000A04FB" w:rsidRDefault="000A04FB" w:rsidP="00354AA1">
      <w:pPr>
        <w:jc w:val="both"/>
      </w:pPr>
      <w:r>
        <w:t xml:space="preserve">Some children and young people met with me to relay personal stories of their interactions with the </w:t>
      </w:r>
      <w:r w:rsidR="005B4E3D">
        <w:t>family l</w:t>
      </w:r>
      <w:r>
        <w:t xml:space="preserve">aw system. Their insights helped me to understand how their experiences had impacted on their safety, relationships and self-esteem. </w:t>
      </w:r>
    </w:p>
    <w:p w14:paraId="005C72D9" w14:textId="77777777" w:rsidR="000A04FB" w:rsidRDefault="000A04FB" w:rsidP="00354AA1">
      <w:pPr>
        <w:jc w:val="both"/>
      </w:pPr>
      <w:r>
        <w:t xml:space="preserve">These children and young people pointed to areas of the legal system where there should be greater consideration of children’s rights. They emphasised the importance of improving the system’s capacity to provide children with relevant information and allow them to participate in meaningful ways. </w:t>
      </w:r>
    </w:p>
    <w:p w14:paraId="75AE9C3C" w14:textId="77777777" w:rsidR="000A04FB" w:rsidRDefault="000A04FB" w:rsidP="00354AA1">
      <w:pPr>
        <w:jc w:val="both"/>
      </w:pPr>
      <w:r>
        <w:t xml:space="preserve">The children and young people who spoke to me also highlighted the ways they provide support and assistance to each other. </w:t>
      </w:r>
    </w:p>
    <w:p w14:paraId="696FDD37" w14:textId="77777777" w:rsidR="00D94316" w:rsidRDefault="00D94316" w:rsidP="00354AA1">
      <w:pPr>
        <w:pStyle w:val="Heading3"/>
        <w:jc w:val="both"/>
      </w:pPr>
      <w:bookmarkStart w:id="10" w:name="_Toc430767447"/>
      <w:r w:rsidRPr="00D94316">
        <w:t>The voice of the child in complaints processes</w:t>
      </w:r>
      <w:bookmarkEnd w:id="10"/>
    </w:p>
    <w:p w14:paraId="038685C3" w14:textId="77777777" w:rsidR="000A04FB" w:rsidRDefault="000A04FB" w:rsidP="00354AA1">
      <w:pPr>
        <w:jc w:val="both"/>
      </w:pPr>
      <w:r w:rsidRPr="00BC2AA3">
        <w:t xml:space="preserve">Since commencing my role, I have called for the development of accessible and child-friendly complaint mechanisms </w:t>
      </w:r>
      <w:r>
        <w:t xml:space="preserve">as an important means of empowering children and young people to claim their rights and be involved in </w:t>
      </w:r>
      <w:r w:rsidRPr="009228A5">
        <w:t>decisions and processes that affect them</w:t>
      </w:r>
      <w:r>
        <w:t>.</w:t>
      </w:r>
    </w:p>
    <w:p w14:paraId="5AC64A34" w14:textId="77777777" w:rsidR="000A04FB" w:rsidRPr="00A738EF" w:rsidRDefault="000A04FB" w:rsidP="00354AA1">
      <w:pPr>
        <w:jc w:val="both"/>
      </w:pPr>
      <w:r w:rsidRPr="00A738EF">
        <w:t xml:space="preserve">Under Australia’s </w:t>
      </w:r>
      <w:r>
        <w:t>f</w:t>
      </w:r>
      <w:r w:rsidRPr="00A738EF">
        <w:t xml:space="preserve">ederal anti-discrimination and human rights legislation, the </w:t>
      </w:r>
      <w:r>
        <w:t xml:space="preserve">Australian Human Rights </w:t>
      </w:r>
      <w:r w:rsidRPr="00383FB6">
        <w:t>Commission</w:t>
      </w:r>
      <w:r w:rsidRPr="00A738EF">
        <w:t xml:space="preserve"> can investigate and </w:t>
      </w:r>
      <w:r>
        <w:t xml:space="preserve">conciliate </w:t>
      </w:r>
      <w:r w:rsidRPr="00A738EF">
        <w:t>complaints of discrimination, harassment and bullying based on a person’s sex, disability, age and race</w:t>
      </w:r>
      <w:r>
        <w:t>.</w:t>
      </w:r>
      <w:r w:rsidRPr="00A738EF">
        <w:t xml:space="preserve"> The Commission can also investigate and conciliate complaints alleging sexual harassment, racial hatred and breaches of human rights by the Commonwealth. </w:t>
      </w:r>
    </w:p>
    <w:p w14:paraId="041987DC" w14:textId="77777777" w:rsidR="000A04FB" w:rsidRDefault="000A04FB" w:rsidP="00354AA1">
      <w:pPr>
        <w:jc w:val="both"/>
      </w:pPr>
      <w:r w:rsidRPr="00AE349C">
        <w:t xml:space="preserve">In the </w:t>
      </w:r>
      <w:r>
        <w:t>201</w:t>
      </w:r>
      <w:r w:rsidRPr="002A5745">
        <w:t>4-2015 reporting year</w:t>
      </w:r>
      <w:r>
        <w:t>,</w:t>
      </w:r>
      <w:r w:rsidRPr="002A5745">
        <w:t xml:space="preserve"> the Investigation and Conciliation Service at the </w:t>
      </w:r>
      <w:r>
        <w:t xml:space="preserve">Australian Human Rights </w:t>
      </w:r>
      <w:r w:rsidRPr="002A5745">
        <w:t xml:space="preserve">Commission received 278 complaints involving children. That is complaints by </w:t>
      </w:r>
      <w:r>
        <w:t xml:space="preserve">a child </w:t>
      </w:r>
      <w:r w:rsidRPr="002A5745">
        <w:t>or on behalf of a child</w:t>
      </w:r>
      <w:r>
        <w:t>,</w:t>
      </w:r>
      <w:r w:rsidRPr="002A5745">
        <w:t xml:space="preserve"> or an issue concerning a child. This represents around 12% of </w:t>
      </w:r>
      <w:r>
        <w:t xml:space="preserve">all </w:t>
      </w:r>
      <w:r w:rsidRPr="002A5745">
        <w:t>complaints received during this period.</w:t>
      </w:r>
      <w:r w:rsidRPr="00AE349C">
        <w:t xml:space="preserve"> </w:t>
      </w:r>
    </w:p>
    <w:p w14:paraId="627DA3AA" w14:textId="77777777" w:rsidR="000A04FB" w:rsidRPr="00B83A9F" w:rsidRDefault="000A04FB" w:rsidP="00354AA1">
      <w:pPr>
        <w:jc w:val="both"/>
      </w:pPr>
      <w:r w:rsidRPr="00B83A9F">
        <w:t xml:space="preserve">The main area of complaint involving children was allegations of breaches of human rights by the Commonwealth relating to immigration detention. This was followed by complaints alleging disability discrimination in the provision of education. The third most common area of complaint was allegations of disability discrimination in the provision of goods and services.  </w:t>
      </w:r>
    </w:p>
    <w:p w14:paraId="08FC9910" w14:textId="77777777" w:rsidR="000A04FB" w:rsidRDefault="000A04FB" w:rsidP="00354AA1">
      <w:pPr>
        <w:jc w:val="both"/>
      </w:pPr>
      <w:r>
        <w:t>T</w:t>
      </w:r>
      <w:r w:rsidRPr="00383FB6">
        <w:t>he complaint handling role is vested sol</w:t>
      </w:r>
      <w:r>
        <w:t xml:space="preserve">ely in the President of the Australian Human Rights Commission. </w:t>
      </w:r>
      <w:r w:rsidRPr="00383FB6">
        <w:t>I do not have a complaint-handling role or a role in d</w:t>
      </w:r>
      <w:r>
        <w:t xml:space="preserve">ealing with individual children’s cases. </w:t>
      </w:r>
    </w:p>
    <w:p w14:paraId="5D88A84B" w14:textId="77777777" w:rsidR="000A04FB" w:rsidRDefault="000A04FB" w:rsidP="00354AA1">
      <w:pPr>
        <w:jc w:val="both"/>
      </w:pPr>
      <w:r>
        <w:lastRenderedPageBreak/>
        <w:t xml:space="preserve">However I do regularly meet with the </w:t>
      </w:r>
      <w:r w:rsidRPr="0028101B">
        <w:t>Investigation and Conciliation Service</w:t>
      </w:r>
      <w:r>
        <w:t xml:space="preserve"> to discuss the general types of issues raised with them in relation to children and young people. I take the opportunity in these meetings to reinforce the importance of listening directly to children and young people. The </w:t>
      </w:r>
      <w:r w:rsidRPr="0028101B">
        <w:t>Investigation and Conciliation Service</w:t>
      </w:r>
      <w:r>
        <w:t xml:space="preserve"> is continually seeking to refine its information and complaint services to ensure that they are accessible and appropriate to the different communities and stakeholders who use them, including children and young people. </w:t>
      </w:r>
    </w:p>
    <w:p w14:paraId="5EAD28E6" w14:textId="77777777" w:rsidR="000A04FB" w:rsidRPr="00AE349C" w:rsidRDefault="000A04FB" w:rsidP="00354AA1">
      <w:pPr>
        <w:jc w:val="both"/>
      </w:pPr>
      <w:r>
        <w:t>T</w:t>
      </w:r>
      <w:r w:rsidRPr="0032657E">
        <w:t xml:space="preserve">he </w:t>
      </w:r>
      <w:r w:rsidRPr="002A5745">
        <w:t>Investi</w:t>
      </w:r>
      <w:r>
        <w:t xml:space="preserve">gation and Conciliation Service’s </w:t>
      </w:r>
      <w:r w:rsidRPr="0032657E">
        <w:t xml:space="preserve">approach to complaints involving children is one of maximum appropriate involvement with reference to the age of the child or young person and the presenting situation. </w:t>
      </w:r>
    </w:p>
    <w:p w14:paraId="3406EFB9" w14:textId="3AFCD2EA" w:rsidR="000A04FB" w:rsidRPr="0032657E" w:rsidRDefault="000A04FB" w:rsidP="00354AA1">
      <w:pPr>
        <w:jc w:val="both"/>
      </w:pPr>
      <w:r w:rsidRPr="0032657E">
        <w:t>The nature of the part</w:t>
      </w:r>
      <w:r>
        <w:t>icipation is assessed on a case</w:t>
      </w:r>
      <w:r w:rsidR="00AE3B97">
        <w:t xml:space="preserve"> </w:t>
      </w:r>
      <w:r>
        <w:t>by</w:t>
      </w:r>
      <w:r w:rsidR="00AE3B97">
        <w:t xml:space="preserve"> </w:t>
      </w:r>
      <w:r w:rsidRPr="0032657E">
        <w:t>case</w:t>
      </w:r>
      <w:r>
        <w:t xml:space="preserve"> </w:t>
      </w:r>
      <w:r w:rsidRPr="0032657E">
        <w:t xml:space="preserve">basis and can include </w:t>
      </w:r>
      <w:r>
        <w:t xml:space="preserve">discussions with the parent, </w:t>
      </w:r>
      <w:r w:rsidRPr="0032657E">
        <w:t>guardian</w:t>
      </w:r>
      <w:r>
        <w:t xml:space="preserve"> or </w:t>
      </w:r>
      <w:r w:rsidRPr="0032657E">
        <w:t>support person to make sure that the views of the child are sought and understood</w:t>
      </w:r>
      <w:r>
        <w:t>. It can also involve</w:t>
      </w:r>
      <w:r w:rsidRPr="0032657E">
        <w:t xml:space="preserve"> the child or young person attending the conciliation conference</w:t>
      </w:r>
      <w:r>
        <w:t xml:space="preserve"> </w:t>
      </w:r>
      <w:r w:rsidRPr="0032657E">
        <w:t xml:space="preserve">or the child’s representative reading out a statement from the child at the conference. </w:t>
      </w:r>
    </w:p>
    <w:p w14:paraId="092762D4" w14:textId="77777777" w:rsidR="000A04FB" w:rsidRPr="0028101B" w:rsidRDefault="000A04FB" w:rsidP="00354AA1">
      <w:pPr>
        <w:jc w:val="both"/>
      </w:pPr>
      <w:r w:rsidRPr="0028101B">
        <w:t xml:space="preserve">Feedback to the </w:t>
      </w:r>
      <w:r w:rsidRPr="002A5745">
        <w:t>Investi</w:t>
      </w:r>
      <w:r>
        <w:t>gation and Conciliation Service from a respondent party to a</w:t>
      </w:r>
      <w:r w:rsidRPr="0028101B">
        <w:t xml:space="preserve"> conciliation process</w:t>
      </w:r>
      <w:r>
        <w:t xml:space="preserve"> in relation to a young person</w:t>
      </w:r>
      <w:r w:rsidRPr="00E62F50">
        <w:t>’s involvement in the process</w:t>
      </w:r>
      <w:r w:rsidRPr="0028101B">
        <w:t xml:space="preserve"> stated:</w:t>
      </w:r>
    </w:p>
    <w:p w14:paraId="47071198" w14:textId="77777777" w:rsidR="000A04FB" w:rsidRPr="00B2085A" w:rsidRDefault="000A04FB" w:rsidP="00354AA1">
      <w:pPr>
        <w:ind w:left="360"/>
        <w:jc w:val="both"/>
        <w:rPr>
          <w:sz w:val="22"/>
          <w:szCs w:val="22"/>
        </w:rPr>
      </w:pPr>
      <w:r w:rsidRPr="00B2085A">
        <w:rPr>
          <w:sz w:val="22"/>
          <w:szCs w:val="22"/>
        </w:rPr>
        <w:t>The service in this matter was excellent. This matter was a disability discrimination complaint in education involving a young person (aged sixteen). Arrangements were made for the young person to express his experience of the issues leading to the complaint, and his feelings about the issues, during the conciliation conference. This was a particularly empowering and beneficial experience for the young person, and greatly assisted him and his family in moving forward.</w:t>
      </w:r>
    </w:p>
    <w:p w14:paraId="753ABEFF" w14:textId="77777777" w:rsidR="000A04FB" w:rsidRPr="000A04FB" w:rsidRDefault="000A04FB" w:rsidP="00354AA1">
      <w:pPr>
        <w:jc w:val="both"/>
      </w:pPr>
      <w:r w:rsidRPr="00FB3F3D">
        <w:t>I would like to sincerely thank the Investigation and Conciliation Service for its support to me throughout the year.</w:t>
      </w:r>
    </w:p>
    <w:p w14:paraId="69BE211D" w14:textId="0B875002" w:rsidR="00D94316" w:rsidRDefault="00D94316" w:rsidP="00354AA1">
      <w:pPr>
        <w:pStyle w:val="Heading3"/>
        <w:jc w:val="both"/>
      </w:pPr>
      <w:bookmarkStart w:id="11" w:name="_Toc430767448"/>
      <w:r w:rsidRPr="00D94316">
        <w:t>Children</w:t>
      </w:r>
      <w:r w:rsidR="00175FFD">
        <w:t>’s</w:t>
      </w:r>
      <w:r w:rsidRPr="00D94316">
        <w:t xml:space="preserve"> and young people’s voices on consumer rights</w:t>
      </w:r>
      <w:bookmarkEnd w:id="11"/>
    </w:p>
    <w:p w14:paraId="3E0945B4" w14:textId="7449A53D" w:rsidR="000A04FB" w:rsidRPr="000A04FB" w:rsidRDefault="000A04FB" w:rsidP="00354AA1">
      <w:pPr>
        <w:jc w:val="both"/>
      </w:pPr>
      <w:r w:rsidRPr="00783F7F">
        <w:t xml:space="preserve">This year I spoke with over 100 children about their knowledge of their consumer rights as part of my </w:t>
      </w:r>
      <w:r w:rsidR="00C760C3">
        <w:t>work on</w:t>
      </w:r>
      <w:r w:rsidRPr="00783F7F">
        <w:t xml:space="preserve"> children’s rights and business. In these consultations, children and young people emphasised the empowering ef</w:t>
      </w:r>
      <w:r>
        <w:t xml:space="preserve">fect of </w:t>
      </w:r>
      <w:r w:rsidRPr="00783F7F">
        <w:t>having their views solicited and heard</w:t>
      </w:r>
      <w:r>
        <w:t>.</w:t>
      </w:r>
      <w:r w:rsidRPr="00783F7F">
        <w:t xml:space="preserve"> I report on this in detail in </w:t>
      </w:r>
      <w:r>
        <w:t>C</w:t>
      </w:r>
      <w:r w:rsidRPr="00783F7F">
        <w:t>hapter 3.</w:t>
      </w:r>
    </w:p>
    <w:p w14:paraId="04C3E103" w14:textId="77777777" w:rsidR="00D94316" w:rsidRDefault="00D94316" w:rsidP="00354AA1">
      <w:pPr>
        <w:pStyle w:val="Heading2"/>
        <w:jc w:val="both"/>
      </w:pPr>
      <w:bookmarkStart w:id="12" w:name="_Toc430767449"/>
      <w:bookmarkStart w:id="13" w:name="_Toc432577301"/>
      <w:r w:rsidRPr="00D94316">
        <w:t>Freedom from violence, abuse and neglect</w:t>
      </w:r>
      <w:bookmarkEnd w:id="12"/>
      <w:bookmarkEnd w:id="13"/>
    </w:p>
    <w:p w14:paraId="699BE2AA" w14:textId="77777777" w:rsidR="0093038B" w:rsidRDefault="0093038B" w:rsidP="00354AA1">
      <w:pPr>
        <w:jc w:val="both"/>
        <w:rPr>
          <w:highlight w:val="yellow"/>
        </w:rPr>
      </w:pPr>
      <w:r w:rsidRPr="007205C5">
        <w:t xml:space="preserve">The </w:t>
      </w:r>
      <w:r>
        <w:t>r</w:t>
      </w:r>
      <w:r w:rsidRPr="007205C5">
        <w:t xml:space="preserve">ight </w:t>
      </w:r>
      <w:r>
        <w:t xml:space="preserve">of children </w:t>
      </w:r>
      <w:r w:rsidRPr="007205C5">
        <w:t xml:space="preserve">to be free from </w:t>
      </w:r>
      <w:r>
        <w:t xml:space="preserve">all forms of </w:t>
      </w:r>
      <w:r w:rsidRPr="007205C5">
        <w:t>violence</w:t>
      </w:r>
      <w:r>
        <w:t xml:space="preserve">, abuse and neglect is one of the central themes guiding my work </w:t>
      </w:r>
      <w:r w:rsidRPr="007205C5">
        <w:t>as National Children’s Commissioner</w:t>
      </w:r>
      <w:r>
        <w:t>.</w:t>
      </w:r>
    </w:p>
    <w:p w14:paraId="1C5384E7" w14:textId="2769512D" w:rsidR="0093038B" w:rsidRDefault="0093038B" w:rsidP="00354AA1">
      <w:pPr>
        <w:jc w:val="both"/>
      </w:pPr>
      <w:r>
        <w:t>The responsibility to protect children from all forms of violence,</w:t>
      </w:r>
      <w:r w:rsidR="00C760C3">
        <w:t xml:space="preserve"> abuse and neglect is outlined </w:t>
      </w:r>
      <w:r w:rsidR="00B77009">
        <w:t xml:space="preserve">in </w:t>
      </w:r>
      <w:r w:rsidR="00C760C3">
        <w:t>a</w:t>
      </w:r>
      <w:r>
        <w:t xml:space="preserve">rticle 19 </w:t>
      </w:r>
      <w:r w:rsidR="0067743C">
        <w:t>of</w:t>
      </w:r>
      <w:r>
        <w:t xml:space="preserve"> the Convention on the Rights of the Child, which states that:</w:t>
      </w:r>
    </w:p>
    <w:p w14:paraId="4B1E5008" w14:textId="77777777" w:rsidR="0093038B" w:rsidRDefault="0093038B" w:rsidP="00354AA1">
      <w:pPr>
        <w:ind w:left="720"/>
        <w:jc w:val="both"/>
        <w:rPr>
          <w:color w:val="000000"/>
          <w:sz w:val="22"/>
          <w:szCs w:val="22"/>
          <w:shd w:val="clear" w:color="auto" w:fill="FFFFFF"/>
        </w:rPr>
      </w:pPr>
      <w:r w:rsidRPr="00B2085A">
        <w:rPr>
          <w:color w:val="000000"/>
          <w:sz w:val="22"/>
          <w:szCs w:val="22"/>
          <w:shd w:val="clear" w:color="auto" w:fill="FFFFFF"/>
        </w:rPr>
        <w:t>States Parties shall 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 guardian(s) or any other person who has the care of the child.</w:t>
      </w:r>
      <w:r w:rsidRPr="00B2085A">
        <w:rPr>
          <w:rStyle w:val="EndnoteReference"/>
          <w:color w:val="000000"/>
          <w:sz w:val="22"/>
          <w:szCs w:val="22"/>
          <w:shd w:val="clear" w:color="auto" w:fill="FFFFFF"/>
        </w:rPr>
        <w:endnoteReference w:id="4"/>
      </w:r>
    </w:p>
    <w:p w14:paraId="64F132FF" w14:textId="1A10F78F" w:rsidR="0093038B" w:rsidRPr="0093038B" w:rsidRDefault="0093038B" w:rsidP="00354AA1">
      <w:pPr>
        <w:jc w:val="both"/>
      </w:pPr>
      <w:r w:rsidRPr="004E4F56">
        <w:rPr>
          <w:color w:val="000000"/>
          <w:shd w:val="clear" w:color="auto" w:fill="FFFFFF"/>
        </w:rPr>
        <w:lastRenderedPageBreak/>
        <w:t>During 2014</w:t>
      </w:r>
      <w:r w:rsidR="00C760C3">
        <w:rPr>
          <w:color w:val="000000"/>
          <w:shd w:val="clear" w:color="auto" w:fill="FFFFFF"/>
        </w:rPr>
        <w:t>,</w:t>
      </w:r>
      <w:r w:rsidRPr="004E4F56">
        <w:rPr>
          <w:color w:val="000000"/>
          <w:shd w:val="clear" w:color="auto" w:fill="FFFFFF"/>
        </w:rPr>
        <w:t xml:space="preserve"> I examined suicide and self-harm among children and young peop</w:t>
      </w:r>
      <w:r w:rsidR="0099126A">
        <w:rPr>
          <w:color w:val="000000"/>
          <w:shd w:val="clear" w:color="auto" w:fill="FFFFFF"/>
        </w:rPr>
        <w:t xml:space="preserve">le, to shine a light on what we </w:t>
      </w:r>
      <w:r w:rsidRPr="004E4F56">
        <w:rPr>
          <w:color w:val="000000"/>
          <w:shd w:val="clear" w:color="auto" w:fill="FFFFFF"/>
        </w:rPr>
        <w:t>know about this issue, and to identify areas for action.</w:t>
      </w:r>
    </w:p>
    <w:p w14:paraId="143E56A7" w14:textId="77777777" w:rsidR="00D94316" w:rsidRDefault="00D94316" w:rsidP="00354AA1">
      <w:pPr>
        <w:pStyle w:val="Heading3"/>
        <w:jc w:val="both"/>
      </w:pPr>
      <w:bookmarkStart w:id="14" w:name="_Toc430767450"/>
      <w:r w:rsidRPr="00D94316">
        <w:t>Self-harm and suicidal behaviour in Aboriginal and Torres Strait Islander children and young people</w:t>
      </w:r>
      <w:bookmarkEnd w:id="14"/>
    </w:p>
    <w:p w14:paraId="368EFB5E" w14:textId="40089284" w:rsidR="0093038B" w:rsidRPr="009228A5" w:rsidRDefault="0093038B" w:rsidP="00354AA1">
      <w:pPr>
        <w:jc w:val="both"/>
      </w:pPr>
      <w:r w:rsidRPr="009228A5">
        <w:t xml:space="preserve">In my </w:t>
      </w:r>
      <w:r w:rsidRPr="00173F83">
        <w:rPr>
          <w:i/>
        </w:rPr>
        <w:t>Children’s Rights Report</w:t>
      </w:r>
      <w:r w:rsidR="00173F83" w:rsidRPr="00173F83">
        <w:rPr>
          <w:i/>
        </w:rPr>
        <w:t xml:space="preserve"> 2014</w:t>
      </w:r>
      <w:r w:rsidRPr="009228A5">
        <w:t>, I highlighted the ways in which Aboriginal and Torres Strait Islander children and young people are disproportionately affected</w:t>
      </w:r>
      <w:r>
        <w:t xml:space="preserve"> by </w:t>
      </w:r>
      <w:r w:rsidRPr="009228A5">
        <w:t>intentional self-harm and suicidal behaviour.</w:t>
      </w:r>
      <w:r w:rsidR="00173F83" w:rsidRPr="00173F83">
        <w:rPr>
          <w:rStyle w:val="EndnoteReference"/>
        </w:rPr>
        <w:t xml:space="preserve"> </w:t>
      </w:r>
      <w:r w:rsidR="00173F83">
        <w:rPr>
          <w:rStyle w:val="EndnoteReference"/>
        </w:rPr>
        <w:endnoteReference w:id="5"/>
      </w:r>
    </w:p>
    <w:p w14:paraId="264E0F8E" w14:textId="6B9C998A" w:rsidR="0093038B" w:rsidRPr="009228A5" w:rsidRDefault="0093038B" w:rsidP="00354AA1">
      <w:pPr>
        <w:jc w:val="both"/>
      </w:pPr>
      <w:r>
        <w:t xml:space="preserve">Data from the </w:t>
      </w:r>
      <w:r w:rsidRPr="009228A5">
        <w:t xml:space="preserve">Australian Bureau of Statistics (ABS) </w:t>
      </w:r>
      <w:r>
        <w:t xml:space="preserve">shows </w:t>
      </w:r>
      <w:r w:rsidRPr="009228A5">
        <w:t>that in 2014</w:t>
      </w:r>
      <w:r>
        <w:t xml:space="preserve"> </w:t>
      </w:r>
      <w:r w:rsidR="007C0AE4" w:rsidRPr="009228A5">
        <w:t xml:space="preserve">Aboriginal and Torres Strait Islander children and young people </w:t>
      </w:r>
      <w:r w:rsidRPr="009228A5">
        <w:t xml:space="preserve">accounted for 28.1% of all the recorded deaths </w:t>
      </w:r>
      <w:r w:rsidR="007C0AE4">
        <w:t>of</w:t>
      </w:r>
      <w:r w:rsidRPr="009228A5">
        <w:t xml:space="preserve"> children and young people under 18 years of age due to intentional self-harm.</w:t>
      </w:r>
      <w:r>
        <w:rPr>
          <w:rStyle w:val="EndnoteReference"/>
        </w:rPr>
        <w:endnoteReference w:id="6"/>
      </w:r>
      <w:r w:rsidR="007C0AE4">
        <w:t xml:space="preserve"> </w:t>
      </w:r>
    </w:p>
    <w:p w14:paraId="1BB77C3A" w14:textId="77777777" w:rsidR="0093038B" w:rsidRDefault="0093038B" w:rsidP="00354AA1">
      <w:pPr>
        <w:jc w:val="both"/>
      </w:pPr>
      <w:r w:rsidRPr="009228A5">
        <w:t>One of the major r</w:t>
      </w:r>
      <w:r>
        <w:t>ecommendations</w:t>
      </w:r>
      <w:r w:rsidRPr="009228A5">
        <w:t xml:space="preserve"> in my 2014 report was the need for focused national research in a range of areas that would inform the development of an effective suite of interventions for children</w:t>
      </w:r>
      <w:r>
        <w:t xml:space="preserve"> and young people</w:t>
      </w:r>
      <w:r w:rsidRPr="009228A5">
        <w:t xml:space="preserve">, </w:t>
      </w:r>
      <w:r>
        <w:t xml:space="preserve">in </w:t>
      </w:r>
      <w:r w:rsidRPr="009228A5">
        <w:t>particular</w:t>
      </w:r>
      <w:r>
        <w:t xml:space="preserve"> for </w:t>
      </w:r>
      <w:r w:rsidRPr="009228A5">
        <w:t>Aboriginal and Torres Strait Islander children</w:t>
      </w:r>
      <w:r>
        <w:t xml:space="preserve"> and young people, including universal resilience building through to clinical treatments</w:t>
      </w:r>
      <w:r w:rsidRPr="009228A5">
        <w:t>.</w:t>
      </w:r>
      <w:r w:rsidRPr="009228A5">
        <w:rPr>
          <w:rStyle w:val="EndnoteReference"/>
        </w:rPr>
        <w:endnoteReference w:id="7"/>
      </w:r>
      <w:r w:rsidRPr="009228A5">
        <w:t xml:space="preserve"> </w:t>
      </w:r>
    </w:p>
    <w:p w14:paraId="6925750A" w14:textId="77777777" w:rsidR="0093038B" w:rsidRPr="009228A5" w:rsidRDefault="0093038B" w:rsidP="00354AA1">
      <w:pPr>
        <w:jc w:val="both"/>
      </w:pPr>
      <w:r>
        <w:t>At the beginning of the</w:t>
      </w:r>
      <w:r w:rsidRPr="009228A5">
        <w:t xml:space="preserve"> year</w:t>
      </w:r>
      <w:r>
        <w:t>,</w:t>
      </w:r>
      <w:r w:rsidRPr="009228A5">
        <w:t xml:space="preserve"> I became a member of </w:t>
      </w:r>
      <w:r>
        <w:t xml:space="preserve">the </w:t>
      </w:r>
      <w:r w:rsidRPr="009228A5">
        <w:t xml:space="preserve">National Advisory Committee for the </w:t>
      </w:r>
      <w:r w:rsidRPr="00107C87">
        <w:t>Aboriginal and Torres Strait Islander Suicide Prevention Evaluation Project</w:t>
      </w:r>
      <w:r>
        <w:t xml:space="preserve"> (ATSISPEP).</w:t>
      </w:r>
    </w:p>
    <w:p w14:paraId="5D07F4C5" w14:textId="77777777" w:rsidR="0093038B" w:rsidRPr="009228A5" w:rsidRDefault="0093038B" w:rsidP="00354AA1">
      <w:pPr>
        <w:jc w:val="both"/>
      </w:pPr>
      <w:r w:rsidRPr="009228A5">
        <w:t>ATSISPEP is an important national initiative, funded by the Australian Government, to evaluate the effectiveness of existing suicide prevention programs and services in combatting the high levels of suicide in the Aboriginal and Torres Strait Islander population. Given the unique set of issues faced by Aboriginal and Torres Strait Islander children, the work of ATSISPEP is critical.</w:t>
      </w:r>
    </w:p>
    <w:p w14:paraId="1546183D" w14:textId="77777777" w:rsidR="0093038B" w:rsidRDefault="0093038B" w:rsidP="00354AA1">
      <w:pPr>
        <w:jc w:val="both"/>
      </w:pPr>
      <w:r w:rsidRPr="009228A5">
        <w:t xml:space="preserve">As part of my involvement in the National Advisory Committee </w:t>
      </w:r>
      <w:r>
        <w:t xml:space="preserve">for </w:t>
      </w:r>
      <w:r w:rsidRPr="009228A5">
        <w:t>ATSISPEP, I part</w:t>
      </w:r>
      <w:r>
        <w:t xml:space="preserve">icipated in a Youth Roundtable </w:t>
      </w:r>
      <w:r w:rsidRPr="009228A5">
        <w:t xml:space="preserve">to discuss suicide prevention in Aboriginal and Torres Strait Islander communities. </w:t>
      </w:r>
    </w:p>
    <w:p w14:paraId="3D1C9A80" w14:textId="71BB359F" w:rsidR="0093038B" w:rsidRDefault="0093038B" w:rsidP="00354AA1">
      <w:pPr>
        <w:jc w:val="both"/>
      </w:pPr>
      <w:r w:rsidRPr="009228A5">
        <w:t xml:space="preserve">The roundtable was held in Canberra with 20 Aboriginal </w:t>
      </w:r>
      <w:r>
        <w:t>and Torres Strait Islander young people</w:t>
      </w:r>
      <w:r w:rsidRPr="009228A5">
        <w:t xml:space="preserve"> from across Australia.</w:t>
      </w:r>
      <w:r>
        <w:t xml:space="preserve"> Key messages</w:t>
      </w:r>
      <w:r w:rsidRPr="009228A5">
        <w:t xml:space="preserve"> </w:t>
      </w:r>
      <w:r>
        <w:t xml:space="preserve">from </w:t>
      </w:r>
      <w:r w:rsidR="007C0AE4">
        <w:t xml:space="preserve">the </w:t>
      </w:r>
      <w:r w:rsidRPr="009228A5">
        <w:t>roundtable were that young people w</w:t>
      </w:r>
      <w:r>
        <w:t>ant to be part of the solutions;</w:t>
      </w:r>
      <w:r w:rsidRPr="009228A5">
        <w:t xml:space="preserve"> links with effec</w:t>
      </w:r>
      <w:r>
        <w:t>tive mental health services are</w:t>
      </w:r>
      <w:r w:rsidRPr="009228A5">
        <w:t xml:space="preserve"> vital; and that developing cultural connectedness and a sense of personal identity </w:t>
      </w:r>
      <w:r>
        <w:t xml:space="preserve">is essential </w:t>
      </w:r>
      <w:r w:rsidRPr="009228A5">
        <w:t xml:space="preserve">to effective suicide prevention strategies. </w:t>
      </w:r>
    </w:p>
    <w:p w14:paraId="0D5FFF23" w14:textId="09D8AFB1" w:rsidR="0093038B" w:rsidRPr="0048614A" w:rsidRDefault="0093038B" w:rsidP="00354AA1">
      <w:pPr>
        <w:jc w:val="both"/>
      </w:pPr>
      <w:r w:rsidRPr="0048614A">
        <w:t>One participant said</w:t>
      </w:r>
      <w:r w:rsidR="007C0AE4">
        <w:t>:</w:t>
      </w:r>
      <w:r w:rsidRPr="0048614A">
        <w:t xml:space="preserve"> </w:t>
      </w:r>
    </w:p>
    <w:p w14:paraId="36CBA500" w14:textId="6674D766" w:rsidR="0093038B" w:rsidRPr="0048614A" w:rsidRDefault="0093038B" w:rsidP="00354AA1">
      <w:pPr>
        <w:ind w:left="720"/>
        <w:jc w:val="both"/>
        <w:rPr>
          <w:sz w:val="22"/>
        </w:rPr>
      </w:pPr>
      <w:r w:rsidRPr="0048614A">
        <w:rPr>
          <w:sz w:val="22"/>
        </w:rPr>
        <w:t>Growing up in a community with issues that White mobs don’t have you come to know about mental health and impacts from alcohol an</w:t>
      </w:r>
      <w:r w:rsidR="007C0AE4">
        <w:rPr>
          <w:sz w:val="22"/>
        </w:rPr>
        <w:t>d drugs from a very young age.</w:t>
      </w:r>
    </w:p>
    <w:p w14:paraId="3D85CF2F" w14:textId="2B784D68" w:rsidR="0093038B" w:rsidRPr="0048614A" w:rsidRDefault="0093038B" w:rsidP="00354AA1">
      <w:pPr>
        <w:jc w:val="both"/>
      </w:pPr>
      <w:r w:rsidRPr="0048614A">
        <w:t>In talking about protective factors, a participant stated</w:t>
      </w:r>
      <w:r w:rsidR="007C0AE4">
        <w:t>:</w:t>
      </w:r>
    </w:p>
    <w:p w14:paraId="516A2447" w14:textId="0A55330D" w:rsidR="0093038B" w:rsidRPr="0048614A" w:rsidRDefault="0093038B" w:rsidP="00354AA1">
      <w:pPr>
        <w:ind w:left="720"/>
        <w:jc w:val="both"/>
        <w:rPr>
          <w:sz w:val="22"/>
        </w:rPr>
      </w:pPr>
      <w:r w:rsidRPr="0048614A">
        <w:rPr>
          <w:sz w:val="22"/>
        </w:rPr>
        <w:t xml:space="preserve">We are all part of the healing, doing the healing with family and friends around us. It’s everyone’s bit to do </w:t>
      </w:r>
      <w:r w:rsidR="007C0AE4">
        <w:rPr>
          <w:sz w:val="22"/>
        </w:rPr>
        <w:t>what we can to prevent suicide.</w:t>
      </w:r>
    </w:p>
    <w:p w14:paraId="6FFE8857" w14:textId="2D56F5C8" w:rsidR="0093038B" w:rsidRPr="0048614A" w:rsidRDefault="0093038B" w:rsidP="00354AA1">
      <w:pPr>
        <w:jc w:val="both"/>
      </w:pPr>
      <w:r w:rsidRPr="0048614A">
        <w:t>A</w:t>
      </w:r>
      <w:r w:rsidR="007C0AE4">
        <w:t>nother young person stated that:</w:t>
      </w:r>
    </w:p>
    <w:p w14:paraId="12C15590" w14:textId="616A9751" w:rsidR="0093038B" w:rsidRPr="00ED392E" w:rsidRDefault="0093038B" w:rsidP="00354AA1">
      <w:pPr>
        <w:ind w:left="720"/>
        <w:jc w:val="both"/>
        <w:rPr>
          <w:sz w:val="22"/>
        </w:rPr>
      </w:pPr>
      <w:r w:rsidRPr="0048614A">
        <w:rPr>
          <w:sz w:val="22"/>
        </w:rPr>
        <w:lastRenderedPageBreak/>
        <w:t>Protective factors need to be developed on how to positively influence self-esteem, how to connect with family</w:t>
      </w:r>
      <w:r w:rsidR="00B165B4">
        <w:rPr>
          <w:sz w:val="22"/>
        </w:rPr>
        <w:t>,</w:t>
      </w:r>
      <w:r w:rsidRPr="0048614A">
        <w:rPr>
          <w:sz w:val="22"/>
        </w:rPr>
        <w:t xml:space="preserve"> community </w:t>
      </w:r>
      <w:r w:rsidR="00B165B4" w:rsidRPr="0048614A">
        <w:rPr>
          <w:sz w:val="22"/>
        </w:rPr>
        <w:t xml:space="preserve">and </w:t>
      </w:r>
      <w:r w:rsidRPr="0048614A">
        <w:rPr>
          <w:sz w:val="22"/>
        </w:rPr>
        <w:t xml:space="preserve">culture. We can use culture to harness positive influence, harnessing our cultural practices as links to community, family, building resilience. </w:t>
      </w:r>
    </w:p>
    <w:p w14:paraId="1DFC34C7" w14:textId="77777777" w:rsidR="0093038B" w:rsidRPr="009228A5" w:rsidRDefault="0093038B" w:rsidP="00354AA1">
      <w:pPr>
        <w:jc w:val="both"/>
      </w:pPr>
      <w:r w:rsidRPr="009228A5">
        <w:t xml:space="preserve">The ATSISPEP final report </w:t>
      </w:r>
      <w:r>
        <w:t>will be released in December 2015</w:t>
      </w:r>
      <w:r w:rsidRPr="009228A5">
        <w:t xml:space="preserve"> and will describe the characteristics of successful Aboriginal and Torres Strait Islander suicide prevention programs, identify existing programs that appear to be most effective, and deliver a culturally appropriate evaluation framework that can be used by governments to inform future funding decisions.</w:t>
      </w:r>
    </w:p>
    <w:p w14:paraId="6F818A5C" w14:textId="77777777" w:rsidR="0093038B" w:rsidRDefault="0093038B" w:rsidP="00354AA1">
      <w:pPr>
        <w:jc w:val="both"/>
      </w:pPr>
      <w:r w:rsidRPr="00461749">
        <w:t xml:space="preserve">This year I also became an industry partner with the NHMRC Centre of Research Excellence in Suicide Prevention (CRESP). This partnership involves working as part of an Australia-wide research community group, to consider how research on suicide in Australia can be better </w:t>
      </w:r>
      <w:r>
        <w:t xml:space="preserve">targeted, </w:t>
      </w:r>
      <w:r w:rsidRPr="00461749">
        <w:t>understood and translated.</w:t>
      </w:r>
      <w:r>
        <w:t xml:space="preserve"> </w:t>
      </w:r>
    </w:p>
    <w:p w14:paraId="57A5E3FB" w14:textId="6FD66FC6" w:rsidR="0093038B" w:rsidRDefault="0093038B" w:rsidP="00354AA1">
      <w:pPr>
        <w:jc w:val="both"/>
      </w:pPr>
      <w:r>
        <w:t>I</w:t>
      </w:r>
      <w:r w:rsidRPr="009228A5">
        <w:t>n collaboration with my colleague</w:t>
      </w:r>
      <w:r w:rsidR="00101D76">
        <w:t xml:space="preserve">, </w:t>
      </w:r>
      <w:r w:rsidR="00B165B4" w:rsidRPr="009228A5">
        <w:t>Aboriginal and Torres Strait Islander Social Justice Commissioner</w:t>
      </w:r>
      <w:r w:rsidR="00B165B4">
        <w:t>,</w:t>
      </w:r>
      <w:r w:rsidRPr="009228A5">
        <w:t xml:space="preserve"> </w:t>
      </w:r>
      <w:r w:rsidR="00B165B4">
        <w:t>Mick</w:t>
      </w:r>
      <w:r w:rsidRPr="009228A5">
        <w:t xml:space="preserve"> Gooda,</w:t>
      </w:r>
      <w:r>
        <w:t xml:space="preserve"> we contributed an article to</w:t>
      </w:r>
      <w:r w:rsidRPr="009228A5">
        <w:t xml:space="preserve"> the Indigenous Law Bulletin which highlighted the findings of </w:t>
      </w:r>
      <w:r>
        <w:t>my</w:t>
      </w:r>
      <w:r w:rsidRPr="009228A5">
        <w:t xml:space="preserve"> </w:t>
      </w:r>
      <w:r w:rsidRPr="00926B3A">
        <w:rPr>
          <w:i/>
        </w:rPr>
        <w:t xml:space="preserve">Children’s Rights Report </w:t>
      </w:r>
      <w:r w:rsidR="00926B3A" w:rsidRPr="00926B3A">
        <w:rPr>
          <w:i/>
        </w:rPr>
        <w:t>2014</w:t>
      </w:r>
      <w:r w:rsidR="00926B3A" w:rsidRPr="009228A5">
        <w:t xml:space="preserve"> </w:t>
      </w:r>
      <w:r w:rsidRPr="009228A5">
        <w:t>and emphasised the need to promote Aboriginal and Torres Strait Islander children’s rights in suicide prevention research.</w:t>
      </w:r>
      <w:r>
        <w:rPr>
          <w:rStyle w:val="EndnoteReference"/>
        </w:rPr>
        <w:endnoteReference w:id="8"/>
      </w:r>
    </w:p>
    <w:p w14:paraId="1227F811" w14:textId="77777777" w:rsidR="0093038B" w:rsidRDefault="0093038B" w:rsidP="00354AA1">
      <w:pPr>
        <w:jc w:val="both"/>
      </w:pPr>
      <w:r>
        <w:t>Through my</w:t>
      </w:r>
      <w:r w:rsidRPr="009228A5">
        <w:t xml:space="preserve"> participa</w:t>
      </w:r>
      <w:r>
        <w:t>tion in these important forums, and partnerships with key</w:t>
      </w:r>
      <w:r w:rsidRPr="009228A5">
        <w:t xml:space="preserve"> stakeholder organisations, I will continue to advocate for research </w:t>
      </w:r>
      <w:r>
        <w:t>and other initiatives relating to</w:t>
      </w:r>
      <w:r w:rsidRPr="009228A5">
        <w:t xml:space="preserve"> self-harm and suicidal behaviour which adequately prioritise the needs of Aboriginal and Torres Strait Islander children and young people.</w:t>
      </w:r>
    </w:p>
    <w:p w14:paraId="22645C86" w14:textId="77777777" w:rsidR="0093038B" w:rsidRDefault="0093038B" w:rsidP="00354AA1">
      <w:pPr>
        <w:jc w:val="both"/>
      </w:pPr>
      <w:r>
        <w:t xml:space="preserve">The National Mental Health Commission’s </w:t>
      </w:r>
      <w:r w:rsidRPr="00107C87">
        <w:rPr>
          <w:i/>
        </w:rPr>
        <w:t>Report of the National Review of Mental Health Programmes and Services</w:t>
      </w:r>
      <w:r>
        <w:t>, released in April 2015, has also drawn attention to the high rates of suicide and comparatively poor mental health of Aboriginal and Torres Strait Islander peoples.</w:t>
      </w:r>
      <w:r>
        <w:rPr>
          <w:rStyle w:val="EndnoteReference"/>
        </w:rPr>
        <w:endnoteReference w:id="9"/>
      </w:r>
    </w:p>
    <w:p w14:paraId="7F3E4AEE" w14:textId="1AE04876" w:rsidR="0093038B" w:rsidRPr="0093038B" w:rsidRDefault="0093038B" w:rsidP="00354AA1">
      <w:pPr>
        <w:jc w:val="both"/>
      </w:pPr>
      <w:r>
        <w:t xml:space="preserve">The National Mental Health Commission recommended a dedicated plan to close the mental health gap based on the renewed </w:t>
      </w:r>
      <w:r w:rsidRPr="00107C87">
        <w:rPr>
          <w:i/>
        </w:rPr>
        <w:t>National Strategic Framework for Aboriginal and Torres Strait Islander Mental Health and Social and Emotional Wellbeing</w:t>
      </w:r>
      <w:r>
        <w:t>. The</w:t>
      </w:r>
      <w:r w:rsidR="000744AA">
        <w:t xml:space="preserve"> </w:t>
      </w:r>
      <w:r w:rsidR="00107C87">
        <w:t>r</w:t>
      </w:r>
      <w:r w:rsidR="000744AA">
        <w:t>eport</w:t>
      </w:r>
      <w:r>
        <w:t xml:space="preserve"> further pointed to the need for the urgent implementation of the </w:t>
      </w:r>
      <w:r w:rsidRPr="00107C87">
        <w:rPr>
          <w:i/>
        </w:rPr>
        <w:t>National Aboriginal and Torres Strait Islander Suicide Prevention Strategy</w:t>
      </w:r>
      <w:r>
        <w:t>,</w:t>
      </w:r>
      <w:r>
        <w:rPr>
          <w:rStyle w:val="EndnoteReference"/>
        </w:rPr>
        <w:endnoteReference w:id="10"/>
      </w:r>
      <w:r>
        <w:t xml:space="preserve"> and a target to reduce suicide rates by 50% over the next decade.</w:t>
      </w:r>
      <w:r w:rsidRPr="001D628A">
        <w:rPr>
          <w:rStyle w:val="EndnoteReference"/>
        </w:rPr>
        <w:t xml:space="preserve"> </w:t>
      </w:r>
      <w:r>
        <w:rPr>
          <w:rStyle w:val="EndnoteReference"/>
        </w:rPr>
        <w:endnoteReference w:id="11"/>
      </w:r>
    </w:p>
    <w:p w14:paraId="13CD8CE4" w14:textId="77777777" w:rsidR="00D94316" w:rsidRDefault="00D94316" w:rsidP="00354AA1">
      <w:pPr>
        <w:pStyle w:val="Heading3"/>
        <w:jc w:val="both"/>
      </w:pPr>
      <w:bookmarkStart w:id="15" w:name="_Toc430767451"/>
      <w:r w:rsidRPr="00D94316">
        <w:t>The impact of family and domestic violence on children and young people</w:t>
      </w:r>
      <w:bookmarkEnd w:id="15"/>
    </w:p>
    <w:p w14:paraId="4FA2C731" w14:textId="77777777" w:rsidR="00247959" w:rsidRDefault="00247959" w:rsidP="00354AA1">
      <w:pPr>
        <w:jc w:val="both"/>
      </w:pPr>
      <w:r>
        <w:t xml:space="preserve">One of the key findings of my 2014 examination into intentional self-harm and suicidal behaviour in children and young people was that family and domestic violence was a contributing risk factor that required further research.  </w:t>
      </w:r>
    </w:p>
    <w:p w14:paraId="32C07DC4" w14:textId="77777777" w:rsidR="00247959" w:rsidRPr="00247959" w:rsidRDefault="00247959" w:rsidP="00354AA1">
      <w:pPr>
        <w:jc w:val="both"/>
      </w:pPr>
      <w:r>
        <w:t>As a result of this, in 2015, my major project has been to examine how family and domestic violence impact on the human rights of children. The findings of this project are detailed in Chapter 4.</w:t>
      </w:r>
    </w:p>
    <w:p w14:paraId="1DA58F50" w14:textId="77777777" w:rsidR="00D94316" w:rsidRDefault="00D94316" w:rsidP="00354AA1">
      <w:pPr>
        <w:pStyle w:val="Heading2"/>
        <w:jc w:val="both"/>
      </w:pPr>
      <w:bookmarkStart w:id="16" w:name="_Toc430767452"/>
      <w:bookmarkStart w:id="17" w:name="_Toc432577302"/>
      <w:r w:rsidRPr="00D94316">
        <w:lastRenderedPageBreak/>
        <w:t>Opportunity to thrive</w:t>
      </w:r>
      <w:bookmarkEnd w:id="16"/>
      <w:bookmarkEnd w:id="17"/>
    </w:p>
    <w:p w14:paraId="7377B1FF" w14:textId="77777777" w:rsidR="00247959" w:rsidRDefault="00247959" w:rsidP="00354AA1">
      <w:pPr>
        <w:jc w:val="both"/>
      </w:pPr>
      <w:r>
        <w:t>The opportunity to thrive is another overarching theme that informs my work. This involves</w:t>
      </w:r>
      <w:r w:rsidRPr="00970985">
        <w:t xml:space="preserve"> </w:t>
      </w:r>
      <w:r>
        <w:t>promoting</w:t>
      </w:r>
      <w:r w:rsidRPr="00B01357">
        <w:t xml:space="preserve"> the health and wellbeing of all children</w:t>
      </w:r>
      <w:r>
        <w:t xml:space="preserve"> and young people</w:t>
      </w:r>
      <w:r w:rsidRPr="00B01357">
        <w:t xml:space="preserve"> in Australia</w:t>
      </w:r>
      <w:r>
        <w:t xml:space="preserve"> and in particular </w:t>
      </w:r>
      <w:r w:rsidRPr="00970985">
        <w:t xml:space="preserve">addressing the unequal life opportunities that exist for vulnerable groups of children and young people. </w:t>
      </w:r>
    </w:p>
    <w:p w14:paraId="51F47DD8" w14:textId="77777777" w:rsidR="00247959" w:rsidRDefault="00247959" w:rsidP="00354AA1">
      <w:pPr>
        <w:jc w:val="both"/>
      </w:pPr>
      <w:r>
        <w:t xml:space="preserve">Children who experience poverty, abuse, marginalisation and discrimination are the most likely to encounter barriers to realising their rights. </w:t>
      </w:r>
    </w:p>
    <w:p w14:paraId="2B8CAB33" w14:textId="77777777" w:rsidR="00247959" w:rsidRPr="00247959" w:rsidRDefault="00247959" w:rsidP="00354AA1">
      <w:pPr>
        <w:jc w:val="both"/>
      </w:pPr>
      <w:r>
        <w:t>In my work, I pay particular attention to promoting the rights of these children.</w:t>
      </w:r>
    </w:p>
    <w:p w14:paraId="4E90944D" w14:textId="77777777" w:rsidR="00D94316" w:rsidRDefault="00D94316" w:rsidP="00354AA1">
      <w:pPr>
        <w:pStyle w:val="Heading3"/>
        <w:jc w:val="both"/>
      </w:pPr>
      <w:bookmarkStart w:id="18" w:name="_Toc430767453"/>
      <w:r w:rsidRPr="00D94316">
        <w:t>Protecting the rights of children in need of care and protection</w:t>
      </w:r>
      <w:bookmarkEnd w:id="18"/>
    </w:p>
    <w:p w14:paraId="1B962079" w14:textId="233177E2" w:rsidR="00247959" w:rsidRDefault="00247959" w:rsidP="00354AA1">
      <w:pPr>
        <w:jc w:val="both"/>
      </w:pPr>
      <w:r w:rsidRPr="009228A5">
        <w:t xml:space="preserve">The latest information from </w:t>
      </w:r>
      <w:r>
        <w:t xml:space="preserve">the </w:t>
      </w:r>
      <w:r w:rsidRPr="009228A5">
        <w:t>A</w:t>
      </w:r>
      <w:r>
        <w:t xml:space="preserve">ustralian Institute of Health and Welfare </w:t>
      </w:r>
      <w:r w:rsidRPr="009228A5">
        <w:t xml:space="preserve">indicates that </w:t>
      </w:r>
      <w:r>
        <w:t>during 2013-</w:t>
      </w:r>
      <w:r w:rsidRPr="009228A5">
        <w:t xml:space="preserve">14, there were </w:t>
      </w:r>
      <w:r w:rsidRPr="00FA0A30">
        <w:t>51,539</w:t>
      </w:r>
      <w:r>
        <w:t xml:space="preserve"> </w:t>
      </w:r>
      <w:r w:rsidRPr="009228A5">
        <w:t xml:space="preserve">children </w:t>
      </w:r>
      <w:r>
        <w:t>in out-of-home care</w:t>
      </w:r>
      <w:r w:rsidRPr="009228A5">
        <w:t>.</w:t>
      </w:r>
      <w:r>
        <w:rPr>
          <w:rStyle w:val="EndnoteReference"/>
        </w:rPr>
        <w:endnoteReference w:id="12"/>
      </w:r>
      <w:r w:rsidRPr="009228A5">
        <w:t xml:space="preserve"> </w:t>
      </w:r>
      <w:r>
        <w:t>Nationally, the rate of children in out-of-home care rose from 7.1 per 1,000 children in 2010 to 8.1 per 1,000</w:t>
      </w:r>
      <w:r w:rsidRPr="00D45F33">
        <w:t xml:space="preserve"> </w:t>
      </w:r>
      <w:r>
        <w:t>children in 2014.</w:t>
      </w:r>
      <w:r>
        <w:rPr>
          <w:rStyle w:val="EndnoteReference"/>
        </w:rPr>
        <w:endnoteReference w:id="13"/>
      </w:r>
    </w:p>
    <w:p w14:paraId="696874E8" w14:textId="77777777" w:rsidR="00247959" w:rsidRPr="009228A5" w:rsidRDefault="00247959" w:rsidP="00354AA1">
      <w:pPr>
        <w:jc w:val="both"/>
      </w:pPr>
      <w:r>
        <w:t xml:space="preserve">The number of children who were the subject of substantiated reports of child abuse or neglect has also increased over time. In 2013-14, </w:t>
      </w:r>
      <w:r w:rsidRPr="004E4C53">
        <w:t xml:space="preserve">40,844 </w:t>
      </w:r>
      <w:r>
        <w:t>children were the subjects of substantiated reports, an increase of 31% from 31,295 in 2009-10.</w:t>
      </w:r>
      <w:r>
        <w:rPr>
          <w:rStyle w:val="EndnoteReference"/>
        </w:rPr>
        <w:endnoteReference w:id="14"/>
      </w:r>
    </w:p>
    <w:p w14:paraId="6759D5E6" w14:textId="3FF1A718" w:rsidR="00247959" w:rsidRPr="009228A5" w:rsidRDefault="00247959" w:rsidP="00354AA1">
      <w:pPr>
        <w:jc w:val="both"/>
      </w:pPr>
      <w:r w:rsidRPr="009228A5">
        <w:t>As well as the difficult, often traumatic, circumstances that lead to children</w:t>
      </w:r>
      <w:r>
        <w:t xml:space="preserve"> and young people</w:t>
      </w:r>
      <w:r w:rsidRPr="009228A5">
        <w:t xml:space="preserve"> being removed from their families, </w:t>
      </w:r>
      <w:r>
        <w:t xml:space="preserve">many </w:t>
      </w:r>
      <w:r w:rsidRPr="009228A5">
        <w:t xml:space="preserve">children </w:t>
      </w:r>
      <w:r>
        <w:t xml:space="preserve">and young people </w:t>
      </w:r>
      <w:r w:rsidRPr="009228A5">
        <w:t xml:space="preserve">in out-of-home care also </w:t>
      </w:r>
      <w:r>
        <w:t>experience</w:t>
      </w:r>
      <w:r w:rsidRPr="009228A5">
        <w:t xml:space="preserve"> poorer life outcomes</w:t>
      </w:r>
      <w:r>
        <w:t xml:space="preserve"> than other children and young people, particularly</w:t>
      </w:r>
      <w:r w:rsidRPr="009228A5">
        <w:t xml:space="preserve"> in the areas of health, education and employment.</w:t>
      </w:r>
      <w:r>
        <w:rPr>
          <w:rStyle w:val="EndnoteReference"/>
        </w:rPr>
        <w:endnoteReference w:id="15"/>
      </w:r>
    </w:p>
    <w:p w14:paraId="7C6FCECA" w14:textId="77777777" w:rsidR="00247959" w:rsidRDefault="00247959" w:rsidP="00354AA1">
      <w:pPr>
        <w:jc w:val="both"/>
      </w:pPr>
      <w:r w:rsidRPr="009228A5">
        <w:t>In 2012, in their concluding observations</w:t>
      </w:r>
      <w:r w:rsidRPr="00664D6A">
        <w:t xml:space="preserve"> </w:t>
      </w:r>
      <w:r>
        <w:t>of</w:t>
      </w:r>
      <w:r w:rsidRPr="009228A5">
        <w:t xml:space="preserve"> Australia's progress under the Convention on the Rights of the Child, the </w:t>
      </w:r>
      <w:r>
        <w:t xml:space="preserve">United Nations </w:t>
      </w:r>
      <w:r w:rsidRPr="009228A5">
        <w:t xml:space="preserve">Committee on the Rights of the Child strongly critiqued Australia’s performance in the area of out-of-home care. The </w:t>
      </w:r>
      <w:r>
        <w:t>C</w:t>
      </w:r>
      <w:r w:rsidRPr="009228A5">
        <w:t xml:space="preserve">ommittee </w:t>
      </w:r>
      <w:r>
        <w:t xml:space="preserve">specifically </w:t>
      </w:r>
      <w:r w:rsidRPr="009228A5">
        <w:t>raised concerns about the increasing number of children placed in care and the absence of data documenting the criteria and processes leading to these placements.</w:t>
      </w:r>
      <w:r>
        <w:rPr>
          <w:rStyle w:val="EndnoteReference"/>
        </w:rPr>
        <w:endnoteReference w:id="16"/>
      </w:r>
      <w:r w:rsidRPr="009228A5">
        <w:t xml:space="preserve"> It also recommended measures to strengthen programs for family support by targeting the most vulnerable families.</w:t>
      </w:r>
      <w:r>
        <w:rPr>
          <w:rStyle w:val="EndnoteReference"/>
        </w:rPr>
        <w:endnoteReference w:id="17"/>
      </w:r>
    </w:p>
    <w:p w14:paraId="685D0D59" w14:textId="77777777" w:rsidR="00247959" w:rsidRPr="00247959" w:rsidRDefault="00247959" w:rsidP="00354AA1">
      <w:pPr>
        <w:spacing w:after="120"/>
        <w:jc w:val="both"/>
        <w:rPr>
          <w:b/>
        </w:rPr>
      </w:pPr>
      <w:r w:rsidRPr="00247959">
        <w:rPr>
          <w:b/>
        </w:rPr>
        <w:t>Membership of the National Forum for Protecting Australia’s Children under the National Framework for Protecting Australia’s Children</w:t>
      </w:r>
    </w:p>
    <w:p w14:paraId="54D5F3CF" w14:textId="6F57443C" w:rsidR="00247959" w:rsidRDefault="00247959" w:rsidP="00354AA1">
      <w:pPr>
        <w:jc w:val="both"/>
      </w:pPr>
      <w:r w:rsidRPr="009228A5">
        <w:t xml:space="preserve">Much of the </w:t>
      </w:r>
      <w:r>
        <w:t xml:space="preserve">national </w:t>
      </w:r>
      <w:r w:rsidRPr="009228A5">
        <w:t xml:space="preserve">work </w:t>
      </w:r>
      <w:r>
        <w:t xml:space="preserve">relating to improving </w:t>
      </w:r>
      <w:r w:rsidRPr="009228A5">
        <w:t xml:space="preserve">out-of-home care is </w:t>
      </w:r>
      <w:r>
        <w:t>being completed</w:t>
      </w:r>
      <w:r w:rsidRPr="009228A5">
        <w:t xml:space="preserve"> under the remit of the National Framework</w:t>
      </w:r>
      <w:r>
        <w:t xml:space="preserve">. </w:t>
      </w:r>
    </w:p>
    <w:p w14:paraId="2EF73C4B" w14:textId="77777777" w:rsidR="00247959" w:rsidRDefault="00247959" w:rsidP="00354AA1">
      <w:pPr>
        <w:jc w:val="both"/>
      </w:pPr>
      <w:r>
        <w:t>As</w:t>
      </w:r>
      <w:r w:rsidRPr="00783F7F">
        <w:t xml:space="preserve"> a member of the </w:t>
      </w:r>
      <w:r w:rsidRPr="007C62D6">
        <w:t>National Forum for Protecting Australia’s Children</w:t>
      </w:r>
      <w:r>
        <w:t>, I am an active advocate for children and young people involved with care and protection systems. My work with the Department of Social Services in directly seeking the views of children and young people with an out-of-home care experience in the development of the Third Action Plan associated with the National Framework is detailed earlier in this chapter.</w:t>
      </w:r>
    </w:p>
    <w:p w14:paraId="5DD0D8E5" w14:textId="77777777" w:rsidR="00247959" w:rsidRPr="00247959" w:rsidRDefault="00247959" w:rsidP="00354AA1">
      <w:pPr>
        <w:spacing w:after="120"/>
        <w:jc w:val="both"/>
        <w:rPr>
          <w:b/>
        </w:rPr>
      </w:pPr>
      <w:r w:rsidRPr="00247959">
        <w:rPr>
          <w:b/>
        </w:rPr>
        <w:t>Senate Community Affairs References Committee inquiry into out-of-home care</w:t>
      </w:r>
    </w:p>
    <w:p w14:paraId="301DA641" w14:textId="77777777" w:rsidR="00247959" w:rsidRPr="009228A5" w:rsidRDefault="00247959" w:rsidP="00354AA1">
      <w:pPr>
        <w:jc w:val="both"/>
      </w:pPr>
      <w:r>
        <w:lastRenderedPageBreak/>
        <w:t xml:space="preserve">In February 2015, </w:t>
      </w:r>
      <w:r w:rsidRPr="009228A5">
        <w:t>I appeared and gave evidence at a public hearing of the</w:t>
      </w:r>
      <w:r>
        <w:t xml:space="preserve"> </w:t>
      </w:r>
      <w:r w:rsidRPr="004B7714">
        <w:t>Senate Community Affairs References Committee inquiry into out-of-home care. The</w:t>
      </w:r>
      <w:r w:rsidRPr="000A4002">
        <w:t xml:space="preserve"> focus of this inquiry was </w:t>
      </w:r>
      <w:r>
        <w:t>to look at the reasons behind</w:t>
      </w:r>
      <w:r w:rsidRPr="009228A5">
        <w:t xml:space="preserve"> increasing numbers of children </w:t>
      </w:r>
      <w:r>
        <w:t xml:space="preserve">being </w:t>
      </w:r>
      <w:r w:rsidRPr="009228A5">
        <w:t>placed in</w:t>
      </w:r>
      <w:r>
        <w:t>to</w:t>
      </w:r>
      <w:r w:rsidRPr="009228A5">
        <w:t xml:space="preserve"> out-of-home care</w:t>
      </w:r>
      <w:r>
        <w:t xml:space="preserve">; </w:t>
      </w:r>
      <w:r w:rsidRPr="009228A5">
        <w:t>outcomes for children in out-of-home care</w:t>
      </w:r>
      <w:r>
        <w:t>;</w:t>
      </w:r>
      <w:r w:rsidRPr="009228A5">
        <w:t xml:space="preserve"> ways of improving the current models and practices in out-of-home care</w:t>
      </w:r>
      <w:r>
        <w:t>; and opportunities for early intervention</w:t>
      </w:r>
      <w:r w:rsidRPr="009228A5">
        <w:t xml:space="preserve">. </w:t>
      </w:r>
    </w:p>
    <w:p w14:paraId="7C7FD604" w14:textId="77777777" w:rsidR="00247959" w:rsidRDefault="00247959" w:rsidP="00354AA1">
      <w:pPr>
        <w:jc w:val="both"/>
      </w:pPr>
      <w:r>
        <w:t xml:space="preserve">In giving evidence, I drew attention to the lack of permanency, stability and high quality support for many children in out-of-home care and </w:t>
      </w:r>
      <w:r w:rsidRPr="009228A5">
        <w:t xml:space="preserve">the need for more </w:t>
      </w:r>
      <w:r w:rsidRPr="000A4002">
        <w:t>effective early intervention and prevention programs</w:t>
      </w:r>
      <w:r>
        <w:t xml:space="preserve">. </w:t>
      </w:r>
      <w:r w:rsidRPr="009228A5">
        <w:t>Since</w:t>
      </w:r>
      <w:r w:rsidRPr="009228A5">
        <w:rPr>
          <w:b/>
        </w:rPr>
        <w:t xml:space="preserve"> </w:t>
      </w:r>
      <w:r w:rsidRPr="009228A5">
        <w:t>my first report to Parliament in 2013</w:t>
      </w:r>
      <w:r>
        <w:t>,</w:t>
      </w:r>
      <w:r w:rsidRPr="009228A5">
        <w:t xml:space="preserve"> I have consistently drawn attention to the lack of </w:t>
      </w:r>
      <w:r>
        <w:t xml:space="preserve">evidence-based </w:t>
      </w:r>
      <w:r w:rsidRPr="009228A5">
        <w:t>early intervention services for vulnerable families</w:t>
      </w:r>
      <w:r>
        <w:t xml:space="preserve"> across the country</w:t>
      </w:r>
      <w:r w:rsidRPr="009228A5">
        <w:t xml:space="preserve">. </w:t>
      </w:r>
    </w:p>
    <w:p w14:paraId="01E1B4B3" w14:textId="390BFD14" w:rsidR="00042C8A" w:rsidRDefault="00042C8A" w:rsidP="00354AA1">
      <w:pPr>
        <w:jc w:val="both"/>
      </w:pPr>
      <w:r>
        <w:t>Building and supporting safe, resilient families where children can grow and thrive is fundamental to ensuring children’s rights are upheld. It will also stem further growth of out-of-home care and interrupt the cycle of intergenerational disadvantage.</w:t>
      </w:r>
    </w:p>
    <w:p w14:paraId="3B89237A" w14:textId="7C9FB29C" w:rsidR="00247959" w:rsidRDefault="00247959" w:rsidP="00354AA1">
      <w:pPr>
        <w:jc w:val="both"/>
      </w:pPr>
      <w:r>
        <w:t xml:space="preserve">The </w:t>
      </w:r>
      <w:r w:rsidR="00042C8A">
        <w:t xml:space="preserve">Senate </w:t>
      </w:r>
      <w:r w:rsidR="007E63C4">
        <w:t>C</w:t>
      </w:r>
      <w:r>
        <w:t xml:space="preserve">ommittee released its final report in August </w:t>
      </w:r>
      <w:r w:rsidR="00042C8A">
        <w:t>2015</w:t>
      </w:r>
      <w:r>
        <w:rPr>
          <w:rStyle w:val="EndnoteReference"/>
        </w:rPr>
        <w:endnoteReference w:id="18"/>
      </w:r>
      <w:r w:rsidR="00CA4B7A">
        <w:t xml:space="preserve"> and</w:t>
      </w:r>
      <w:r>
        <w:t xml:space="preserve"> I am very pleased </w:t>
      </w:r>
      <w:r w:rsidR="00CA4B7A">
        <w:t>its</w:t>
      </w:r>
      <w:r>
        <w:t xml:space="preserve"> findings and recommendations seek to promote a child-centred approach to out-of-home care in Australia. </w:t>
      </w:r>
    </w:p>
    <w:p w14:paraId="1722CD19" w14:textId="77777777" w:rsidR="00247959" w:rsidRPr="00247959" w:rsidRDefault="00247959" w:rsidP="00354AA1">
      <w:pPr>
        <w:spacing w:after="120"/>
        <w:jc w:val="both"/>
        <w:rPr>
          <w:b/>
        </w:rPr>
      </w:pPr>
      <w:r w:rsidRPr="00247959">
        <w:rPr>
          <w:b/>
        </w:rPr>
        <w:t>The Royal Commission into Institutional Responses to Child Sexual Abuse</w:t>
      </w:r>
    </w:p>
    <w:p w14:paraId="2D230064" w14:textId="77777777" w:rsidR="00247959" w:rsidRPr="009228A5" w:rsidRDefault="00247959" w:rsidP="00354AA1">
      <w:pPr>
        <w:jc w:val="both"/>
      </w:pPr>
      <w:r w:rsidRPr="002C4F5E">
        <w:t>The Royal Commission into Institutional Responses to Child Sexual Abuse (the Royal Commission)</w:t>
      </w:r>
      <w:r w:rsidRPr="009228A5">
        <w:t xml:space="preserve"> was </w:t>
      </w:r>
      <w:r>
        <w:t>established in 2012</w:t>
      </w:r>
      <w:r w:rsidRPr="009228A5">
        <w:t xml:space="preserve"> to investigate</w:t>
      </w:r>
      <w:r>
        <w:t xml:space="preserve"> the</w:t>
      </w:r>
      <w:r w:rsidRPr="009228A5">
        <w:t xml:space="preserve"> sexual abuse of ch</w:t>
      </w:r>
      <w:r>
        <w:t xml:space="preserve">ildren within private, public and non-government institutions. </w:t>
      </w:r>
    </w:p>
    <w:p w14:paraId="32D2BAAB" w14:textId="77777777" w:rsidR="00247959" w:rsidRPr="009228A5" w:rsidRDefault="00247959" w:rsidP="00354AA1">
      <w:pPr>
        <w:jc w:val="both"/>
      </w:pPr>
      <w:r w:rsidRPr="009228A5">
        <w:t xml:space="preserve">In July this year, I appeared before the Royal Commission </w:t>
      </w:r>
      <w:r>
        <w:t>as part of its</w:t>
      </w:r>
      <w:r w:rsidRPr="009228A5">
        <w:t xml:space="preserve"> inquiry into preventing child sexual abuse in out-of-home care.</w:t>
      </w:r>
    </w:p>
    <w:p w14:paraId="595010C1" w14:textId="77777777" w:rsidR="00247959" w:rsidRDefault="00247959" w:rsidP="00354AA1">
      <w:pPr>
        <w:jc w:val="both"/>
      </w:pPr>
      <w:r w:rsidRPr="009228A5">
        <w:t>At this appearance, I stressed the need for an enhanced evidence base through improved data collection</w:t>
      </w:r>
      <w:r w:rsidRPr="00814BC9">
        <w:t>.</w:t>
      </w:r>
      <w:r w:rsidRPr="006F56B5">
        <w:t xml:space="preserve"> </w:t>
      </w:r>
    </w:p>
    <w:p w14:paraId="6F9FA5C2" w14:textId="444F1DD9" w:rsidR="00247959" w:rsidRDefault="00247959" w:rsidP="00354AA1">
      <w:pPr>
        <w:jc w:val="both"/>
      </w:pPr>
      <w:r w:rsidRPr="009228A5">
        <w:t>In order to address the root causes of child abuse and neglect, there is a critical need for more comprehensive and standardised systems for t</w:t>
      </w:r>
      <w:r w:rsidR="009E4CF0">
        <w:t>he collection of national data.</w:t>
      </w:r>
    </w:p>
    <w:p w14:paraId="5AA70806" w14:textId="20EA6391" w:rsidR="00247959" w:rsidRPr="009228A5" w:rsidRDefault="00247959" w:rsidP="00354AA1">
      <w:pPr>
        <w:jc w:val="both"/>
        <w:rPr>
          <w:vertAlign w:val="superscript"/>
        </w:rPr>
      </w:pPr>
      <w:r>
        <w:t>While</w:t>
      </w:r>
      <w:r w:rsidRPr="009228A5">
        <w:t xml:space="preserve"> there is some </w:t>
      </w:r>
      <w:r>
        <w:t>information</w:t>
      </w:r>
      <w:r w:rsidRPr="009228A5">
        <w:t xml:space="preserve"> on </w:t>
      </w:r>
      <w:r>
        <w:t>reports</w:t>
      </w:r>
      <w:r w:rsidRPr="009228A5">
        <w:t xml:space="preserve"> of children </w:t>
      </w:r>
      <w:r>
        <w:t xml:space="preserve">abused </w:t>
      </w:r>
      <w:r w:rsidRPr="009228A5">
        <w:t xml:space="preserve">in out-of-home care, data collection practices </w:t>
      </w:r>
      <w:r>
        <w:t xml:space="preserve">differ </w:t>
      </w:r>
      <w:r w:rsidRPr="009228A5">
        <w:t>across the state and territory jurisdictions.</w:t>
      </w:r>
      <w:r w:rsidRPr="007E63C4">
        <w:rPr>
          <w:sz w:val="20"/>
          <w:szCs w:val="20"/>
          <w:vertAlign w:val="superscript"/>
        </w:rPr>
        <w:endnoteReference w:id="19"/>
      </w:r>
    </w:p>
    <w:p w14:paraId="54EBB475" w14:textId="77777777" w:rsidR="00247959" w:rsidRPr="00A34DC5" w:rsidRDefault="00247959" w:rsidP="00354AA1">
      <w:pPr>
        <w:jc w:val="both"/>
      </w:pPr>
      <w:r w:rsidRPr="009228A5">
        <w:t xml:space="preserve">I also highlighted to the Royal Commission the importance of </w:t>
      </w:r>
      <w:r w:rsidRPr="004B7714">
        <w:t>strengthened oversight mechanisms to enhance accountability. Greater efforts sh</w:t>
      </w:r>
      <w:r>
        <w:t>ould</w:t>
      </w:r>
      <w:r w:rsidRPr="009228A5">
        <w:t xml:space="preserve"> be made to develop child-centred oversight systems within out-of-h</w:t>
      </w:r>
      <w:r>
        <w:t>ome care,</w:t>
      </w:r>
      <w:r w:rsidRPr="009228A5">
        <w:t xml:space="preserve"> </w:t>
      </w:r>
      <w:r>
        <w:t xml:space="preserve">including </w:t>
      </w:r>
      <w:r w:rsidRPr="009228A5">
        <w:t>external monitoring and child-f</w:t>
      </w:r>
      <w:r>
        <w:t xml:space="preserve">riendly complaints mechanisms. </w:t>
      </w:r>
    </w:p>
    <w:p w14:paraId="7176C404" w14:textId="77777777" w:rsidR="00247959" w:rsidRDefault="00247959" w:rsidP="00354AA1">
      <w:pPr>
        <w:jc w:val="both"/>
      </w:pPr>
      <w:r>
        <w:t xml:space="preserve">In addition, the Royal Commission consulted with me in private sessions </w:t>
      </w:r>
      <w:r w:rsidRPr="009228A5">
        <w:t>on ways to improve working with children checks</w:t>
      </w:r>
      <w:r>
        <w:t xml:space="preserve"> to deliver greater consistency across jurisdictions</w:t>
      </w:r>
      <w:r w:rsidRPr="009228A5">
        <w:t>. The Royal Commission’s report</w:t>
      </w:r>
      <w:r>
        <w:t xml:space="preserve"> </w:t>
      </w:r>
      <w:r w:rsidRPr="009228A5">
        <w:t>on this issue was publically released in August 2015</w:t>
      </w:r>
      <w:r>
        <w:t xml:space="preserve"> and made 36 recommendations.</w:t>
      </w:r>
      <w:r>
        <w:rPr>
          <w:rStyle w:val="EndnoteReference"/>
        </w:rPr>
        <w:endnoteReference w:id="20"/>
      </w:r>
    </w:p>
    <w:p w14:paraId="744AD3A6" w14:textId="77777777" w:rsidR="00247959" w:rsidRPr="00442634" w:rsidRDefault="00247959" w:rsidP="00354AA1">
      <w:pPr>
        <w:spacing w:after="120"/>
        <w:jc w:val="both"/>
        <w:rPr>
          <w:b/>
        </w:rPr>
      </w:pPr>
      <w:r w:rsidRPr="00442634">
        <w:rPr>
          <w:b/>
        </w:rPr>
        <w:t xml:space="preserve">Identity documents for children and young people in out-of-home care </w:t>
      </w:r>
    </w:p>
    <w:p w14:paraId="75A66D6E" w14:textId="77777777" w:rsidR="00247959" w:rsidRDefault="00247959" w:rsidP="00354AA1">
      <w:pPr>
        <w:jc w:val="both"/>
      </w:pPr>
      <w:r w:rsidRPr="00823037">
        <w:lastRenderedPageBreak/>
        <w:t xml:space="preserve">Foster </w:t>
      </w:r>
      <w:r>
        <w:t xml:space="preserve">and kinship </w:t>
      </w:r>
      <w:r w:rsidRPr="00823037">
        <w:t xml:space="preserve">carers often experience difficulties in </w:t>
      </w:r>
      <w:r>
        <w:t>obtain</w:t>
      </w:r>
      <w:r w:rsidRPr="00823037">
        <w:t>ing timely access to identity documents</w:t>
      </w:r>
      <w:r>
        <w:t xml:space="preserve">, such as Medicare cards and passports, </w:t>
      </w:r>
      <w:r w:rsidRPr="00823037">
        <w:t>for the children and young people in their care.</w:t>
      </w:r>
      <w:r>
        <w:t xml:space="preserve"> </w:t>
      </w:r>
    </w:p>
    <w:p w14:paraId="0CC104FB" w14:textId="77777777" w:rsidR="00247959" w:rsidRDefault="00247959" w:rsidP="00354AA1">
      <w:pPr>
        <w:jc w:val="both"/>
      </w:pPr>
      <w:r>
        <w:t>Aboriginal and Torres Strait Islander children and young people can face additional hurdles with different Commonwealth agencies requiring different sets of documents as proof of identity.</w:t>
      </w:r>
      <w:r w:rsidRPr="00823037">
        <w:t xml:space="preserve"> </w:t>
      </w:r>
    </w:p>
    <w:p w14:paraId="63E8D9F0" w14:textId="7DFFFEFE" w:rsidR="00247959" w:rsidRDefault="00247959" w:rsidP="00354AA1">
      <w:pPr>
        <w:jc w:val="both"/>
      </w:pPr>
      <w:r>
        <w:t>T</w:t>
      </w:r>
      <w:r w:rsidRPr="009228A5">
        <w:t xml:space="preserve">he differential treatment </w:t>
      </w:r>
      <w:r>
        <w:t>created by the</w:t>
      </w:r>
      <w:r w:rsidRPr="009228A5">
        <w:t xml:space="preserve"> lack of identity documents significantly </w:t>
      </w:r>
      <w:r w:rsidR="0086587F">
        <w:t>a</w:t>
      </w:r>
      <w:r>
        <w:t xml:space="preserve">ffects a child’s </w:t>
      </w:r>
      <w:r w:rsidRPr="009228A5">
        <w:t>sense of identity and belonging</w:t>
      </w:r>
      <w:r>
        <w:t>;</w:t>
      </w:r>
      <w:r w:rsidRPr="009228A5">
        <w:t xml:space="preserve"> and the quality of their relationships with their carers. </w:t>
      </w:r>
    </w:p>
    <w:p w14:paraId="76FDB456" w14:textId="77777777" w:rsidR="00247959" w:rsidRDefault="00247959" w:rsidP="00354AA1">
      <w:pPr>
        <w:jc w:val="both"/>
      </w:pPr>
      <w:r>
        <w:t xml:space="preserve">It may also impact on </w:t>
      </w:r>
      <w:r w:rsidRPr="009228A5">
        <w:t>accessing healt</w:t>
      </w:r>
      <w:r>
        <w:t>h services through Medicare, enrolling in school</w:t>
      </w:r>
      <w:r w:rsidRPr="009228A5">
        <w:t>, undertaking international travel and missing out on other important opportunities.</w:t>
      </w:r>
    </w:p>
    <w:p w14:paraId="7DFC3383" w14:textId="77777777" w:rsidR="00247959" w:rsidRPr="009228A5" w:rsidRDefault="00247959" w:rsidP="00354AA1">
      <w:pPr>
        <w:jc w:val="both"/>
      </w:pPr>
      <w:r>
        <w:t>Article 8 in</w:t>
      </w:r>
      <w:r w:rsidRPr="009228A5">
        <w:t xml:space="preserve"> the Convent</w:t>
      </w:r>
      <w:r>
        <w:t>ion on the Rights of the Child</w:t>
      </w:r>
      <w:r w:rsidRPr="009228A5">
        <w:t xml:space="preserve"> </w:t>
      </w:r>
      <w:r>
        <w:t xml:space="preserve">states: </w:t>
      </w:r>
    </w:p>
    <w:p w14:paraId="4F511490" w14:textId="46B7B1B7" w:rsidR="00247959" w:rsidRPr="005E188A" w:rsidRDefault="000B25CA" w:rsidP="00354AA1">
      <w:pPr>
        <w:ind w:left="720"/>
        <w:jc w:val="both"/>
        <w:rPr>
          <w:sz w:val="22"/>
          <w:szCs w:val="20"/>
        </w:rPr>
      </w:pPr>
      <w:r>
        <w:rPr>
          <w:sz w:val="22"/>
          <w:szCs w:val="20"/>
        </w:rPr>
        <w:t>w</w:t>
      </w:r>
      <w:r w:rsidR="00247959" w:rsidRPr="005E188A">
        <w:rPr>
          <w:sz w:val="22"/>
          <w:szCs w:val="20"/>
        </w:rPr>
        <w:t>here a child is illegally deprived of some or all of the elements of his or her identity, States Parties shall provide appropriate assistance and protection, with a view to re-establishing speedily his or her identity.</w:t>
      </w:r>
      <w:r w:rsidR="00247959" w:rsidRPr="005E188A">
        <w:rPr>
          <w:rStyle w:val="EndnoteReference"/>
          <w:sz w:val="22"/>
          <w:szCs w:val="20"/>
        </w:rPr>
        <w:endnoteReference w:id="21"/>
      </w:r>
    </w:p>
    <w:p w14:paraId="748EA868" w14:textId="53ED69E4" w:rsidR="00247959" w:rsidRPr="0099744E" w:rsidRDefault="00247959" w:rsidP="00354AA1">
      <w:pPr>
        <w:jc w:val="both"/>
        <w:rPr>
          <w:b/>
        </w:rPr>
      </w:pPr>
      <w:r w:rsidRPr="009228A5">
        <w:t xml:space="preserve">As part of my advocacy on this </w:t>
      </w:r>
      <w:r>
        <w:t>matter</w:t>
      </w:r>
      <w:r w:rsidRPr="009228A5">
        <w:t xml:space="preserve"> I have written to both the Minister for Social Services and the Chair of Senate Community Affairs References Committee, encouraging both the Minister and the Senate Committee to take active steps to ameliorate this issue.</w:t>
      </w:r>
      <w:r>
        <w:t xml:space="preserve"> </w:t>
      </w:r>
      <w:r w:rsidR="0086587F">
        <w:t xml:space="preserve">Children’s </w:t>
      </w:r>
      <w:r>
        <w:t>Commissioner</w:t>
      </w:r>
      <w:r w:rsidR="0086587F">
        <w:t>s</w:t>
      </w:r>
      <w:r>
        <w:t>, Guardians and Advocates at the state and territory level are also working within their jurisdictions to ensure children in out-of-home care have improved access to identity documents.</w:t>
      </w:r>
    </w:p>
    <w:p w14:paraId="1FDFA4A8" w14:textId="77777777" w:rsidR="00247959" w:rsidRPr="00442634" w:rsidRDefault="00247959" w:rsidP="00354AA1">
      <w:pPr>
        <w:spacing w:after="120"/>
        <w:jc w:val="both"/>
        <w:rPr>
          <w:b/>
        </w:rPr>
      </w:pPr>
      <w:r w:rsidRPr="00442634">
        <w:rPr>
          <w:b/>
        </w:rPr>
        <w:t>Rights of children and young people in the justice system</w:t>
      </w:r>
    </w:p>
    <w:p w14:paraId="61BC72B5" w14:textId="28F7E028" w:rsidR="00247959" w:rsidRDefault="00247959" w:rsidP="00354AA1">
      <w:pPr>
        <w:jc w:val="both"/>
      </w:pPr>
      <w:r>
        <w:t>During 2014-15, as part of the collective work of the Australian Commissioners and Guardians Group (AC</w:t>
      </w:r>
      <w:r w:rsidR="000A239E">
        <w:t>G</w:t>
      </w:r>
      <w:r>
        <w:t>G), a model charter of rights for children and young people in the justice system</w:t>
      </w:r>
      <w:r w:rsidRPr="0040393A">
        <w:t xml:space="preserve"> </w:t>
      </w:r>
      <w:r>
        <w:t>was developed.</w:t>
      </w:r>
      <w:r>
        <w:rPr>
          <w:rStyle w:val="EndnoteReference"/>
        </w:rPr>
        <w:endnoteReference w:id="22"/>
      </w:r>
      <w:r>
        <w:t xml:space="preserve"> </w:t>
      </w:r>
    </w:p>
    <w:p w14:paraId="15897401" w14:textId="78410545" w:rsidR="00247959" w:rsidRDefault="00247959" w:rsidP="00354AA1">
      <w:pPr>
        <w:jc w:val="both"/>
      </w:pPr>
      <w:r>
        <w:t>At the May 2015 meeting of the AC</w:t>
      </w:r>
      <w:r w:rsidR="000A239E">
        <w:t>G</w:t>
      </w:r>
      <w:r>
        <w:t>G, state and terri</w:t>
      </w:r>
      <w:r w:rsidR="0086587F">
        <w:t xml:space="preserve">tory Children’s Commissioners, </w:t>
      </w:r>
      <w:r>
        <w:t xml:space="preserve">Guardians </w:t>
      </w:r>
      <w:r w:rsidR="0086587F">
        <w:t xml:space="preserve">and Advocates </w:t>
      </w:r>
      <w:r>
        <w:t>updated each other on actions taken within their jurisdictions to implement the charter. The AC</w:t>
      </w:r>
      <w:r w:rsidR="000A239E">
        <w:t>G</w:t>
      </w:r>
      <w:r>
        <w:t>G will continue to monitor implementation of, and compliance with, the charter.</w:t>
      </w:r>
    </w:p>
    <w:p w14:paraId="55341391" w14:textId="77777777" w:rsidR="00D94316" w:rsidRDefault="00D94316" w:rsidP="00354AA1">
      <w:pPr>
        <w:pStyle w:val="Heading3"/>
        <w:jc w:val="both"/>
      </w:pPr>
      <w:bookmarkStart w:id="19" w:name="_Toc430767454"/>
      <w:r w:rsidRPr="00D94316">
        <w:t>Promoting the rights of Aboriginal and Torres Strait Islander children and young people in the National Framework</w:t>
      </w:r>
      <w:bookmarkEnd w:id="19"/>
    </w:p>
    <w:p w14:paraId="49DF8D46" w14:textId="002BB522" w:rsidR="00442634" w:rsidRDefault="00442634" w:rsidP="00354AA1">
      <w:pPr>
        <w:jc w:val="both"/>
      </w:pPr>
      <w:r w:rsidRPr="009228A5">
        <w:t xml:space="preserve">In the 2012 review of Australia's progress under the Convention on the Rights of the Child, the United Nations Committee on the Rights of the Child raised numerous concerns about the situation of Aboriginal and Torres Strait Islander children in Australia. The </w:t>
      </w:r>
      <w:r w:rsidR="000B25CA">
        <w:t>C</w:t>
      </w:r>
      <w:r w:rsidRPr="009228A5">
        <w:t>ommittee noted</w:t>
      </w:r>
      <w:r>
        <w:t>:</w:t>
      </w:r>
    </w:p>
    <w:p w14:paraId="203B89FA" w14:textId="238FFEC9" w:rsidR="00442634" w:rsidRPr="005E188A" w:rsidRDefault="000B25CA" w:rsidP="00354AA1">
      <w:pPr>
        <w:ind w:left="720"/>
        <w:jc w:val="both"/>
        <w:rPr>
          <w:sz w:val="22"/>
        </w:rPr>
      </w:pPr>
      <w:r>
        <w:rPr>
          <w:sz w:val="22"/>
        </w:rPr>
        <w:t>t</w:t>
      </w:r>
      <w:r w:rsidR="00442634" w:rsidRPr="005E188A">
        <w:rPr>
          <w:sz w:val="22"/>
        </w:rPr>
        <w:t>he serious and widespread discrimination faced by Aboriginal and Torres Strait Islander children, including in terms of provision of and accessibility to basic services and significant over-representation in the criminal justice system and in out-of-home care.</w:t>
      </w:r>
      <w:r w:rsidR="00442634" w:rsidRPr="005E188A">
        <w:rPr>
          <w:rStyle w:val="EndnoteReference"/>
          <w:sz w:val="22"/>
        </w:rPr>
        <w:endnoteReference w:id="23"/>
      </w:r>
    </w:p>
    <w:p w14:paraId="2729039A" w14:textId="604BF3FE" w:rsidR="00442634" w:rsidRPr="009228A5" w:rsidRDefault="00442634" w:rsidP="00354AA1">
      <w:pPr>
        <w:jc w:val="both"/>
      </w:pPr>
      <w:r w:rsidRPr="009228A5">
        <w:lastRenderedPageBreak/>
        <w:t>In the three years since the Committee made this comment, there has been a regrettable lack of progress in addressing the systemic disadvantage experienced by Aboriginal and Torres Strait Islander children</w:t>
      </w:r>
      <w:r>
        <w:t xml:space="preserve"> and young people</w:t>
      </w:r>
      <w:r w:rsidRPr="009228A5">
        <w:t xml:space="preserve">. In 2013-14, the incarceration rate for </w:t>
      </w:r>
      <w:r w:rsidR="000B25CA" w:rsidRPr="009228A5">
        <w:t>Aboriginal and Torres Strait Islander</w:t>
      </w:r>
      <w:r w:rsidRPr="009228A5">
        <w:t xml:space="preserve"> children </w:t>
      </w:r>
      <w:r>
        <w:t xml:space="preserve">and young people </w:t>
      </w:r>
      <w:r w:rsidRPr="009228A5">
        <w:t xml:space="preserve">aged 10–17 </w:t>
      </w:r>
      <w:r w:rsidR="00016638">
        <w:t xml:space="preserve">years </w:t>
      </w:r>
      <w:r w:rsidRPr="009228A5">
        <w:t>in the juvenile justice system was 24 times higher than non-Indigenous children</w:t>
      </w:r>
      <w:r>
        <w:t xml:space="preserve"> and young people</w:t>
      </w:r>
      <w:r w:rsidRPr="009228A5">
        <w:t>,</w:t>
      </w:r>
      <w:r w:rsidRPr="009228A5">
        <w:rPr>
          <w:rStyle w:val="EndnoteReference"/>
        </w:rPr>
        <w:endnoteReference w:id="24"/>
      </w:r>
      <w:r w:rsidRPr="009228A5">
        <w:t xml:space="preserve"> and Aboriginal and Torres</w:t>
      </w:r>
      <w:r>
        <w:t xml:space="preserve"> Strait Islander children and young people were </w:t>
      </w:r>
      <w:r w:rsidR="00107C87">
        <w:t>9</w:t>
      </w:r>
      <w:r w:rsidRPr="009228A5">
        <w:t xml:space="preserve"> times more likely than non-Indigenous children </w:t>
      </w:r>
      <w:r>
        <w:t xml:space="preserve">and young people </w:t>
      </w:r>
      <w:r w:rsidRPr="009228A5">
        <w:t>to be in out-of-home care.</w:t>
      </w:r>
      <w:r w:rsidRPr="009228A5">
        <w:rPr>
          <w:rStyle w:val="EndnoteReference"/>
        </w:rPr>
        <w:endnoteReference w:id="25"/>
      </w:r>
      <w:r w:rsidRPr="009228A5">
        <w:t xml:space="preserve"> </w:t>
      </w:r>
    </w:p>
    <w:p w14:paraId="6B7C053B" w14:textId="2FF43CD2" w:rsidR="00442634" w:rsidRPr="009228A5" w:rsidRDefault="00442634" w:rsidP="00354AA1">
      <w:pPr>
        <w:jc w:val="both"/>
      </w:pPr>
      <w:r>
        <w:t>This year, a</w:t>
      </w:r>
      <w:r w:rsidRPr="009228A5">
        <w:t>s part of my involvement in the development of the Third Action Plan for the National Framework</w:t>
      </w:r>
      <w:r>
        <w:t xml:space="preserve"> and in collaboration with the Department of Social Services</w:t>
      </w:r>
      <w:r w:rsidRPr="009228A5">
        <w:t xml:space="preserve">, I </w:t>
      </w:r>
      <w:r>
        <w:t>co-chaired</w:t>
      </w:r>
      <w:r w:rsidRPr="00627B56">
        <w:t xml:space="preserve"> </w:t>
      </w:r>
      <w:r w:rsidRPr="009228A5">
        <w:t>an Indigenous Roundtable</w:t>
      </w:r>
      <w:r>
        <w:t xml:space="preserve"> </w:t>
      </w:r>
      <w:r w:rsidRPr="009228A5">
        <w:t xml:space="preserve">with Commissioner Mick Gooda. The aim of this roundtable was to ensure that </w:t>
      </w:r>
      <w:r>
        <w:t xml:space="preserve">a broad range of </w:t>
      </w:r>
      <w:r w:rsidRPr="009228A5">
        <w:t>perspectives from Aboriginal and Torres Strait Islander representatives were incorporated into the formulation of the Third Action Plan.</w:t>
      </w:r>
    </w:p>
    <w:p w14:paraId="0FE1A3EB" w14:textId="77777777" w:rsidR="00442634" w:rsidRPr="009228A5" w:rsidRDefault="00442634" w:rsidP="00354AA1">
      <w:pPr>
        <w:jc w:val="both"/>
      </w:pPr>
      <w:r w:rsidRPr="009228A5">
        <w:t>The roundtable was held in Sydney in May 2015 and was attended by approximately 25 participants. A focal point for discussion at the roundtable was the alarming over-representation of Aboriginal and Torres Strait Islander children in the child protection system and the need for genuine and meaningful engagement with Aboriginal and Torres Strait Islander communities and families to address this.</w:t>
      </w:r>
    </w:p>
    <w:p w14:paraId="5E5A2F08" w14:textId="77777777" w:rsidR="00442634" w:rsidRPr="00442634" w:rsidRDefault="00442634" w:rsidP="00354AA1">
      <w:pPr>
        <w:jc w:val="both"/>
      </w:pPr>
      <w:r w:rsidRPr="009228A5">
        <w:t xml:space="preserve">Commissioner Gooda and I </w:t>
      </w:r>
      <w:r>
        <w:t xml:space="preserve">will </w:t>
      </w:r>
      <w:r w:rsidRPr="009228A5">
        <w:t xml:space="preserve">continue to </w:t>
      </w:r>
      <w:r>
        <w:t xml:space="preserve">work </w:t>
      </w:r>
      <w:r w:rsidRPr="009228A5">
        <w:t>with the Department of Social Services on ways to prioritise the rights and needs of Aboriginal and Torres Strait Islander children in the Third Action Plan for the National Framework.</w:t>
      </w:r>
    </w:p>
    <w:p w14:paraId="44CB3CBE" w14:textId="77777777" w:rsidR="00D94316" w:rsidRDefault="00D94316" w:rsidP="00354AA1">
      <w:pPr>
        <w:pStyle w:val="Heading2"/>
        <w:jc w:val="both"/>
      </w:pPr>
      <w:bookmarkStart w:id="20" w:name="_Toc430767455"/>
      <w:bookmarkStart w:id="21" w:name="_Toc432577303"/>
      <w:r w:rsidRPr="00D94316">
        <w:t>Engaged citizenship</w:t>
      </w:r>
      <w:bookmarkEnd w:id="20"/>
      <w:bookmarkEnd w:id="21"/>
    </w:p>
    <w:p w14:paraId="43E62202" w14:textId="77777777" w:rsidR="00442634" w:rsidRDefault="00442634" w:rsidP="00354AA1">
      <w:pPr>
        <w:jc w:val="both"/>
      </w:pPr>
      <w:r>
        <w:t xml:space="preserve">One of my statutory responsibilities is to </w:t>
      </w:r>
      <w:r w:rsidRPr="006863C3">
        <w:t xml:space="preserve">promote discussion and </w:t>
      </w:r>
      <w:r>
        <w:t xml:space="preserve">raise </w:t>
      </w:r>
      <w:r w:rsidRPr="006863C3">
        <w:t>awareness of matters relating to the human rights of children in Australia</w:t>
      </w:r>
      <w:r>
        <w:t>.</w:t>
      </w:r>
    </w:p>
    <w:p w14:paraId="6EB39086" w14:textId="77777777" w:rsidR="00442634" w:rsidRDefault="00442634" w:rsidP="00354AA1">
      <w:pPr>
        <w:jc w:val="both"/>
      </w:pPr>
      <w:r>
        <w:t>As well as raising awareness of children’s rights broadly in all the work that I do, I promote</w:t>
      </w:r>
      <w:r w:rsidRPr="001F172B">
        <w:t xml:space="preserve"> knowledge </w:t>
      </w:r>
      <w:r>
        <w:t xml:space="preserve">of children’s rights </w:t>
      </w:r>
      <w:r w:rsidRPr="008F3577">
        <w:t>amongst children and young people</w:t>
      </w:r>
      <w:r>
        <w:t xml:space="preserve"> through my engagement with schools and youth groups. </w:t>
      </w:r>
    </w:p>
    <w:p w14:paraId="79BC50CC" w14:textId="07FBAA7E" w:rsidR="00442634" w:rsidRPr="00442634" w:rsidRDefault="00442634" w:rsidP="00354AA1">
      <w:pPr>
        <w:jc w:val="both"/>
      </w:pPr>
      <w:r>
        <w:t>I also make presentations at conferences and forums, and prepare or contribute to submissions to government inquiries</w:t>
      </w:r>
      <w:r w:rsidR="002E7FD6">
        <w:t>,</w:t>
      </w:r>
      <w:r>
        <w:t xml:space="preserve"> which promote awareness of, respect for and the protection of children’s rights.</w:t>
      </w:r>
    </w:p>
    <w:p w14:paraId="4874A682" w14:textId="77777777" w:rsidR="00D94316" w:rsidRDefault="00D94316" w:rsidP="00354AA1">
      <w:pPr>
        <w:pStyle w:val="Heading3"/>
        <w:jc w:val="both"/>
      </w:pPr>
      <w:bookmarkStart w:id="22" w:name="_Toc430767456"/>
      <w:r w:rsidRPr="00D94316">
        <w:t>Co-presenting with a young person to Australian Public Service employees</w:t>
      </w:r>
      <w:bookmarkEnd w:id="22"/>
    </w:p>
    <w:p w14:paraId="3E24A191" w14:textId="77777777" w:rsidR="00442634" w:rsidRPr="00783F7F" w:rsidRDefault="00442634" w:rsidP="00354AA1">
      <w:pPr>
        <w:jc w:val="both"/>
      </w:pPr>
      <w:r w:rsidRPr="00783F7F">
        <w:t xml:space="preserve">In February 2015, I </w:t>
      </w:r>
      <w:r>
        <w:t xml:space="preserve">addressed </w:t>
      </w:r>
      <w:r w:rsidRPr="00783F7F">
        <w:t>Australian Public Service employees about the ways that the public service can champion children’s rights</w:t>
      </w:r>
      <w:r>
        <w:t>, as part of the broader program of human rights education offered by the Australian Human Rights Commission</w:t>
      </w:r>
      <w:r w:rsidRPr="00783F7F">
        <w:t xml:space="preserve">. </w:t>
      </w:r>
    </w:p>
    <w:p w14:paraId="1E571770" w14:textId="77777777" w:rsidR="00442634" w:rsidRPr="00783F7F" w:rsidRDefault="00442634" w:rsidP="00354AA1">
      <w:pPr>
        <w:jc w:val="both"/>
      </w:pPr>
      <w:r w:rsidRPr="00783F7F">
        <w:t>As part of this event, I invited a youth representative from the CREATE Foundation, the peak body representing children and young people living in out-of-home care</w:t>
      </w:r>
      <w:r>
        <w:t>,</w:t>
      </w:r>
      <w:r w:rsidRPr="00783F7F">
        <w:t xml:space="preserve"> to co-present with me.</w:t>
      </w:r>
      <w:r>
        <w:t xml:space="preserve"> </w:t>
      </w:r>
    </w:p>
    <w:p w14:paraId="0E2ADC69" w14:textId="1670F178" w:rsidR="00442634" w:rsidRPr="00783F7F" w:rsidRDefault="00442634" w:rsidP="00354AA1">
      <w:pPr>
        <w:jc w:val="both"/>
      </w:pPr>
      <w:r>
        <w:lastRenderedPageBreak/>
        <w:t>The young person spoke</w:t>
      </w:r>
      <w:r w:rsidRPr="00783F7F">
        <w:t xml:space="preserve"> about her interactions with government agencies and ways to improve government services to children. In particular she pointed out the importance of having people who are willing to perse</w:t>
      </w:r>
      <w:r w:rsidR="007036A3">
        <w:t>vere and listen to young people:</w:t>
      </w:r>
    </w:p>
    <w:p w14:paraId="1D566EE1" w14:textId="05EC346E" w:rsidR="00442634" w:rsidRPr="005E188A" w:rsidRDefault="00442634" w:rsidP="00354AA1">
      <w:pPr>
        <w:ind w:left="720"/>
        <w:jc w:val="both"/>
        <w:rPr>
          <w:sz w:val="22"/>
          <w:szCs w:val="22"/>
        </w:rPr>
      </w:pPr>
      <w:r w:rsidRPr="005E188A">
        <w:rPr>
          <w:sz w:val="22"/>
          <w:szCs w:val="22"/>
        </w:rPr>
        <w:t xml:space="preserve">It’s hard to have your voice heard. It’s hard for people to notice you. I was never really noticed until about a year ago. I think I want to help kids get noticed a lot earlier - so they can get the help they need at a much quicker rate. </w:t>
      </w:r>
    </w:p>
    <w:p w14:paraId="17E87333" w14:textId="09B0317A" w:rsidR="00442634" w:rsidRPr="00442634" w:rsidRDefault="00442634" w:rsidP="00354AA1">
      <w:pPr>
        <w:jc w:val="both"/>
      </w:pPr>
      <w:r w:rsidRPr="0099156C">
        <w:t>Dr Tim Moore, Senior</w:t>
      </w:r>
      <w:r>
        <w:t xml:space="preserve"> Research Fellow, Institute of Child Protection </w:t>
      </w:r>
      <w:r w:rsidRPr="0099156C">
        <w:t>Studies</w:t>
      </w:r>
      <w:r w:rsidR="00DA5F6B">
        <w:t>,</w:t>
      </w:r>
      <w:r w:rsidRPr="0099156C">
        <w:t xml:space="preserve"> </w:t>
      </w:r>
      <w:r>
        <w:t>and</w:t>
      </w:r>
      <w:r w:rsidRPr="0099156C">
        <w:t xml:space="preserve"> Phil Brown</w:t>
      </w:r>
      <w:r>
        <w:t>, Acting Group Manager, Families, Department of Social Services</w:t>
      </w:r>
      <w:r w:rsidR="00DA5F6B">
        <w:t>,</w:t>
      </w:r>
      <w:r>
        <w:t xml:space="preserve"> also </w:t>
      </w:r>
      <w:r w:rsidRPr="0099156C">
        <w:t>presented with us</w:t>
      </w:r>
      <w:r>
        <w:t xml:space="preserve"> and I would like to thank all three speakers for their valuable contributions.</w:t>
      </w:r>
    </w:p>
    <w:p w14:paraId="4B982D9D" w14:textId="77777777" w:rsidR="00D94316" w:rsidRDefault="00D94316" w:rsidP="00354AA1">
      <w:pPr>
        <w:pStyle w:val="Heading3"/>
        <w:jc w:val="both"/>
      </w:pPr>
      <w:bookmarkStart w:id="23" w:name="_Toc430767457"/>
      <w:r w:rsidRPr="00D94316">
        <w:t>Encouraging human rights education in schools</w:t>
      </w:r>
      <w:bookmarkEnd w:id="23"/>
    </w:p>
    <w:p w14:paraId="281AC1D2" w14:textId="505F872E" w:rsidR="00442634" w:rsidRPr="009228A5" w:rsidRDefault="00442634" w:rsidP="00354AA1">
      <w:pPr>
        <w:jc w:val="both"/>
      </w:pPr>
      <w:r w:rsidRPr="009228A5">
        <w:t>The importance of human rights education is recognised in a number of international human rights treaties, including the Convention on the Rights of the Child. In 2011, the U</w:t>
      </w:r>
      <w:r w:rsidR="00DA5F6B">
        <w:t xml:space="preserve">nited </w:t>
      </w:r>
      <w:r w:rsidRPr="009228A5">
        <w:t>N</w:t>
      </w:r>
      <w:r w:rsidR="00DA5F6B">
        <w:t>ations</w:t>
      </w:r>
      <w:r w:rsidRPr="009228A5">
        <w:t xml:space="preserve"> General Assembly adopted the Declaration on Human Rights Education and Training, a milestone declaration which affirmed that human rights education is both a right in itself, as well as a way of protecting human rights. </w:t>
      </w:r>
    </w:p>
    <w:p w14:paraId="258A4A57" w14:textId="77777777" w:rsidR="00442634" w:rsidRDefault="00442634" w:rsidP="00354AA1">
      <w:pPr>
        <w:jc w:val="both"/>
      </w:pPr>
      <w:r w:rsidRPr="009228A5">
        <w:t>Promoting awareness of and respect for human rights is one of the core functions of the Aust</w:t>
      </w:r>
      <w:r>
        <w:t xml:space="preserve">ralian Human Rights Commission. </w:t>
      </w:r>
    </w:p>
    <w:p w14:paraId="4552B629" w14:textId="77777777" w:rsidR="00442634" w:rsidRPr="009228A5" w:rsidRDefault="00442634" w:rsidP="00354AA1">
      <w:pPr>
        <w:jc w:val="both"/>
      </w:pPr>
      <w:r w:rsidRPr="009228A5">
        <w:t xml:space="preserve">The development and implementation of a national education curriculum in Australia has presented the </w:t>
      </w:r>
      <w:r>
        <w:t xml:space="preserve">Australian Human Rights </w:t>
      </w:r>
      <w:r w:rsidRPr="009228A5">
        <w:t>Commission with an important opport</w:t>
      </w:r>
      <w:r>
        <w:t>unity to create targeted school education resources to help</w:t>
      </w:r>
      <w:r w:rsidRPr="009228A5">
        <w:t xml:space="preserve"> children and young people build a critical understanding of human rights and responsibilities, and develop the attitudes, behaviours and skills to apply human rights in everyday life.</w:t>
      </w:r>
    </w:p>
    <w:p w14:paraId="11231279" w14:textId="77777777" w:rsidR="00442634" w:rsidRPr="009228A5" w:rsidRDefault="00442634" w:rsidP="00354AA1">
      <w:pPr>
        <w:jc w:val="both"/>
      </w:pPr>
      <w:r w:rsidRPr="009228A5">
        <w:t xml:space="preserve">In December 2014, the </w:t>
      </w:r>
      <w:r>
        <w:t xml:space="preserve">Australian Human Rights </w:t>
      </w:r>
      <w:r w:rsidRPr="009228A5">
        <w:t xml:space="preserve">Commission launched seven new </w:t>
      </w:r>
      <w:r w:rsidRPr="009228A5">
        <w:rPr>
          <w:i/>
          <w:iCs/>
        </w:rPr>
        <w:t>RightsED</w:t>
      </w:r>
      <w:r>
        <w:t xml:space="preserve"> school resources</w:t>
      </w:r>
      <w:r w:rsidRPr="009228A5">
        <w:t xml:space="preserve"> promoting the rights of people with disabilities and raising awareness of racism and ways to combat it. </w:t>
      </w:r>
    </w:p>
    <w:p w14:paraId="09885BB1" w14:textId="34ABCC7A" w:rsidR="00442634" w:rsidRDefault="00442634" w:rsidP="00354AA1">
      <w:pPr>
        <w:jc w:val="both"/>
      </w:pPr>
      <w:r>
        <w:t>In June 2015</w:t>
      </w:r>
      <w:r w:rsidRPr="009228A5">
        <w:t xml:space="preserve">, </w:t>
      </w:r>
      <w:r>
        <w:rPr>
          <w:lang w:val="en"/>
        </w:rPr>
        <w:t>to mark the 800</w:t>
      </w:r>
      <w:r w:rsidRPr="00DA5F6B">
        <w:rPr>
          <w:vertAlign w:val="superscript"/>
          <w:lang w:val="en"/>
        </w:rPr>
        <w:t>th</w:t>
      </w:r>
      <w:r w:rsidR="00DA5F6B">
        <w:rPr>
          <w:lang w:val="en"/>
        </w:rPr>
        <w:t xml:space="preserve"> </w:t>
      </w:r>
      <w:r>
        <w:rPr>
          <w:lang w:val="en"/>
        </w:rPr>
        <w:t>year of Magna Carta, the Australian Human Rights Commission released a video, an interactive infographic and a teaching resource on the evolution of human rights. The Magna Carta has an enduring legacy in shaping and advancing the principles of freedom, justice, the rule of law and government by consent.</w:t>
      </w:r>
    </w:p>
    <w:p w14:paraId="4F323D76" w14:textId="77777777" w:rsidR="00442634" w:rsidRPr="00442634" w:rsidRDefault="00442634" w:rsidP="00354AA1">
      <w:pPr>
        <w:jc w:val="both"/>
      </w:pPr>
      <w:r w:rsidRPr="009228A5">
        <w:t xml:space="preserve">All of the </w:t>
      </w:r>
      <w:r>
        <w:t xml:space="preserve">Australia Human Rights </w:t>
      </w:r>
      <w:r w:rsidRPr="009228A5">
        <w:t>Commission’s new resources have been mapped to the Australian Curriculum. The resources are targeted at students in Year</w:t>
      </w:r>
      <w:r>
        <w:t>s 5 to 10 and include the curriculum areas</w:t>
      </w:r>
      <w:r w:rsidRPr="009228A5">
        <w:t xml:space="preserve"> </w:t>
      </w:r>
      <w:r>
        <w:t xml:space="preserve">of </w:t>
      </w:r>
      <w:r w:rsidRPr="009228A5">
        <w:t>History, Geography, Civics and Citizenship, Health and Physical Education</w:t>
      </w:r>
      <w:r>
        <w:t>, and Mathematics</w:t>
      </w:r>
      <w:r w:rsidRPr="009228A5">
        <w:t>.</w:t>
      </w:r>
    </w:p>
    <w:p w14:paraId="556CBF7E" w14:textId="77777777" w:rsidR="00D94316" w:rsidRDefault="00D94316" w:rsidP="00354AA1">
      <w:pPr>
        <w:pStyle w:val="Heading3"/>
        <w:jc w:val="both"/>
      </w:pPr>
      <w:bookmarkStart w:id="24" w:name="_Toc430767458"/>
      <w:r w:rsidRPr="00D94316">
        <w:t>Submissions</w:t>
      </w:r>
      <w:bookmarkEnd w:id="24"/>
    </w:p>
    <w:p w14:paraId="47FB26A1" w14:textId="77777777" w:rsidR="00442634" w:rsidRDefault="00442634" w:rsidP="00354AA1">
      <w:pPr>
        <w:jc w:val="both"/>
      </w:pPr>
      <w:r w:rsidRPr="009228A5">
        <w:t>In</w:t>
      </w:r>
      <w:r>
        <w:t xml:space="preserve"> this</w:t>
      </w:r>
      <w:r w:rsidRPr="009228A5">
        <w:t xml:space="preserve"> reporting period, the </w:t>
      </w:r>
      <w:r>
        <w:t xml:space="preserve">Australian Human Rights </w:t>
      </w:r>
      <w:r w:rsidRPr="009228A5">
        <w:t>Commission</w:t>
      </w:r>
      <w:r>
        <w:t xml:space="preserve"> </w:t>
      </w:r>
      <w:r w:rsidRPr="009228A5">
        <w:t xml:space="preserve">made </w:t>
      </w:r>
      <w:r>
        <w:t xml:space="preserve">10 </w:t>
      </w:r>
      <w:r w:rsidRPr="00F20774">
        <w:t xml:space="preserve">submissions </w:t>
      </w:r>
      <w:r>
        <w:t>which included consideration of children’s rights:</w:t>
      </w:r>
    </w:p>
    <w:p w14:paraId="0905D0DF" w14:textId="77777777" w:rsidR="00442634" w:rsidRDefault="00442634" w:rsidP="00354AA1">
      <w:pPr>
        <w:pStyle w:val="ListParagraph"/>
        <w:numPr>
          <w:ilvl w:val="0"/>
          <w:numId w:val="17"/>
        </w:numPr>
        <w:spacing w:after="120"/>
        <w:contextualSpacing w:val="0"/>
        <w:jc w:val="both"/>
      </w:pPr>
      <w:r w:rsidRPr="00F20774">
        <w:lastRenderedPageBreak/>
        <w:t>Inquiry into the Counter-Terrorism Legislation Amendme</w:t>
      </w:r>
      <w:r>
        <w:t xml:space="preserve">nt (Foreign Fighters) Bill 2014 (Cth), </w:t>
      </w:r>
      <w:r w:rsidRPr="00914DBC">
        <w:t xml:space="preserve">Submission </w:t>
      </w:r>
      <w:r>
        <w:t>to the</w:t>
      </w:r>
      <w:r w:rsidRPr="00914DBC">
        <w:t xml:space="preserve"> Parliamentary Joint Committee on Intelligence and Security</w:t>
      </w:r>
      <w:r>
        <w:t xml:space="preserve"> (2 October 2014)</w:t>
      </w:r>
      <w:r>
        <w:rPr>
          <w:rStyle w:val="EndnoteReference"/>
        </w:rPr>
        <w:endnoteReference w:id="26"/>
      </w:r>
    </w:p>
    <w:p w14:paraId="3F2AC172" w14:textId="7AD858C3" w:rsidR="00442634" w:rsidRDefault="00442634" w:rsidP="00354AA1">
      <w:pPr>
        <w:pStyle w:val="ListParagraph"/>
        <w:numPr>
          <w:ilvl w:val="0"/>
          <w:numId w:val="18"/>
        </w:numPr>
        <w:spacing w:before="120" w:after="0"/>
        <w:ind w:left="714" w:hanging="357"/>
        <w:contextualSpacing w:val="0"/>
        <w:jc w:val="both"/>
      </w:pPr>
      <w:r>
        <w:t xml:space="preserve">Inquiry into the </w:t>
      </w:r>
      <w:r w:rsidRPr="00B77009">
        <w:t>Guardian for Unaccompanied Children Bill 2014</w:t>
      </w:r>
      <w:r>
        <w:rPr>
          <w:rStyle w:val="Hyperlink"/>
          <w:color w:val="auto"/>
          <w:u w:val="none"/>
        </w:rPr>
        <w:t xml:space="preserve"> (</w:t>
      </w:r>
      <w:r w:rsidRPr="003641BF">
        <w:rPr>
          <w:rStyle w:val="Hyperlink"/>
          <w:color w:val="auto"/>
          <w:u w:val="none"/>
        </w:rPr>
        <w:t>Cth</w:t>
      </w:r>
      <w:r>
        <w:rPr>
          <w:rStyle w:val="Hyperlink"/>
          <w:color w:val="auto"/>
          <w:u w:val="none"/>
        </w:rPr>
        <w:t>),</w:t>
      </w:r>
      <w:r>
        <w:t xml:space="preserve"> </w:t>
      </w:r>
      <w:r w:rsidRPr="003B67DE">
        <w:t xml:space="preserve">Submission </w:t>
      </w:r>
      <w:r>
        <w:t xml:space="preserve">to the </w:t>
      </w:r>
      <w:r w:rsidRPr="003B67DE">
        <w:t>Senate Legal and Constitutional Affairs</w:t>
      </w:r>
      <w:r w:rsidRPr="009228A5">
        <w:t xml:space="preserve"> </w:t>
      </w:r>
      <w:r w:rsidR="008E6CB4">
        <w:t xml:space="preserve">Legislation Committee </w:t>
      </w:r>
      <w:r w:rsidRPr="009228A5">
        <w:t>(23 October 2014)</w:t>
      </w:r>
      <w:r>
        <w:rPr>
          <w:rStyle w:val="EndnoteReference"/>
        </w:rPr>
        <w:endnoteReference w:id="27"/>
      </w:r>
    </w:p>
    <w:p w14:paraId="664C025C" w14:textId="0CC30965" w:rsidR="00442634" w:rsidRDefault="00442634" w:rsidP="00354AA1">
      <w:pPr>
        <w:pStyle w:val="ListParagraph"/>
        <w:numPr>
          <w:ilvl w:val="0"/>
          <w:numId w:val="18"/>
        </w:numPr>
        <w:spacing w:before="120" w:after="0"/>
        <w:ind w:left="714" w:hanging="357"/>
        <w:contextualSpacing w:val="0"/>
        <w:jc w:val="both"/>
      </w:pPr>
      <w:r w:rsidRPr="003641BF">
        <w:t>Inquiry into the Migration Amendment (Character and General Visa Cancellation) Bill 2014</w:t>
      </w:r>
      <w:r>
        <w:t xml:space="preserve"> (Cth), </w:t>
      </w:r>
      <w:r w:rsidRPr="00ED5BE6">
        <w:t xml:space="preserve">Submission </w:t>
      </w:r>
      <w:r>
        <w:t xml:space="preserve">to the </w:t>
      </w:r>
      <w:r w:rsidR="008E6CB4" w:rsidRPr="003B67DE">
        <w:t>Senate Legal and Constitutional Affairs</w:t>
      </w:r>
      <w:r w:rsidR="008E6CB4" w:rsidRPr="009228A5">
        <w:t xml:space="preserve"> </w:t>
      </w:r>
      <w:r w:rsidR="008E6CB4">
        <w:t xml:space="preserve">Legislation Committee </w:t>
      </w:r>
      <w:r>
        <w:t>(28 October 2014)</w:t>
      </w:r>
      <w:r>
        <w:rPr>
          <w:rStyle w:val="EndnoteReference"/>
        </w:rPr>
        <w:endnoteReference w:id="28"/>
      </w:r>
    </w:p>
    <w:p w14:paraId="0D037C5C" w14:textId="3AD1EC74" w:rsidR="00442634" w:rsidRDefault="00442634" w:rsidP="00354AA1">
      <w:pPr>
        <w:pStyle w:val="ListParagraph"/>
        <w:numPr>
          <w:ilvl w:val="0"/>
          <w:numId w:val="18"/>
        </w:numPr>
        <w:spacing w:before="120" w:after="0"/>
        <w:ind w:left="714" w:hanging="357"/>
        <w:contextualSpacing w:val="0"/>
        <w:jc w:val="both"/>
      </w:pPr>
      <w:r w:rsidRPr="003641BF">
        <w:t>Inquiry into the Migration and Maritime Powers Legislation Amendment (Resolving the Asylum Legacy Caseload) Bill 2014,</w:t>
      </w:r>
      <w:r>
        <w:t xml:space="preserve"> (Cth),</w:t>
      </w:r>
      <w:r w:rsidRPr="003641BF">
        <w:t xml:space="preserve"> Submission to </w:t>
      </w:r>
      <w:r>
        <w:t xml:space="preserve">the </w:t>
      </w:r>
      <w:r w:rsidRPr="003641BF">
        <w:t xml:space="preserve">Senate </w:t>
      </w:r>
      <w:r w:rsidR="008E6CB4" w:rsidRPr="003B67DE">
        <w:t>Legal and Constitutional Affairs</w:t>
      </w:r>
      <w:r w:rsidR="008E6CB4" w:rsidRPr="009228A5">
        <w:t xml:space="preserve"> </w:t>
      </w:r>
      <w:r w:rsidR="008E6CB4">
        <w:t xml:space="preserve">Legislation Committee </w:t>
      </w:r>
      <w:r>
        <w:t>(</w:t>
      </w:r>
      <w:r w:rsidRPr="00914DBC">
        <w:t>31 October 2014</w:t>
      </w:r>
      <w:r>
        <w:t>)</w:t>
      </w:r>
      <w:r>
        <w:rPr>
          <w:rStyle w:val="EndnoteReference"/>
        </w:rPr>
        <w:endnoteReference w:id="29"/>
      </w:r>
    </w:p>
    <w:p w14:paraId="59C68F57" w14:textId="3100DE38" w:rsidR="00442634" w:rsidRPr="003641BF" w:rsidRDefault="00442634" w:rsidP="00354AA1">
      <w:pPr>
        <w:pStyle w:val="ListParagraph"/>
        <w:numPr>
          <w:ilvl w:val="0"/>
          <w:numId w:val="18"/>
        </w:numPr>
        <w:spacing w:before="120" w:after="0"/>
        <w:ind w:left="714" w:hanging="357"/>
        <w:contextualSpacing w:val="0"/>
        <w:jc w:val="both"/>
      </w:pPr>
      <w:r w:rsidRPr="003641BF">
        <w:t>Inquiry into the Australian Citizenship and Other Legislation Amendment Bill 2014</w:t>
      </w:r>
      <w:r>
        <w:t xml:space="preserve"> (Cth), </w:t>
      </w:r>
      <w:r w:rsidRPr="003641BF">
        <w:t xml:space="preserve">Submission to </w:t>
      </w:r>
      <w:r>
        <w:t xml:space="preserve">the </w:t>
      </w:r>
      <w:r w:rsidR="008E6CB4" w:rsidRPr="003B67DE">
        <w:t>Senate Legal and Constitutional Affairs</w:t>
      </w:r>
      <w:r w:rsidR="008E6CB4" w:rsidRPr="009228A5">
        <w:t xml:space="preserve"> </w:t>
      </w:r>
      <w:r w:rsidR="008E6CB4">
        <w:t>Legislation Committee</w:t>
      </w:r>
      <w:r>
        <w:t xml:space="preserve"> (6 November 2014)</w:t>
      </w:r>
      <w:r>
        <w:rPr>
          <w:rStyle w:val="EndnoteReference"/>
        </w:rPr>
        <w:endnoteReference w:id="30"/>
      </w:r>
    </w:p>
    <w:p w14:paraId="3175E61B" w14:textId="7D359F74" w:rsidR="00442634" w:rsidRPr="00871D2D" w:rsidRDefault="00442634" w:rsidP="00354AA1">
      <w:pPr>
        <w:pStyle w:val="ListParagraph"/>
        <w:numPr>
          <w:ilvl w:val="0"/>
          <w:numId w:val="18"/>
        </w:numPr>
        <w:spacing w:before="120" w:after="0"/>
        <w:ind w:left="714" w:hanging="357"/>
        <w:contextualSpacing w:val="0"/>
        <w:jc w:val="both"/>
      </w:pPr>
      <w:r w:rsidRPr="0079207A">
        <w:t>Inquiry into the adequacy of existing residential care arrangements for young people with severe physical, mental or intellectual disabilities in Australia</w:t>
      </w:r>
      <w:r>
        <w:t xml:space="preserve">, </w:t>
      </w:r>
      <w:r w:rsidRPr="0079207A">
        <w:t xml:space="preserve">Submission to the Senate </w:t>
      </w:r>
      <w:r w:rsidR="008E6CB4" w:rsidRPr="0079207A">
        <w:t>Community Affairs</w:t>
      </w:r>
      <w:r w:rsidR="008E6CB4">
        <w:t xml:space="preserve"> References </w:t>
      </w:r>
      <w:r w:rsidRPr="0079207A">
        <w:t xml:space="preserve">Committee </w:t>
      </w:r>
      <w:r>
        <w:t>(6 February 2015)</w:t>
      </w:r>
      <w:r>
        <w:rPr>
          <w:rStyle w:val="EndnoteReference"/>
        </w:rPr>
        <w:endnoteReference w:id="31"/>
      </w:r>
    </w:p>
    <w:p w14:paraId="13096A0F" w14:textId="77777777" w:rsidR="00442634" w:rsidRPr="004F58B8" w:rsidRDefault="00442634" w:rsidP="00354AA1">
      <w:pPr>
        <w:pStyle w:val="ListParagraph"/>
        <w:numPr>
          <w:ilvl w:val="0"/>
          <w:numId w:val="18"/>
        </w:numPr>
        <w:spacing w:before="120" w:after="0"/>
        <w:ind w:left="714" w:hanging="357"/>
        <w:contextualSpacing w:val="0"/>
        <w:jc w:val="both"/>
      </w:pPr>
      <w:r>
        <w:t xml:space="preserve">Australia’s Universal Periodic Review, Submission to the United Nations Human Rights Council Working Group </w:t>
      </w:r>
      <w:r w:rsidRPr="004F58B8">
        <w:t>(15 April 2015)</w:t>
      </w:r>
      <w:r>
        <w:rPr>
          <w:rStyle w:val="EndnoteReference"/>
        </w:rPr>
        <w:endnoteReference w:id="32"/>
      </w:r>
    </w:p>
    <w:p w14:paraId="6B368987" w14:textId="77777777" w:rsidR="00442634" w:rsidRDefault="00442634" w:rsidP="00354AA1">
      <w:pPr>
        <w:pStyle w:val="ListParagraph"/>
        <w:numPr>
          <w:ilvl w:val="0"/>
          <w:numId w:val="18"/>
        </w:numPr>
        <w:spacing w:before="120" w:after="120"/>
        <w:ind w:left="714" w:hanging="357"/>
        <w:contextualSpacing w:val="0"/>
        <w:jc w:val="both"/>
      </w:pPr>
      <w:r>
        <w:t>Inquiry in</w:t>
      </w:r>
      <w:r w:rsidRPr="00BA4C17">
        <w:t>to the Crimes Legislation Amendment (Powers, Offences and Other Measures) Bill 2015 (Cth)</w:t>
      </w:r>
      <w:r>
        <w:t xml:space="preserve">, Submission to the </w:t>
      </w:r>
      <w:r w:rsidRPr="00BA4C17">
        <w:t>Senate Legal and Constitutiona</w:t>
      </w:r>
      <w:r>
        <w:t>l Affairs Legislation Committee (16 April 2015)</w:t>
      </w:r>
      <w:r>
        <w:rPr>
          <w:rStyle w:val="EndnoteReference"/>
        </w:rPr>
        <w:endnoteReference w:id="33"/>
      </w:r>
    </w:p>
    <w:p w14:paraId="2646F635" w14:textId="45742083" w:rsidR="00442634" w:rsidRPr="00442634" w:rsidRDefault="00442634" w:rsidP="008E6CB4">
      <w:pPr>
        <w:pStyle w:val="ListParagraph"/>
        <w:numPr>
          <w:ilvl w:val="0"/>
          <w:numId w:val="18"/>
        </w:numPr>
        <w:spacing w:before="120" w:after="120"/>
        <w:contextualSpacing w:val="0"/>
        <w:jc w:val="both"/>
      </w:pPr>
      <w:r w:rsidRPr="0079207A">
        <w:t>Inquiry into Aboriginal and Torres Strait Islander experience of law enforcement and justice services</w:t>
      </w:r>
      <w:r>
        <w:t xml:space="preserve">, </w:t>
      </w:r>
      <w:r w:rsidRPr="0079207A">
        <w:t xml:space="preserve">Submission to the Senate </w:t>
      </w:r>
      <w:r w:rsidR="008E6CB4" w:rsidRPr="008E6CB4">
        <w:t>Finance and Public Administration References Committee</w:t>
      </w:r>
      <w:r>
        <w:t xml:space="preserve"> (27 April 2015).</w:t>
      </w:r>
      <w:r>
        <w:rPr>
          <w:rStyle w:val="EndnoteReference"/>
        </w:rPr>
        <w:endnoteReference w:id="34"/>
      </w:r>
    </w:p>
    <w:p w14:paraId="0B6013F7" w14:textId="77777777" w:rsidR="00D94316" w:rsidRDefault="00D94316" w:rsidP="00354AA1">
      <w:pPr>
        <w:pStyle w:val="Heading2"/>
        <w:jc w:val="both"/>
      </w:pPr>
      <w:bookmarkStart w:id="25" w:name="_Toc430767459"/>
      <w:bookmarkStart w:id="26" w:name="_Toc432577304"/>
      <w:r w:rsidRPr="00D94316">
        <w:t>Action and accountability</w:t>
      </w:r>
      <w:bookmarkEnd w:id="25"/>
      <w:bookmarkEnd w:id="26"/>
    </w:p>
    <w:p w14:paraId="7FEAB3DB" w14:textId="05F28BB3" w:rsidR="00442634" w:rsidRPr="0055153A" w:rsidRDefault="00442634" w:rsidP="00354AA1">
      <w:pPr>
        <w:jc w:val="both"/>
      </w:pPr>
      <w:r w:rsidRPr="0055153A">
        <w:t xml:space="preserve">Throughout the year, I </w:t>
      </w:r>
      <w:r w:rsidR="00E77051">
        <w:t xml:space="preserve">have encouraged </w:t>
      </w:r>
      <w:r w:rsidRPr="0055153A">
        <w:t>action and accountability through my p</w:t>
      </w:r>
      <w:r w:rsidR="00E77051">
        <w:t>roject work, strategic advocacy</w:t>
      </w:r>
      <w:r w:rsidRPr="0055153A">
        <w:t xml:space="preserve"> and engagement with key stakeholders.</w:t>
      </w:r>
    </w:p>
    <w:p w14:paraId="6A02E38C" w14:textId="77777777" w:rsidR="00442634" w:rsidRDefault="00442634" w:rsidP="00354AA1">
      <w:pPr>
        <w:jc w:val="both"/>
      </w:pPr>
      <w:r w:rsidRPr="0055153A">
        <w:t>In my statutory reports, I make specific recommendations to advance the wellbeing and rights of children and young people in Australia.</w:t>
      </w:r>
      <w:r>
        <w:t xml:space="preserve"> </w:t>
      </w:r>
      <w:r w:rsidRPr="0055153A">
        <w:t>I monitor the progress of these recommendations in subsequent reports.</w:t>
      </w:r>
    </w:p>
    <w:p w14:paraId="0BE06FF8" w14:textId="60860604" w:rsidR="00442634" w:rsidRDefault="005132EE" w:rsidP="00354AA1">
      <w:pPr>
        <w:jc w:val="both"/>
      </w:pPr>
      <w:r>
        <w:t>Sections 1.6.1 and 1.6.2</w:t>
      </w:r>
      <w:r w:rsidR="00442634">
        <w:t xml:space="preserve"> show the status of progress towards the recommendations that I made in my 2014 and 2013 reports.</w:t>
      </w:r>
    </w:p>
    <w:p w14:paraId="3C34251B" w14:textId="52025053" w:rsidR="00442634" w:rsidRDefault="009D1F82" w:rsidP="00354AA1">
      <w:pPr>
        <w:pStyle w:val="Heading3"/>
        <w:jc w:val="both"/>
        <w:rPr>
          <w:i/>
        </w:rPr>
      </w:pPr>
      <w:r>
        <w:br w:type="column"/>
      </w:r>
      <w:r w:rsidR="00442634" w:rsidRPr="00442634">
        <w:lastRenderedPageBreak/>
        <w:t xml:space="preserve">Recommendations made in the </w:t>
      </w:r>
      <w:r w:rsidR="00442634" w:rsidRPr="00926B3A">
        <w:rPr>
          <w:i/>
        </w:rPr>
        <w:t>Children’s Rights Report 2014</w:t>
      </w:r>
    </w:p>
    <w:tbl>
      <w:tblPr>
        <w:tblStyle w:val="GridTable4-Accent11"/>
        <w:tblW w:w="9493" w:type="dxa"/>
        <w:tblLook w:val="04A0" w:firstRow="1" w:lastRow="0" w:firstColumn="1" w:lastColumn="0" w:noHBand="0" w:noVBand="1"/>
      </w:tblPr>
      <w:tblGrid>
        <w:gridCol w:w="9493"/>
      </w:tblGrid>
      <w:tr w:rsidR="009D1F82" w:rsidRPr="009228A5" w14:paraId="4D934C07" w14:textId="77777777" w:rsidTr="00E329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Borders>
              <w:bottom w:val="single" w:sz="4" w:space="0" w:color="9CC2E5" w:themeColor="accent1" w:themeTint="99"/>
            </w:tcBorders>
            <w:vAlign w:val="center"/>
          </w:tcPr>
          <w:p w14:paraId="5D096C79" w14:textId="6EE757CD" w:rsidR="009D1F82" w:rsidRPr="009228A5" w:rsidRDefault="009D1F82" w:rsidP="00B77005">
            <w:pPr>
              <w:spacing w:before="120"/>
              <w:jc w:val="both"/>
            </w:pPr>
            <w:r w:rsidRPr="00926B3A">
              <w:rPr>
                <w:i/>
              </w:rPr>
              <w:t>Children’s Rights Report 2014</w:t>
            </w:r>
          </w:p>
        </w:tc>
      </w:tr>
      <w:tr w:rsidR="00E329FB" w:rsidRPr="009228A5" w14:paraId="05136865" w14:textId="77777777" w:rsidTr="00E3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305D4456" w14:textId="3A56C04D" w:rsidR="00E329FB" w:rsidRPr="009D1F82" w:rsidRDefault="00E329FB" w:rsidP="00E329FB">
            <w:pPr>
              <w:jc w:val="center"/>
            </w:pPr>
            <w:r>
              <w:t>Recommendation 1</w:t>
            </w:r>
          </w:p>
        </w:tc>
      </w:tr>
      <w:tr w:rsidR="00E329FB" w:rsidRPr="009228A5" w14:paraId="3E063A7A" w14:textId="77777777" w:rsidTr="00E329FB">
        <w:tc>
          <w:tcPr>
            <w:cnfStyle w:val="001000000000" w:firstRow="0" w:lastRow="0" w:firstColumn="1" w:lastColumn="0" w:oddVBand="0" w:evenVBand="0" w:oddHBand="0" w:evenHBand="0" w:firstRowFirstColumn="0" w:firstRowLastColumn="0" w:lastRowFirstColumn="0" w:lastRowLastColumn="0"/>
            <w:tcW w:w="9493" w:type="dxa"/>
            <w:tcBorders>
              <w:bottom w:val="single" w:sz="4" w:space="0" w:color="9CC2E5" w:themeColor="accent1" w:themeTint="99"/>
            </w:tcBorders>
            <w:shd w:val="clear" w:color="auto" w:fill="FFFFFF" w:themeFill="background1"/>
            <w:vAlign w:val="center"/>
          </w:tcPr>
          <w:p w14:paraId="4B274EC8" w14:textId="2CC6AC21" w:rsidR="00E329FB" w:rsidRPr="00E329FB" w:rsidRDefault="00E329FB" w:rsidP="009D1F82">
            <w:pPr>
              <w:jc w:val="both"/>
              <w:rPr>
                <w:b w:val="0"/>
              </w:rPr>
            </w:pPr>
            <w:r w:rsidRPr="00E329FB">
              <w:rPr>
                <w:b w:val="0"/>
              </w:rPr>
              <w:t>Establish a national research agenda for children and young people engaging in non-suicidal self-harm and suicidal behaviour through the new National Strategic Framework for Child and Youth Health. This should be supported by the soon to be established National Centre for Excellence in Youth Mental Health.</w:t>
            </w:r>
          </w:p>
        </w:tc>
      </w:tr>
      <w:tr w:rsidR="00E329FB" w:rsidRPr="009228A5" w14:paraId="05CAE191" w14:textId="77777777" w:rsidTr="00E3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5FD19195" w14:textId="5B54E3A3" w:rsidR="00E329FB" w:rsidRPr="00E329FB" w:rsidRDefault="00E329FB" w:rsidP="00E329FB">
            <w:pPr>
              <w:jc w:val="center"/>
            </w:pPr>
            <w:r w:rsidRPr="00E329FB">
              <w:t>Progress of Recommendation 1</w:t>
            </w:r>
          </w:p>
        </w:tc>
      </w:tr>
      <w:tr w:rsidR="00E329FB" w:rsidRPr="009228A5" w14:paraId="033E81E7" w14:textId="77777777" w:rsidTr="00B77005">
        <w:tc>
          <w:tcPr>
            <w:cnfStyle w:val="001000000000" w:firstRow="0" w:lastRow="0" w:firstColumn="1" w:lastColumn="0" w:oddVBand="0" w:evenVBand="0" w:oddHBand="0" w:evenHBand="0" w:firstRowFirstColumn="0" w:firstRowLastColumn="0" w:lastRowFirstColumn="0" w:lastRowLastColumn="0"/>
            <w:tcW w:w="9493" w:type="dxa"/>
            <w:vAlign w:val="center"/>
          </w:tcPr>
          <w:p w14:paraId="39A7DCE0" w14:textId="77777777" w:rsidR="00E329FB" w:rsidRPr="00E329FB" w:rsidRDefault="00E329FB" w:rsidP="009D1F82">
            <w:pPr>
              <w:jc w:val="both"/>
              <w:rPr>
                <w:b w:val="0"/>
              </w:rPr>
            </w:pPr>
            <w:r w:rsidRPr="00E329FB">
              <w:rPr>
                <w:b w:val="0"/>
              </w:rPr>
              <w:t xml:space="preserve">Progress has primarily been advanced through the National Centre for Excellence in Youth Mental Health (Orygen) which was allocated $18 million in 2014. The National Strategic Framework for Child and Youth Health is still in development and has not yet been released into the public domain. </w:t>
            </w:r>
          </w:p>
          <w:p w14:paraId="77D13DF6" w14:textId="77777777" w:rsidR="00E329FB" w:rsidRPr="00E329FB" w:rsidRDefault="00E329FB" w:rsidP="009D1F82">
            <w:pPr>
              <w:jc w:val="both"/>
              <w:rPr>
                <w:b w:val="0"/>
              </w:rPr>
            </w:pPr>
            <w:r w:rsidRPr="00E329FB">
              <w:rPr>
                <w:b w:val="0"/>
              </w:rPr>
              <w:t>Communication with the Minister for Health and the Executive Director of Orygen indicates that while a national research agenda specifically on suicide and self-harm has not been initiated to date, Orygen has instigated a number of positive activities to progress research in this area.</w:t>
            </w:r>
          </w:p>
          <w:p w14:paraId="3142F63D" w14:textId="77777777" w:rsidR="00E329FB" w:rsidRPr="00E329FB" w:rsidRDefault="00E329FB" w:rsidP="009D1F82">
            <w:pPr>
              <w:jc w:val="both"/>
              <w:rPr>
                <w:b w:val="0"/>
              </w:rPr>
            </w:pPr>
            <w:r w:rsidRPr="00E329FB">
              <w:rPr>
                <w:b w:val="0"/>
              </w:rPr>
              <w:t xml:space="preserve">Orygen has been commissioned by the Australian Government to lead the development of a </w:t>
            </w:r>
            <w:r w:rsidRPr="00E329FB">
              <w:rPr>
                <w:b w:val="0"/>
                <w:i/>
              </w:rPr>
              <w:t>National Research Priorities and Implementation Framework</w:t>
            </w:r>
            <w:r w:rsidRPr="00E329FB">
              <w:rPr>
                <w:b w:val="0"/>
              </w:rPr>
              <w:t xml:space="preserve"> for youth mental health research in Australia. This Framework aims to realise a more coordinated approach within Australia to mental health research and infrastructure.</w:t>
            </w:r>
          </w:p>
          <w:p w14:paraId="70ED3CFA" w14:textId="77777777" w:rsidR="00E329FB" w:rsidRPr="00E329FB" w:rsidRDefault="00E329FB" w:rsidP="009D1F82">
            <w:pPr>
              <w:jc w:val="both"/>
              <w:rPr>
                <w:b w:val="0"/>
              </w:rPr>
            </w:pPr>
            <w:r w:rsidRPr="00E329FB">
              <w:rPr>
                <w:b w:val="0"/>
              </w:rPr>
              <w:t xml:space="preserve">Orygen has also undertaken a number of research studies within the suicide research program, including: studies on increasing help seeking for suicide related behaviour among high school students; mapping suicide clusters in Australian young people; and the safety and efficacy of online platforms for suicidal and self-harming young people. </w:t>
            </w:r>
          </w:p>
          <w:p w14:paraId="58493336" w14:textId="77777777" w:rsidR="00E329FB" w:rsidRPr="00E329FB" w:rsidRDefault="00E329FB" w:rsidP="009D1F82">
            <w:pPr>
              <w:jc w:val="both"/>
              <w:rPr>
                <w:b w:val="0"/>
              </w:rPr>
            </w:pPr>
            <w:r w:rsidRPr="00E329FB">
              <w:rPr>
                <w:b w:val="0"/>
              </w:rPr>
              <w:t xml:space="preserve">In addition to this, Orygen produced a policy paper for the Australian Government on young people and self-harm. This paper supported many of the findings of my </w:t>
            </w:r>
            <w:r w:rsidRPr="00E329FB">
              <w:rPr>
                <w:b w:val="0"/>
                <w:i/>
              </w:rPr>
              <w:t>Children’s Rights Report 2014</w:t>
            </w:r>
            <w:r w:rsidRPr="00E329FB">
              <w:rPr>
                <w:b w:val="0"/>
              </w:rPr>
              <w:t>, including the need to focus on improving data collection, responding to evidence gaps, improving cross-service responses to self-harm, and involving young people with lived experience, and their families, in research and policy development. A further policy paper on young people and suicide prevention is expected to be completed by June 2016.</w:t>
            </w:r>
          </w:p>
          <w:p w14:paraId="0B3E8A25" w14:textId="77777777" w:rsidR="00E329FB" w:rsidRPr="00E329FB" w:rsidRDefault="00E329FB" w:rsidP="009D1F82">
            <w:pPr>
              <w:jc w:val="both"/>
              <w:rPr>
                <w:b w:val="0"/>
              </w:rPr>
            </w:pPr>
            <w:r w:rsidRPr="00E329FB">
              <w:rPr>
                <w:b w:val="0"/>
              </w:rPr>
              <w:t xml:space="preserve">I welcome Orygen’s efforts to meaningfully engage with young people affected by mental health issues through the appointment of a Youth Partnerships in Research Coordinator to engage and consult with young people and the establishment of a Youth Research Council, of eight young people with a lived experience of mental ill-health to help inform the direction and design of future research. </w:t>
            </w:r>
          </w:p>
          <w:p w14:paraId="794653A7" w14:textId="77777777" w:rsidR="00E329FB" w:rsidRPr="00E329FB" w:rsidRDefault="00E329FB" w:rsidP="009D1F82">
            <w:pPr>
              <w:jc w:val="both"/>
              <w:rPr>
                <w:b w:val="0"/>
              </w:rPr>
            </w:pPr>
            <w:r w:rsidRPr="00E329FB">
              <w:rPr>
                <w:b w:val="0"/>
              </w:rPr>
              <w:t xml:space="preserve">It should also be noted that the National Mental Health Commission’s </w:t>
            </w:r>
            <w:r w:rsidRPr="00E329FB">
              <w:rPr>
                <w:b w:val="0"/>
                <w:i/>
              </w:rPr>
              <w:t xml:space="preserve">Report of the </w:t>
            </w:r>
            <w:r w:rsidRPr="00E329FB">
              <w:rPr>
                <w:b w:val="0"/>
                <w:i/>
              </w:rPr>
              <w:lastRenderedPageBreak/>
              <w:t>National Review of Mental Health Programmes and Services</w:t>
            </w:r>
            <w:r w:rsidRPr="00E329FB">
              <w:rPr>
                <w:b w:val="0"/>
              </w:rPr>
              <w:t>, released in April 2015, recommended renewed focus on children and young people, in particular in terms of mental health research, promotion and early intervention.</w:t>
            </w:r>
            <w:r w:rsidRPr="00E329FB">
              <w:rPr>
                <w:rStyle w:val="EndnoteReference"/>
                <w:b w:val="0"/>
              </w:rPr>
              <w:endnoteReference w:id="35"/>
            </w:r>
          </w:p>
          <w:p w14:paraId="1A041FF0" w14:textId="77777777" w:rsidR="00E329FB" w:rsidRPr="00E329FB" w:rsidRDefault="00E329FB" w:rsidP="009D1F82">
            <w:pPr>
              <w:jc w:val="both"/>
              <w:rPr>
                <w:b w:val="0"/>
              </w:rPr>
            </w:pPr>
            <w:r w:rsidRPr="00E329FB">
              <w:rPr>
                <w:b w:val="0"/>
              </w:rPr>
              <w:t>In addition, Suicide Prevention Australia as the lead agency of the National Coalition for Suicide Prevention, launched the first national action plan for suicide research in September 2015 and called on the Australian Government to provide $12 million in funding to initiate this research.</w:t>
            </w:r>
            <w:r w:rsidRPr="00E329FB">
              <w:rPr>
                <w:rStyle w:val="EndnoteReference"/>
                <w:b w:val="0"/>
              </w:rPr>
              <w:endnoteReference w:id="36"/>
            </w:r>
            <w:r w:rsidRPr="00E329FB">
              <w:rPr>
                <w:b w:val="0"/>
              </w:rPr>
              <w:t xml:space="preserve"> </w:t>
            </w:r>
          </w:p>
          <w:p w14:paraId="35E3E7C0" w14:textId="2B49EDD1" w:rsidR="00E329FB" w:rsidRPr="009D1F82" w:rsidRDefault="00E329FB" w:rsidP="009D1F82">
            <w:pPr>
              <w:jc w:val="both"/>
            </w:pPr>
            <w:r w:rsidRPr="00E329FB">
              <w:rPr>
                <w:b w:val="0"/>
              </w:rPr>
              <w:t>I look forward to the Government’s response to the proposals emerging from these initiatives.</w:t>
            </w:r>
          </w:p>
        </w:tc>
      </w:tr>
      <w:tr w:rsidR="00E329FB" w:rsidRPr="009D1F82" w14:paraId="59AFB8AD"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2AAD695C" w14:textId="34A6D690" w:rsidR="00E329FB" w:rsidRPr="009D1F82" w:rsidRDefault="00E329FB" w:rsidP="00B77005">
            <w:pPr>
              <w:jc w:val="center"/>
            </w:pPr>
            <w:r>
              <w:lastRenderedPageBreak/>
              <w:t>Recommendation 2a</w:t>
            </w:r>
          </w:p>
        </w:tc>
      </w:tr>
      <w:tr w:rsidR="00E329FB" w:rsidRPr="00E329FB" w14:paraId="27793739" w14:textId="77777777" w:rsidTr="00B77005">
        <w:tc>
          <w:tcPr>
            <w:cnfStyle w:val="001000000000" w:firstRow="0" w:lastRow="0" w:firstColumn="1" w:lastColumn="0" w:oddVBand="0" w:evenVBand="0" w:oddHBand="0" w:evenHBand="0" w:firstRowFirstColumn="0" w:firstRowLastColumn="0" w:lastRowFirstColumn="0" w:lastRowLastColumn="0"/>
            <w:tcW w:w="9493" w:type="dxa"/>
            <w:tcBorders>
              <w:bottom w:val="single" w:sz="4" w:space="0" w:color="9CC2E5" w:themeColor="accent1" w:themeTint="99"/>
            </w:tcBorders>
            <w:shd w:val="clear" w:color="auto" w:fill="FFFFFF" w:themeFill="background1"/>
            <w:vAlign w:val="center"/>
          </w:tcPr>
          <w:p w14:paraId="2841C7EC" w14:textId="77777777" w:rsidR="00E329FB" w:rsidRPr="008F04C2" w:rsidRDefault="00E329FB" w:rsidP="00E329FB">
            <w:pPr>
              <w:jc w:val="both"/>
              <w:rPr>
                <w:b w:val="0"/>
              </w:rPr>
            </w:pPr>
            <w:r w:rsidRPr="008F04C2">
              <w:rPr>
                <w:b w:val="0"/>
              </w:rPr>
              <w:t>Strengthen and develop surveillance of intentional self-harm, with or without suicidal intent, through:</w:t>
            </w:r>
          </w:p>
          <w:p w14:paraId="454C9EE9" w14:textId="4C127FCE" w:rsidR="00E329FB" w:rsidRPr="00E329FB" w:rsidRDefault="00E329FB" w:rsidP="00B77005">
            <w:pPr>
              <w:jc w:val="both"/>
              <w:rPr>
                <w:b w:val="0"/>
              </w:rPr>
            </w:pPr>
            <w:r w:rsidRPr="008F04C2">
              <w:rPr>
                <w:b w:val="0"/>
              </w:rPr>
              <w:t>The Australian Government funding an annual report on deaths due to intentional self-harm involving children and young people aged 0-17 years using the agreement reached between the Australian Bureau of Statistics; the Registrars of Births, Deaths and Marriages; and state and territory coroners on the dis</w:t>
            </w:r>
            <w:r>
              <w:rPr>
                <w:b w:val="0"/>
              </w:rPr>
              <w:t>semination of unit record data.</w:t>
            </w:r>
          </w:p>
        </w:tc>
      </w:tr>
      <w:tr w:rsidR="00E329FB" w:rsidRPr="00E329FB" w14:paraId="219AC5A6"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704852BB" w14:textId="4D57C89D" w:rsidR="00E329FB" w:rsidRPr="00E329FB" w:rsidRDefault="00E329FB" w:rsidP="00E329FB">
            <w:pPr>
              <w:jc w:val="center"/>
            </w:pPr>
            <w:r w:rsidRPr="00E329FB">
              <w:t xml:space="preserve">Progress of Recommendation </w:t>
            </w:r>
            <w:r>
              <w:t>2a</w:t>
            </w:r>
          </w:p>
        </w:tc>
      </w:tr>
      <w:tr w:rsidR="00E329FB" w:rsidRPr="009D1F82" w14:paraId="6CE161F4" w14:textId="77777777" w:rsidTr="00B77005">
        <w:tc>
          <w:tcPr>
            <w:cnfStyle w:val="001000000000" w:firstRow="0" w:lastRow="0" w:firstColumn="1" w:lastColumn="0" w:oddVBand="0" w:evenVBand="0" w:oddHBand="0" w:evenHBand="0" w:firstRowFirstColumn="0" w:firstRowLastColumn="0" w:lastRowFirstColumn="0" w:lastRowLastColumn="0"/>
            <w:tcW w:w="9493" w:type="dxa"/>
            <w:vAlign w:val="center"/>
          </w:tcPr>
          <w:p w14:paraId="3BB7FFE2" w14:textId="77777777" w:rsidR="00E329FB" w:rsidRPr="00E329FB" w:rsidRDefault="00E329FB" w:rsidP="00E329FB">
            <w:pPr>
              <w:jc w:val="both"/>
              <w:rPr>
                <w:b w:val="0"/>
              </w:rPr>
            </w:pPr>
            <w:r w:rsidRPr="00E329FB">
              <w:rPr>
                <w:b w:val="0"/>
              </w:rPr>
              <w:t xml:space="preserve">Important work is being conducted by the National Committee for Standardised Reporting on Suicide (NCSRS) which is seeking to develop a National Minimum Data Set (NMDS) for suicide. </w:t>
            </w:r>
          </w:p>
          <w:p w14:paraId="1CE05A92" w14:textId="77777777" w:rsidR="00E329FB" w:rsidRPr="00E329FB" w:rsidRDefault="00E329FB" w:rsidP="00E329FB">
            <w:pPr>
              <w:jc w:val="both"/>
              <w:rPr>
                <w:b w:val="0"/>
              </w:rPr>
            </w:pPr>
            <w:r w:rsidRPr="00E329FB">
              <w:rPr>
                <w:b w:val="0"/>
              </w:rPr>
              <w:t xml:space="preserve">This work is being led by Suicide Prevention Australia, with the Australian Bureau of Statistics (ABS), the Australian Institute of Health and Welfare (AIHW) and the National Coronial Information System providing guidance and support. </w:t>
            </w:r>
          </w:p>
          <w:p w14:paraId="65FF41DE" w14:textId="77777777" w:rsidR="00E329FB" w:rsidRPr="00E329FB" w:rsidRDefault="00E329FB" w:rsidP="00E329FB">
            <w:pPr>
              <w:jc w:val="both"/>
              <w:rPr>
                <w:b w:val="0"/>
              </w:rPr>
            </w:pPr>
            <w:r w:rsidRPr="00E329FB">
              <w:rPr>
                <w:b w:val="0"/>
              </w:rPr>
              <w:t xml:space="preserve">The NCSRS brings together stakeholders involved in the collection, analysis and reporting of suicide information, enabling a system-wide approach to data enhancement. </w:t>
            </w:r>
          </w:p>
          <w:p w14:paraId="0C8ECFA6" w14:textId="77777777" w:rsidR="00E329FB" w:rsidRPr="00E329FB" w:rsidRDefault="00E329FB" w:rsidP="00E329FB">
            <w:pPr>
              <w:jc w:val="both"/>
              <w:rPr>
                <w:b w:val="0"/>
              </w:rPr>
            </w:pPr>
            <w:r w:rsidRPr="00E329FB">
              <w:rPr>
                <w:b w:val="0"/>
              </w:rPr>
              <w:t xml:space="preserve">I welcome the efforts of the NCSRS to develop the NMDS as a positive step towards strengthening and developing data collection around suicide. </w:t>
            </w:r>
          </w:p>
          <w:p w14:paraId="5DC0B94B" w14:textId="77777777" w:rsidR="00E329FB" w:rsidRPr="00E329FB" w:rsidRDefault="00E329FB" w:rsidP="00E329FB">
            <w:pPr>
              <w:jc w:val="both"/>
              <w:rPr>
                <w:b w:val="0"/>
              </w:rPr>
            </w:pPr>
            <w:r w:rsidRPr="00E329FB">
              <w:rPr>
                <w:b w:val="0"/>
              </w:rPr>
              <w:t>Through communications with the Parliamentary Secretary to the Treasurer and the Australian Statistician, I was pleased to learn that the ABS intends to report on suicide deaths of children and young people on an annual basis. This commitment has been made with existing ABS resources with no additional funding allocated.</w:t>
            </w:r>
          </w:p>
          <w:p w14:paraId="45914F9B" w14:textId="77777777" w:rsidR="00E329FB" w:rsidRPr="00E329FB" w:rsidRDefault="00E329FB" w:rsidP="00E329FB">
            <w:pPr>
              <w:jc w:val="both"/>
              <w:rPr>
                <w:b w:val="0"/>
              </w:rPr>
            </w:pPr>
            <w:r w:rsidRPr="00E329FB">
              <w:rPr>
                <w:b w:val="0"/>
              </w:rPr>
              <w:t xml:space="preserve">I welcome the addition of six new data tables in the latest issue of the ABS data catalogue </w:t>
            </w:r>
            <w:r w:rsidRPr="00E329FB">
              <w:rPr>
                <w:b w:val="0"/>
                <w:i/>
              </w:rPr>
              <w:t>3303.0 Causes of Death</w:t>
            </w:r>
            <w:r w:rsidRPr="00E329FB">
              <w:rPr>
                <w:b w:val="0"/>
              </w:rPr>
              <w:t>, which included data on suicide deaths of children aged 5-17 years, including one focussing on Indigenous children.</w:t>
            </w:r>
            <w:r w:rsidRPr="00E329FB">
              <w:rPr>
                <w:b w:val="0"/>
                <w:sz w:val="20"/>
                <w:szCs w:val="20"/>
                <w:vertAlign w:val="superscript"/>
              </w:rPr>
              <w:endnoteReference w:id="37"/>
            </w:r>
            <w:r w:rsidRPr="00E329FB">
              <w:rPr>
                <w:b w:val="0"/>
              </w:rPr>
              <w:t xml:space="preserve"> </w:t>
            </w:r>
          </w:p>
          <w:p w14:paraId="72A7D395" w14:textId="77777777" w:rsidR="00E329FB" w:rsidRPr="00E329FB" w:rsidRDefault="00E329FB" w:rsidP="00E329FB">
            <w:pPr>
              <w:jc w:val="both"/>
              <w:rPr>
                <w:b w:val="0"/>
              </w:rPr>
            </w:pPr>
            <w:r w:rsidRPr="00E329FB">
              <w:rPr>
                <w:b w:val="0"/>
              </w:rPr>
              <w:lastRenderedPageBreak/>
              <w:t>I have been informed by the Australian Statistician that the ABS is investigating the possibility of including additional age breakdowns which would enhance the value of these tables.</w:t>
            </w:r>
          </w:p>
          <w:p w14:paraId="2B6CF903" w14:textId="77777777" w:rsidR="00E329FB" w:rsidRPr="00E329FB" w:rsidRDefault="00E329FB" w:rsidP="00E329FB">
            <w:pPr>
              <w:jc w:val="both"/>
              <w:rPr>
                <w:b w:val="0"/>
              </w:rPr>
            </w:pPr>
            <w:r w:rsidRPr="00E329FB">
              <w:rPr>
                <w:b w:val="0"/>
              </w:rPr>
              <w:t>The lack of national disaggregated data for children and young people under the age of 18 years who are engaging in intentional self-harm and suicidal behaviour is a pivotal issue.</w:t>
            </w:r>
            <w:r w:rsidRPr="00E329FB">
              <w:rPr>
                <w:rStyle w:val="EndnoteReference"/>
                <w:b w:val="0"/>
              </w:rPr>
              <w:t xml:space="preserve"> </w:t>
            </w:r>
            <w:r w:rsidRPr="00E329FB">
              <w:rPr>
                <w:rStyle w:val="EndnoteReference"/>
                <w:b w:val="0"/>
              </w:rPr>
              <w:endnoteReference w:id="38"/>
            </w:r>
            <w:r w:rsidRPr="00E329FB">
              <w:rPr>
                <w:b w:val="0"/>
              </w:rPr>
              <w:t xml:space="preserve"> </w:t>
            </w:r>
          </w:p>
          <w:p w14:paraId="0E99A190" w14:textId="77777777" w:rsidR="00E329FB" w:rsidRPr="00E329FB" w:rsidRDefault="00E329FB" w:rsidP="00E329FB">
            <w:pPr>
              <w:jc w:val="both"/>
              <w:rPr>
                <w:b w:val="0"/>
              </w:rPr>
            </w:pPr>
            <w:r w:rsidRPr="00E329FB">
              <w:rPr>
                <w:b w:val="0"/>
              </w:rPr>
              <w:t>Ideally, the data should be disaggregated by six age ranges: 0-3, 4-9, 10-11, 12-13, 14-15 and 16-17, which is equivalent to the data provided by the National Coronial Information System as part of my examination last year.</w:t>
            </w:r>
          </w:p>
          <w:p w14:paraId="36D7D101" w14:textId="77777777" w:rsidR="00E329FB" w:rsidRPr="00E329FB" w:rsidRDefault="00E329FB" w:rsidP="00E329FB">
            <w:pPr>
              <w:jc w:val="both"/>
              <w:rPr>
                <w:b w:val="0"/>
              </w:rPr>
            </w:pPr>
            <w:r w:rsidRPr="00E329FB">
              <w:rPr>
                <w:b w:val="0"/>
              </w:rPr>
              <w:t>Detailed disaggregation by age and other demographic factors could add depth to Australia's surveillance of intentional self-harm in children under 18. Without comprehensive surveillance, early intervention and prevention strategies cannot be properly planned, targeted or evaluated.</w:t>
            </w:r>
          </w:p>
          <w:p w14:paraId="31C1A4F0" w14:textId="5D525EC2" w:rsidR="00E329FB" w:rsidRPr="009D1F82" w:rsidRDefault="00E329FB" w:rsidP="00E329FB">
            <w:pPr>
              <w:jc w:val="both"/>
            </w:pPr>
            <w:r w:rsidRPr="00E329FB">
              <w:rPr>
                <w:b w:val="0"/>
              </w:rPr>
              <w:t>I am greatly appreciative of the ongoing cooperation and assistance provided by the ABS and I look forward to seeing further positive developments in this area.</w:t>
            </w:r>
          </w:p>
        </w:tc>
      </w:tr>
      <w:tr w:rsidR="00E329FB" w:rsidRPr="009D1F82" w14:paraId="6A9F4FAB"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1164FF35" w14:textId="61E4DE63" w:rsidR="00E329FB" w:rsidRPr="009D1F82" w:rsidRDefault="00E329FB" w:rsidP="00E329FB">
            <w:pPr>
              <w:jc w:val="center"/>
            </w:pPr>
            <w:r w:rsidRPr="006306E3">
              <w:lastRenderedPageBreak/>
              <w:t>Recommendation 2b</w:t>
            </w:r>
          </w:p>
        </w:tc>
      </w:tr>
      <w:tr w:rsidR="00E329FB" w:rsidRPr="00E329FB" w14:paraId="7985C61B" w14:textId="77777777" w:rsidTr="00B77005">
        <w:tc>
          <w:tcPr>
            <w:cnfStyle w:val="001000000000" w:firstRow="0" w:lastRow="0" w:firstColumn="1" w:lastColumn="0" w:oddVBand="0" w:evenVBand="0" w:oddHBand="0" w:evenHBand="0" w:firstRowFirstColumn="0" w:firstRowLastColumn="0" w:lastRowFirstColumn="0" w:lastRowLastColumn="0"/>
            <w:tcW w:w="9493" w:type="dxa"/>
            <w:tcBorders>
              <w:bottom w:val="single" w:sz="4" w:space="0" w:color="9CC2E5" w:themeColor="accent1" w:themeTint="99"/>
            </w:tcBorders>
            <w:shd w:val="clear" w:color="auto" w:fill="FFFFFF" w:themeFill="background1"/>
            <w:vAlign w:val="center"/>
          </w:tcPr>
          <w:p w14:paraId="4B813AC2" w14:textId="77777777" w:rsidR="00E329FB" w:rsidRPr="008F04C2" w:rsidRDefault="00E329FB" w:rsidP="00E329FB">
            <w:pPr>
              <w:jc w:val="both"/>
              <w:rPr>
                <w:b w:val="0"/>
              </w:rPr>
            </w:pPr>
            <w:r w:rsidRPr="008F04C2">
              <w:rPr>
                <w:b w:val="0"/>
              </w:rPr>
              <w:t>Strengthen and develop surveillance of intentional self-harm, with or without suicidal intent, through:</w:t>
            </w:r>
          </w:p>
          <w:p w14:paraId="7CC054E5" w14:textId="37B7EF41" w:rsidR="00E329FB" w:rsidRPr="00E329FB" w:rsidRDefault="00E329FB" w:rsidP="00E329FB">
            <w:pPr>
              <w:jc w:val="both"/>
              <w:rPr>
                <w:b w:val="0"/>
              </w:rPr>
            </w:pPr>
            <w:r w:rsidRPr="008F04C2">
              <w:rPr>
                <w:b w:val="0"/>
              </w:rPr>
              <w:t xml:space="preserve">The </w:t>
            </w:r>
            <w:r>
              <w:rPr>
                <w:b w:val="0"/>
              </w:rPr>
              <w:t>Australian Institute Health and Welfare</w:t>
            </w:r>
            <w:r w:rsidRPr="008F04C2">
              <w:rPr>
                <w:b w:val="0"/>
              </w:rPr>
              <w:t xml:space="preserve"> including a section using disaggregated data about hospitalisations for intentional self-harm involving children and young people aged 0-17 years in its regular series on hospitalisations for injury and poisoning in Australia.</w:t>
            </w:r>
          </w:p>
        </w:tc>
      </w:tr>
      <w:tr w:rsidR="00E329FB" w:rsidRPr="00E329FB" w14:paraId="5DB6286C"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1C0DEFD3" w14:textId="09929191" w:rsidR="00E329FB" w:rsidRPr="00E329FB" w:rsidRDefault="00E329FB" w:rsidP="00B77005">
            <w:pPr>
              <w:jc w:val="center"/>
            </w:pPr>
            <w:r w:rsidRPr="00E329FB">
              <w:t xml:space="preserve">Progress of Recommendation </w:t>
            </w:r>
            <w:r>
              <w:t>2b</w:t>
            </w:r>
          </w:p>
        </w:tc>
      </w:tr>
      <w:tr w:rsidR="00E329FB" w:rsidRPr="009D1F82" w14:paraId="2F0E862B" w14:textId="77777777" w:rsidTr="00B77005">
        <w:tc>
          <w:tcPr>
            <w:cnfStyle w:val="001000000000" w:firstRow="0" w:lastRow="0" w:firstColumn="1" w:lastColumn="0" w:oddVBand="0" w:evenVBand="0" w:oddHBand="0" w:evenHBand="0" w:firstRowFirstColumn="0" w:firstRowLastColumn="0" w:lastRowFirstColumn="0" w:lastRowLastColumn="0"/>
            <w:tcW w:w="9493" w:type="dxa"/>
            <w:vAlign w:val="center"/>
          </w:tcPr>
          <w:p w14:paraId="67E01BCC" w14:textId="77777777" w:rsidR="00E329FB" w:rsidRPr="00E329FB" w:rsidRDefault="00E329FB" w:rsidP="00E329FB">
            <w:pPr>
              <w:jc w:val="both"/>
              <w:rPr>
                <w:b w:val="0"/>
              </w:rPr>
            </w:pPr>
            <w:r w:rsidRPr="00E329FB">
              <w:rPr>
                <w:b w:val="0"/>
              </w:rPr>
              <w:t xml:space="preserve">The AIHW indicated that it could not extend its coverage of data on hospitalisations for children under 10 years of age. Reasons for this included difficulties in determining a suitable age at which self-inflicted acts can be interpreted as an intentional act of self-harm and small numbers in the age groups under 10 years can affect the reliability of estimates and may compromise confidentiality. </w:t>
            </w:r>
          </w:p>
          <w:p w14:paraId="1B974FB5" w14:textId="77777777" w:rsidR="00E329FB" w:rsidRPr="00E329FB" w:rsidRDefault="00E329FB" w:rsidP="00E329FB">
            <w:pPr>
              <w:jc w:val="both"/>
              <w:rPr>
                <w:b w:val="0"/>
              </w:rPr>
            </w:pPr>
            <w:r w:rsidRPr="00E329FB">
              <w:rPr>
                <w:b w:val="0"/>
              </w:rPr>
              <w:t xml:space="preserve">The AIHW indicated that it has the capacity to report on the 14-17 years cohort. However, this did not occur in its report </w:t>
            </w:r>
            <w:r w:rsidRPr="00E329FB">
              <w:rPr>
                <w:b w:val="0"/>
                <w:i/>
              </w:rPr>
              <w:t xml:space="preserve">Trends in hospitalised injury, Australia: 1999–00 to 2012–13 </w:t>
            </w:r>
            <w:r w:rsidRPr="00E329FB">
              <w:rPr>
                <w:b w:val="0"/>
              </w:rPr>
              <w:t>which was published in August 2015.</w:t>
            </w:r>
            <w:r w:rsidRPr="00E329FB">
              <w:rPr>
                <w:rStyle w:val="EndnoteReference"/>
                <w:b w:val="0"/>
              </w:rPr>
              <w:endnoteReference w:id="39"/>
            </w:r>
          </w:p>
          <w:p w14:paraId="2FFA43F9" w14:textId="120B0284" w:rsidR="00E329FB" w:rsidRPr="009D1F82" w:rsidRDefault="00E329FB" w:rsidP="00E329FB">
            <w:pPr>
              <w:jc w:val="both"/>
            </w:pPr>
            <w:r w:rsidRPr="00E329FB">
              <w:rPr>
                <w:b w:val="0"/>
              </w:rPr>
              <w:t>I will continue to advocate for the representation of children and young people aged 0–17 years in all future reporting.</w:t>
            </w:r>
          </w:p>
        </w:tc>
      </w:tr>
      <w:tr w:rsidR="00E329FB" w:rsidRPr="009D1F82" w14:paraId="1DF97BA2"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64FF1C0A" w14:textId="77777777" w:rsidR="00E329FB" w:rsidRDefault="00E329FB" w:rsidP="00E329FB">
            <w:pPr>
              <w:jc w:val="center"/>
            </w:pPr>
            <w:r>
              <w:t>Recommendation 2c</w:t>
            </w:r>
          </w:p>
          <w:p w14:paraId="75C1918B" w14:textId="2F3024C3" w:rsidR="00E329FB" w:rsidRPr="009D1F82" w:rsidRDefault="00E329FB" w:rsidP="00B77005">
            <w:pPr>
              <w:jc w:val="center"/>
            </w:pPr>
          </w:p>
        </w:tc>
      </w:tr>
      <w:tr w:rsidR="00E329FB" w:rsidRPr="00E329FB" w14:paraId="72C7C803" w14:textId="77777777" w:rsidTr="00B77005">
        <w:tc>
          <w:tcPr>
            <w:cnfStyle w:val="001000000000" w:firstRow="0" w:lastRow="0" w:firstColumn="1" w:lastColumn="0" w:oddVBand="0" w:evenVBand="0" w:oddHBand="0" w:evenHBand="0" w:firstRowFirstColumn="0" w:firstRowLastColumn="0" w:lastRowFirstColumn="0" w:lastRowLastColumn="0"/>
            <w:tcW w:w="9493" w:type="dxa"/>
            <w:tcBorders>
              <w:bottom w:val="single" w:sz="4" w:space="0" w:color="9CC2E5" w:themeColor="accent1" w:themeTint="99"/>
            </w:tcBorders>
            <w:shd w:val="clear" w:color="auto" w:fill="FFFFFF" w:themeFill="background1"/>
            <w:vAlign w:val="center"/>
          </w:tcPr>
          <w:p w14:paraId="0CBB6E5C" w14:textId="77777777" w:rsidR="00E329FB" w:rsidRPr="008F04C2" w:rsidRDefault="00E329FB" w:rsidP="00E329FB">
            <w:pPr>
              <w:jc w:val="both"/>
              <w:rPr>
                <w:b w:val="0"/>
              </w:rPr>
            </w:pPr>
            <w:r w:rsidRPr="008F04C2">
              <w:rPr>
                <w:b w:val="0"/>
              </w:rPr>
              <w:lastRenderedPageBreak/>
              <w:t>Strengthen and develop surveillance of intentional self-harm, with or without suicidal intent, through:</w:t>
            </w:r>
          </w:p>
          <w:p w14:paraId="0708AC54" w14:textId="0D856F61" w:rsidR="00E329FB" w:rsidRPr="00E329FB" w:rsidRDefault="00E329FB" w:rsidP="00E329FB">
            <w:pPr>
              <w:jc w:val="both"/>
              <w:rPr>
                <w:b w:val="0"/>
              </w:rPr>
            </w:pPr>
            <w:r w:rsidRPr="008F04C2">
              <w:rPr>
                <w:b w:val="0"/>
              </w:rPr>
              <w:t xml:space="preserve">The Australian and New Zealand Child Death Review and Prevention Group continuing its work in relation to the development of a national child death database, in conjunction with the </w:t>
            </w:r>
            <w:r>
              <w:rPr>
                <w:b w:val="0"/>
              </w:rPr>
              <w:t>Australian Institute of Health and Welfare</w:t>
            </w:r>
            <w:r w:rsidRPr="008F04C2">
              <w:rPr>
                <w:b w:val="0"/>
              </w:rPr>
              <w:t>, and providing an annual progress report.</w:t>
            </w:r>
          </w:p>
        </w:tc>
      </w:tr>
      <w:tr w:rsidR="00E329FB" w:rsidRPr="00E329FB" w14:paraId="41CAB26D"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75510F73" w14:textId="7FA72609" w:rsidR="00E329FB" w:rsidRPr="00E329FB" w:rsidRDefault="00E329FB" w:rsidP="00B77005">
            <w:pPr>
              <w:jc w:val="center"/>
            </w:pPr>
            <w:r w:rsidRPr="00E329FB">
              <w:t xml:space="preserve">Progress of Recommendation </w:t>
            </w:r>
            <w:r>
              <w:t>2c</w:t>
            </w:r>
          </w:p>
        </w:tc>
      </w:tr>
      <w:tr w:rsidR="00E329FB" w:rsidRPr="009D1F82" w14:paraId="7AB491B8" w14:textId="77777777" w:rsidTr="00B77005">
        <w:tc>
          <w:tcPr>
            <w:cnfStyle w:val="001000000000" w:firstRow="0" w:lastRow="0" w:firstColumn="1" w:lastColumn="0" w:oddVBand="0" w:evenVBand="0" w:oddHBand="0" w:evenHBand="0" w:firstRowFirstColumn="0" w:firstRowLastColumn="0" w:lastRowFirstColumn="0" w:lastRowLastColumn="0"/>
            <w:tcW w:w="9493" w:type="dxa"/>
            <w:vAlign w:val="center"/>
          </w:tcPr>
          <w:p w14:paraId="3A2B4357" w14:textId="77777777" w:rsidR="00E329FB" w:rsidRPr="00E329FB" w:rsidRDefault="00E329FB" w:rsidP="00E329FB">
            <w:pPr>
              <w:jc w:val="both"/>
              <w:rPr>
                <w:b w:val="0"/>
              </w:rPr>
            </w:pPr>
            <w:r w:rsidRPr="00E329FB">
              <w:rPr>
                <w:b w:val="0"/>
              </w:rPr>
              <w:t>Through communication with the Chair of the Australian and New Zealand Child Death Review and Prevention Group (ANZCDR&amp;PG), I understand that ANZCDR&amp;PG is continuing its valuable work to establish a national child death and injury database, as per recommendation 2c.</w:t>
            </w:r>
          </w:p>
          <w:p w14:paraId="28C32517" w14:textId="77777777" w:rsidR="00E329FB" w:rsidRPr="00E329FB" w:rsidRDefault="00E329FB" w:rsidP="00E329FB">
            <w:pPr>
              <w:jc w:val="both"/>
              <w:rPr>
                <w:b w:val="0"/>
              </w:rPr>
            </w:pPr>
            <w:r w:rsidRPr="00E329FB">
              <w:rPr>
                <w:b w:val="0"/>
              </w:rPr>
              <w:t>I was pleased to learn that the AIHW and ABS have both indicated to the ANZCDR&amp;PG their commitment to be actively involved in achieving this goal.</w:t>
            </w:r>
          </w:p>
          <w:p w14:paraId="661625CA" w14:textId="6172BDF1" w:rsidR="00E329FB" w:rsidRPr="009D1F82" w:rsidRDefault="00E329FB" w:rsidP="00E329FB">
            <w:pPr>
              <w:jc w:val="both"/>
            </w:pPr>
            <w:r w:rsidRPr="00E329FB">
              <w:rPr>
                <w:b w:val="0"/>
              </w:rPr>
              <w:t>I look forward to continuing to support the ANZCDR&amp;PG in their efforts to enhance the availability of information in this critical area.</w:t>
            </w:r>
          </w:p>
        </w:tc>
      </w:tr>
      <w:tr w:rsidR="00E329FB" w:rsidRPr="009D1F82" w14:paraId="511B2497"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7C4729CA" w14:textId="50F18238" w:rsidR="00E329FB" w:rsidRPr="009D1F82" w:rsidRDefault="00E329FB" w:rsidP="00E329FB">
            <w:pPr>
              <w:spacing w:before="120"/>
              <w:jc w:val="center"/>
            </w:pPr>
            <w:r w:rsidRPr="009228A5">
              <w:t>Recommendation 3</w:t>
            </w:r>
            <w:r>
              <w:t>a</w:t>
            </w:r>
          </w:p>
        </w:tc>
      </w:tr>
      <w:tr w:rsidR="00E329FB" w:rsidRPr="00E329FB" w14:paraId="50858344" w14:textId="77777777" w:rsidTr="00B77005">
        <w:tc>
          <w:tcPr>
            <w:cnfStyle w:val="001000000000" w:firstRow="0" w:lastRow="0" w:firstColumn="1" w:lastColumn="0" w:oddVBand="0" w:evenVBand="0" w:oddHBand="0" w:evenHBand="0" w:firstRowFirstColumn="0" w:firstRowLastColumn="0" w:lastRowFirstColumn="0" w:lastRowLastColumn="0"/>
            <w:tcW w:w="9493" w:type="dxa"/>
            <w:tcBorders>
              <w:bottom w:val="single" w:sz="4" w:space="0" w:color="9CC2E5" w:themeColor="accent1" w:themeTint="99"/>
            </w:tcBorders>
            <w:shd w:val="clear" w:color="auto" w:fill="FFFFFF" w:themeFill="background1"/>
            <w:vAlign w:val="center"/>
          </w:tcPr>
          <w:p w14:paraId="6591002C" w14:textId="77777777" w:rsidR="008C2A31" w:rsidRPr="008F04C2" w:rsidRDefault="008C2A31" w:rsidP="008C2A31">
            <w:pPr>
              <w:jc w:val="both"/>
              <w:rPr>
                <w:b w:val="0"/>
              </w:rPr>
            </w:pPr>
            <w:r w:rsidRPr="008F04C2">
              <w:rPr>
                <w:b w:val="0"/>
              </w:rPr>
              <w:t>Collect national data on children and young people who die due to intentional self-harm through:</w:t>
            </w:r>
          </w:p>
          <w:p w14:paraId="19579896" w14:textId="06C0866F" w:rsidR="00E329FB" w:rsidRPr="00E329FB" w:rsidRDefault="008C2A31" w:rsidP="008C2A31">
            <w:pPr>
              <w:jc w:val="both"/>
              <w:rPr>
                <w:b w:val="0"/>
              </w:rPr>
            </w:pPr>
            <w:r w:rsidRPr="008F04C2">
              <w:rPr>
                <w:b w:val="0"/>
              </w:rPr>
              <w:t>The use of the standardised National Police Form, in all jurisdictions, by 2015. This should include an electronic transfer to the National Coronial Information System. A plan to monitor the outcomes of all jurisdictions using the standardised National Police Form should be developed, and the possibility of incorporating a range of demographic, psychosocial and psychiatric information specific to children and young people should be investigated.</w:t>
            </w:r>
          </w:p>
        </w:tc>
      </w:tr>
      <w:tr w:rsidR="00E329FB" w:rsidRPr="00E329FB" w14:paraId="646D6FD7"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2D099A33" w14:textId="5DCA16AC" w:rsidR="00E329FB" w:rsidRPr="00E329FB" w:rsidRDefault="00E329FB" w:rsidP="00B77005">
            <w:pPr>
              <w:jc w:val="center"/>
            </w:pPr>
            <w:r w:rsidRPr="00E329FB">
              <w:t xml:space="preserve">Recommendation </w:t>
            </w:r>
            <w:r w:rsidR="008C2A31">
              <w:t>3b</w:t>
            </w:r>
          </w:p>
        </w:tc>
      </w:tr>
      <w:tr w:rsidR="00E329FB" w:rsidRPr="009D1F82" w14:paraId="3A7DAC04" w14:textId="77777777" w:rsidTr="00B77005">
        <w:tc>
          <w:tcPr>
            <w:cnfStyle w:val="001000000000" w:firstRow="0" w:lastRow="0" w:firstColumn="1" w:lastColumn="0" w:oddVBand="0" w:evenVBand="0" w:oddHBand="0" w:evenHBand="0" w:firstRowFirstColumn="0" w:firstRowLastColumn="0" w:lastRowFirstColumn="0" w:lastRowLastColumn="0"/>
            <w:tcW w:w="9493" w:type="dxa"/>
            <w:vAlign w:val="center"/>
          </w:tcPr>
          <w:p w14:paraId="2760289E" w14:textId="77777777" w:rsidR="008C2A31" w:rsidRPr="008F04C2" w:rsidRDefault="008C2A31" w:rsidP="008C2A31">
            <w:pPr>
              <w:jc w:val="both"/>
              <w:rPr>
                <w:b w:val="0"/>
              </w:rPr>
            </w:pPr>
            <w:r w:rsidRPr="008F04C2">
              <w:rPr>
                <w:b w:val="0"/>
              </w:rPr>
              <w:t>Collect national data on children and young people who die due to intentional self-harm through:</w:t>
            </w:r>
          </w:p>
          <w:p w14:paraId="23EC4772" w14:textId="21306292" w:rsidR="00E329FB" w:rsidRPr="009D1F82" w:rsidRDefault="008C2A31" w:rsidP="008C2A31">
            <w:pPr>
              <w:jc w:val="both"/>
            </w:pPr>
            <w:r w:rsidRPr="008F04C2">
              <w:rPr>
                <w:b w:val="0"/>
              </w:rPr>
              <w:t xml:space="preserve">The Standing Council on Law, Crime and Community Safety putting the issue of standardisation of coronial legislation and/or coronial systems on its agenda. Standardisation should require that where all state and territory coroners find a death under investigation to be caused by an action of the deceased, the coroner must make a further finding of intent, based on the evidence, to clarify whether the deceased intended to take the action which caused his or her death; the deceased lacked capacity to recognise that his or her action would cause his or her death but death was </w:t>
            </w:r>
            <w:r w:rsidRPr="008F04C2">
              <w:rPr>
                <w:b w:val="0"/>
              </w:rPr>
              <w:lastRenderedPageBreak/>
              <w:t>a reasonably foreseeable consequence of the action; or it is not clear from the evidence whether the deceased intended to cause his or her death.</w:t>
            </w:r>
          </w:p>
        </w:tc>
      </w:tr>
      <w:tr w:rsidR="00E329FB" w:rsidRPr="009D1F82" w14:paraId="784A2FAE"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023CF9DC" w14:textId="0018D772" w:rsidR="00E329FB" w:rsidRPr="009D1F82" w:rsidRDefault="008C2A31" w:rsidP="00B77005">
            <w:pPr>
              <w:jc w:val="center"/>
            </w:pPr>
            <w:r>
              <w:lastRenderedPageBreak/>
              <w:t>Progress of Recommendations 3a and 3b</w:t>
            </w:r>
          </w:p>
        </w:tc>
      </w:tr>
      <w:tr w:rsidR="00E329FB" w:rsidRPr="00E329FB" w14:paraId="0C29C3BD" w14:textId="77777777" w:rsidTr="00B77005">
        <w:tc>
          <w:tcPr>
            <w:cnfStyle w:val="001000000000" w:firstRow="0" w:lastRow="0" w:firstColumn="1" w:lastColumn="0" w:oddVBand="0" w:evenVBand="0" w:oddHBand="0" w:evenHBand="0" w:firstRowFirstColumn="0" w:firstRowLastColumn="0" w:lastRowFirstColumn="0" w:lastRowLastColumn="0"/>
            <w:tcW w:w="9493" w:type="dxa"/>
            <w:tcBorders>
              <w:bottom w:val="single" w:sz="4" w:space="0" w:color="9CC2E5" w:themeColor="accent1" w:themeTint="99"/>
            </w:tcBorders>
            <w:shd w:val="clear" w:color="auto" w:fill="FFFFFF" w:themeFill="background1"/>
            <w:vAlign w:val="center"/>
          </w:tcPr>
          <w:p w14:paraId="2A600EA3" w14:textId="3D2BA396" w:rsidR="008C2A31" w:rsidRPr="008C2A31" w:rsidRDefault="008C2A31" w:rsidP="008C2A31">
            <w:pPr>
              <w:jc w:val="both"/>
              <w:rPr>
                <w:b w:val="0"/>
              </w:rPr>
            </w:pPr>
            <w:r w:rsidRPr="008C2A31">
              <w:rPr>
                <w:b w:val="0"/>
              </w:rPr>
              <w:t xml:space="preserve">The Attorney-General has informed me in writing that the Australian Government is supportive of efforts to improve the consistency of suicide reporting and collection of data. </w:t>
            </w:r>
          </w:p>
          <w:p w14:paraId="421E5436" w14:textId="77777777" w:rsidR="008C2A31" w:rsidRPr="008C2A31" w:rsidRDefault="008C2A31" w:rsidP="008C2A31">
            <w:pPr>
              <w:jc w:val="both"/>
              <w:rPr>
                <w:b w:val="0"/>
              </w:rPr>
            </w:pPr>
            <w:r w:rsidRPr="008C2A31">
              <w:rPr>
                <w:b w:val="0"/>
              </w:rPr>
              <w:t xml:space="preserve">The Attorney-General stated that any work to develop nationally consistent forms and legislation should be led by the states and territories as coronial matters fall within their responsibilities. </w:t>
            </w:r>
          </w:p>
          <w:p w14:paraId="20918305" w14:textId="77777777" w:rsidR="008C2A31" w:rsidRPr="008C2A31" w:rsidRDefault="008C2A31" w:rsidP="008C2A31">
            <w:pPr>
              <w:jc w:val="both"/>
              <w:rPr>
                <w:b w:val="0"/>
              </w:rPr>
            </w:pPr>
            <w:r w:rsidRPr="008C2A31">
              <w:rPr>
                <w:b w:val="0"/>
              </w:rPr>
              <w:t>The Attorney-General also advised me that the Victorian Attorney-General will be raising the issue of standardisation at the Standing Council on Law, Crime and Community Safety meeting on 5 November 2015.</w:t>
            </w:r>
          </w:p>
          <w:p w14:paraId="095C23C5" w14:textId="77777777" w:rsidR="008C2A31" w:rsidRPr="008C2A31" w:rsidRDefault="008C2A31" w:rsidP="008C2A31">
            <w:pPr>
              <w:jc w:val="both"/>
              <w:rPr>
                <w:b w:val="0"/>
              </w:rPr>
            </w:pPr>
            <w:r w:rsidRPr="008C2A31">
              <w:rPr>
                <w:b w:val="0"/>
              </w:rPr>
              <w:t xml:space="preserve">I encourage the Australian Government to take a leadership role in lifting the quality and consistency of data relating to children and young people who die due to intentional self-harm. I commend the Victorian Attorney-General for progressing this matter. </w:t>
            </w:r>
          </w:p>
          <w:p w14:paraId="51142058" w14:textId="2ED504F3" w:rsidR="00E329FB" w:rsidRPr="00E329FB" w:rsidRDefault="008C2A31" w:rsidP="008C2A31">
            <w:pPr>
              <w:jc w:val="both"/>
              <w:rPr>
                <w:b w:val="0"/>
              </w:rPr>
            </w:pPr>
            <w:r w:rsidRPr="008C2A31">
              <w:rPr>
                <w:b w:val="0"/>
              </w:rPr>
              <w:t>I look forward to engaging with the Standing Council on Law, Crime and Community Safety further on the issues of standardised police forms and coronial legislation.</w:t>
            </w:r>
            <w:r>
              <w:t xml:space="preserve">  </w:t>
            </w:r>
          </w:p>
        </w:tc>
      </w:tr>
      <w:tr w:rsidR="00E329FB" w:rsidRPr="00E329FB" w14:paraId="6C84D191"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3946CF20" w14:textId="5EFBD469" w:rsidR="00E329FB" w:rsidRPr="00E329FB" w:rsidRDefault="00E329FB" w:rsidP="00B77005">
            <w:pPr>
              <w:jc w:val="center"/>
            </w:pPr>
            <w:r w:rsidRPr="00E329FB">
              <w:t xml:space="preserve">Recommendation </w:t>
            </w:r>
            <w:r w:rsidR="008C2A31">
              <w:t>4</w:t>
            </w:r>
          </w:p>
        </w:tc>
      </w:tr>
      <w:tr w:rsidR="00E329FB" w:rsidRPr="009D1F82" w14:paraId="0C905B04" w14:textId="77777777" w:rsidTr="00B77005">
        <w:tc>
          <w:tcPr>
            <w:cnfStyle w:val="001000000000" w:firstRow="0" w:lastRow="0" w:firstColumn="1" w:lastColumn="0" w:oddVBand="0" w:evenVBand="0" w:oddHBand="0" w:evenHBand="0" w:firstRowFirstColumn="0" w:firstRowLastColumn="0" w:lastRowFirstColumn="0" w:lastRowLastColumn="0"/>
            <w:tcW w:w="9493" w:type="dxa"/>
            <w:vAlign w:val="center"/>
          </w:tcPr>
          <w:p w14:paraId="506D4F84" w14:textId="5AE2EAD6" w:rsidR="00E329FB" w:rsidRPr="009D1F82" w:rsidRDefault="008C2A31" w:rsidP="008C2A31">
            <w:pPr>
              <w:jc w:val="both"/>
            </w:pPr>
            <w:r w:rsidRPr="008F04C2">
              <w:rPr>
                <w:b w:val="0"/>
              </w:rPr>
              <w:t xml:space="preserve">The Royal Australian and New Zealand College of Psychiatrists should review and, where appropriate, update its </w:t>
            </w:r>
            <w:r w:rsidRPr="00AE3185">
              <w:rPr>
                <w:b w:val="0"/>
                <w:i/>
              </w:rPr>
              <w:t>Guidelines for the Management of Deliberate Self Harm in Young People</w:t>
            </w:r>
            <w:r w:rsidRPr="008F04C2">
              <w:rPr>
                <w:b w:val="0"/>
              </w:rPr>
              <w:t xml:space="preserve"> (2000).</w:t>
            </w:r>
          </w:p>
        </w:tc>
      </w:tr>
      <w:tr w:rsidR="00E329FB" w:rsidRPr="009D1F82" w14:paraId="3D0A5430"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190056B0" w14:textId="7443E128" w:rsidR="00E329FB" w:rsidRPr="009D1F82" w:rsidRDefault="008C2A31" w:rsidP="008C2A31">
            <w:pPr>
              <w:jc w:val="center"/>
            </w:pPr>
            <w:r>
              <w:t xml:space="preserve">Progress of </w:t>
            </w:r>
            <w:r w:rsidR="00E329FB">
              <w:t xml:space="preserve">Recommendation </w:t>
            </w:r>
            <w:r>
              <w:t>4</w:t>
            </w:r>
          </w:p>
        </w:tc>
      </w:tr>
      <w:tr w:rsidR="00E329FB" w:rsidRPr="00E329FB" w14:paraId="214D090F" w14:textId="77777777" w:rsidTr="00B77005">
        <w:tc>
          <w:tcPr>
            <w:cnfStyle w:val="001000000000" w:firstRow="0" w:lastRow="0" w:firstColumn="1" w:lastColumn="0" w:oddVBand="0" w:evenVBand="0" w:oddHBand="0" w:evenHBand="0" w:firstRowFirstColumn="0" w:firstRowLastColumn="0" w:lastRowFirstColumn="0" w:lastRowLastColumn="0"/>
            <w:tcW w:w="9493" w:type="dxa"/>
            <w:tcBorders>
              <w:bottom w:val="single" w:sz="4" w:space="0" w:color="9CC2E5" w:themeColor="accent1" w:themeTint="99"/>
            </w:tcBorders>
            <w:shd w:val="clear" w:color="auto" w:fill="FFFFFF" w:themeFill="background1"/>
            <w:vAlign w:val="center"/>
          </w:tcPr>
          <w:p w14:paraId="292767C1" w14:textId="31ABE242" w:rsidR="008C2A31" w:rsidRPr="008C2A31" w:rsidRDefault="008C2A31" w:rsidP="008C2A31">
            <w:pPr>
              <w:jc w:val="both"/>
              <w:rPr>
                <w:b w:val="0"/>
              </w:rPr>
            </w:pPr>
            <w:r w:rsidRPr="008C2A31">
              <w:rPr>
                <w:b w:val="0"/>
              </w:rPr>
              <w:t xml:space="preserve">In March this year, I learned that the Royal Australian and New Zealand College of Psychiatrists intended to update their </w:t>
            </w:r>
            <w:r w:rsidRPr="008C2A31">
              <w:rPr>
                <w:b w:val="0"/>
                <w:i/>
              </w:rPr>
              <w:t>Guidelines for Management of Deliberate Self Harm in Adults</w:t>
            </w:r>
            <w:r w:rsidRPr="008C2A31">
              <w:rPr>
                <w:b w:val="0"/>
              </w:rPr>
              <w:t xml:space="preserve">, leading to the inclusion of a new section on Children and Adolescents. As part of this update, I was invited to provide feedback on the draft guidelines for this new publication.  </w:t>
            </w:r>
          </w:p>
          <w:p w14:paraId="67C414ED" w14:textId="461BAB58" w:rsidR="008C2A31" w:rsidRPr="008C2A31" w:rsidRDefault="008C2A31" w:rsidP="008C2A31">
            <w:pPr>
              <w:jc w:val="both"/>
              <w:rPr>
                <w:b w:val="0"/>
              </w:rPr>
            </w:pPr>
            <w:r w:rsidRPr="008C2A31">
              <w:rPr>
                <w:b w:val="0"/>
              </w:rPr>
              <w:t xml:space="preserve">The reissue of updated </w:t>
            </w:r>
            <w:r w:rsidRPr="008C2A31">
              <w:rPr>
                <w:b w:val="0"/>
                <w:i/>
              </w:rPr>
              <w:t>Guidelines for the Management of Deliberate Self Harm</w:t>
            </w:r>
            <w:r w:rsidRPr="008C2A31">
              <w:rPr>
                <w:b w:val="0"/>
              </w:rPr>
              <w:t xml:space="preserve">, with the inclusion of a section on Children and Adolescents, is a welcome development and I greatly appreciated the opportunity to provide feedback on </w:t>
            </w:r>
            <w:r w:rsidR="00E00380">
              <w:rPr>
                <w:b w:val="0"/>
              </w:rPr>
              <w:t>its</w:t>
            </w:r>
            <w:r w:rsidRPr="008C2A31">
              <w:rPr>
                <w:b w:val="0"/>
              </w:rPr>
              <w:t xml:space="preserve"> content. </w:t>
            </w:r>
          </w:p>
          <w:p w14:paraId="6863C2AE" w14:textId="561A60CC" w:rsidR="008C2A31" w:rsidRPr="008C2A31" w:rsidRDefault="008C2A31" w:rsidP="008C2A31">
            <w:pPr>
              <w:jc w:val="both"/>
              <w:rPr>
                <w:b w:val="0"/>
              </w:rPr>
            </w:pPr>
            <w:r w:rsidRPr="008C2A31">
              <w:rPr>
                <w:b w:val="0"/>
              </w:rPr>
              <w:t xml:space="preserve">I have been informed that there are no current plans to review or update the </w:t>
            </w:r>
            <w:r w:rsidRPr="008C2A31">
              <w:rPr>
                <w:b w:val="0"/>
                <w:i/>
              </w:rPr>
              <w:t xml:space="preserve">Guidelines for the Management of Deliberate Self Harm in Young People </w:t>
            </w:r>
            <w:r w:rsidRPr="008C2A31">
              <w:rPr>
                <w:b w:val="0"/>
              </w:rPr>
              <w:t>(2000), as aspects of this publication have now been included and updated in th</w:t>
            </w:r>
            <w:r w:rsidR="00E00380">
              <w:rPr>
                <w:b w:val="0"/>
              </w:rPr>
              <w:t>e</w:t>
            </w:r>
            <w:r w:rsidRPr="008C2A31">
              <w:rPr>
                <w:b w:val="0"/>
              </w:rPr>
              <w:t xml:space="preserve"> new </w:t>
            </w:r>
            <w:r w:rsidRPr="008C2A31">
              <w:rPr>
                <w:b w:val="0"/>
                <w:i/>
              </w:rPr>
              <w:t>Guidelines for Management of Deliberate Self-Harm</w:t>
            </w:r>
            <w:r w:rsidRPr="008C2A31">
              <w:rPr>
                <w:b w:val="0"/>
              </w:rPr>
              <w:t xml:space="preserve">. Additionally, due to the inclusion of the Children </w:t>
            </w:r>
            <w:r w:rsidRPr="008C2A31">
              <w:rPr>
                <w:b w:val="0"/>
              </w:rPr>
              <w:lastRenderedPageBreak/>
              <w:t>and Adolescent section, the term ‘adult’ will not be used in the new publication’s title.</w:t>
            </w:r>
          </w:p>
          <w:p w14:paraId="504C7C65" w14:textId="56306D58" w:rsidR="00E329FB" w:rsidRPr="00E329FB" w:rsidRDefault="008C2A31" w:rsidP="008C2A31">
            <w:pPr>
              <w:jc w:val="both"/>
              <w:rPr>
                <w:b w:val="0"/>
              </w:rPr>
            </w:pPr>
            <w:r w:rsidRPr="008C2A31">
              <w:rPr>
                <w:b w:val="0"/>
              </w:rPr>
              <w:t xml:space="preserve">Despite this welcome update, I remain of the view that a stand-alone publication devoted to children and young people is warranted and encourage the Australian Department of Health to fund a review and update of the </w:t>
            </w:r>
            <w:r w:rsidRPr="008C2A31">
              <w:rPr>
                <w:b w:val="0"/>
                <w:i/>
              </w:rPr>
              <w:t>Guidelines for the Management of Deliberate Self Harm in Young People</w:t>
            </w:r>
            <w:r w:rsidRPr="008C2A31">
              <w:rPr>
                <w:b w:val="0"/>
              </w:rPr>
              <w:t>.</w:t>
            </w:r>
          </w:p>
        </w:tc>
      </w:tr>
    </w:tbl>
    <w:p w14:paraId="54D31806" w14:textId="77777777" w:rsidR="00442634" w:rsidRDefault="00442634" w:rsidP="00354AA1">
      <w:pPr>
        <w:pStyle w:val="Heading3"/>
        <w:jc w:val="both"/>
        <w:rPr>
          <w:i/>
        </w:rPr>
      </w:pPr>
      <w:r w:rsidRPr="00442634">
        <w:lastRenderedPageBreak/>
        <w:t xml:space="preserve">Recommendations made in the </w:t>
      </w:r>
      <w:r w:rsidRPr="00926B3A">
        <w:rPr>
          <w:i/>
        </w:rPr>
        <w:t>Children’s Rights Report 2013</w:t>
      </w:r>
    </w:p>
    <w:tbl>
      <w:tblPr>
        <w:tblStyle w:val="GridTable4-Accent11"/>
        <w:tblW w:w="9493" w:type="dxa"/>
        <w:tblLook w:val="04A0" w:firstRow="1" w:lastRow="0" w:firstColumn="1" w:lastColumn="0" w:noHBand="0" w:noVBand="1"/>
      </w:tblPr>
      <w:tblGrid>
        <w:gridCol w:w="9493"/>
      </w:tblGrid>
      <w:tr w:rsidR="008C2A31" w:rsidRPr="009228A5" w14:paraId="40C671DA" w14:textId="77777777" w:rsidTr="00B770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Borders>
              <w:bottom w:val="single" w:sz="4" w:space="0" w:color="9CC2E5" w:themeColor="accent1" w:themeTint="99"/>
            </w:tcBorders>
            <w:vAlign w:val="center"/>
          </w:tcPr>
          <w:p w14:paraId="620DA6D7" w14:textId="0E824E0A" w:rsidR="008C2A31" w:rsidRPr="009228A5" w:rsidRDefault="008C2A31" w:rsidP="00B77005">
            <w:pPr>
              <w:spacing w:before="120"/>
              <w:jc w:val="both"/>
            </w:pPr>
            <w:r>
              <w:rPr>
                <w:i/>
              </w:rPr>
              <w:t>Children’s Rights Report 2013</w:t>
            </w:r>
          </w:p>
        </w:tc>
      </w:tr>
      <w:tr w:rsidR="008C2A31" w:rsidRPr="009228A5" w14:paraId="69B667BF"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180A99AE" w14:textId="77777777" w:rsidR="008C2A31" w:rsidRPr="009D1F82" w:rsidRDefault="008C2A31" w:rsidP="00B77005">
            <w:pPr>
              <w:jc w:val="center"/>
            </w:pPr>
            <w:r>
              <w:t>Recommendation 1</w:t>
            </w:r>
          </w:p>
        </w:tc>
      </w:tr>
      <w:tr w:rsidR="008C2A31" w:rsidRPr="009228A5" w14:paraId="2A4C1276" w14:textId="77777777" w:rsidTr="00B77005">
        <w:tc>
          <w:tcPr>
            <w:cnfStyle w:val="001000000000" w:firstRow="0" w:lastRow="0" w:firstColumn="1" w:lastColumn="0" w:oddVBand="0" w:evenVBand="0" w:oddHBand="0" w:evenHBand="0" w:firstRowFirstColumn="0" w:firstRowLastColumn="0" w:lastRowFirstColumn="0" w:lastRowLastColumn="0"/>
            <w:tcW w:w="9493" w:type="dxa"/>
            <w:tcBorders>
              <w:bottom w:val="single" w:sz="4" w:space="0" w:color="9CC2E5" w:themeColor="accent1" w:themeTint="99"/>
            </w:tcBorders>
            <w:shd w:val="clear" w:color="auto" w:fill="FFFFFF" w:themeFill="background1"/>
            <w:vAlign w:val="center"/>
          </w:tcPr>
          <w:p w14:paraId="15B70BCA" w14:textId="0132573E" w:rsidR="008C2A31" w:rsidRPr="00E329FB" w:rsidRDefault="00272DD5" w:rsidP="0000365A">
            <w:pPr>
              <w:spacing w:before="120"/>
              <w:jc w:val="both"/>
              <w:rPr>
                <w:b w:val="0"/>
              </w:rPr>
            </w:pPr>
            <w:r>
              <w:rPr>
                <w:b w:val="0"/>
              </w:rPr>
              <w:t xml:space="preserve">That the </w:t>
            </w:r>
            <w:r w:rsidR="0000365A" w:rsidRPr="009228A5">
              <w:rPr>
                <w:b w:val="0"/>
              </w:rPr>
              <w:t>Australian Government respond</w:t>
            </w:r>
            <w:r w:rsidR="0000365A">
              <w:rPr>
                <w:b w:val="0"/>
              </w:rPr>
              <w:t>s</w:t>
            </w:r>
            <w:r w:rsidR="0000365A" w:rsidRPr="009228A5">
              <w:rPr>
                <w:b w:val="0"/>
              </w:rPr>
              <w:t xml:space="preserve"> formally to the Concluding Observations of the United Nations Committee on the Rights of the Child on Australia’s fourth report of progress under the C</w:t>
            </w:r>
            <w:r w:rsidR="0000365A">
              <w:rPr>
                <w:b w:val="0"/>
              </w:rPr>
              <w:t xml:space="preserve">onvention on the </w:t>
            </w:r>
            <w:r w:rsidR="0000365A" w:rsidRPr="009228A5">
              <w:rPr>
                <w:b w:val="0"/>
              </w:rPr>
              <w:t>R</w:t>
            </w:r>
            <w:r w:rsidR="0000365A">
              <w:rPr>
                <w:b w:val="0"/>
              </w:rPr>
              <w:t xml:space="preserve">ights of the </w:t>
            </w:r>
            <w:r w:rsidR="0000365A" w:rsidRPr="009228A5">
              <w:rPr>
                <w:b w:val="0"/>
              </w:rPr>
              <w:t>C</w:t>
            </w:r>
            <w:r w:rsidR="0000365A">
              <w:rPr>
                <w:b w:val="0"/>
              </w:rPr>
              <w:t>hild</w:t>
            </w:r>
            <w:r w:rsidR="0000365A" w:rsidRPr="009228A5">
              <w:rPr>
                <w:b w:val="0"/>
              </w:rPr>
              <w:t xml:space="preserve"> and its Optional Protocols.</w:t>
            </w:r>
          </w:p>
        </w:tc>
      </w:tr>
      <w:tr w:rsidR="008C2A31" w:rsidRPr="009228A5" w14:paraId="46406BCB"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436CF6AF" w14:textId="77777777" w:rsidR="008C2A31" w:rsidRPr="00E329FB" w:rsidRDefault="008C2A31" w:rsidP="00B77005">
            <w:pPr>
              <w:jc w:val="center"/>
            </w:pPr>
            <w:r w:rsidRPr="00E329FB">
              <w:t>Progress of Recommendation 1</w:t>
            </w:r>
          </w:p>
        </w:tc>
      </w:tr>
      <w:tr w:rsidR="008C2A31" w:rsidRPr="009228A5" w14:paraId="74B31A01" w14:textId="77777777" w:rsidTr="00B77005">
        <w:tc>
          <w:tcPr>
            <w:cnfStyle w:val="001000000000" w:firstRow="0" w:lastRow="0" w:firstColumn="1" w:lastColumn="0" w:oddVBand="0" w:evenVBand="0" w:oddHBand="0" w:evenHBand="0" w:firstRowFirstColumn="0" w:firstRowLastColumn="0" w:lastRowFirstColumn="0" w:lastRowLastColumn="0"/>
            <w:tcW w:w="9493" w:type="dxa"/>
            <w:vAlign w:val="center"/>
          </w:tcPr>
          <w:p w14:paraId="4BF215C4" w14:textId="77777777" w:rsidR="0000365A" w:rsidRPr="0000365A" w:rsidRDefault="0000365A" w:rsidP="0000365A">
            <w:pPr>
              <w:spacing w:before="120"/>
              <w:jc w:val="both"/>
              <w:rPr>
                <w:b w:val="0"/>
              </w:rPr>
            </w:pPr>
            <w:r w:rsidRPr="0000365A">
              <w:rPr>
                <w:b w:val="0"/>
              </w:rPr>
              <w:t xml:space="preserve">Not implemented. </w:t>
            </w:r>
          </w:p>
          <w:p w14:paraId="2139D0E7" w14:textId="77777777" w:rsidR="0000365A" w:rsidRPr="0000365A" w:rsidRDefault="0000365A" w:rsidP="0000365A">
            <w:pPr>
              <w:spacing w:before="120"/>
              <w:jc w:val="both"/>
              <w:rPr>
                <w:b w:val="0"/>
              </w:rPr>
            </w:pPr>
            <w:r w:rsidRPr="0000365A">
              <w:rPr>
                <w:b w:val="0"/>
              </w:rPr>
              <w:t xml:space="preserve">In 2014, the Attorney-General informed me that there was no formal requirement to respond to the Concluding Observations of the United Nations Committee on the Rights of the Child on Australia’s fourth report of progress, and that Australia’s next report to the United Nations Committee on the Rights of the Child will detail how Australia has implemented the 2012 Concluding Observations. </w:t>
            </w:r>
          </w:p>
          <w:p w14:paraId="420FF972" w14:textId="77777777" w:rsidR="0000365A" w:rsidRPr="0000365A" w:rsidRDefault="0000365A" w:rsidP="0000365A">
            <w:pPr>
              <w:spacing w:before="120"/>
              <w:jc w:val="both"/>
              <w:rPr>
                <w:b w:val="0"/>
              </w:rPr>
            </w:pPr>
            <w:r w:rsidRPr="0000365A">
              <w:rPr>
                <w:b w:val="0"/>
              </w:rPr>
              <w:t xml:space="preserve">The Australian Government convened a roundtable discussion about the Concluding Observations in December 2012, which the Government noted would inform future policy development. </w:t>
            </w:r>
          </w:p>
          <w:p w14:paraId="79E167D9" w14:textId="77777777" w:rsidR="0000365A" w:rsidRPr="0000365A" w:rsidRDefault="0000365A" w:rsidP="0000365A">
            <w:pPr>
              <w:spacing w:before="120"/>
              <w:jc w:val="both"/>
              <w:rPr>
                <w:b w:val="0"/>
              </w:rPr>
            </w:pPr>
            <w:r w:rsidRPr="0000365A">
              <w:rPr>
                <w:b w:val="0"/>
              </w:rPr>
              <w:t xml:space="preserve">More than three years have passed since the United Nations Committee on the Rights of the Child issued its Concluding Observations to Australia, and Australia’s next report to the United Nations Committee on the Rights of the Child is not due until 15 January 2018. </w:t>
            </w:r>
          </w:p>
          <w:p w14:paraId="5759DD14" w14:textId="4D0044D4" w:rsidR="0000365A" w:rsidRPr="0000365A" w:rsidRDefault="0000365A" w:rsidP="0000365A">
            <w:pPr>
              <w:spacing w:before="120"/>
              <w:jc w:val="both"/>
              <w:rPr>
                <w:b w:val="0"/>
              </w:rPr>
            </w:pPr>
            <w:r w:rsidRPr="0000365A">
              <w:rPr>
                <w:b w:val="0"/>
              </w:rPr>
              <w:t>It is my view that the wellbeing of Australia’s children and young people would be significantly enhanced if the Australian Government responded to the Concluding Observations with a plan to monitor, prioritise and implement the recommendations made by the United Nations Committee on the Rights of the Child.</w:t>
            </w:r>
          </w:p>
          <w:p w14:paraId="0EFC00B0" w14:textId="2D831BD0" w:rsidR="008C2A31" w:rsidRPr="009D1F82" w:rsidRDefault="0000365A" w:rsidP="0000365A">
            <w:pPr>
              <w:jc w:val="both"/>
            </w:pPr>
            <w:r w:rsidRPr="0000365A">
              <w:rPr>
                <w:b w:val="0"/>
              </w:rPr>
              <w:t>I will continue to engage in constructive dialogue with the Attorney-General in relation to this.</w:t>
            </w:r>
          </w:p>
        </w:tc>
      </w:tr>
      <w:tr w:rsidR="008C2A31" w:rsidRPr="009D1F82" w14:paraId="220E73A1"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15F98FCD" w14:textId="55F87A19" w:rsidR="008C2A31" w:rsidRPr="009D1F82" w:rsidRDefault="008C2A31" w:rsidP="00B77005">
            <w:pPr>
              <w:jc w:val="center"/>
            </w:pPr>
            <w:r>
              <w:t>Recommendation 2</w:t>
            </w:r>
          </w:p>
        </w:tc>
      </w:tr>
      <w:tr w:rsidR="008C2A31" w:rsidRPr="00E329FB" w14:paraId="6F32664F" w14:textId="77777777" w:rsidTr="00B77005">
        <w:tc>
          <w:tcPr>
            <w:cnfStyle w:val="001000000000" w:firstRow="0" w:lastRow="0" w:firstColumn="1" w:lastColumn="0" w:oddVBand="0" w:evenVBand="0" w:oddHBand="0" w:evenHBand="0" w:firstRowFirstColumn="0" w:firstRowLastColumn="0" w:lastRowFirstColumn="0" w:lastRowLastColumn="0"/>
            <w:tcW w:w="9493" w:type="dxa"/>
            <w:tcBorders>
              <w:bottom w:val="single" w:sz="4" w:space="0" w:color="9CC2E5" w:themeColor="accent1" w:themeTint="99"/>
            </w:tcBorders>
            <w:shd w:val="clear" w:color="auto" w:fill="FFFFFF" w:themeFill="background1"/>
            <w:vAlign w:val="center"/>
          </w:tcPr>
          <w:p w14:paraId="296DAA7E" w14:textId="373558BF" w:rsidR="008C2A31" w:rsidRPr="00E329FB" w:rsidRDefault="0000365A" w:rsidP="00B77005">
            <w:pPr>
              <w:jc w:val="both"/>
              <w:rPr>
                <w:b w:val="0"/>
              </w:rPr>
            </w:pPr>
            <w:r w:rsidRPr="009228A5">
              <w:rPr>
                <w:b w:val="0"/>
              </w:rPr>
              <w:lastRenderedPageBreak/>
              <w:t>That the Australian Government accedes to the Optional Protocol to the Convention on the Rights of the Child on a Communications Procedure (OPCP) and ratifies the Optional Protocol to the Convention Against Torture and Other Cruel, Inhuman or Degrading Treatment or Punishment (OPCAT).</w:t>
            </w:r>
          </w:p>
        </w:tc>
      </w:tr>
      <w:tr w:rsidR="008C2A31" w:rsidRPr="00E329FB" w14:paraId="3CCE7239"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7B8BC9ED" w14:textId="63358043" w:rsidR="008C2A31" w:rsidRPr="00E329FB" w:rsidRDefault="008C2A31" w:rsidP="00B77005">
            <w:pPr>
              <w:jc w:val="center"/>
            </w:pPr>
            <w:r w:rsidRPr="00E329FB">
              <w:t xml:space="preserve">Progress of Recommendation </w:t>
            </w:r>
            <w:r>
              <w:t>2</w:t>
            </w:r>
          </w:p>
        </w:tc>
      </w:tr>
      <w:tr w:rsidR="008C2A31" w:rsidRPr="009D1F82" w14:paraId="7036884D" w14:textId="77777777" w:rsidTr="00B77005">
        <w:tc>
          <w:tcPr>
            <w:cnfStyle w:val="001000000000" w:firstRow="0" w:lastRow="0" w:firstColumn="1" w:lastColumn="0" w:oddVBand="0" w:evenVBand="0" w:oddHBand="0" w:evenHBand="0" w:firstRowFirstColumn="0" w:firstRowLastColumn="0" w:lastRowFirstColumn="0" w:lastRowLastColumn="0"/>
            <w:tcW w:w="9493" w:type="dxa"/>
            <w:vAlign w:val="center"/>
          </w:tcPr>
          <w:p w14:paraId="566D2031" w14:textId="77777777" w:rsidR="0000365A" w:rsidRPr="0000365A" w:rsidRDefault="0000365A" w:rsidP="0000365A">
            <w:pPr>
              <w:spacing w:before="120"/>
              <w:jc w:val="both"/>
              <w:rPr>
                <w:b w:val="0"/>
              </w:rPr>
            </w:pPr>
            <w:r w:rsidRPr="0000365A">
              <w:rPr>
                <w:b w:val="0"/>
              </w:rPr>
              <w:t>Not implemented.</w:t>
            </w:r>
          </w:p>
          <w:p w14:paraId="3378C8F3" w14:textId="77777777" w:rsidR="0000365A" w:rsidRPr="0000365A" w:rsidRDefault="0000365A" w:rsidP="0000365A">
            <w:pPr>
              <w:jc w:val="both"/>
              <w:rPr>
                <w:b w:val="0"/>
              </w:rPr>
            </w:pPr>
            <w:r w:rsidRPr="0000365A">
              <w:rPr>
                <w:b w:val="0"/>
              </w:rPr>
              <w:t>In 2014, the Attorney-General indicated to me that the Australian Government had not yet formed a formal position on OPCP and OPCAT.</w:t>
            </w:r>
          </w:p>
          <w:p w14:paraId="3BC1E141" w14:textId="77777777" w:rsidR="0000365A" w:rsidRPr="0000365A" w:rsidRDefault="0000365A" w:rsidP="0000365A">
            <w:pPr>
              <w:jc w:val="both"/>
              <w:rPr>
                <w:b w:val="0"/>
              </w:rPr>
            </w:pPr>
            <w:r w:rsidRPr="0000365A">
              <w:rPr>
                <w:b w:val="0"/>
              </w:rPr>
              <w:t xml:space="preserve">In 2015, the Attorney-General informed me that the Australian Government’s position has not changed in relation to this recommendation. </w:t>
            </w:r>
          </w:p>
          <w:p w14:paraId="0F8158C0" w14:textId="17EB3F53" w:rsidR="008C2A31" w:rsidRPr="009D1F82" w:rsidRDefault="0000365A" w:rsidP="0000365A">
            <w:pPr>
              <w:jc w:val="both"/>
            </w:pPr>
            <w:r w:rsidRPr="0000365A">
              <w:rPr>
                <w:b w:val="0"/>
              </w:rPr>
              <w:t>I hope that the Australian Government, as a matter of priority, will develop a formal view on OPCP and OPCAT, given their importance in protecting the rights and welfare of children and young people both in Australia and around the world.</w:t>
            </w:r>
          </w:p>
        </w:tc>
      </w:tr>
      <w:tr w:rsidR="008C2A31" w:rsidRPr="009D1F82" w14:paraId="6B28ABE2"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7717E7E8" w14:textId="3DB53F43" w:rsidR="008C2A31" w:rsidRPr="009D1F82" w:rsidRDefault="008C2A31" w:rsidP="00B77005">
            <w:pPr>
              <w:jc w:val="center"/>
            </w:pPr>
            <w:r>
              <w:t>Recommendation 3</w:t>
            </w:r>
          </w:p>
        </w:tc>
      </w:tr>
      <w:tr w:rsidR="008C2A31" w:rsidRPr="00E329FB" w14:paraId="7A3FC90C" w14:textId="77777777" w:rsidTr="00B77005">
        <w:tc>
          <w:tcPr>
            <w:cnfStyle w:val="001000000000" w:firstRow="0" w:lastRow="0" w:firstColumn="1" w:lastColumn="0" w:oddVBand="0" w:evenVBand="0" w:oddHBand="0" w:evenHBand="0" w:firstRowFirstColumn="0" w:firstRowLastColumn="0" w:lastRowFirstColumn="0" w:lastRowLastColumn="0"/>
            <w:tcW w:w="9493" w:type="dxa"/>
            <w:tcBorders>
              <w:bottom w:val="single" w:sz="4" w:space="0" w:color="9CC2E5" w:themeColor="accent1" w:themeTint="99"/>
            </w:tcBorders>
            <w:shd w:val="clear" w:color="auto" w:fill="FFFFFF" w:themeFill="background1"/>
            <w:vAlign w:val="center"/>
          </w:tcPr>
          <w:p w14:paraId="2EA7E66E" w14:textId="3B5C9135" w:rsidR="008C2A31" w:rsidRPr="00E329FB" w:rsidRDefault="00272DD5" w:rsidP="00272DD5">
            <w:pPr>
              <w:jc w:val="both"/>
              <w:rPr>
                <w:b w:val="0"/>
              </w:rPr>
            </w:pPr>
            <w:r>
              <w:rPr>
                <w:b w:val="0"/>
              </w:rPr>
              <w:t>That t</w:t>
            </w:r>
            <w:r w:rsidR="0000365A" w:rsidRPr="009228A5">
              <w:rPr>
                <w:b w:val="0"/>
              </w:rPr>
              <w:t>he Australian Government finalises its review of Australia’s reservations and withdraws its reservation under article 37(c) of the Convention on the Rights of the Child which relates to the obligation to separate children from adults in prison.</w:t>
            </w:r>
          </w:p>
        </w:tc>
      </w:tr>
      <w:tr w:rsidR="008C2A31" w:rsidRPr="00E329FB" w14:paraId="2BEE16F1"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7C10CF4F" w14:textId="1A9E11F0" w:rsidR="008C2A31" w:rsidRPr="00E329FB" w:rsidRDefault="008C2A31" w:rsidP="00B77005">
            <w:pPr>
              <w:jc w:val="center"/>
            </w:pPr>
            <w:r w:rsidRPr="00E329FB">
              <w:t xml:space="preserve">Progress of Recommendation </w:t>
            </w:r>
            <w:r>
              <w:t>3</w:t>
            </w:r>
          </w:p>
        </w:tc>
      </w:tr>
      <w:tr w:rsidR="008C2A31" w:rsidRPr="009D1F82" w14:paraId="20A507C6" w14:textId="77777777" w:rsidTr="00B77005">
        <w:tc>
          <w:tcPr>
            <w:cnfStyle w:val="001000000000" w:firstRow="0" w:lastRow="0" w:firstColumn="1" w:lastColumn="0" w:oddVBand="0" w:evenVBand="0" w:oddHBand="0" w:evenHBand="0" w:firstRowFirstColumn="0" w:firstRowLastColumn="0" w:lastRowFirstColumn="0" w:lastRowLastColumn="0"/>
            <w:tcW w:w="9493" w:type="dxa"/>
            <w:vAlign w:val="center"/>
          </w:tcPr>
          <w:p w14:paraId="6135B8C6" w14:textId="77777777" w:rsidR="0000365A" w:rsidRPr="0000365A" w:rsidRDefault="0000365A" w:rsidP="0000365A">
            <w:pPr>
              <w:spacing w:before="120"/>
              <w:jc w:val="both"/>
              <w:rPr>
                <w:b w:val="0"/>
              </w:rPr>
            </w:pPr>
            <w:r w:rsidRPr="0000365A">
              <w:rPr>
                <w:b w:val="0"/>
              </w:rPr>
              <w:t>Not implemented.</w:t>
            </w:r>
          </w:p>
          <w:p w14:paraId="64FE7837" w14:textId="77777777" w:rsidR="0000365A" w:rsidRPr="0000365A" w:rsidRDefault="0000365A" w:rsidP="0000365A">
            <w:pPr>
              <w:jc w:val="both"/>
              <w:rPr>
                <w:b w:val="0"/>
              </w:rPr>
            </w:pPr>
            <w:r w:rsidRPr="0000365A">
              <w:rPr>
                <w:b w:val="0"/>
              </w:rPr>
              <w:t xml:space="preserve">In 2014, the Attorney-General stated that state and territory governments were reluctant to remove Australia’s reservation to article 37(c). </w:t>
            </w:r>
          </w:p>
          <w:p w14:paraId="5319D248" w14:textId="1156D297" w:rsidR="008C2A31" w:rsidRPr="009D1F82" w:rsidRDefault="0000365A" w:rsidP="0000365A">
            <w:pPr>
              <w:jc w:val="both"/>
            </w:pPr>
            <w:r w:rsidRPr="0000365A">
              <w:rPr>
                <w:b w:val="0"/>
              </w:rPr>
              <w:t>The Attorney-General also stated that new detention facilities would need to be constructed in geographically remote areas in order to separate children from adults in detention, and this would be a costly undertaking.</w:t>
            </w:r>
          </w:p>
        </w:tc>
      </w:tr>
      <w:tr w:rsidR="008C2A31" w:rsidRPr="009D1F82" w14:paraId="5F0DDF68"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75E7F779" w14:textId="2CD4A79E" w:rsidR="008C2A31" w:rsidRPr="009D1F82" w:rsidRDefault="008C2A31" w:rsidP="008C2A31">
            <w:pPr>
              <w:jc w:val="center"/>
            </w:pPr>
            <w:r>
              <w:t>Recommendation 4</w:t>
            </w:r>
          </w:p>
        </w:tc>
      </w:tr>
      <w:tr w:rsidR="008C2A31" w:rsidRPr="00E329FB" w14:paraId="0C3D6561" w14:textId="77777777" w:rsidTr="00B77005">
        <w:tc>
          <w:tcPr>
            <w:cnfStyle w:val="001000000000" w:firstRow="0" w:lastRow="0" w:firstColumn="1" w:lastColumn="0" w:oddVBand="0" w:evenVBand="0" w:oddHBand="0" w:evenHBand="0" w:firstRowFirstColumn="0" w:firstRowLastColumn="0" w:lastRowFirstColumn="0" w:lastRowLastColumn="0"/>
            <w:tcW w:w="9493" w:type="dxa"/>
            <w:tcBorders>
              <w:bottom w:val="single" w:sz="4" w:space="0" w:color="9CC2E5" w:themeColor="accent1" w:themeTint="99"/>
            </w:tcBorders>
            <w:shd w:val="clear" w:color="auto" w:fill="FFFFFF" w:themeFill="background1"/>
            <w:vAlign w:val="center"/>
          </w:tcPr>
          <w:p w14:paraId="6ED8BFA7" w14:textId="1DA28EC6" w:rsidR="008C2A31" w:rsidRPr="00AE7848" w:rsidRDefault="0000365A" w:rsidP="0000365A">
            <w:pPr>
              <w:jc w:val="both"/>
              <w:rPr>
                <w:b w:val="0"/>
              </w:rPr>
            </w:pPr>
            <w:r>
              <w:rPr>
                <w:b w:val="0"/>
              </w:rPr>
              <w:t xml:space="preserve">That the Australian Institute of Health and Welfare (AIHW) extends its current cohort of Australian children in </w:t>
            </w:r>
            <w:r>
              <w:rPr>
                <w:b w:val="0"/>
                <w:i/>
              </w:rPr>
              <w:t xml:space="preserve">A picture </w:t>
            </w:r>
            <w:r w:rsidR="00AE7848">
              <w:rPr>
                <w:b w:val="0"/>
                <w:i/>
              </w:rPr>
              <w:t xml:space="preserve">of Australia’s children </w:t>
            </w:r>
            <w:r w:rsidR="00AE7848">
              <w:rPr>
                <w:b w:val="0"/>
              </w:rPr>
              <w:t xml:space="preserve">from 0 to 14 years to 0 to 17 years, consistent with the </w:t>
            </w:r>
            <w:r w:rsidR="00AE7848">
              <w:rPr>
                <w:b w:val="0"/>
                <w:i/>
              </w:rPr>
              <w:t>Convention on the Rights of the Child</w:t>
            </w:r>
            <w:r w:rsidR="00AE7848">
              <w:rPr>
                <w:b w:val="0"/>
              </w:rPr>
              <w:t xml:space="preserve"> definition of the child.</w:t>
            </w:r>
          </w:p>
        </w:tc>
      </w:tr>
      <w:tr w:rsidR="008C2A31" w:rsidRPr="00E329FB" w14:paraId="49195E65"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2A66E985" w14:textId="5EBD4EF9" w:rsidR="008C2A31" w:rsidRPr="00E329FB" w:rsidRDefault="008C2A31" w:rsidP="00B77005">
            <w:pPr>
              <w:jc w:val="center"/>
            </w:pPr>
            <w:r w:rsidRPr="00E329FB">
              <w:t xml:space="preserve">Progress of Recommendation </w:t>
            </w:r>
            <w:r>
              <w:t>4</w:t>
            </w:r>
          </w:p>
        </w:tc>
      </w:tr>
      <w:tr w:rsidR="008C2A31" w:rsidRPr="009D1F82" w14:paraId="683BC8A9" w14:textId="77777777" w:rsidTr="00B77005">
        <w:tc>
          <w:tcPr>
            <w:cnfStyle w:val="001000000000" w:firstRow="0" w:lastRow="0" w:firstColumn="1" w:lastColumn="0" w:oddVBand="0" w:evenVBand="0" w:oddHBand="0" w:evenHBand="0" w:firstRowFirstColumn="0" w:firstRowLastColumn="0" w:lastRowFirstColumn="0" w:lastRowLastColumn="0"/>
            <w:tcW w:w="9493" w:type="dxa"/>
            <w:vAlign w:val="center"/>
          </w:tcPr>
          <w:p w14:paraId="6F31E56F" w14:textId="5D5AAFF4" w:rsidR="008C2A31" w:rsidRPr="0000365A" w:rsidRDefault="0000365A" w:rsidP="0000365A">
            <w:pPr>
              <w:jc w:val="both"/>
              <w:rPr>
                <w:b w:val="0"/>
              </w:rPr>
            </w:pPr>
            <w:r>
              <w:rPr>
                <w:b w:val="0"/>
              </w:rPr>
              <w:lastRenderedPageBreak/>
              <w:t xml:space="preserve">As I reported in the Children’s Rights Report 2014, the Australian Government Department of </w:t>
            </w:r>
            <w:r w:rsidR="00272DD5">
              <w:rPr>
                <w:b w:val="0"/>
              </w:rPr>
              <w:t>Health</w:t>
            </w:r>
            <w:r>
              <w:rPr>
                <w:b w:val="0"/>
              </w:rPr>
              <w:t xml:space="preserve"> ceased funding for </w:t>
            </w:r>
            <w:r w:rsidRPr="0000365A">
              <w:rPr>
                <w:b w:val="0"/>
                <w:i/>
              </w:rPr>
              <w:t>A picture of Australia’s children</w:t>
            </w:r>
            <w:r>
              <w:rPr>
                <w:b w:val="0"/>
              </w:rPr>
              <w:t xml:space="preserve">. </w:t>
            </w:r>
          </w:p>
        </w:tc>
      </w:tr>
      <w:tr w:rsidR="008C2A31" w:rsidRPr="009D1F82" w14:paraId="56D51277"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588DE69E" w14:textId="7FEF25B3" w:rsidR="008C2A31" w:rsidRPr="009D1F82" w:rsidRDefault="008C2A31" w:rsidP="00B77005">
            <w:pPr>
              <w:spacing w:before="120"/>
              <w:jc w:val="center"/>
            </w:pPr>
            <w:r>
              <w:t>Recommendation 5</w:t>
            </w:r>
          </w:p>
        </w:tc>
      </w:tr>
      <w:tr w:rsidR="008C2A31" w:rsidRPr="00E329FB" w14:paraId="642DB64A" w14:textId="77777777" w:rsidTr="00B77005">
        <w:tc>
          <w:tcPr>
            <w:cnfStyle w:val="001000000000" w:firstRow="0" w:lastRow="0" w:firstColumn="1" w:lastColumn="0" w:oddVBand="0" w:evenVBand="0" w:oddHBand="0" w:evenHBand="0" w:firstRowFirstColumn="0" w:firstRowLastColumn="0" w:lastRowFirstColumn="0" w:lastRowLastColumn="0"/>
            <w:tcW w:w="9493" w:type="dxa"/>
            <w:tcBorders>
              <w:bottom w:val="single" w:sz="4" w:space="0" w:color="9CC2E5" w:themeColor="accent1" w:themeTint="99"/>
            </w:tcBorders>
            <w:shd w:val="clear" w:color="auto" w:fill="FFFFFF" w:themeFill="background1"/>
            <w:vAlign w:val="center"/>
          </w:tcPr>
          <w:p w14:paraId="6D25F4D0" w14:textId="265A5F72" w:rsidR="008C2A31" w:rsidRPr="00E329FB" w:rsidRDefault="00272DD5" w:rsidP="00B77005">
            <w:pPr>
              <w:jc w:val="both"/>
              <w:rPr>
                <w:b w:val="0"/>
              </w:rPr>
            </w:pPr>
            <w:r>
              <w:rPr>
                <w:b w:val="0"/>
              </w:rPr>
              <w:t>That the</w:t>
            </w:r>
            <w:r w:rsidR="0000365A" w:rsidRPr="009228A5">
              <w:rPr>
                <w:b w:val="0"/>
              </w:rPr>
              <w:t xml:space="preserve"> Australian Government establishes relevant data holdings and analytics covering all the key domains of children’s rights outlined in the Convention on the Rights of the Child, including comparable data across jurisdictions, which the National Children’s Commissioner can use to monitor the enjoyment and exercise of human rights by children in Australia.</w:t>
            </w:r>
          </w:p>
        </w:tc>
      </w:tr>
      <w:tr w:rsidR="008C2A31" w:rsidRPr="00E329FB" w14:paraId="31EA9ED0"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48B70FEC" w14:textId="7DAC807C" w:rsidR="008C2A31" w:rsidRPr="00E329FB" w:rsidRDefault="008C2A31" w:rsidP="00B77005">
            <w:pPr>
              <w:jc w:val="center"/>
            </w:pPr>
            <w:r w:rsidRPr="00E329FB">
              <w:t xml:space="preserve">Progress of Recommendation </w:t>
            </w:r>
            <w:r>
              <w:t>5</w:t>
            </w:r>
          </w:p>
        </w:tc>
      </w:tr>
      <w:tr w:rsidR="008C2A31" w:rsidRPr="009D1F82" w14:paraId="1A6138A4" w14:textId="77777777" w:rsidTr="00B77005">
        <w:tc>
          <w:tcPr>
            <w:cnfStyle w:val="001000000000" w:firstRow="0" w:lastRow="0" w:firstColumn="1" w:lastColumn="0" w:oddVBand="0" w:evenVBand="0" w:oddHBand="0" w:evenHBand="0" w:firstRowFirstColumn="0" w:firstRowLastColumn="0" w:lastRowFirstColumn="0" w:lastRowLastColumn="0"/>
            <w:tcW w:w="9493" w:type="dxa"/>
            <w:vAlign w:val="center"/>
          </w:tcPr>
          <w:p w14:paraId="7DE44632" w14:textId="77777777" w:rsidR="0000365A" w:rsidRPr="0000365A" w:rsidRDefault="0000365A" w:rsidP="0000365A">
            <w:pPr>
              <w:jc w:val="both"/>
              <w:rPr>
                <w:b w:val="0"/>
                <w:lang w:val="en-US"/>
              </w:rPr>
            </w:pPr>
            <w:r w:rsidRPr="0000365A">
              <w:rPr>
                <w:b w:val="0"/>
                <w:lang w:val="en-US"/>
              </w:rPr>
              <w:t>Not implemented.</w:t>
            </w:r>
          </w:p>
          <w:p w14:paraId="3965F55C" w14:textId="0A8F161A" w:rsidR="0000365A" w:rsidRPr="0000365A" w:rsidRDefault="0000365A" w:rsidP="0000365A">
            <w:pPr>
              <w:jc w:val="both"/>
              <w:rPr>
                <w:b w:val="0"/>
                <w:lang w:val="en-US"/>
              </w:rPr>
            </w:pPr>
            <w:r w:rsidRPr="0000365A">
              <w:rPr>
                <w:b w:val="0"/>
                <w:lang w:val="en-US"/>
              </w:rPr>
              <w:t xml:space="preserve">In 2014, the Attorney-General </w:t>
            </w:r>
            <w:r w:rsidR="00973CAC">
              <w:rPr>
                <w:b w:val="0"/>
                <w:lang w:val="en-US"/>
              </w:rPr>
              <w:t>indicated</w:t>
            </w:r>
            <w:r w:rsidRPr="0000365A">
              <w:rPr>
                <w:b w:val="0"/>
                <w:lang w:val="en-US"/>
              </w:rPr>
              <w:t xml:space="preserve"> that the Australian Government remains committed to collaborating with state and territory governments via its cross-jurisdictional Early Childhood Data Subgroup, to implement further improvements to data collection and enhance research capability into the future. </w:t>
            </w:r>
          </w:p>
          <w:p w14:paraId="17829461" w14:textId="77777777" w:rsidR="0000365A" w:rsidRPr="0000365A" w:rsidRDefault="0000365A" w:rsidP="0000365A">
            <w:pPr>
              <w:jc w:val="both"/>
              <w:rPr>
                <w:b w:val="0"/>
                <w:lang w:val="en-US"/>
              </w:rPr>
            </w:pPr>
            <w:r w:rsidRPr="0000365A">
              <w:rPr>
                <w:b w:val="0"/>
                <w:lang w:val="en-US"/>
              </w:rPr>
              <w:t>The Attorney-General indicated that this should provide the building blocks for data linkage capability across sectors, including health, early childhood and schools, which in turn will allow multi-dimensional research as well as longitudinal analysis.</w:t>
            </w:r>
          </w:p>
          <w:p w14:paraId="07830B6F" w14:textId="77777777" w:rsidR="0000365A" w:rsidRPr="0000365A" w:rsidRDefault="0000365A" w:rsidP="0000365A">
            <w:pPr>
              <w:jc w:val="both"/>
              <w:rPr>
                <w:b w:val="0"/>
                <w:lang w:val="en-US"/>
              </w:rPr>
            </w:pPr>
            <w:r w:rsidRPr="0000365A">
              <w:rPr>
                <w:b w:val="0"/>
                <w:lang w:val="en-US"/>
              </w:rPr>
              <w:t>In May 2014, I sought advice from the AIHW on what would be required to implement my 2013 recommendation. The AIHW estimated that it would require 4-5 months of scoping work, followed by data analysis at a cost of approximately $150,000.</w:t>
            </w:r>
          </w:p>
          <w:p w14:paraId="495A4BA9" w14:textId="77777777" w:rsidR="0000365A" w:rsidRPr="0000365A" w:rsidRDefault="0000365A" w:rsidP="0000365A">
            <w:pPr>
              <w:jc w:val="both"/>
              <w:rPr>
                <w:b w:val="0"/>
                <w:lang w:val="en-US"/>
              </w:rPr>
            </w:pPr>
            <w:r w:rsidRPr="0000365A">
              <w:rPr>
                <w:b w:val="0"/>
                <w:lang w:val="en-US"/>
              </w:rPr>
              <w:t xml:space="preserve">As the National Children’s Commissioner, I do not have the funds to progress this. I approached a number of Australian Government departments for assistance but, to date, no funding could be sourced. </w:t>
            </w:r>
          </w:p>
          <w:p w14:paraId="28155DED" w14:textId="77777777" w:rsidR="0000365A" w:rsidRPr="0000365A" w:rsidRDefault="0000365A" w:rsidP="0000365A">
            <w:pPr>
              <w:jc w:val="both"/>
              <w:rPr>
                <w:b w:val="0"/>
                <w:lang w:val="en-US"/>
              </w:rPr>
            </w:pPr>
            <w:r w:rsidRPr="0000365A">
              <w:rPr>
                <w:b w:val="0"/>
                <w:lang w:val="en-US"/>
              </w:rPr>
              <w:t>In September 2015, the AIHW released a new set of data through the National Youth Information Framework, an interactive data portal which includes, for the first time, a breakdown of data for children aged 12-17 years.</w:t>
            </w:r>
            <w:r w:rsidRPr="0000365A">
              <w:rPr>
                <w:rStyle w:val="EndnoteReference"/>
                <w:b w:val="0"/>
                <w:lang w:val="en-US"/>
              </w:rPr>
              <w:endnoteReference w:id="40"/>
            </w:r>
            <w:r w:rsidRPr="0000365A">
              <w:rPr>
                <w:b w:val="0"/>
                <w:lang w:val="en-US"/>
              </w:rPr>
              <w:t xml:space="preserve"> </w:t>
            </w:r>
          </w:p>
          <w:p w14:paraId="56C1042B" w14:textId="77777777" w:rsidR="0000365A" w:rsidRPr="0000365A" w:rsidRDefault="0000365A" w:rsidP="0000365A">
            <w:pPr>
              <w:jc w:val="both"/>
              <w:rPr>
                <w:b w:val="0"/>
                <w:lang w:val="en-US"/>
              </w:rPr>
            </w:pPr>
            <w:r w:rsidRPr="0000365A">
              <w:rPr>
                <w:b w:val="0"/>
                <w:lang w:val="en-US"/>
              </w:rPr>
              <w:t xml:space="preserve">The data portal covers 38 indicators of health and wellbeing for children and young people aged 12-24 years, including: death and disease; substance abuse; suicide and self-harm; obesity; physical activity rates and educational outcomes. </w:t>
            </w:r>
          </w:p>
          <w:p w14:paraId="45C9D2DE" w14:textId="77777777" w:rsidR="0000365A" w:rsidRPr="0000365A" w:rsidRDefault="0000365A" w:rsidP="0000365A">
            <w:pPr>
              <w:jc w:val="both"/>
              <w:rPr>
                <w:b w:val="0"/>
                <w:lang w:val="en-US"/>
              </w:rPr>
            </w:pPr>
            <w:r w:rsidRPr="0000365A">
              <w:rPr>
                <w:b w:val="0"/>
                <w:lang w:val="en-US"/>
              </w:rPr>
              <w:t>I welcome this initiative and will continue to encourage the AIHW to provide further disaggregated data on children aged 0–17 years and groups of children such as Aboriginal and Torres Strait Islander children, children from culturally and linguistically diverse backgrounds, children with disability and children with diverse sexual orientations and gender identities.</w:t>
            </w:r>
          </w:p>
          <w:p w14:paraId="6AAB620B" w14:textId="77777777" w:rsidR="0000365A" w:rsidRPr="0000365A" w:rsidRDefault="0000365A" w:rsidP="0000365A">
            <w:pPr>
              <w:spacing w:before="120"/>
              <w:jc w:val="both"/>
              <w:rPr>
                <w:b w:val="0"/>
                <w:lang w:val="en-US"/>
              </w:rPr>
            </w:pPr>
            <w:r w:rsidRPr="0000365A">
              <w:rPr>
                <w:b w:val="0"/>
                <w:lang w:val="en-US"/>
              </w:rPr>
              <w:t xml:space="preserve">Coverage of all the key domains contained in the Convention on the Rights of the Child will provide an accurate picture of the rights and wellbeing of Australia’s children. This will highlight progress as well as gaps in our implementation of the Convention </w:t>
            </w:r>
            <w:r w:rsidRPr="0000365A">
              <w:rPr>
                <w:b w:val="0"/>
              </w:rPr>
              <w:t xml:space="preserve">on the </w:t>
            </w:r>
            <w:r w:rsidRPr="0000365A">
              <w:rPr>
                <w:b w:val="0"/>
              </w:rPr>
              <w:lastRenderedPageBreak/>
              <w:t>Rights of the Child</w:t>
            </w:r>
            <w:r w:rsidRPr="0000365A">
              <w:rPr>
                <w:b w:val="0"/>
                <w:lang w:val="en-US"/>
              </w:rPr>
              <w:t xml:space="preserve">, and would constitute an important component of Australia’s periodic review by the United Nations Committee on the Rights of the Child, next scheduled for 2018. </w:t>
            </w:r>
          </w:p>
          <w:p w14:paraId="48811075" w14:textId="4BDD2034" w:rsidR="008C2A31" w:rsidRPr="009D1F82" w:rsidRDefault="0000365A" w:rsidP="0000365A">
            <w:pPr>
              <w:jc w:val="both"/>
            </w:pPr>
            <w:r w:rsidRPr="0000365A">
              <w:rPr>
                <w:b w:val="0"/>
                <w:lang w:val="en-US"/>
              </w:rPr>
              <w:t>I will continue to advocate and seek support for this project.</w:t>
            </w:r>
          </w:p>
        </w:tc>
      </w:tr>
      <w:tr w:rsidR="008C2A31" w:rsidRPr="009D1F82" w14:paraId="4512CAC9"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1EC6A0C8" w14:textId="40D7BDF4" w:rsidR="008C2A31" w:rsidRPr="009D1F82" w:rsidRDefault="001332CA" w:rsidP="00B77005">
            <w:pPr>
              <w:jc w:val="center"/>
            </w:pPr>
            <w:r>
              <w:lastRenderedPageBreak/>
              <w:t>Recommendation 6</w:t>
            </w:r>
          </w:p>
        </w:tc>
      </w:tr>
      <w:tr w:rsidR="008C2A31" w:rsidRPr="00E329FB" w14:paraId="320B24BB" w14:textId="77777777" w:rsidTr="00B77005">
        <w:tc>
          <w:tcPr>
            <w:cnfStyle w:val="001000000000" w:firstRow="0" w:lastRow="0" w:firstColumn="1" w:lastColumn="0" w:oddVBand="0" w:evenVBand="0" w:oddHBand="0" w:evenHBand="0" w:firstRowFirstColumn="0" w:firstRowLastColumn="0" w:lastRowFirstColumn="0" w:lastRowLastColumn="0"/>
            <w:tcW w:w="9493" w:type="dxa"/>
            <w:tcBorders>
              <w:bottom w:val="single" w:sz="4" w:space="0" w:color="9CC2E5" w:themeColor="accent1" w:themeTint="99"/>
            </w:tcBorders>
            <w:shd w:val="clear" w:color="auto" w:fill="FFFFFF" w:themeFill="background1"/>
            <w:vAlign w:val="center"/>
          </w:tcPr>
          <w:p w14:paraId="55DD9E34" w14:textId="740C54CE" w:rsidR="008C2A31" w:rsidRPr="00E329FB" w:rsidRDefault="0000365A" w:rsidP="00B77005">
            <w:pPr>
              <w:jc w:val="both"/>
              <w:rPr>
                <w:b w:val="0"/>
              </w:rPr>
            </w:pPr>
            <w:r w:rsidRPr="009228A5">
              <w:rPr>
                <w:b w:val="0"/>
              </w:rPr>
              <w:t>That the Australian Government includes in its regular monitoring and evaluation of national policy reforms and initiatives, a component that reports on how it is giving effect to the articles of the Convention on the Rights of the Child.</w:t>
            </w:r>
          </w:p>
        </w:tc>
      </w:tr>
      <w:tr w:rsidR="008C2A31" w:rsidRPr="00E329FB" w14:paraId="696290C2" w14:textId="77777777" w:rsidTr="00B7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F2F2F2" w:themeFill="background1" w:themeFillShade="F2"/>
            <w:vAlign w:val="center"/>
          </w:tcPr>
          <w:p w14:paraId="708CECBA" w14:textId="4E2785B6" w:rsidR="008C2A31" w:rsidRPr="00E329FB" w:rsidRDefault="001332CA" w:rsidP="00B77005">
            <w:pPr>
              <w:jc w:val="center"/>
            </w:pPr>
            <w:r>
              <w:t xml:space="preserve">Progress of </w:t>
            </w:r>
            <w:r w:rsidR="008C2A31" w:rsidRPr="00E329FB">
              <w:t xml:space="preserve">Recommendation </w:t>
            </w:r>
            <w:r>
              <w:t>6</w:t>
            </w:r>
          </w:p>
        </w:tc>
      </w:tr>
      <w:tr w:rsidR="008C2A31" w:rsidRPr="009D1F82" w14:paraId="258D3B69" w14:textId="77777777" w:rsidTr="00B77005">
        <w:tc>
          <w:tcPr>
            <w:cnfStyle w:val="001000000000" w:firstRow="0" w:lastRow="0" w:firstColumn="1" w:lastColumn="0" w:oddVBand="0" w:evenVBand="0" w:oddHBand="0" w:evenHBand="0" w:firstRowFirstColumn="0" w:firstRowLastColumn="0" w:lastRowFirstColumn="0" w:lastRowLastColumn="0"/>
            <w:tcW w:w="9493" w:type="dxa"/>
            <w:vAlign w:val="center"/>
          </w:tcPr>
          <w:p w14:paraId="0DF51378" w14:textId="77777777" w:rsidR="0000365A" w:rsidRPr="0000365A" w:rsidRDefault="0000365A" w:rsidP="0000365A">
            <w:pPr>
              <w:jc w:val="both"/>
              <w:rPr>
                <w:b w:val="0"/>
              </w:rPr>
            </w:pPr>
            <w:r w:rsidRPr="0000365A">
              <w:rPr>
                <w:b w:val="0"/>
              </w:rPr>
              <w:t>Not implemented.</w:t>
            </w:r>
          </w:p>
          <w:p w14:paraId="0DF8AD73" w14:textId="77777777" w:rsidR="0000365A" w:rsidRPr="0000365A" w:rsidRDefault="0000365A" w:rsidP="0000365A">
            <w:pPr>
              <w:jc w:val="both"/>
              <w:rPr>
                <w:b w:val="0"/>
              </w:rPr>
            </w:pPr>
            <w:r w:rsidRPr="0000365A">
              <w:rPr>
                <w:b w:val="0"/>
              </w:rPr>
              <w:t xml:space="preserve">In 2014, the Attorney-General indicated to me that monitoring and evaluating national policy initiatives against the rights contained in the Convention on the Rights of the Child would require an additional layer of reporting outside the periodic reporting to the United Nations Committee on the Rights of the Child. </w:t>
            </w:r>
          </w:p>
          <w:p w14:paraId="1822D9DD" w14:textId="77777777" w:rsidR="0000365A" w:rsidRPr="0000365A" w:rsidRDefault="0000365A" w:rsidP="0000365A">
            <w:pPr>
              <w:jc w:val="both"/>
              <w:rPr>
                <w:b w:val="0"/>
              </w:rPr>
            </w:pPr>
            <w:r w:rsidRPr="0000365A">
              <w:rPr>
                <w:b w:val="0"/>
              </w:rPr>
              <w:t xml:space="preserve">The Attorney-General advised this would be a resource intensive exercise cutting across multiple jurisdictions and multiple programs and policies. </w:t>
            </w:r>
          </w:p>
          <w:p w14:paraId="0C0CB8E6" w14:textId="77777777" w:rsidR="0000365A" w:rsidRPr="0000365A" w:rsidRDefault="0000365A" w:rsidP="0000365A">
            <w:pPr>
              <w:spacing w:before="120"/>
              <w:jc w:val="both"/>
              <w:rPr>
                <w:b w:val="0"/>
                <w:lang w:val="en-US"/>
              </w:rPr>
            </w:pPr>
            <w:r w:rsidRPr="0000365A">
              <w:rPr>
                <w:b w:val="0"/>
                <w:lang w:val="en-US"/>
              </w:rPr>
              <w:t xml:space="preserve">I consider comprehensive and regular monitoring on the status of children’s rights in Australia to be a fundamental aspect of Australia’s commitments under the Convention </w:t>
            </w:r>
            <w:r w:rsidRPr="0000365A">
              <w:rPr>
                <w:b w:val="0"/>
              </w:rPr>
              <w:t>on the Rights of the Child</w:t>
            </w:r>
            <w:r w:rsidRPr="0000365A">
              <w:rPr>
                <w:b w:val="0"/>
                <w:lang w:val="en-US"/>
              </w:rPr>
              <w:t xml:space="preserve">. </w:t>
            </w:r>
          </w:p>
          <w:p w14:paraId="05583F9E" w14:textId="5F1DF937" w:rsidR="008C2A31" w:rsidRPr="009D1F82" w:rsidRDefault="0000365A" w:rsidP="0000365A">
            <w:pPr>
              <w:jc w:val="both"/>
            </w:pPr>
            <w:r w:rsidRPr="0000365A">
              <w:rPr>
                <w:b w:val="0"/>
                <w:lang w:val="en-US"/>
              </w:rPr>
              <w:t>I will continue to advocate for the inclusion of children’s rights in all national policy reforms and initiatives.</w:t>
            </w:r>
          </w:p>
        </w:tc>
      </w:tr>
    </w:tbl>
    <w:p w14:paraId="63A1AEB8" w14:textId="3406120E" w:rsidR="00442634" w:rsidRDefault="00CB666E" w:rsidP="00CB666E">
      <w:pPr>
        <w:pStyle w:val="Heading2"/>
      </w:pPr>
      <w:bookmarkStart w:id="27" w:name="_Toc432577305"/>
      <w:r>
        <w:t>Acknowledgments</w:t>
      </w:r>
      <w:bookmarkEnd w:id="27"/>
    </w:p>
    <w:p w14:paraId="4CB8B6FD" w14:textId="16D8E210" w:rsidR="00D94316" w:rsidRDefault="00CB666E" w:rsidP="00354AA1">
      <w:pPr>
        <w:jc w:val="both"/>
      </w:pPr>
      <w:r>
        <w:t>I would like to sincerely thank Professor Anne Graham,</w:t>
      </w:r>
      <w:r w:rsidRPr="007712BA">
        <w:t xml:space="preserve"> </w:t>
      </w:r>
      <w:r>
        <w:t>Director of the</w:t>
      </w:r>
      <w:r w:rsidRPr="007712BA">
        <w:t xml:space="preserve"> Centre for Children &amp; Young People</w:t>
      </w:r>
      <w:r>
        <w:t xml:space="preserve"> at Southern Cross University, and Ms Noelle Hudson, </w:t>
      </w:r>
      <w:r w:rsidRPr="00EB132B">
        <w:t xml:space="preserve">National Policy and Advocacy Manager </w:t>
      </w:r>
      <w:r>
        <w:t>at the CREATE Foundation, for their generous assistance</w:t>
      </w:r>
      <w:r w:rsidR="00876695">
        <w:t xml:space="preserve"> </w:t>
      </w:r>
      <w:r w:rsidR="005F2183">
        <w:t>in arranging consultations with young people with a</w:t>
      </w:r>
      <w:r w:rsidR="00F21E8E">
        <w:t xml:space="preserve">n out-of-home </w:t>
      </w:r>
      <w:r w:rsidR="005F2183">
        <w:t>care experience.</w:t>
      </w:r>
    </w:p>
    <w:p w14:paraId="25CFBB97" w14:textId="3AAD74D5" w:rsidR="005F2183" w:rsidRDefault="005F2183" w:rsidP="005F2183">
      <w:pPr>
        <w:jc w:val="both"/>
      </w:pPr>
      <w:r>
        <w:t>I would like to thank</w:t>
      </w:r>
      <w:r w:rsidRPr="005F2183">
        <w:t xml:space="preserve"> </w:t>
      </w:r>
      <w:r w:rsidRPr="00783F7F">
        <w:t xml:space="preserve">Professor Richard Chisholm </w:t>
      </w:r>
      <w:r>
        <w:t>for his contribution and support in addressing the</w:t>
      </w:r>
      <w:r w:rsidRPr="00783F7F">
        <w:t xml:space="preserve"> Coalition Backbench Policy Committee on Communications, Legal Affairs and Industry on matters relating to children's right</w:t>
      </w:r>
      <w:r>
        <w:t>s and the family law system i</w:t>
      </w:r>
      <w:r w:rsidRPr="00783F7F">
        <w:t>n March 2015</w:t>
      </w:r>
      <w:r>
        <w:t>.</w:t>
      </w:r>
    </w:p>
    <w:p w14:paraId="0E78D50A" w14:textId="77777777" w:rsidR="00990761" w:rsidRDefault="005F2183" w:rsidP="005F2183">
      <w:pPr>
        <w:jc w:val="both"/>
        <w:sectPr w:rsidR="00990761" w:rsidSect="001715AD">
          <w:endnotePr>
            <w:numFmt w:val="decimal"/>
          </w:endnotePr>
          <w:pgSz w:w="11906" w:h="16838" w:code="9"/>
          <w:pgMar w:top="1134" w:right="1418" w:bottom="1134" w:left="1418" w:header="709" w:footer="709" w:gutter="0"/>
          <w:cols w:space="708"/>
          <w:docGrid w:linePitch="360"/>
        </w:sectPr>
      </w:pPr>
      <w:r>
        <w:t xml:space="preserve">I sincerely thank all those children and young people who spoke to me </w:t>
      </w:r>
      <w:r w:rsidR="009F70AB">
        <w:t xml:space="preserve">during the year for their courage in telling me their stories in order to help improve </w:t>
      </w:r>
      <w:r w:rsidR="00F21E8E">
        <w:t>o</w:t>
      </w:r>
      <w:r w:rsidR="009F70AB">
        <w:t>utcomes for children.</w:t>
      </w:r>
    </w:p>
    <w:p w14:paraId="6031EF15" w14:textId="08AF3F0E" w:rsidR="009F2764" w:rsidRDefault="00442634" w:rsidP="00354AA1">
      <w:pPr>
        <w:pStyle w:val="Heading1"/>
        <w:jc w:val="both"/>
      </w:pPr>
      <w:bookmarkStart w:id="28" w:name="_Toc432577306"/>
      <w:r>
        <w:lastRenderedPageBreak/>
        <w:t>Child rights in legislation and court proceedings</w:t>
      </w:r>
      <w:bookmarkEnd w:id="28"/>
    </w:p>
    <w:p w14:paraId="76ADE51F" w14:textId="77777777" w:rsidR="00F80C0F" w:rsidRPr="00A07596" w:rsidRDefault="00F80C0F" w:rsidP="00354AA1">
      <w:pPr>
        <w:pStyle w:val="TOC2"/>
        <w:tabs>
          <w:tab w:val="left" w:pos="960"/>
          <w:tab w:val="right" w:pos="9060"/>
        </w:tabs>
        <w:jc w:val="both"/>
        <w:rPr>
          <w:rFonts w:asciiTheme="minorHAnsi" w:eastAsiaTheme="minorEastAsia" w:hAnsiTheme="minorHAnsi" w:cstheme="minorBidi"/>
          <w:noProof/>
          <w:color w:val="000000" w:themeColor="text1"/>
          <w:sz w:val="22"/>
          <w:szCs w:val="22"/>
        </w:rPr>
      </w:pPr>
      <w:r w:rsidRPr="00A07596">
        <w:rPr>
          <w:rStyle w:val="Hyperlink"/>
          <w:noProof/>
          <w:color w:val="000000" w:themeColor="text1"/>
          <w:u w:val="none"/>
        </w:rPr>
        <w:t>2.1</w:t>
      </w:r>
      <w:r w:rsidRPr="00A07596">
        <w:rPr>
          <w:rFonts w:asciiTheme="minorHAnsi" w:eastAsiaTheme="minorEastAsia" w:hAnsiTheme="minorHAnsi" w:cstheme="minorBidi"/>
          <w:noProof/>
          <w:color w:val="000000" w:themeColor="text1"/>
          <w:sz w:val="22"/>
          <w:szCs w:val="22"/>
        </w:rPr>
        <w:tab/>
      </w:r>
      <w:r w:rsidRPr="00A07596">
        <w:rPr>
          <w:rStyle w:val="Hyperlink"/>
          <w:noProof/>
          <w:color w:val="000000" w:themeColor="text1"/>
          <w:u w:val="none"/>
        </w:rPr>
        <w:t>The PJC’s consideration of child rights</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_Toc430778336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29</w:t>
      </w:r>
      <w:r w:rsidRPr="00A07596">
        <w:rPr>
          <w:noProof/>
          <w:webHidden/>
          <w:color w:val="000000" w:themeColor="text1"/>
        </w:rPr>
        <w:fldChar w:fldCharType="end"/>
      </w:r>
    </w:p>
    <w:p w14:paraId="083BD711" w14:textId="77777777" w:rsidR="00F80C0F" w:rsidRPr="00A07596" w:rsidRDefault="00F80C0F" w:rsidP="00354AA1">
      <w:pPr>
        <w:pStyle w:val="TOC2"/>
        <w:tabs>
          <w:tab w:val="left" w:pos="960"/>
          <w:tab w:val="right" w:pos="9060"/>
        </w:tabs>
        <w:jc w:val="both"/>
        <w:rPr>
          <w:rFonts w:asciiTheme="minorHAnsi" w:eastAsiaTheme="minorEastAsia" w:hAnsiTheme="minorHAnsi" w:cstheme="minorBidi"/>
          <w:noProof/>
          <w:color w:val="000000" w:themeColor="text1"/>
          <w:sz w:val="22"/>
          <w:szCs w:val="22"/>
        </w:rPr>
      </w:pPr>
      <w:r w:rsidRPr="00A07596">
        <w:rPr>
          <w:rStyle w:val="Hyperlink"/>
          <w:noProof/>
          <w:color w:val="000000" w:themeColor="text1"/>
          <w:u w:val="none"/>
        </w:rPr>
        <w:t>2.2</w:t>
      </w:r>
      <w:r w:rsidRPr="00A07596">
        <w:rPr>
          <w:rFonts w:asciiTheme="minorHAnsi" w:eastAsiaTheme="minorEastAsia" w:hAnsiTheme="minorHAnsi" w:cstheme="minorBidi"/>
          <w:noProof/>
          <w:color w:val="000000" w:themeColor="text1"/>
          <w:sz w:val="22"/>
          <w:szCs w:val="22"/>
        </w:rPr>
        <w:tab/>
      </w:r>
      <w:r w:rsidRPr="00A07596">
        <w:rPr>
          <w:rStyle w:val="Hyperlink"/>
          <w:noProof/>
          <w:color w:val="000000" w:themeColor="text1"/>
          <w:u w:val="none"/>
        </w:rPr>
        <w:t>Bills that had a substantially positive impact on child rights</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_Toc430778337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30</w:t>
      </w:r>
      <w:r w:rsidRPr="00A07596">
        <w:rPr>
          <w:noProof/>
          <w:webHidden/>
          <w:color w:val="000000" w:themeColor="text1"/>
        </w:rPr>
        <w:fldChar w:fldCharType="end"/>
      </w:r>
    </w:p>
    <w:p w14:paraId="7AB663F0" w14:textId="77777777" w:rsidR="00F80C0F" w:rsidRPr="00A07596" w:rsidRDefault="00F80C0F"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r w:rsidRPr="00A07596">
        <w:rPr>
          <w:rStyle w:val="Hyperlink"/>
          <w:noProof/>
          <w:color w:val="000000" w:themeColor="text1"/>
          <w:u w:val="none"/>
        </w:rPr>
        <w:t>2.2.1</w:t>
      </w:r>
      <w:r w:rsidRPr="00A07596">
        <w:rPr>
          <w:rFonts w:asciiTheme="minorHAnsi" w:eastAsiaTheme="minorEastAsia" w:hAnsiTheme="minorHAnsi" w:cstheme="minorBidi"/>
          <w:iCs w:val="0"/>
          <w:noProof/>
          <w:color w:val="000000" w:themeColor="text1"/>
          <w:sz w:val="22"/>
          <w:szCs w:val="22"/>
        </w:rPr>
        <w:tab/>
      </w:r>
      <w:r w:rsidRPr="00A07596">
        <w:rPr>
          <w:rStyle w:val="Hyperlink"/>
          <w:noProof/>
          <w:color w:val="000000" w:themeColor="text1"/>
          <w:u w:val="none"/>
        </w:rPr>
        <w:t>Guardian for Unaccompanied Children Bill 2014 (Cth)</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_Toc430778338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30</w:t>
      </w:r>
      <w:r w:rsidRPr="00A07596">
        <w:rPr>
          <w:noProof/>
          <w:webHidden/>
          <w:color w:val="000000" w:themeColor="text1"/>
        </w:rPr>
        <w:fldChar w:fldCharType="end"/>
      </w:r>
    </w:p>
    <w:p w14:paraId="4224FA4E" w14:textId="77777777" w:rsidR="00F80C0F" w:rsidRPr="00A07596" w:rsidRDefault="00F80C0F"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r w:rsidRPr="00A07596">
        <w:rPr>
          <w:rStyle w:val="Hyperlink"/>
          <w:noProof/>
          <w:color w:val="000000" w:themeColor="text1"/>
          <w:u w:val="none"/>
        </w:rPr>
        <w:t>2.2.2</w:t>
      </w:r>
      <w:r w:rsidRPr="00A07596">
        <w:rPr>
          <w:rFonts w:asciiTheme="minorHAnsi" w:eastAsiaTheme="minorEastAsia" w:hAnsiTheme="minorHAnsi" w:cstheme="minorBidi"/>
          <w:iCs w:val="0"/>
          <w:noProof/>
          <w:color w:val="000000" w:themeColor="text1"/>
          <w:sz w:val="22"/>
          <w:szCs w:val="22"/>
        </w:rPr>
        <w:tab/>
      </w:r>
      <w:r w:rsidRPr="00A07596">
        <w:rPr>
          <w:rStyle w:val="Hyperlink"/>
          <w:noProof/>
          <w:color w:val="000000" w:themeColor="text1"/>
          <w:u w:val="none"/>
        </w:rPr>
        <w:t>Australian Education Amendment Bill 2014 (Cth)</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_Toc430778339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31</w:t>
      </w:r>
      <w:r w:rsidRPr="00A07596">
        <w:rPr>
          <w:noProof/>
          <w:webHidden/>
          <w:color w:val="000000" w:themeColor="text1"/>
        </w:rPr>
        <w:fldChar w:fldCharType="end"/>
      </w:r>
    </w:p>
    <w:p w14:paraId="1FA34F97" w14:textId="77777777" w:rsidR="00F80C0F" w:rsidRPr="00A07596" w:rsidRDefault="00F80C0F" w:rsidP="00354AA1">
      <w:pPr>
        <w:pStyle w:val="TOC3"/>
        <w:tabs>
          <w:tab w:val="left" w:pos="1440"/>
          <w:tab w:val="right" w:pos="9060"/>
        </w:tabs>
        <w:ind w:left="1440" w:hanging="960"/>
        <w:jc w:val="both"/>
        <w:rPr>
          <w:rFonts w:asciiTheme="minorHAnsi" w:eastAsiaTheme="minorEastAsia" w:hAnsiTheme="minorHAnsi" w:cstheme="minorBidi"/>
          <w:iCs w:val="0"/>
          <w:noProof/>
          <w:color w:val="000000" w:themeColor="text1"/>
          <w:sz w:val="22"/>
          <w:szCs w:val="22"/>
        </w:rPr>
      </w:pPr>
      <w:r w:rsidRPr="00A07596">
        <w:rPr>
          <w:rStyle w:val="Hyperlink"/>
          <w:noProof/>
          <w:color w:val="000000" w:themeColor="text1"/>
          <w:u w:val="none"/>
        </w:rPr>
        <w:t>2.2.3</w:t>
      </w:r>
      <w:r w:rsidRPr="00A07596">
        <w:rPr>
          <w:rFonts w:asciiTheme="minorHAnsi" w:eastAsiaTheme="minorEastAsia" w:hAnsiTheme="minorHAnsi" w:cstheme="minorBidi"/>
          <w:iCs w:val="0"/>
          <w:noProof/>
          <w:color w:val="000000" w:themeColor="text1"/>
          <w:sz w:val="22"/>
          <w:szCs w:val="22"/>
        </w:rPr>
        <w:tab/>
      </w:r>
      <w:r w:rsidRPr="00A07596">
        <w:rPr>
          <w:rStyle w:val="Hyperlink"/>
          <w:noProof/>
          <w:color w:val="000000" w:themeColor="text1"/>
          <w:u w:val="none"/>
        </w:rPr>
        <w:t>Social Security and Other Legislation Amendment (Caring for Single Parents) Bill 2014 (Cth)</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_Toc430778340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31</w:t>
      </w:r>
      <w:r w:rsidRPr="00A07596">
        <w:rPr>
          <w:noProof/>
          <w:webHidden/>
          <w:color w:val="000000" w:themeColor="text1"/>
        </w:rPr>
        <w:fldChar w:fldCharType="end"/>
      </w:r>
    </w:p>
    <w:p w14:paraId="573111BF" w14:textId="77777777" w:rsidR="00F80C0F" w:rsidRPr="00A07596" w:rsidRDefault="00F80C0F" w:rsidP="00354AA1">
      <w:pPr>
        <w:pStyle w:val="TOC3"/>
        <w:tabs>
          <w:tab w:val="left" w:pos="1440"/>
          <w:tab w:val="right" w:pos="9060"/>
        </w:tabs>
        <w:ind w:left="1440" w:hanging="960"/>
        <w:jc w:val="both"/>
        <w:rPr>
          <w:rFonts w:asciiTheme="minorHAnsi" w:eastAsiaTheme="minorEastAsia" w:hAnsiTheme="minorHAnsi" w:cstheme="minorBidi"/>
          <w:iCs w:val="0"/>
          <w:noProof/>
          <w:color w:val="000000" w:themeColor="text1"/>
          <w:sz w:val="22"/>
          <w:szCs w:val="22"/>
        </w:rPr>
      </w:pPr>
      <w:r w:rsidRPr="00A07596">
        <w:rPr>
          <w:rStyle w:val="Hyperlink"/>
          <w:noProof/>
          <w:color w:val="000000" w:themeColor="text1"/>
          <w:u w:val="none"/>
        </w:rPr>
        <w:t>2.2.4</w:t>
      </w:r>
      <w:r w:rsidRPr="00A07596">
        <w:rPr>
          <w:rFonts w:asciiTheme="minorHAnsi" w:eastAsiaTheme="minorEastAsia" w:hAnsiTheme="minorHAnsi" w:cstheme="minorBidi"/>
          <w:iCs w:val="0"/>
          <w:noProof/>
          <w:color w:val="000000" w:themeColor="text1"/>
          <w:sz w:val="22"/>
          <w:szCs w:val="22"/>
        </w:rPr>
        <w:tab/>
      </w:r>
      <w:r w:rsidRPr="00A07596">
        <w:rPr>
          <w:rStyle w:val="Hyperlink"/>
          <w:noProof/>
          <w:color w:val="000000" w:themeColor="text1"/>
          <w:u w:val="none"/>
        </w:rPr>
        <w:t xml:space="preserve">Enhancing Online Safety for Children Bill 2014 (Cth) and the Enhancing Online Safety for Children (Consequential Amendments) </w:t>
      </w:r>
      <w:r w:rsidRPr="00A07596">
        <w:rPr>
          <w:rStyle w:val="Hyperlink"/>
          <w:noProof/>
          <w:color w:val="000000" w:themeColor="text1"/>
          <w:u w:val="none"/>
        </w:rPr>
        <w:br/>
        <w:t>Bill 2014 (Cth)</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_Toc430778341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32</w:t>
      </w:r>
      <w:r w:rsidRPr="00A07596">
        <w:rPr>
          <w:noProof/>
          <w:webHidden/>
          <w:color w:val="000000" w:themeColor="text1"/>
        </w:rPr>
        <w:fldChar w:fldCharType="end"/>
      </w:r>
    </w:p>
    <w:p w14:paraId="1082A794" w14:textId="77777777" w:rsidR="00F80C0F" w:rsidRPr="00A07596" w:rsidRDefault="00F80C0F" w:rsidP="00354AA1">
      <w:pPr>
        <w:pStyle w:val="TOC3"/>
        <w:tabs>
          <w:tab w:val="left" w:pos="1440"/>
          <w:tab w:val="right" w:pos="9060"/>
        </w:tabs>
        <w:ind w:left="1440" w:hanging="960"/>
        <w:jc w:val="both"/>
        <w:rPr>
          <w:rFonts w:asciiTheme="minorHAnsi" w:eastAsiaTheme="minorEastAsia" w:hAnsiTheme="minorHAnsi" w:cstheme="minorBidi"/>
          <w:iCs w:val="0"/>
          <w:noProof/>
          <w:color w:val="000000" w:themeColor="text1"/>
          <w:sz w:val="22"/>
          <w:szCs w:val="22"/>
        </w:rPr>
      </w:pPr>
      <w:r w:rsidRPr="00A07596">
        <w:rPr>
          <w:rStyle w:val="Hyperlink"/>
          <w:noProof/>
          <w:color w:val="000000" w:themeColor="text1"/>
          <w:u w:val="none"/>
        </w:rPr>
        <w:t>2.2.5</w:t>
      </w:r>
      <w:r w:rsidRPr="00A07596">
        <w:rPr>
          <w:rFonts w:asciiTheme="minorHAnsi" w:eastAsiaTheme="minorEastAsia" w:hAnsiTheme="minorHAnsi" w:cstheme="minorBidi"/>
          <w:iCs w:val="0"/>
          <w:noProof/>
          <w:color w:val="000000" w:themeColor="text1"/>
          <w:sz w:val="22"/>
          <w:szCs w:val="22"/>
        </w:rPr>
        <w:tab/>
      </w:r>
      <w:r w:rsidRPr="00A07596">
        <w:rPr>
          <w:rStyle w:val="Hyperlink"/>
          <w:noProof/>
          <w:color w:val="000000" w:themeColor="text1"/>
          <w:u w:val="none"/>
        </w:rPr>
        <w:t>Crimes Legislation Amendment (Powers, Offences and Other Measures) Bill 2015 (Cth)</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_Toc430778342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32</w:t>
      </w:r>
      <w:r w:rsidRPr="00A07596">
        <w:rPr>
          <w:noProof/>
          <w:webHidden/>
          <w:color w:val="000000" w:themeColor="text1"/>
        </w:rPr>
        <w:fldChar w:fldCharType="end"/>
      </w:r>
    </w:p>
    <w:p w14:paraId="7F638E69" w14:textId="77777777" w:rsidR="00F80C0F" w:rsidRPr="00A07596" w:rsidRDefault="00F80C0F" w:rsidP="00354AA1">
      <w:pPr>
        <w:pStyle w:val="TOC2"/>
        <w:tabs>
          <w:tab w:val="left" w:pos="960"/>
          <w:tab w:val="right" w:pos="9060"/>
        </w:tabs>
        <w:jc w:val="both"/>
        <w:rPr>
          <w:rFonts w:asciiTheme="minorHAnsi" w:eastAsiaTheme="minorEastAsia" w:hAnsiTheme="minorHAnsi" w:cstheme="minorBidi"/>
          <w:noProof/>
          <w:color w:val="000000" w:themeColor="text1"/>
          <w:sz w:val="22"/>
          <w:szCs w:val="22"/>
        </w:rPr>
      </w:pPr>
      <w:r w:rsidRPr="00A07596">
        <w:rPr>
          <w:rStyle w:val="Hyperlink"/>
          <w:noProof/>
          <w:color w:val="000000" w:themeColor="text1"/>
          <w:u w:val="none"/>
        </w:rPr>
        <w:t>2.3</w:t>
      </w:r>
      <w:r w:rsidRPr="00A07596">
        <w:rPr>
          <w:rFonts w:asciiTheme="minorHAnsi" w:eastAsiaTheme="minorEastAsia" w:hAnsiTheme="minorHAnsi" w:cstheme="minorBidi"/>
          <w:noProof/>
          <w:color w:val="000000" w:themeColor="text1"/>
          <w:sz w:val="22"/>
          <w:szCs w:val="22"/>
        </w:rPr>
        <w:tab/>
      </w:r>
      <w:r w:rsidRPr="00A07596">
        <w:rPr>
          <w:rStyle w:val="Hyperlink"/>
          <w:noProof/>
          <w:color w:val="000000" w:themeColor="text1"/>
          <w:u w:val="none"/>
        </w:rPr>
        <w:t>Bills that had a substantially negative impact on child rights</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_Toc430778343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33</w:t>
      </w:r>
      <w:r w:rsidRPr="00A07596">
        <w:rPr>
          <w:noProof/>
          <w:webHidden/>
          <w:color w:val="000000" w:themeColor="text1"/>
        </w:rPr>
        <w:fldChar w:fldCharType="end"/>
      </w:r>
    </w:p>
    <w:p w14:paraId="295B5472" w14:textId="77777777" w:rsidR="00F80C0F" w:rsidRPr="00A07596" w:rsidRDefault="00F80C0F" w:rsidP="00354AA1">
      <w:pPr>
        <w:pStyle w:val="TOC3"/>
        <w:tabs>
          <w:tab w:val="left" w:pos="1440"/>
          <w:tab w:val="right" w:pos="9060"/>
        </w:tabs>
        <w:ind w:left="1440" w:hanging="960"/>
        <w:jc w:val="both"/>
        <w:rPr>
          <w:rFonts w:asciiTheme="minorHAnsi" w:eastAsiaTheme="minorEastAsia" w:hAnsiTheme="minorHAnsi" w:cstheme="minorBidi"/>
          <w:iCs w:val="0"/>
          <w:noProof/>
          <w:color w:val="000000" w:themeColor="text1"/>
          <w:sz w:val="22"/>
          <w:szCs w:val="22"/>
        </w:rPr>
      </w:pPr>
      <w:r w:rsidRPr="00A07596">
        <w:rPr>
          <w:rStyle w:val="Hyperlink"/>
          <w:noProof/>
          <w:color w:val="000000" w:themeColor="text1"/>
          <w:u w:val="none"/>
        </w:rPr>
        <w:t>2.3.1</w:t>
      </w:r>
      <w:r w:rsidRPr="00A07596">
        <w:rPr>
          <w:rFonts w:asciiTheme="minorHAnsi" w:eastAsiaTheme="minorEastAsia" w:hAnsiTheme="minorHAnsi" w:cstheme="minorBidi"/>
          <w:iCs w:val="0"/>
          <w:noProof/>
          <w:color w:val="000000" w:themeColor="text1"/>
          <w:sz w:val="22"/>
          <w:szCs w:val="22"/>
        </w:rPr>
        <w:tab/>
      </w:r>
      <w:r w:rsidRPr="00A07596">
        <w:rPr>
          <w:rStyle w:val="Hyperlink"/>
          <w:noProof/>
          <w:color w:val="000000" w:themeColor="text1"/>
          <w:u w:val="none"/>
        </w:rPr>
        <w:t>Migration Amendment (Character and General Visa Cancellation) Bill 2014 (Cth)</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_Toc430778344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33</w:t>
      </w:r>
      <w:r w:rsidRPr="00A07596">
        <w:rPr>
          <w:noProof/>
          <w:webHidden/>
          <w:color w:val="000000" w:themeColor="text1"/>
        </w:rPr>
        <w:fldChar w:fldCharType="end"/>
      </w:r>
    </w:p>
    <w:p w14:paraId="2FC36E76" w14:textId="77777777" w:rsidR="00F80C0F" w:rsidRPr="00A07596" w:rsidRDefault="00F80C0F" w:rsidP="00354AA1">
      <w:pPr>
        <w:pStyle w:val="TOC3"/>
        <w:tabs>
          <w:tab w:val="left" w:pos="1440"/>
          <w:tab w:val="right" w:pos="9060"/>
        </w:tabs>
        <w:ind w:left="1440" w:hanging="960"/>
        <w:jc w:val="both"/>
        <w:rPr>
          <w:rFonts w:asciiTheme="minorHAnsi" w:eastAsiaTheme="minorEastAsia" w:hAnsiTheme="minorHAnsi" w:cstheme="minorBidi"/>
          <w:iCs w:val="0"/>
          <w:noProof/>
          <w:color w:val="000000" w:themeColor="text1"/>
          <w:sz w:val="22"/>
          <w:szCs w:val="22"/>
        </w:rPr>
      </w:pPr>
      <w:r w:rsidRPr="00A07596">
        <w:rPr>
          <w:rStyle w:val="Hyperlink"/>
          <w:noProof/>
          <w:color w:val="000000" w:themeColor="text1"/>
          <w:u w:val="none"/>
        </w:rPr>
        <w:t>2.3.2</w:t>
      </w:r>
      <w:r w:rsidRPr="00A07596">
        <w:rPr>
          <w:rFonts w:asciiTheme="minorHAnsi" w:eastAsiaTheme="minorEastAsia" w:hAnsiTheme="minorHAnsi" w:cstheme="minorBidi"/>
          <w:iCs w:val="0"/>
          <w:noProof/>
          <w:color w:val="000000" w:themeColor="text1"/>
          <w:sz w:val="22"/>
          <w:szCs w:val="22"/>
        </w:rPr>
        <w:tab/>
      </w:r>
      <w:r w:rsidRPr="00A07596">
        <w:rPr>
          <w:rStyle w:val="Hyperlink"/>
          <w:noProof/>
          <w:color w:val="000000" w:themeColor="text1"/>
          <w:u w:val="none"/>
        </w:rPr>
        <w:t>Migration and Maritime Powers Legislation Amendment (Resolving the Asylum Legacy Caseload) Bill 2014 (Cth)</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_Toc430778345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34</w:t>
      </w:r>
      <w:r w:rsidRPr="00A07596">
        <w:rPr>
          <w:noProof/>
          <w:webHidden/>
          <w:color w:val="000000" w:themeColor="text1"/>
        </w:rPr>
        <w:fldChar w:fldCharType="end"/>
      </w:r>
    </w:p>
    <w:p w14:paraId="77715E8F" w14:textId="77777777" w:rsidR="00F80C0F" w:rsidRPr="00A07596" w:rsidRDefault="00F80C0F"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r w:rsidRPr="00A07596">
        <w:rPr>
          <w:rStyle w:val="Hyperlink"/>
          <w:noProof/>
          <w:color w:val="000000" w:themeColor="text1"/>
          <w:u w:val="none"/>
        </w:rPr>
        <w:t>2.3.3</w:t>
      </w:r>
      <w:r w:rsidRPr="00A07596">
        <w:rPr>
          <w:rFonts w:asciiTheme="minorHAnsi" w:eastAsiaTheme="minorEastAsia" w:hAnsiTheme="minorHAnsi" w:cstheme="minorBidi"/>
          <w:iCs w:val="0"/>
          <w:noProof/>
          <w:color w:val="000000" w:themeColor="text1"/>
          <w:sz w:val="22"/>
          <w:szCs w:val="22"/>
        </w:rPr>
        <w:tab/>
      </w:r>
      <w:r w:rsidRPr="00A07596">
        <w:rPr>
          <w:rStyle w:val="Hyperlink"/>
          <w:noProof/>
          <w:color w:val="000000" w:themeColor="text1"/>
          <w:u w:val="none"/>
        </w:rPr>
        <w:t>Australian Citizenship and Other Legislation Amendment Bill 2014 (Cth)</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_Toc430778346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34</w:t>
      </w:r>
      <w:r w:rsidRPr="00A07596">
        <w:rPr>
          <w:noProof/>
          <w:webHidden/>
          <w:color w:val="000000" w:themeColor="text1"/>
        </w:rPr>
        <w:fldChar w:fldCharType="end"/>
      </w:r>
    </w:p>
    <w:p w14:paraId="53458EE8" w14:textId="77777777" w:rsidR="00F80C0F" w:rsidRPr="00A07596" w:rsidRDefault="00F80C0F" w:rsidP="00354AA1">
      <w:pPr>
        <w:pStyle w:val="TOC3"/>
        <w:tabs>
          <w:tab w:val="left" w:pos="1440"/>
          <w:tab w:val="right" w:pos="9060"/>
        </w:tabs>
        <w:ind w:left="1440" w:hanging="960"/>
        <w:jc w:val="both"/>
        <w:rPr>
          <w:rFonts w:asciiTheme="minorHAnsi" w:eastAsiaTheme="minorEastAsia" w:hAnsiTheme="minorHAnsi" w:cstheme="minorBidi"/>
          <w:iCs w:val="0"/>
          <w:noProof/>
          <w:color w:val="000000" w:themeColor="text1"/>
          <w:sz w:val="22"/>
          <w:szCs w:val="22"/>
        </w:rPr>
      </w:pPr>
      <w:r w:rsidRPr="00A07596">
        <w:rPr>
          <w:rStyle w:val="Hyperlink"/>
          <w:noProof/>
          <w:color w:val="000000" w:themeColor="text1"/>
          <w:u w:val="none"/>
        </w:rPr>
        <w:t>2.3.4</w:t>
      </w:r>
      <w:r w:rsidRPr="00A07596">
        <w:rPr>
          <w:rFonts w:asciiTheme="minorHAnsi" w:eastAsiaTheme="minorEastAsia" w:hAnsiTheme="minorHAnsi" w:cstheme="minorBidi"/>
          <w:iCs w:val="0"/>
          <w:noProof/>
          <w:color w:val="000000" w:themeColor="text1"/>
          <w:sz w:val="22"/>
          <w:szCs w:val="22"/>
        </w:rPr>
        <w:tab/>
      </w:r>
      <w:r w:rsidRPr="00A07596">
        <w:rPr>
          <w:rStyle w:val="Hyperlink"/>
          <w:noProof/>
          <w:color w:val="000000" w:themeColor="text1"/>
          <w:u w:val="none"/>
        </w:rPr>
        <w:t>Migration Amendment (Strengthening Biometrics Integrity) Bill 2015 (Cth)</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_Toc430778347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36</w:t>
      </w:r>
      <w:r w:rsidRPr="00A07596">
        <w:rPr>
          <w:noProof/>
          <w:webHidden/>
          <w:color w:val="000000" w:themeColor="text1"/>
        </w:rPr>
        <w:fldChar w:fldCharType="end"/>
      </w:r>
    </w:p>
    <w:p w14:paraId="2E8836F8" w14:textId="77777777" w:rsidR="00F80C0F" w:rsidRPr="00A07596" w:rsidRDefault="00F80C0F" w:rsidP="00354AA1">
      <w:pPr>
        <w:pStyle w:val="TOC2"/>
        <w:tabs>
          <w:tab w:val="left" w:pos="960"/>
          <w:tab w:val="right" w:pos="9060"/>
        </w:tabs>
        <w:ind w:left="720" w:hanging="480"/>
        <w:jc w:val="both"/>
        <w:rPr>
          <w:rFonts w:asciiTheme="minorHAnsi" w:eastAsiaTheme="minorEastAsia" w:hAnsiTheme="minorHAnsi" w:cstheme="minorBidi"/>
          <w:noProof/>
          <w:color w:val="000000" w:themeColor="text1"/>
          <w:sz w:val="22"/>
          <w:szCs w:val="22"/>
        </w:rPr>
      </w:pPr>
      <w:r w:rsidRPr="00A07596">
        <w:rPr>
          <w:rStyle w:val="Hyperlink"/>
          <w:noProof/>
          <w:color w:val="000000" w:themeColor="text1"/>
          <w:u w:val="none"/>
        </w:rPr>
        <w:t>2.4</w:t>
      </w:r>
      <w:r w:rsidRPr="00A07596">
        <w:rPr>
          <w:rFonts w:asciiTheme="minorHAnsi" w:eastAsiaTheme="minorEastAsia" w:hAnsiTheme="minorHAnsi" w:cstheme="minorBidi"/>
          <w:noProof/>
          <w:color w:val="000000" w:themeColor="text1"/>
          <w:sz w:val="22"/>
          <w:szCs w:val="22"/>
        </w:rPr>
        <w:tab/>
      </w:r>
      <w:r w:rsidRPr="00A07596">
        <w:rPr>
          <w:rStyle w:val="Hyperlink"/>
          <w:noProof/>
          <w:color w:val="000000" w:themeColor="text1"/>
          <w:u w:val="none"/>
        </w:rPr>
        <w:t>Bills initially considered to have had a negative impact on children’s rights but later considered to be compatible</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_Toc430778348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37</w:t>
      </w:r>
      <w:r w:rsidRPr="00A07596">
        <w:rPr>
          <w:noProof/>
          <w:webHidden/>
          <w:color w:val="000000" w:themeColor="text1"/>
        </w:rPr>
        <w:fldChar w:fldCharType="end"/>
      </w:r>
    </w:p>
    <w:p w14:paraId="3AB19605" w14:textId="77777777" w:rsidR="00F80C0F" w:rsidRPr="00A07596" w:rsidRDefault="00F80C0F" w:rsidP="00354AA1">
      <w:pPr>
        <w:pStyle w:val="TOC3"/>
        <w:tabs>
          <w:tab w:val="left" w:pos="1440"/>
          <w:tab w:val="right" w:pos="9060"/>
        </w:tabs>
        <w:ind w:left="1440" w:hanging="960"/>
        <w:jc w:val="both"/>
        <w:rPr>
          <w:rFonts w:asciiTheme="minorHAnsi" w:eastAsiaTheme="minorEastAsia" w:hAnsiTheme="minorHAnsi" w:cstheme="minorBidi"/>
          <w:iCs w:val="0"/>
          <w:noProof/>
          <w:color w:val="000000" w:themeColor="text1"/>
          <w:sz w:val="22"/>
          <w:szCs w:val="22"/>
        </w:rPr>
      </w:pPr>
      <w:r w:rsidRPr="00A07596">
        <w:rPr>
          <w:rStyle w:val="Hyperlink"/>
          <w:noProof/>
          <w:color w:val="000000" w:themeColor="text1"/>
          <w:u w:val="none"/>
        </w:rPr>
        <w:t>2.4.1</w:t>
      </w:r>
      <w:r w:rsidRPr="00A07596">
        <w:rPr>
          <w:rFonts w:asciiTheme="minorHAnsi" w:eastAsiaTheme="minorEastAsia" w:hAnsiTheme="minorHAnsi" w:cstheme="minorBidi"/>
          <w:iCs w:val="0"/>
          <w:noProof/>
          <w:color w:val="000000" w:themeColor="text1"/>
          <w:sz w:val="22"/>
          <w:szCs w:val="22"/>
        </w:rPr>
        <w:tab/>
      </w:r>
      <w:r w:rsidRPr="00A07596">
        <w:rPr>
          <w:rStyle w:val="Hyperlink"/>
          <w:noProof/>
          <w:color w:val="000000" w:themeColor="text1"/>
          <w:u w:val="none"/>
        </w:rPr>
        <w:t>Telecommunications Legislation Amendment (Deregulation) Bill 2014 (Cth)</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_Toc430778349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37</w:t>
      </w:r>
      <w:r w:rsidRPr="00A07596">
        <w:rPr>
          <w:noProof/>
          <w:webHidden/>
          <w:color w:val="000000" w:themeColor="text1"/>
        </w:rPr>
        <w:fldChar w:fldCharType="end"/>
      </w:r>
    </w:p>
    <w:p w14:paraId="49D5140F" w14:textId="77777777" w:rsidR="00F80C0F" w:rsidRPr="00A07596" w:rsidRDefault="00F80C0F" w:rsidP="00354AA1">
      <w:pPr>
        <w:pStyle w:val="TOC3"/>
        <w:tabs>
          <w:tab w:val="left" w:pos="1440"/>
          <w:tab w:val="right" w:pos="9060"/>
        </w:tabs>
        <w:ind w:left="1440" w:hanging="960"/>
        <w:jc w:val="both"/>
        <w:rPr>
          <w:rFonts w:asciiTheme="minorHAnsi" w:eastAsiaTheme="minorEastAsia" w:hAnsiTheme="minorHAnsi" w:cstheme="minorBidi"/>
          <w:iCs w:val="0"/>
          <w:noProof/>
          <w:color w:val="000000" w:themeColor="text1"/>
          <w:sz w:val="22"/>
          <w:szCs w:val="22"/>
        </w:rPr>
      </w:pPr>
      <w:r w:rsidRPr="00A07596">
        <w:rPr>
          <w:rStyle w:val="Hyperlink"/>
          <w:noProof/>
          <w:color w:val="000000" w:themeColor="text1"/>
          <w:u w:val="none"/>
        </w:rPr>
        <w:t>2.4.2</w:t>
      </w:r>
      <w:r w:rsidRPr="00A07596">
        <w:rPr>
          <w:rFonts w:asciiTheme="minorHAnsi" w:eastAsiaTheme="minorEastAsia" w:hAnsiTheme="minorHAnsi" w:cstheme="minorBidi"/>
          <w:iCs w:val="0"/>
          <w:noProof/>
          <w:color w:val="000000" w:themeColor="text1"/>
          <w:sz w:val="22"/>
          <w:szCs w:val="22"/>
        </w:rPr>
        <w:tab/>
      </w:r>
      <w:r w:rsidRPr="00A07596">
        <w:rPr>
          <w:rStyle w:val="Hyperlink"/>
          <w:noProof/>
          <w:color w:val="000000" w:themeColor="text1"/>
          <w:u w:val="none"/>
        </w:rPr>
        <w:t>Counter-Terrorism Legislation Amendment (Foreign Fighters) Bill 2014 (Cth)</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_Toc430778350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37</w:t>
      </w:r>
      <w:r w:rsidRPr="00A07596">
        <w:rPr>
          <w:noProof/>
          <w:webHidden/>
          <w:color w:val="000000" w:themeColor="text1"/>
        </w:rPr>
        <w:fldChar w:fldCharType="end"/>
      </w:r>
    </w:p>
    <w:p w14:paraId="0E6F5FEA" w14:textId="77777777" w:rsidR="00F80C0F" w:rsidRPr="00A07596" w:rsidRDefault="00F80C0F" w:rsidP="00354AA1">
      <w:pPr>
        <w:pStyle w:val="TOC2"/>
        <w:tabs>
          <w:tab w:val="left" w:pos="960"/>
          <w:tab w:val="right" w:pos="9060"/>
        </w:tabs>
        <w:jc w:val="both"/>
        <w:rPr>
          <w:rFonts w:asciiTheme="minorHAnsi" w:eastAsiaTheme="minorEastAsia" w:hAnsiTheme="minorHAnsi" w:cstheme="minorBidi"/>
          <w:noProof/>
          <w:color w:val="000000" w:themeColor="text1"/>
          <w:sz w:val="22"/>
          <w:szCs w:val="22"/>
        </w:rPr>
      </w:pPr>
      <w:r w:rsidRPr="00A07596">
        <w:rPr>
          <w:rStyle w:val="Hyperlink"/>
          <w:noProof/>
          <w:color w:val="000000" w:themeColor="text1"/>
          <w:u w:val="none"/>
        </w:rPr>
        <w:t>2.5</w:t>
      </w:r>
      <w:r w:rsidRPr="00A07596">
        <w:rPr>
          <w:rFonts w:asciiTheme="minorHAnsi" w:eastAsiaTheme="minorEastAsia" w:hAnsiTheme="minorHAnsi" w:cstheme="minorBidi"/>
          <w:noProof/>
          <w:color w:val="000000" w:themeColor="text1"/>
          <w:sz w:val="22"/>
          <w:szCs w:val="22"/>
        </w:rPr>
        <w:tab/>
      </w:r>
      <w:r w:rsidRPr="00A07596">
        <w:rPr>
          <w:rStyle w:val="Hyperlink"/>
          <w:noProof/>
          <w:color w:val="000000" w:themeColor="text1"/>
          <w:u w:val="none"/>
        </w:rPr>
        <w:t>The Commission’s intervention in Bateman &amp; Kavan [2014] FCCA 2521</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_Toc430778351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38</w:t>
      </w:r>
      <w:r w:rsidRPr="00A07596">
        <w:rPr>
          <w:noProof/>
          <w:webHidden/>
          <w:color w:val="000000" w:themeColor="text1"/>
        </w:rPr>
        <w:fldChar w:fldCharType="end"/>
      </w:r>
    </w:p>
    <w:p w14:paraId="61BF4D07" w14:textId="77777777" w:rsidR="00F80C0F" w:rsidRPr="00A07596" w:rsidRDefault="00F80C0F" w:rsidP="00354AA1">
      <w:pPr>
        <w:pStyle w:val="TOC2"/>
        <w:tabs>
          <w:tab w:val="left" w:pos="960"/>
          <w:tab w:val="right" w:pos="9060"/>
        </w:tabs>
        <w:jc w:val="both"/>
        <w:rPr>
          <w:rFonts w:asciiTheme="minorHAnsi" w:eastAsiaTheme="minorEastAsia" w:hAnsiTheme="minorHAnsi" w:cstheme="minorBidi"/>
          <w:noProof/>
          <w:color w:val="000000" w:themeColor="text1"/>
          <w:sz w:val="22"/>
          <w:szCs w:val="22"/>
        </w:rPr>
      </w:pPr>
      <w:r w:rsidRPr="00A07596">
        <w:rPr>
          <w:rStyle w:val="Hyperlink"/>
          <w:noProof/>
          <w:color w:val="000000" w:themeColor="text1"/>
          <w:u w:val="none"/>
        </w:rPr>
        <w:t>2.6</w:t>
      </w:r>
      <w:r w:rsidRPr="00A07596">
        <w:rPr>
          <w:rFonts w:asciiTheme="minorHAnsi" w:eastAsiaTheme="minorEastAsia" w:hAnsiTheme="minorHAnsi" w:cstheme="minorBidi"/>
          <w:noProof/>
          <w:color w:val="000000" w:themeColor="text1"/>
          <w:sz w:val="22"/>
          <w:szCs w:val="22"/>
        </w:rPr>
        <w:tab/>
      </w:r>
      <w:r w:rsidRPr="00A07596">
        <w:rPr>
          <w:rStyle w:val="Hyperlink"/>
          <w:noProof/>
          <w:color w:val="000000" w:themeColor="text1"/>
          <w:u w:val="none"/>
        </w:rPr>
        <w:t>Conclusion</w:t>
      </w:r>
      <w:r w:rsidRPr="00A07596">
        <w:rPr>
          <w:noProof/>
          <w:webHidden/>
          <w:color w:val="000000" w:themeColor="text1"/>
        </w:rPr>
        <w:tab/>
      </w:r>
      <w:r w:rsidRPr="00A07596">
        <w:rPr>
          <w:noProof/>
          <w:webHidden/>
          <w:color w:val="000000" w:themeColor="text1"/>
        </w:rPr>
        <w:fldChar w:fldCharType="begin"/>
      </w:r>
      <w:r w:rsidRPr="00A07596">
        <w:rPr>
          <w:noProof/>
          <w:webHidden/>
          <w:color w:val="000000" w:themeColor="text1"/>
        </w:rPr>
        <w:instrText xml:space="preserve"> PAGEREF _Toc430778352 \h </w:instrText>
      </w:r>
      <w:r w:rsidRPr="00A07596">
        <w:rPr>
          <w:noProof/>
          <w:webHidden/>
          <w:color w:val="000000" w:themeColor="text1"/>
        </w:rPr>
      </w:r>
      <w:r w:rsidRPr="00A07596">
        <w:rPr>
          <w:noProof/>
          <w:webHidden/>
          <w:color w:val="000000" w:themeColor="text1"/>
        </w:rPr>
        <w:fldChar w:fldCharType="separate"/>
      </w:r>
      <w:r w:rsidRPr="00A07596">
        <w:rPr>
          <w:noProof/>
          <w:webHidden/>
          <w:color w:val="000000" w:themeColor="text1"/>
        </w:rPr>
        <w:t>39</w:t>
      </w:r>
      <w:r w:rsidRPr="00A07596">
        <w:rPr>
          <w:noProof/>
          <w:webHidden/>
          <w:color w:val="000000" w:themeColor="text1"/>
        </w:rPr>
        <w:fldChar w:fldCharType="end"/>
      </w:r>
    </w:p>
    <w:p w14:paraId="02FAE827" w14:textId="0646D2FB" w:rsidR="00F80C0F" w:rsidRPr="00F80C0F" w:rsidRDefault="00F80C0F" w:rsidP="00354AA1">
      <w:pPr>
        <w:jc w:val="both"/>
      </w:pPr>
    </w:p>
    <w:p w14:paraId="6EA8D524" w14:textId="25FF5300" w:rsidR="00442634" w:rsidRDefault="006970D8" w:rsidP="00354AA1">
      <w:pPr>
        <w:jc w:val="both"/>
      </w:pPr>
      <w:r>
        <w:br w:type="column"/>
      </w:r>
      <w:r w:rsidR="00442634">
        <w:lastRenderedPageBreak/>
        <w:t xml:space="preserve">This chapter of my report describes how the Parliamentary Joint Committee on Human Rights (PJC) has considered the child rights compatibility of Bills introduced to federal </w:t>
      </w:r>
      <w:r w:rsidR="0085165D">
        <w:t>P</w:t>
      </w:r>
      <w:r w:rsidR="00442634">
        <w:t xml:space="preserve">arliament during my reporting period of 1 July 2014 to 30 June 2015. I also refer to written submissions made by the Australian Human Rights Commission in relation to Bills examined by the PJC. </w:t>
      </w:r>
    </w:p>
    <w:p w14:paraId="5E05B007" w14:textId="77777777" w:rsidR="00442634" w:rsidRDefault="00442634" w:rsidP="00354AA1">
      <w:pPr>
        <w:jc w:val="both"/>
      </w:pPr>
      <w:r>
        <w:t xml:space="preserve">This chapter also describes how the Australian Human Rights Commission has promoted the human rights of children through a recent intervention in a Federal Circuit Court case, </w:t>
      </w:r>
      <w:r w:rsidRPr="00807D59">
        <w:rPr>
          <w:i/>
        </w:rPr>
        <w:t>Bateman &amp; Kavan</w:t>
      </w:r>
      <w:r>
        <w:t xml:space="preserve"> [2014] FCCA 2521.</w:t>
      </w:r>
      <w:r>
        <w:rPr>
          <w:rStyle w:val="EndnoteReference"/>
        </w:rPr>
        <w:endnoteReference w:id="41"/>
      </w:r>
    </w:p>
    <w:p w14:paraId="1B3EE751" w14:textId="77777777" w:rsidR="00442634" w:rsidRDefault="00442634" w:rsidP="00354AA1">
      <w:pPr>
        <w:pStyle w:val="Heading2"/>
        <w:jc w:val="both"/>
      </w:pPr>
      <w:bookmarkStart w:id="29" w:name="_Toc427857437"/>
      <w:bookmarkStart w:id="30" w:name="_Toc430702057"/>
      <w:bookmarkStart w:id="31" w:name="_Toc432577307"/>
      <w:r>
        <w:t>The PJC’s consideration of child rights</w:t>
      </w:r>
      <w:bookmarkEnd w:id="29"/>
      <w:bookmarkEnd w:id="30"/>
      <w:bookmarkEnd w:id="31"/>
    </w:p>
    <w:p w14:paraId="573CE20B" w14:textId="153B1E6A" w:rsidR="00442634" w:rsidRDefault="00442634" w:rsidP="00354AA1">
      <w:pPr>
        <w:jc w:val="both"/>
      </w:pPr>
      <w:r>
        <w:t xml:space="preserve">The </w:t>
      </w:r>
      <w:r>
        <w:rPr>
          <w:i/>
        </w:rPr>
        <w:t xml:space="preserve">Human Rights (Parliamentary Scrutiny) Act 2011 </w:t>
      </w:r>
      <w:r>
        <w:t xml:space="preserve">(Cth) requires that all Bills introduced to federal </w:t>
      </w:r>
      <w:r w:rsidR="0085165D">
        <w:t>P</w:t>
      </w:r>
      <w:r>
        <w:t>arliament contain a Statement of Compatibility with Human Rights (Statement of Compatibility) and be examined by the PJC for human rights compatibility.</w:t>
      </w:r>
      <w:r>
        <w:rPr>
          <w:rStyle w:val="EndnoteReference"/>
        </w:rPr>
        <w:endnoteReference w:id="42"/>
      </w:r>
      <w:r>
        <w:t xml:space="preserve"> </w:t>
      </w:r>
    </w:p>
    <w:p w14:paraId="55B8B51C" w14:textId="77777777" w:rsidR="00442634" w:rsidRDefault="00442634" w:rsidP="00354AA1">
      <w:pPr>
        <w:jc w:val="both"/>
      </w:pPr>
      <w:r>
        <w:t>For the purposes of the Statements of Compatibility and the PJC, human rights are defined as the rights and freedoms contained in the seven core human rights treaties to which Australia is a party, including the Convention on the Rights of the Child.</w:t>
      </w:r>
      <w:r>
        <w:rPr>
          <w:rStyle w:val="EndnoteReference"/>
        </w:rPr>
        <w:endnoteReference w:id="43"/>
      </w:r>
    </w:p>
    <w:p w14:paraId="2A08C957" w14:textId="77777777" w:rsidR="00442634" w:rsidRDefault="00442634" w:rsidP="00354AA1">
      <w:pPr>
        <w:jc w:val="both"/>
      </w:pPr>
      <w:r>
        <w:t xml:space="preserve">Statements of Compatibility for Bills introduced by an Australian Government Minister are normally drafted by public servants from the agency developing the Bill for the approval of the Minister. Statements of Compatibility for non-government Bills are usually prepared by the Member of Parliament introducing the Bill. </w:t>
      </w:r>
    </w:p>
    <w:p w14:paraId="2E20E41A" w14:textId="77777777" w:rsidR="00442634" w:rsidRDefault="00442634" w:rsidP="00354AA1">
      <w:pPr>
        <w:jc w:val="both"/>
      </w:pPr>
      <w:r>
        <w:t>The PJC has published two Guidance Notes</w:t>
      </w:r>
      <w:r>
        <w:rPr>
          <w:rStyle w:val="EndnoteReference"/>
        </w:rPr>
        <w:endnoteReference w:id="44"/>
      </w:r>
      <w:r>
        <w:t xml:space="preserve"> about human rights assessments and its requirements for Statements of Compatibility. The PJC has also published the </w:t>
      </w:r>
      <w:r>
        <w:rPr>
          <w:i/>
        </w:rPr>
        <w:t>Guide to Human Rights</w:t>
      </w:r>
      <w:r w:rsidRPr="000E430C">
        <w:rPr>
          <w:rStyle w:val="EndnoteReference"/>
        </w:rPr>
        <w:endnoteReference w:id="45"/>
      </w:r>
      <w:r>
        <w:t xml:space="preserve"> to provide a short and accessible overview of the key rights it considers when examining legislation. </w:t>
      </w:r>
    </w:p>
    <w:p w14:paraId="3EDB7696" w14:textId="573D2AB9" w:rsidR="00442634" w:rsidRDefault="00442634" w:rsidP="00354AA1">
      <w:pPr>
        <w:jc w:val="both"/>
      </w:pPr>
      <w:r>
        <w:t xml:space="preserve">The Attorney-General’s Department and the Australian Human Rights Commission have also published resources to assist proponents of Bills with the assessment of human rights compatibility. The flowchart </w:t>
      </w:r>
      <w:r w:rsidRPr="00926B3A">
        <w:t xml:space="preserve">in </w:t>
      </w:r>
      <w:r w:rsidR="000C5FE3">
        <w:t>on page 42</w:t>
      </w:r>
      <w:r w:rsidRPr="00926B3A">
        <w:t>, for</w:t>
      </w:r>
      <w:r>
        <w:t xml:space="preserve"> example, was published by the Attorney-General’s Department to assist in undertaking an initial assessment of human rights compatibility.</w:t>
      </w:r>
    </w:p>
    <w:p w14:paraId="04613ABA" w14:textId="77777777" w:rsidR="00442634" w:rsidRDefault="00442634" w:rsidP="00354AA1">
      <w:pPr>
        <w:jc w:val="both"/>
      </w:pPr>
      <w:r>
        <w:t>The PJC is composed of ten members, five from the House of Representatives and five from the Senate. The list of current members can be found on the Committee Membership website.</w:t>
      </w:r>
      <w:r>
        <w:rPr>
          <w:rStyle w:val="EndnoteReference"/>
        </w:rPr>
        <w:endnoteReference w:id="46"/>
      </w:r>
      <w:r>
        <w:t xml:space="preserve"> </w:t>
      </w:r>
    </w:p>
    <w:p w14:paraId="2116AA12" w14:textId="77777777" w:rsidR="00442634" w:rsidRDefault="00442634" w:rsidP="00354AA1">
      <w:pPr>
        <w:jc w:val="both"/>
      </w:pPr>
      <w:r>
        <w:t>The PJC considers that Statements of Compatibility are essential to the examination of human rights in the legislative process.</w:t>
      </w:r>
      <w:r>
        <w:rPr>
          <w:rStyle w:val="EndnoteReference"/>
        </w:rPr>
        <w:endnoteReference w:id="47"/>
      </w:r>
      <w:r>
        <w:t xml:space="preserve"> The PJC relies on Statements of Compatibility to set out the analysis of the Bill’s compatibility with Australia’s human rights obligations.</w:t>
      </w:r>
      <w:r>
        <w:rPr>
          <w:rStyle w:val="EndnoteReference"/>
        </w:rPr>
        <w:endnoteReference w:id="48"/>
      </w:r>
      <w:r>
        <w:t xml:space="preserve"> </w:t>
      </w:r>
    </w:p>
    <w:p w14:paraId="7D87265D" w14:textId="77777777" w:rsidR="00442634" w:rsidRDefault="00442634" w:rsidP="00354AA1">
      <w:pPr>
        <w:jc w:val="both"/>
      </w:pPr>
      <w:r>
        <w:t>Where the PJC reports that a Bill limits a human right, and the Statement of Compatibility does not include a reasoned and evidence-based assessment, the PJC may seek additional and further information about the Bill’s compatibility.</w:t>
      </w:r>
      <w:r>
        <w:rPr>
          <w:rStyle w:val="EndnoteReference"/>
        </w:rPr>
        <w:endnoteReference w:id="49"/>
      </w:r>
      <w:r>
        <w:t xml:space="preserve"> Where further information is not provided or is inadequate, the PJC will conclude its assessment based on its original analysis, which may include a conclusion that </w:t>
      </w:r>
      <w:r>
        <w:lastRenderedPageBreak/>
        <w:t>measures contained in the Bill are incompatible with Australia’s international human rights obligations.</w:t>
      </w:r>
      <w:r>
        <w:rPr>
          <w:rStyle w:val="EndnoteReference"/>
        </w:rPr>
        <w:endnoteReference w:id="50"/>
      </w:r>
      <w:r>
        <w:t xml:space="preserve"> </w:t>
      </w:r>
    </w:p>
    <w:p w14:paraId="44D7B5F8" w14:textId="77777777" w:rsidR="00442634" w:rsidRDefault="00442634" w:rsidP="00354AA1">
      <w:pPr>
        <w:jc w:val="both"/>
        <w:rPr>
          <w:b/>
          <w:highlight w:val="yellow"/>
        </w:rPr>
      </w:pPr>
      <w:r>
        <w:t>Reports by the PJC are tabled in both Houses of Parliament and can be found on the Committee Reports website.</w:t>
      </w:r>
      <w:r>
        <w:rPr>
          <w:rStyle w:val="EndnoteReference"/>
        </w:rPr>
        <w:endnoteReference w:id="51"/>
      </w:r>
    </w:p>
    <w:p w14:paraId="226CD26C" w14:textId="7BBCC2D5" w:rsidR="00442634" w:rsidRPr="00EB53E4" w:rsidRDefault="001715AD" w:rsidP="00354AA1">
      <w:pPr>
        <w:jc w:val="both"/>
      </w:pPr>
      <w:r>
        <w:rPr>
          <w:b/>
        </w:rPr>
        <w:t>Flowchart for assessing the human rights compatibility of bills and legislative instruments</w:t>
      </w:r>
      <w:r w:rsidR="00442634">
        <w:rPr>
          <w:rStyle w:val="EndnoteReference"/>
          <w:b/>
        </w:rPr>
        <w:endnoteReference w:id="52"/>
      </w:r>
      <w:r w:rsidR="00442634">
        <w:rPr>
          <w:b/>
        </w:rPr>
        <w:t xml:space="preserve"> </w:t>
      </w:r>
    </w:p>
    <w:p w14:paraId="43D13F38" w14:textId="77777777" w:rsidR="00442634" w:rsidRDefault="00442634" w:rsidP="00354AA1">
      <w:pPr>
        <w:jc w:val="both"/>
      </w:pPr>
      <w:r>
        <w:rPr>
          <w:noProof/>
        </w:rPr>
        <w:drawing>
          <wp:inline distT="0" distB="0" distL="0" distR="0" wp14:anchorId="433755A8" wp14:editId="575E9191">
            <wp:extent cx="6554419" cy="461338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902861" cy="4858639"/>
                    </a:xfrm>
                    <a:prstGeom prst="rect">
                      <a:avLst/>
                    </a:prstGeom>
                  </pic:spPr>
                </pic:pic>
              </a:graphicData>
            </a:graphic>
          </wp:inline>
        </w:drawing>
      </w:r>
    </w:p>
    <w:p w14:paraId="4D7313D8" w14:textId="77777777" w:rsidR="00442634" w:rsidRDefault="00442634" w:rsidP="00354AA1">
      <w:pPr>
        <w:pStyle w:val="Heading2"/>
        <w:jc w:val="both"/>
      </w:pPr>
      <w:bookmarkStart w:id="32" w:name="_Toc427857438"/>
      <w:bookmarkStart w:id="33" w:name="_Toc430702058"/>
      <w:bookmarkStart w:id="34" w:name="_Toc432577308"/>
      <w:r>
        <w:t>Bills that had a substantially positive impact on child rights</w:t>
      </w:r>
      <w:bookmarkEnd w:id="32"/>
      <w:bookmarkEnd w:id="33"/>
      <w:bookmarkEnd w:id="34"/>
    </w:p>
    <w:p w14:paraId="52CD30C4" w14:textId="3EF5AA8E" w:rsidR="00442634" w:rsidRPr="003F3968" w:rsidRDefault="00442634" w:rsidP="00354AA1">
      <w:pPr>
        <w:jc w:val="both"/>
      </w:pPr>
      <w:r>
        <w:t xml:space="preserve">The PJC considered six Bills introduced to federal </w:t>
      </w:r>
      <w:r w:rsidR="00B44CBD">
        <w:t>P</w:t>
      </w:r>
      <w:r>
        <w:t>arliament during my reporting period that had a substantially positive impact on children’s rights.</w:t>
      </w:r>
    </w:p>
    <w:p w14:paraId="24D4AD3D" w14:textId="77777777" w:rsidR="00442634" w:rsidRPr="00442634" w:rsidRDefault="00442634" w:rsidP="00354AA1">
      <w:pPr>
        <w:pStyle w:val="Heading3"/>
        <w:jc w:val="both"/>
      </w:pPr>
      <w:bookmarkStart w:id="35" w:name="_Toc430702059"/>
      <w:bookmarkStart w:id="36" w:name="_Toc427857439"/>
      <w:r w:rsidRPr="00442634">
        <w:t>Guardian for Unaccompanied Children Bill 2014 (Cth)</w:t>
      </w:r>
      <w:bookmarkEnd w:id="35"/>
    </w:p>
    <w:bookmarkEnd w:id="36"/>
    <w:p w14:paraId="0E06D56E" w14:textId="711A9396" w:rsidR="00442634" w:rsidRDefault="00442634" w:rsidP="00354AA1">
      <w:pPr>
        <w:jc w:val="both"/>
      </w:pPr>
      <w:r w:rsidRPr="00367DC4">
        <w:t xml:space="preserve">The Guardian for Unaccompanied Children Bill 2014 (Cth) </w:t>
      </w:r>
      <w:r w:rsidRPr="00246A31">
        <w:t>was sponsored by Senator</w:t>
      </w:r>
      <w:r w:rsidR="007A644A">
        <w:t xml:space="preserve"> </w:t>
      </w:r>
      <w:r w:rsidR="006C67A6">
        <w:t xml:space="preserve">the Hon </w:t>
      </w:r>
      <w:r w:rsidR="007A644A">
        <w:t>Sarah</w:t>
      </w:r>
      <w:r w:rsidRPr="00246A31">
        <w:t xml:space="preserve"> Hanson-Young and introduced to the Senate on 16 July 2014.</w:t>
      </w:r>
      <w:r w:rsidRPr="00367DC4">
        <w:rPr>
          <w:sz w:val="20"/>
          <w:szCs w:val="20"/>
          <w:vertAlign w:val="superscript"/>
        </w:rPr>
        <w:endnoteReference w:id="53"/>
      </w:r>
      <w:r w:rsidR="00B44CBD">
        <w:t xml:space="preserve"> T</w:t>
      </w:r>
      <w:r>
        <w:t>he Bill p</w:t>
      </w:r>
      <w:r w:rsidRPr="00367DC4">
        <w:t>roposed to establish an independent statutory office of the Guardian for Unaccompanied Non-citizen</w:t>
      </w:r>
      <w:r w:rsidRPr="00246A31">
        <w:t xml:space="preserve"> Children.</w:t>
      </w:r>
      <w:r w:rsidRPr="00367DC4">
        <w:rPr>
          <w:sz w:val="20"/>
          <w:szCs w:val="20"/>
          <w:vertAlign w:val="superscript"/>
        </w:rPr>
        <w:endnoteReference w:id="54"/>
      </w:r>
      <w:r>
        <w:t xml:space="preserve"> </w:t>
      </w:r>
      <w:r w:rsidRPr="00246A31">
        <w:t xml:space="preserve">It was proposed that the statutory office would advocate for the best interests of non-citizen children who arrive in Australia or </w:t>
      </w:r>
      <w:r w:rsidRPr="00246A31">
        <w:lastRenderedPageBreak/>
        <w:t>an Australian external territory seeking humanitarian protection, in cases where the child was not accompanied by their parents or another responsible adult.</w:t>
      </w:r>
      <w:r w:rsidRPr="00367DC4">
        <w:rPr>
          <w:sz w:val="20"/>
          <w:szCs w:val="20"/>
          <w:vertAlign w:val="superscript"/>
        </w:rPr>
        <w:endnoteReference w:id="55"/>
      </w:r>
    </w:p>
    <w:p w14:paraId="37368F63" w14:textId="2353DE09" w:rsidR="00442634" w:rsidRDefault="00442634" w:rsidP="00354AA1">
      <w:pPr>
        <w:jc w:val="both"/>
      </w:pPr>
      <w:r>
        <w:t>In August 2014</w:t>
      </w:r>
      <w:r w:rsidR="00D457AC">
        <w:t>,</w:t>
      </w:r>
      <w:r>
        <w:t xml:space="preserve"> the PJC commented that the Bill promotes the rights of children and is compatible with human rights.</w:t>
      </w:r>
      <w:r>
        <w:rPr>
          <w:rStyle w:val="EndnoteReference"/>
        </w:rPr>
        <w:endnoteReference w:id="56"/>
      </w:r>
    </w:p>
    <w:p w14:paraId="4327AC2C" w14:textId="6379BB83" w:rsidR="00442634" w:rsidRDefault="00442634" w:rsidP="00354AA1">
      <w:pPr>
        <w:jc w:val="both"/>
      </w:pPr>
      <w:r>
        <w:t>On 28 August 2014</w:t>
      </w:r>
      <w:r w:rsidR="00D457AC">
        <w:t>,</w:t>
      </w:r>
      <w:r>
        <w:t xml:space="preserve"> the Senate referred the Bill to the Senate Legal and Constitutional Affairs Legislation Committee for inquiry and report.</w:t>
      </w:r>
      <w:r>
        <w:rPr>
          <w:rStyle w:val="EndnoteReference"/>
        </w:rPr>
        <w:endnoteReference w:id="57"/>
      </w:r>
      <w:r>
        <w:t xml:space="preserve"> In its submission to the Senate inquiry, the Australian Human Rights Commission recommended that an independent guardian be appointed for all unaccompanied children in immigration detention, and recommended that the Bill be passed.</w:t>
      </w:r>
      <w:r>
        <w:rPr>
          <w:rStyle w:val="EndnoteReference"/>
        </w:rPr>
        <w:endnoteReference w:id="58"/>
      </w:r>
      <w:r>
        <w:t xml:space="preserve"> </w:t>
      </w:r>
    </w:p>
    <w:p w14:paraId="6404DA57" w14:textId="194DF6D5" w:rsidR="00442634" w:rsidRDefault="00442634" w:rsidP="00354AA1">
      <w:pPr>
        <w:jc w:val="both"/>
      </w:pPr>
      <w:r>
        <w:t xml:space="preserve">In the </w:t>
      </w:r>
      <w:r w:rsidRPr="005F01A8">
        <w:rPr>
          <w:i/>
        </w:rPr>
        <w:t>Children’s Rights Report 2013</w:t>
      </w:r>
      <w:r>
        <w:t>, which was my first statutory report to federal Parliament, I highlighted the conflict of interest where the legal guardianship of unaccompanied minors is vested in the Minister for Immigration and Border Protection.</w:t>
      </w:r>
      <w:r>
        <w:rPr>
          <w:rStyle w:val="EndnoteReference"/>
        </w:rPr>
        <w:endnoteReference w:id="59"/>
      </w:r>
      <w:r>
        <w:t xml:space="preserve"> The Australian Human Rights Commission’s report</w:t>
      </w:r>
      <w:r w:rsidR="00D457AC">
        <w:t xml:space="preserve">, </w:t>
      </w:r>
      <w:r w:rsidR="00D457AC" w:rsidRPr="00D457AC">
        <w:rPr>
          <w:i/>
        </w:rPr>
        <w:t xml:space="preserve">The Forgotten Children: </w:t>
      </w:r>
      <w:r w:rsidRPr="00D457AC">
        <w:rPr>
          <w:i/>
        </w:rPr>
        <w:t>National Inquiry into Children in Immigration Detention 2014</w:t>
      </w:r>
      <w:r w:rsidR="00D457AC">
        <w:t>,</w:t>
      </w:r>
      <w:r>
        <w:t xml:space="preserve"> also recommended that an independent guardian be appointed for unaccompanied children seeking asylum in Australia.</w:t>
      </w:r>
      <w:r>
        <w:rPr>
          <w:rStyle w:val="EndnoteReference"/>
        </w:rPr>
        <w:endnoteReference w:id="60"/>
      </w:r>
      <w:r>
        <w:t xml:space="preserve"> </w:t>
      </w:r>
    </w:p>
    <w:p w14:paraId="29392AF3" w14:textId="77777777" w:rsidR="00442634" w:rsidRDefault="00442634" w:rsidP="00354AA1">
      <w:pPr>
        <w:jc w:val="both"/>
      </w:pPr>
      <w:r>
        <w:t>The final report of the Senate inquiry was released on 9 February 2015 and recommended that the Bill not be passed.</w:t>
      </w:r>
      <w:r>
        <w:rPr>
          <w:rStyle w:val="EndnoteReference"/>
        </w:rPr>
        <w:endnoteReference w:id="61"/>
      </w:r>
      <w:r>
        <w:t xml:space="preserve"> Additional comments were provided in the final report by Labor Senators, expressing support for further consideration of the matters explored in the Bill.</w:t>
      </w:r>
      <w:r>
        <w:rPr>
          <w:rStyle w:val="EndnoteReference"/>
        </w:rPr>
        <w:endnoteReference w:id="62"/>
      </w:r>
      <w:r>
        <w:t xml:space="preserve"> A dissenting report was also provided by the Australian Greens, recommending that the Bill be passed with amendments.</w:t>
      </w:r>
      <w:r>
        <w:rPr>
          <w:rStyle w:val="EndnoteReference"/>
        </w:rPr>
        <w:endnoteReference w:id="63"/>
      </w:r>
      <w:r>
        <w:t xml:space="preserve"> </w:t>
      </w:r>
    </w:p>
    <w:p w14:paraId="113182F9" w14:textId="77777777" w:rsidR="00442634" w:rsidRPr="002951BC" w:rsidRDefault="00442634" w:rsidP="00354AA1">
      <w:pPr>
        <w:jc w:val="both"/>
      </w:pPr>
      <w:r w:rsidRPr="00E221F1">
        <w:t>The Bill is still before the Senate.</w:t>
      </w:r>
      <w:r w:rsidRPr="00E221F1">
        <w:rPr>
          <w:rStyle w:val="EndnoteReference"/>
        </w:rPr>
        <w:endnoteReference w:id="64"/>
      </w:r>
    </w:p>
    <w:p w14:paraId="337A4401" w14:textId="77777777" w:rsidR="00442634" w:rsidRPr="00442634" w:rsidRDefault="00442634" w:rsidP="00354AA1">
      <w:pPr>
        <w:pStyle w:val="Heading3"/>
        <w:jc w:val="both"/>
      </w:pPr>
      <w:bookmarkStart w:id="37" w:name="_Toc427857441"/>
      <w:bookmarkStart w:id="38" w:name="_Toc430702060"/>
      <w:bookmarkStart w:id="39" w:name="_Toc427857440"/>
      <w:r w:rsidRPr="00442634">
        <w:t>Australian Education Amendment Bill 2014</w:t>
      </w:r>
      <w:bookmarkEnd w:id="37"/>
      <w:r w:rsidRPr="00442634">
        <w:t xml:space="preserve"> (Cth)</w:t>
      </w:r>
      <w:bookmarkEnd w:id="38"/>
    </w:p>
    <w:p w14:paraId="748FA105" w14:textId="6BC09173" w:rsidR="00442634" w:rsidRDefault="00442634" w:rsidP="00354AA1">
      <w:pPr>
        <w:jc w:val="both"/>
      </w:pPr>
      <w:r>
        <w:t xml:space="preserve">The </w:t>
      </w:r>
      <w:r w:rsidRPr="00C60A54">
        <w:t>Australian Education Amendment Bill 2014 (Cth)</w:t>
      </w:r>
      <w:r>
        <w:t xml:space="preserve"> was </w:t>
      </w:r>
      <w:r w:rsidRPr="00BB492C">
        <w:t xml:space="preserve">sponsored by the </w:t>
      </w:r>
      <w:r w:rsidR="007A644A">
        <w:t>Australian Government’s</w:t>
      </w:r>
      <w:r w:rsidRPr="00BB492C">
        <w:t xml:space="preserve"> education portfolio</w:t>
      </w:r>
      <w:r>
        <w:t xml:space="preserve"> and introduced to the House of Representatives on 25 September 2014.</w:t>
      </w:r>
      <w:r>
        <w:rPr>
          <w:rStyle w:val="EndnoteReference"/>
        </w:rPr>
        <w:endnoteReference w:id="65"/>
      </w:r>
      <w:r>
        <w:t xml:space="preserve"> The Bill proposed to allow payment of additional funding in 2014 to schools with large numbers of Aboriginal and Torres Strait Islander children boarding from remote areas.</w:t>
      </w:r>
      <w:r>
        <w:rPr>
          <w:rStyle w:val="EndnoteReference"/>
        </w:rPr>
        <w:endnoteReference w:id="66"/>
      </w:r>
      <w:r>
        <w:t xml:space="preserve"> </w:t>
      </w:r>
    </w:p>
    <w:p w14:paraId="452121AB" w14:textId="77777777" w:rsidR="00442634" w:rsidRDefault="00442634" w:rsidP="00354AA1">
      <w:pPr>
        <w:jc w:val="both"/>
      </w:pPr>
      <w:r>
        <w:t>The Bill also proposed to prevent funding cuts to students with disabilities and to other students in some independent special schools and special assistance schools that would otherwise have occurred from 1 January 2015.</w:t>
      </w:r>
      <w:r>
        <w:rPr>
          <w:rStyle w:val="EndnoteReference"/>
        </w:rPr>
        <w:endnoteReference w:id="67"/>
      </w:r>
    </w:p>
    <w:p w14:paraId="231589D8" w14:textId="5598CC48" w:rsidR="00442634" w:rsidRDefault="00442634" w:rsidP="00354AA1">
      <w:pPr>
        <w:jc w:val="both"/>
      </w:pPr>
      <w:r>
        <w:t>In October 2014</w:t>
      </w:r>
      <w:r w:rsidR="007A644A">
        <w:t>,</w:t>
      </w:r>
      <w:r>
        <w:t xml:space="preserve"> the PJC commented that the Bill promotes the rights of children to education and is compatible with human rights.</w:t>
      </w:r>
      <w:r>
        <w:rPr>
          <w:rStyle w:val="EndnoteReference"/>
        </w:rPr>
        <w:endnoteReference w:id="68"/>
      </w:r>
    </w:p>
    <w:p w14:paraId="0C55EC74" w14:textId="77777777" w:rsidR="00442634" w:rsidRDefault="00442634" w:rsidP="00354AA1">
      <w:pPr>
        <w:jc w:val="both"/>
      </w:pPr>
      <w:r>
        <w:t>The Bill passed both Houses of Parliament on 18 November 2014.</w:t>
      </w:r>
      <w:r>
        <w:rPr>
          <w:rStyle w:val="EndnoteReference"/>
        </w:rPr>
        <w:endnoteReference w:id="69"/>
      </w:r>
    </w:p>
    <w:p w14:paraId="575CCE78" w14:textId="77777777" w:rsidR="00442634" w:rsidRPr="00442634" w:rsidRDefault="00442634" w:rsidP="00354AA1">
      <w:pPr>
        <w:pStyle w:val="Heading3"/>
        <w:jc w:val="both"/>
      </w:pPr>
      <w:bookmarkStart w:id="40" w:name="_Toc430702061"/>
      <w:r w:rsidRPr="00442634">
        <w:t>Social Security and Other Legislation Amendment (Caring for Single Parents) Bill 201</w:t>
      </w:r>
      <w:bookmarkEnd w:id="39"/>
      <w:r w:rsidRPr="00442634">
        <w:t>4 (Cth)</w:t>
      </w:r>
      <w:bookmarkEnd w:id="40"/>
    </w:p>
    <w:p w14:paraId="1E69B181" w14:textId="1037B49C" w:rsidR="00442634" w:rsidRDefault="00442634" w:rsidP="00354AA1">
      <w:pPr>
        <w:jc w:val="both"/>
      </w:pPr>
      <w:r>
        <w:t xml:space="preserve">The </w:t>
      </w:r>
      <w:r w:rsidRPr="00C60A54">
        <w:t>Social Security and Other Legislation Amendment (Caring for Single Parents) Bill 2014</w:t>
      </w:r>
      <w:r>
        <w:t xml:space="preserve"> (Cth) was sponsored by Senator </w:t>
      </w:r>
      <w:r w:rsidR="006C67A6">
        <w:t xml:space="preserve">the Hon </w:t>
      </w:r>
      <w:r>
        <w:t>Rachel Siewert and introduced to the House of Representatives on 22 October 2014.</w:t>
      </w:r>
      <w:r>
        <w:rPr>
          <w:rStyle w:val="EndnoteReference"/>
        </w:rPr>
        <w:endnoteReference w:id="70"/>
      </w:r>
      <w:r>
        <w:t xml:space="preserve"> The Bill proposed allowing single parents to access the parenting payment until their youngest child turns 16 </w:t>
      </w:r>
      <w:r>
        <w:lastRenderedPageBreak/>
        <w:t>years of age and to provide an enforceable right to request flexible work arrangements for those with caring responsibilities, including single parents.</w:t>
      </w:r>
      <w:r>
        <w:rPr>
          <w:rStyle w:val="EndnoteReference"/>
        </w:rPr>
        <w:endnoteReference w:id="71"/>
      </w:r>
    </w:p>
    <w:p w14:paraId="57CB6885" w14:textId="77777777" w:rsidR="00442634" w:rsidRDefault="00442634" w:rsidP="00354AA1">
      <w:pPr>
        <w:jc w:val="both"/>
      </w:pPr>
      <w:r>
        <w:t>In December 2014, the PJC commented that the Bill promotes the rights of children to family and development under articles 18 and 20 of the Convention on the Rights of the Child, and is compatible with human rights.</w:t>
      </w:r>
      <w:r>
        <w:rPr>
          <w:rStyle w:val="EndnoteReference"/>
        </w:rPr>
        <w:endnoteReference w:id="72"/>
      </w:r>
      <w:r>
        <w:t xml:space="preserve"> </w:t>
      </w:r>
    </w:p>
    <w:p w14:paraId="31759B2C" w14:textId="77777777" w:rsidR="00442634" w:rsidRPr="002951BC" w:rsidRDefault="00442634" w:rsidP="00354AA1">
      <w:pPr>
        <w:jc w:val="both"/>
      </w:pPr>
      <w:r w:rsidRPr="003463BC">
        <w:t>The Bill is still before the Senate.</w:t>
      </w:r>
      <w:r w:rsidRPr="003463BC">
        <w:rPr>
          <w:rStyle w:val="EndnoteReference"/>
        </w:rPr>
        <w:endnoteReference w:id="73"/>
      </w:r>
    </w:p>
    <w:p w14:paraId="07CEAD32" w14:textId="77777777" w:rsidR="00442634" w:rsidRDefault="00442634" w:rsidP="00354AA1">
      <w:pPr>
        <w:pStyle w:val="Heading3"/>
        <w:jc w:val="both"/>
      </w:pPr>
      <w:bookmarkStart w:id="41" w:name="_Toc427857442"/>
      <w:bookmarkStart w:id="42" w:name="_Toc430702062"/>
      <w:r w:rsidRPr="00275DD9">
        <w:t xml:space="preserve">Enhancing Online Safety for Children Bill 2014 </w:t>
      </w:r>
      <w:r w:rsidRPr="003463BC">
        <w:t>(Cth)</w:t>
      </w:r>
      <w:r>
        <w:t xml:space="preserve"> </w:t>
      </w:r>
      <w:r w:rsidRPr="00275DD9">
        <w:t>and the Enhancing Online Safety for Children (Consequential Amendments) Bill 2014</w:t>
      </w:r>
      <w:bookmarkEnd w:id="41"/>
      <w:r>
        <w:t xml:space="preserve"> </w:t>
      </w:r>
      <w:r w:rsidRPr="003463BC">
        <w:t>(Cth)</w:t>
      </w:r>
      <w:bookmarkEnd w:id="42"/>
    </w:p>
    <w:p w14:paraId="1ED71236" w14:textId="42254A4A" w:rsidR="00442634" w:rsidRDefault="00442634" w:rsidP="00354AA1">
      <w:pPr>
        <w:jc w:val="both"/>
      </w:pPr>
      <w:r>
        <w:t>On 5 September 2013, the Coalition released its pre-election policy to enhance online safety for children.</w:t>
      </w:r>
      <w:r>
        <w:rPr>
          <w:rStyle w:val="EndnoteReference"/>
        </w:rPr>
        <w:endnoteReference w:id="74"/>
      </w:r>
      <w:r>
        <w:t xml:space="preserve"> In December 2013</w:t>
      </w:r>
      <w:r w:rsidR="007A644A">
        <w:t>,</w:t>
      </w:r>
      <w:r>
        <w:t xml:space="preserve"> I was invited by the Hon Paul Fletcher MP to become a member of the Australian Government’s Online Safety Consultative Working Group (CWG) and through this role I contributed to the development of associated policy and the Bills.</w:t>
      </w:r>
    </w:p>
    <w:p w14:paraId="3BE25A30" w14:textId="00973658" w:rsidR="00442634" w:rsidRDefault="00442634" w:rsidP="00354AA1">
      <w:pPr>
        <w:jc w:val="both"/>
      </w:pPr>
      <w:r>
        <w:t xml:space="preserve">The </w:t>
      </w:r>
      <w:r w:rsidRPr="00C60A54">
        <w:t>Enhancing Online Safety for Children Bill 2014 (Cth) and the Enhancing Online Safety for Children (Consequential Amendments) Bill 2014 (Cth)</w:t>
      </w:r>
      <w:r>
        <w:t xml:space="preserve"> were sponsored by </w:t>
      </w:r>
      <w:r w:rsidRPr="00BB492C">
        <w:t xml:space="preserve">the </w:t>
      </w:r>
      <w:r w:rsidR="006C67A6">
        <w:t>Australian Government’s</w:t>
      </w:r>
      <w:r w:rsidRPr="00BB492C">
        <w:t xml:space="preserve"> communications portfolio</w:t>
      </w:r>
      <w:r>
        <w:t xml:space="preserve"> and introduced to the House of Representatives on 3 December 2014.</w:t>
      </w:r>
      <w:r>
        <w:rPr>
          <w:rStyle w:val="EndnoteReference"/>
        </w:rPr>
        <w:endnoteReference w:id="75"/>
      </w:r>
      <w:r>
        <w:t xml:space="preserve"> The Bills proposed to establish the Children’s e-Safety Commissioner and a complaints system for cyber-bullying material targeted at Australian children.</w:t>
      </w:r>
      <w:r>
        <w:rPr>
          <w:rStyle w:val="EndnoteReference"/>
        </w:rPr>
        <w:endnoteReference w:id="76"/>
      </w:r>
      <w:r>
        <w:t xml:space="preserve"> </w:t>
      </w:r>
    </w:p>
    <w:p w14:paraId="75AAC298" w14:textId="1A5AB801" w:rsidR="00442634" w:rsidRDefault="00442634" w:rsidP="00354AA1">
      <w:pPr>
        <w:jc w:val="both"/>
      </w:pPr>
      <w:r>
        <w:t xml:space="preserve">The Statement of Compatibility accompanying the Bills stated that the Bills would promote the rights of children to </w:t>
      </w:r>
      <w:r w:rsidR="006C67A6">
        <w:t xml:space="preserve">privacy </w:t>
      </w:r>
      <w:r>
        <w:t>and</w:t>
      </w:r>
      <w:r w:rsidR="006C67A6" w:rsidRPr="006C67A6">
        <w:t xml:space="preserve"> </w:t>
      </w:r>
      <w:r w:rsidR="006C67A6">
        <w:t>to protection from unlawful attacks</w:t>
      </w:r>
      <w:r>
        <w:t>.</w:t>
      </w:r>
      <w:r>
        <w:rPr>
          <w:rStyle w:val="EndnoteReference"/>
        </w:rPr>
        <w:endnoteReference w:id="77"/>
      </w:r>
      <w:r>
        <w:t xml:space="preserve"> </w:t>
      </w:r>
    </w:p>
    <w:p w14:paraId="32F83549" w14:textId="2DD15CD3" w:rsidR="00442634" w:rsidRDefault="00442634" w:rsidP="00354AA1">
      <w:pPr>
        <w:jc w:val="both"/>
      </w:pPr>
      <w:r>
        <w:t>On 4 December 2014</w:t>
      </w:r>
      <w:r w:rsidR="007A644A">
        <w:t>,</w:t>
      </w:r>
      <w:r>
        <w:t xml:space="preserve"> the Senate referred the Bills to the Senate Environment and Communications Legislation Committee for inquiry and report.</w:t>
      </w:r>
      <w:r>
        <w:rPr>
          <w:rStyle w:val="EndnoteReference"/>
        </w:rPr>
        <w:endnoteReference w:id="78"/>
      </w:r>
      <w:r>
        <w:t xml:space="preserve"> The final report of the Senate inquiry was released on 3 March 2015 and recommended that the Bills, subject to a proposed amendment, be passed.</w:t>
      </w:r>
      <w:r>
        <w:rPr>
          <w:rStyle w:val="EndnoteReference"/>
        </w:rPr>
        <w:endnoteReference w:id="79"/>
      </w:r>
    </w:p>
    <w:p w14:paraId="7720F2EE" w14:textId="53E2E2D8" w:rsidR="00442634" w:rsidRDefault="00442634" w:rsidP="00354AA1">
      <w:pPr>
        <w:jc w:val="both"/>
      </w:pPr>
      <w:r>
        <w:t>In February 2015</w:t>
      </w:r>
      <w:r w:rsidR="007A644A">
        <w:t>,</w:t>
      </w:r>
      <w:r>
        <w:t xml:space="preserve"> the PJC commented that the Bills did not require additional comment as they did not raise human rights concerns.</w:t>
      </w:r>
      <w:r>
        <w:rPr>
          <w:rStyle w:val="EndnoteReference"/>
        </w:rPr>
        <w:endnoteReference w:id="80"/>
      </w:r>
    </w:p>
    <w:p w14:paraId="46148441" w14:textId="77777777" w:rsidR="00442634" w:rsidRPr="00FE6B53" w:rsidRDefault="00442634" w:rsidP="00354AA1">
      <w:pPr>
        <w:jc w:val="both"/>
      </w:pPr>
      <w:r>
        <w:t>The Bills passed both Houses of Parliament in March 2015.</w:t>
      </w:r>
      <w:r>
        <w:rPr>
          <w:rStyle w:val="EndnoteReference"/>
        </w:rPr>
        <w:endnoteReference w:id="81"/>
      </w:r>
    </w:p>
    <w:p w14:paraId="1C228BC1" w14:textId="77777777" w:rsidR="00442634" w:rsidRPr="00442634" w:rsidRDefault="00442634" w:rsidP="00354AA1">
      <w:pPr>
        <w:pStyle w:val="Heading3"/>
        <w:jc w:val="both"/>
      </w:pPr>
      <w:bookmarkStart w:id="43" w:name="_Toc427857443"/>
      <w:bookmarkStart w:id="44" w:name="_Toc430702063"/>
      <w:r w:rsidRPr="00442634">
        <w:t>Crimes Legislation Amendment (Powers, Offences and Other Measures) Bill 2015</w:t>
      </w:r>
      <w:bookmarkEnd w:id="43"/>
      <w:r w:rsidRPr="00442634">
        <w:t xml:space="preserve"> (Cth)</w:t>
      </w:r>
      <w:bookmarkEnd w:id="44"/>
    </w:p>
    <w:p w14:paraId="7458324B" w14:textId="1BE6E799" w:rsidR="00442634" w:rsidRDefault="00442634" w:rsidP="00354AA1">
      <w:pPr>
        <w:jc w:val="both"/>
      </w:pPr>
      <w:r>
        <w:t xml:space="preserve">The </w:t>
      </w:r>
      <w:r w:rsidRPr="00C60A54">
        <w:t>Crimes Legislation Amendment (Powers, Offences and Other Measures) Bill 2015 (Cth)</w:t>
      </w:r>
      <w:r>
        <w:t xml:space="preserve"> was sponsored by </w:t>
      </w:r>
      <w:r w:rsidRPr="00BB492C">
        <w:t xml:space="preserve">the </w:t>
      </w:r>
      <w:r w:rsidR="006C67A6">
        <w:t>Australian Government’s</w:t>
      </w:r>
      <w:r w:rsidRPr="00BB492C">
        <w:t xml:space="preserve"> Attorney-General’s portfolio</w:t>
      </w:r>
      <w:r>
        <w:t xml:space="preserve"> and introduced to the House of Representatives on 19 March 2015.</w:t>
      </w:r>
      <w:r>
        <w:rPr>
          <w:rStyle w:val="EndnoteReference"/>
        </w:rPr>
        <w:endnoteReference w:id="82"/>
      </w:r>
      <w:r>
        <w:t xml:space="preserve"> The Bill proposed, among other things, to expand the definition of forced marriage and increase the penalties for forced marriages.</w:t>
      </w:r>
      <w:r>
        <w:rPr>
          <w:rStyle w:val="EndnoteReference"/>
        </w:rPr>
        <w:endnoteReference w:id="83"/>
      </w:r>
    </w:p>
    <w:p w14:paraId="768E5683" w14:textId="77777777" w:rsidR="00442634" w:rsidRDefault="00442634" w:rsidP="00354AA1">
      <w:pPr>
        <w:jc w:val="both"/>
      </w:pPr>
      <w:r>
        <w:t>The Statement of Compatibility accompanying the Bill stated that the Bill would promote children’s rights by increasing protection against forced marriage for children who do not have the capacity to provide free and full consent to marriage.</w:t>
      </w:r>
      <w:r>
        <w:rPr>
          <w:rStyle w:val="EndnoteReference"/>
        </w:rPr>
        <w:endnoteReference w:id="84"/>
      </w:r>
    </w:p>
    <w:p w14:paraId="4D99D5C0" w14:textId="77777777" w:rsidR="00442634" w:rsidRDefault="00442634" w:rsidP="00354AA1">
      <w:pPr>
        <w:jc w:val="both"/>
      </w:pPr>
      <w:r>
        <w:lastRenderedPageBreak/>
        <w:t>The PJC did not comment on the measures contained in the Bill relating to forced marriage.</w:t>
      </w:r>
    </w:p>
    <w:p w14:paraId="21AA11D3" w14:textId="10FA6A27" w:rsidR="00442634" w:rsidRDefault="00442634" w:rsidP="00354AA1">
      <w:pPr>
        <w:jc w:val="both"/>
      </w:pPr>
      <w:r>
        <w:t>On 26 March 2015</w:t>
      </w:r>
      <w:r w:rsidR="0028672A">
        <w:t>,</w:t>
      </w:r>
      <w:r>
        <w:t xml:space="preserve"> the Senate referred the Bill to the Senate Legal and Constitutional Affairs Legislation Committee for inquiry and report.</w:t>
      </w:r>
      <w:r>
        <w:rPr>
          <w:rStyle w:val="EndnoteReference"/>
        </w:rPr>
        <w:endnoteReference w:id="85"/>
      </w:r>
      <w:r>
        <w:t xml:space="preserve"> In its submission to the Senate inquiry, the Australian Human Rights Commission recommended that the measures contained in the Bill relating to forced marriage should be passed.</w:t>
      </w:r>
      <w:r>
        <w:rPr>
          <w:rStyle w:val="EndnoteReference"/>
        </w:rPr>
        <w:endnoteReference w:id="86"/>
      </w:r>
      <w:r>
        <w:t xml:space="preserve"> </w:t>
      </w:r>
    </w:p>
    <w:p w14:paraId="147A94C9" w14:textId="77777777" w:rsidR="00442634" w:rsidRDefault="00442634" w:rsidP="00354AA1">
      <w:pPr>
        <w:jc w:val="both"/>
      </w:pPr>
      <w:r>
        <w:t>The final report of the Senate inquiry was released on 16 June 2015 and recommended that the Bill be passed, subject to the federal, state and territory governments reviewing underage sex offences to make sure of consistency with the federal offences of forced marriage.</w:t>
      </w:r>
      <w:r>
        <w:rPr>
          <w:rStyle w:val="EndnoteReference"/>
        </w:rPr>
        <w:endnoteReference w:id="87"/>
      </w:r>
    </w:p>
    <w:p w14:paraId="3DAAA149" w14:textId="3CB89F96" w:rsidR="00442634" w:rsidRDefault="00442634" w:rsidP="00354AA1">
      <w:pPr>
        <w:jc w:val="both"/>
      </w:pPr>
      <w:r>
        <w:t>The Bill passed the Senate on 19 August 2015 with amendments to other parts of the Bill and has been returned to the House of Representatives.</w:t>
      </w:r>
      <w:r>
        <w:rPr>
          <w:rStyle w:val="EndnoteReference"/>
        </w:rPr>
        <w:endnoteReference w:id="88"/>
      </w:r>
    </w:p>
    <w:p w14:paraId="55FA452F" w14:textId="77777777" w:rsidR="00442634" w:rsidRPr="00442634" w:rsidRDefault="00442634" w:rsidP="00354AA1">
      <w:pPr>
        <w:pStyle w:val="Heading2"/>
        <w:jc w:val="both"/>
      </w:pPr>
      <w:bookmarkStart w:id="45" w:name="_Toc427857444"/>
      <w:bookmarkStart w:id="46" w:name="_Toc430702064"/>
      <w:bookmarkStart w:id="47" w:name="_Toc432577309"/>
      <w:r w:rsidRPr="00442634">
        <w:t>Bills that had a substantially negative impact on child rights</w:t>
      </w:r>
      <w:bookmarkEnd w:id="45"/>
      <w:bookmarkEnd w:id="46"/>
      <w:bookmarkEnd w:id="47"/>
    </w:p>
    <w:p w14:paraId="7D3D09D7" w14:textId="060F6C37" w:rsidR="00442634" w:rsidRPr="003F3968" w:rsidRDefault="00442634" w:rsidP="00354AA1">
      <w:pPr>
        <w:jc w:val="both"/>
      </w:pPr>
      <w:r>
        <w:t xml:space="preserve">The PJC considered four Bills introduced to federal </w:t>
      </w:r>
      <w:r w:rsidR="001B5E8F">
        <w:t>P</w:t>
      </w:r>
      <w:r>
        <w:t>arliament during my reporting period that had a substantially negative impact on children’s rights.</w:t>
      </w:r>
    </w:p>
    <w:p w14:paraId="29AF8148" w14:textId="77777777" w:rsidR="00442634" w:rsidRPr="00442634" w:rsidRDefault="00442634" w:rsidP="00354AA1">
      <w:pPr>
        <w:pStyle w:val="Heading3"/>
        <w:jc w:val="both"/>
      </w:pPr>
      <w:bookmarkStart w:id="48" w:name="_Toc427857447"/>
      <w:bookmarkStart w:id="49" w:name="_Toc430702065"/>
      <w:bookmarkStart w:id="50" w:name="_Toc427857448"/>
      <w:bookmarkStart w:id="51" w:name="_Toc427857446"/>
      <w:bookmarkStart w:id="52" w:name="_Toc427857445"/>
      <w:r w:rsidRPr="00442634">
        <w:t>Migration Amendment (Character and General Visa Cancellation) Bill 2014</w:t>
      </w:r>
      <w:bookmarkEnd w:id="48"/>
      <w:r w:rsidRPr="00442634">
        <w:t xml:space="preserve"> (Cth)</w:t>
      </w:r>
      <w:bookmarkEnd w:id="49"/>
    </w:p>
    <w:p w14:paraId="4CFF6A84" w14:textId="0D822148" w:rsidR="00442634" w:rsidRPr="00346CE2" w:rsidRDefault="00442634" w:rsidP="00354AA1">
      <w:pPr>
        <w:pStyle w:val="coveraddress"/>
        <w:jc w:val="both"/>
        <w:rPr>
          <w:color w:val="auto"/>
          <w:sz w:val="24"/>
          <w:szCs w:val="24"/>
        </w:rPr>
      </w:pPr>
      <w:r>
        <w:rPr>
          <w:color w:val="auto"/>
          <w:sz w:val="24"/>
          <w:szCs w:val="24"/>
        </w:rPr>
        <w:t xml:space="preserve">The </w:t>
      </w:r>
      <w:r w:rsidRPr="00346CE2">
        <w:rPr>
          <w:color w:val="auto"/>
          <w:sz w:val="24"/>
          <w:szCs w:val="24"/>
        </w:rPr>
        <w:tab/>
        <w:t>Migration Amendment (Character and General Visa Cancellation) Bill 2014 (Cth)</w:t>
      </w:r>
      <w:r>
        <w:rPr>
          <w:color w:val="auto"/>
          <w:sz w:val="24"/>
          <w:szCs w:val="24"/>
        </w:rPr>
        <w:t xml:space="preserve"> </w:t>
      </w:r>
      <w:r w:rsidRPr="00346CE2">
        <w:rPr>
          <w:color w:val="auto"/>
          <w:sz w:val="24"/>
          <w:szCs w:val="24"/>
        </w:rPr>
        <w:t xml:space="preserve">was sponsored by the </w:t>
      </w:r>
      <w:r w:rsidR="001B5E8F">
        <w:rPr>
          <w:color w:val="auto"/>
          <w:sz w:val="24"/>
          <w:szCs w:val="24"/>
        </w:rPr>
        <w:t>Australian Government’s</w:t>
      </w:r>
      <w:r w:rsidRPr="00BB492C">
        <w:rPr>
          <w:color w:val="auto"/>
          <w:sz w:val="24"/>
          <w:szCs w:val="24"/>
        </w:rPr>
        <w:t xml:space="preserve"> immigration and border protection portfolio</w:t>
      </w:r>
      <w:r w:rsidRPr="00346CE2">
        <w:rPr>
          <w:color w:val="auto"/>
          <w:sz w:val="24"/>
          <w:szCs w:val="24"/>
        </w:rPr>
        <w:t xml:space="preserve"> and introduced to the House of Representatives on 24 September 2014.</w:t>
      </w:r>
      <w:r w:rsidRPr="00346CE2">
        <w:rPr>
          <w:rStyle w:val="EndnoteReference"/>
          <w:color w:val="auto"/>
          <w:szCs w:val="24"/>
        </w:rPr>
        <w:endnoteReference w:id="89"/>
      </w:r>
      <w:r>
        <w:rPr>
          <w:color w:val="auto"/>
          <w:sz w:val="24"/>
          <w:szCs w:val="24"/>
        </w:rPr>
        <w:t xml:space="preserve"> The Bill proposed</w:t>
      </w:r>
      <w:r w:rsidRPr="00346CE2">
        <w:rPr>
          <w:color w:val="auto"/>
          <w:sz w:val="24"/>
          <w:szCs w:val="24"/>
        </w:rPr>
        <w:t>, among other things,</w:t>
      </w:r>
      <w:r>
        <w:rPr>
          <w:color w:val="auto"/>
          <w:sz w:val="24"/>
          <w:szCs w:val="24"/>
        </w:rPr>
        <w:t xml:space="preserve"> to</w:t>
      </w:r>
      <w:r w:rsidRPr="00346CE2">
        <w:rPr>
          <w:color w:val="auto"/>
          <w:sz w:val="24"/>
          <w:szCs w:val="24"/>
        </w:rPr>
        <w:t xml:space="preserve"> expand visa cancellation powers.</w:t>
      </w:r>
      <w:r w:rsidRPr="00346CE2">
        <w:rPr>
          <w:rStyle w:val="EndnoteReference"/>
          <w:color w:val="auto"/>
          <w:szCs w:val="24"/>
        </w:rPr>
        <w:endnoteReference w:id="90"/>
      </w:r>
    </w:p>
    <w:p w14:paraId="7DA62F1A" w14:textId="77777777" w:rsidR="00442634" w:rsidRPr="00346CE2" w:rsidRDefault="00442634" w:rsidP="00354AA1">
      <w:pPr>
        <w:pStyle w:val="coveraddress"/>
        <w:jc w:val="both"/>
        <w:rPr>
          <w:color w:val="auto"/>
          <w:sz w:val="24"/>
          <w:szCs w:val="24"/>
        </w:rPr>
      </w:pPr>
    </w:p>
    <w:p w14:paraId="6B6A00E3" w14:textId="5443705E" w:rsidR="00442634" w:rsidRPr="00346CE2" w:rsidRDefault="00442634" w:rsidP="00354AA1">
      <w:pPr>
        <w:pStyle w:val="coveraddress"/>
        <w:jc w:val="both"/>
        <w:rPr>
          <w:color w:val="auto"/>
          <w:sz w:val="24"/>
          <w:szCs w:val="24"/>
        </w:rPr>
      </w:pPr>
      <w:r w:rsidRPr="00346CE2">
        <w:rPr>
          <w:color w:val="auto"/>
          <w:sz w:val="24"/>
          <w:szCs w:val="24"/>
        </w:rPr>
        <w:t>On 25 September 2014</w:t>
      </w:r>
      <w:r w:rsidR="001B5E8F">
        <w:rPr>
          <w:color w:val="auto"/>
          <w:sz w:val="24"/>
          <w:szCs w:val="24"/>
        </w:rPr>
        <w:t>,</w:t>
      </w:r>
      <w:r w:rsidRPr="00346CE2">
        <w:rPr>
          <w:color w:val="auto"/>
          <w:sz w:val="24"/>
          <w:szCs w:val="24"/>
        </w:rPr>
        <w:t xml:space="preserve"> the Senate referred the Bill to the Senate Legal and Constitutional Affairs Legislation Committee for inquiry and report.</w:t>
      </w:r>
      <w:r w:rsidRPr="00346CE2">
        <w:rPr>
          <w:rStyle w:val="EndnoteReference"/>
          <w:color w:val="auto"/>
          <w:szCs w:val="24"/>
        </w:rPr>
        <w:endnoteReference w:id="91"/>
      </w:r>
      <w:r w:rsidRPr="00346CE2">
        <w:rPr>
          <w:color w:val="auto"/>
          <w:sz w:val="24"/>
          <w:szCs w:val="24"/>
        </w:rPr>
        <w:t xml:space="preserve"> In its submission to the Senate inquiry, the Australian Human Rights Commission expressed concern that the Bill lowered the threshold to refuse and cancel visas and increased the</w:t>
      </w:r>
      <w:r>
        <w:rPr>
          <w:color w:val="auto"/>
          <w:sz w:val="24"/>
          <w:szCs w:val="24"/>
        </w:rPr>
        <w:t xml:space="preserve"> </w:t>
      </w:r>
      <w:r w:rsidRPr="00346CE2">
        <w:rPr>
          <w:color w:val="auto"/>
          <w:sz w:val="24"/>
          <w:szCs w:val="24"/>
        </w:rPr>
        <w:t>personal visa cancellation powers</w:t>
      </w:r>
      <w:r>
        <w:rPr>
          <w:color w:val="auto"/>
          <w:sz w:val="24"/>
          <w:szCs w:val="24"/>
        </w:rPr>
        <w:t xml:space="preserve"> held by the Minister for Immigration and Border Protection</w:t>
      </w:r>
      <w:r w:rsidRPr="00346CE2">
        <w:rPr>
          <w:color w:val="auto"/>
          <w:sz w:val="24"/>
          <w:szCs w:val="24"/>
        </w:rPr>
        <w:t>.</w:t>
      </w:r>
      <w:r w:rsidRPr="00346CE2">
        <w:rPr>
          <w:rStyle w:val="EndnoteReference"/>
          <w:color w:val="auto"/>
          <w:szCs w:val="24"/>
        </w:rPr>
        <w:endnoteReference w:id="92"/>
      </w:r>
      <w:r w:rsidRPr="00346CE2">
        <w:rPr>
          <w:color w:val="auto"/>
          <w:sz w:val="24"/>
          <w:szCs w:val="24"/>
        </w:rPr>
        <w:t xml:space="preserve"> </w:t>
      </w:r>
    </w:p>
    <w:p w14:paraId="5CB0FBD3" w14:textId="77777777" w:rsidR="00442634" w:rsidRPr="00346CE2" w:rsidRDefault="00442634" w:rsidP="00354AA1">
      <w:pPr>
        <w:pStyle w:val="coveraddress"/>
        <w:jc w:val="both"/>
        <w:rPr>
          <w:color w:val="auto"/>
          <w:sz w:val="24"/>
          <w:szCs w:val="24"/>
        </w:rPr>
      </w:pPr>
    </w:p>
    <w:p w14:paraId="0CB9B522" w14:textId="3A3A9C3E" w:rsidR="00442634" w:rsidRDefault="00442634" w:rsidP="00354AA1">
      <w:pPr>
        <w:pStyle w:val="coveraddress"/>
        <w:jc w:val="both"/>
        <w:rPr>
          <w:color w:val="auto"/>
          <w:sz w:val="24"/>
          <w:szCs w:val="24"/>
        </w:rPr>
      </w:pPr>
      <w:r w:rsidRPr="00346CE2">
        <w:rPr>
          <w:color w:val="auto"/>
          <w:sz w:val="24"/>
          <w:szCs w:val="24"/>
        </w:rPr>
        <w:t xml:space="preserve">The </w:t>
      </w:r>
      <w:r>
        <w:rPr>
          <w:color w:val="auto"/>
          <w:sz w:val="24"/>
          <w:szCs w:val="24"/>
        </w:rPr>
        <w:t xml:space="preserve">Australian Human Rights </w:t>
      </w:r>
      <w:r w:rsidRPr="00346CE2">
        <w:rPr>
          <w:color w:val="auto"/>
          <w:sz w:val="24"/>
          <w:szCs w:val="24"/>
        </w:rPr>
        <w:t>Commission suggested</w:t>
      </w:r>
      <w:r>
        <w:rPr>
          <w:color w:val="auto"/>
          <w:sz w:val="24"/>
          <w:szCs w:val="24"/>
        </w:rPr>
        <w:t xml:space="preserve"> in its submission</w:t>
      </w:r>
      <w:r w:rsidRPr="00346CE2">
        <w:rPr>
          <w:color w:val="auto"/>
          <w:sz w:val="24"/>
          <w:szCs w:val="24"/>
        </w:rPr>
        <w:t xml:space="preserve"> that the Bill could lead to unjustified interference in family life, including the separation of children from their family,</w:t>
      </w:r>
      <w:r w:rsidRPr="00346CE2">
        <w:rPr>
          <w:rStyle w:val="EndnoteReference"/>
          <w:color w:val="auto"/>
          <w:szCs w:val="24"/>
        </w:rPr>
        <w:endnoteReference w:id="93"/>
      </w:r>
      <w:r w:rsidRPr="00346CE2">
        <w:rPr>
          <w:color w:val="auto"/>
          <w:sz w:val="24"/>
          <w:szCs w:val="24"/>
        </w:rPr>
        <w:t xml:space="preserve"> and recommended that the Bill not be passed.</w:t>
      </w:r>
      <w:r w:rsidRPr="00346CE2">
        <w:rPr>
          <w:rStyle w:val="EndnoteReference"/>
          <w:color w:val="auto"/>
          <w:szCs w:val="24"/>
        </w:rPr>
        <w:endnoteReference w:id="94"/>
      </w:r>
      <w:r w:rsidRPr="00346CE2">
        <w:rPr>
          <w:color w:val="auto"/>
          <w:sz w:val="24"/>
          <w:szCs w:val="24"/>
        </w:rPr>
        <w:t xml:space="preserve"> </w:t>
      </w:r>
    </w:p>
    <w:p w14:paraId="4B6686E8" w14:textId="77777777" w:rsidR="00442634" w:rsidRDefault="00442634" w:rsidP="00354AA1">
      <w:pPr>
        <w:pStyle w:val="coveraddress"/>
        <w:jc w:val="both"/>
        <w:rPr>
          <w:color w:val="auto"/>
          <w:sz w:val="24"/>
          <w:szCs w:val="24"/>
        </w:rPr>
      </w:pPr>
    </w:p>
    <w:p w14:paraId="37525CE8" w14:textId="77777777" w:rsidR="00442634" w:rsidRPr="00346CE2" w:rsidRDefault="00442634" w:rsidP="00354AA1">
      <w:pPr>
        <w:pStyle w:val="coveraddress"/>
        <w:jc w:val="both"/>
        <w:rPr>
          <w:color w:val="auto"/>
          <w:sz w:val="24"/>
          <w:szCs w:val="24"/>
        </w:rPr>
      </w:pPr>
      <w:r w:rsidRPr="00346CE2">
        <w:rPr>
          <w:color w:val="auto"/>
          <w:sz w:val="24"/>
          <w:szCs w:val="24"/>
        </w:rPr>
        <w:t>The final report of the Senate inquiry was released on 25 November 2014 and recommended that the Bill be passed, subject to amendments.</w:t>
      </w:r>
      <w:r w:rsidRPr="00346CE2">
        <w:rPr>
          <w:rStyle w:val="EndnoteReference"/>
          <w:color w:val="auto"/>
          <w:szCs w:val="24"/>
        </w:rPr>
        <w:endnoteReference w:id="95"/>
      </w:r>
      <w:r w:rsidRPr="00346CE2">
        <w:rPr>
          <w:color w:val="auto"/>
          <w:sz w:val="24"/>
          <w:szCs w:val="24"/>
        </w:rPr>
        <w:t xml:space="preserve"> </w:t>
      </w:r>
    </w:p>
    <w:p w14:paraId="6DC2F5F6" w14:textId="77777777" w:rsidR="00442634" w:rsidRPr="00346CE2" w:rsidRDefault="00442634" w:rsidP="00354AA1">
      <w:pPr>
        <w:pStyle w:val="coveraddress"/>
        <w:jc w:val="both"/>
        <w:rPr>
          <w:color w:val="auto"/>
          <w:sz w:val="24"/>
          <w:szCs w:val="24"/>
        </w:rPr>
      </w:pPr>
    </w:p>
    <w:p w14:paraId="6B62DBB8" w14:textId="77777777" w:rsidR="00442634" w:rsidRDefault="00442634" w:rsidP="00354AA1">
      <w:pPr>
        <w:pStyle w:val="coveraddress"/>
        <w:jc w:val="both"/>
        <w:rPr>
          <w:color w:val="auto"/>
          <w:sz w:val="24"/>
          <w:szCs w:val="24"/>
        </w:rPr>
      </w:pPr>
      <w:r w:rsidRPr="00346CE2">
        <w:rPr>
          <w:color w:val="auto"/>
          <w:sz w:val="24"/>
          <w:szCs w:val="24"/>
        </w:rPr>
        <w:t>A dissenting report was provided by the Australian Greens, which recommended that the Bill not be passed</w:t>
      </w:r>
      <w:r>
        <w:rPr>
          <w:color w:val="auto"/>
          <w:sz w:val="24"/>
          <w:szCs w:val="24"/>
        </w:rPr>
        <w:t>.</w:t>
      </w:r>
      <w:r w:rsidRPr="00346CE2">
        <w:rPr>
          <w:rStyle w:val="EndnoteReference"/>
          <w:color w:val="auto"/>
          <w:szCs w:val="24"/>
        </w:rPr>
        <w:endnoteReference w:id="96"/>
      </w:r>
      <w:r>
        <w:rPr>
          <w:color w:val="auto"/>
          <w:sz w:val="24"/>
          <w:szCs w:val="24"/>
        </w:rPr>
        <w:t xml:space="preserve"> The dissenting report </w:t>
      </w:r>
      <w:r w:rsidRPr="00346CE2">
        <w:rPr>
          <w:color w:val="auto"/>
          <w:sz w:val="24"/>
          <w:szCs w:val="24"/>
        </w:rPr>
        <w:t xml:space="preserve">suggested that the threshold for visa refusal or cancellation should require the individual to pose a significant risk, that visa cancellation and refusal decision-making processes should be subject to </w:t>
      </w:r>
      <w:r w:rsidRPr="00346CE2">
        <w:rPr>
          <w:color w:val="auto"/>
          <w:sz w:val="24"/>
          <w:szCs w:val="24"/>
        </w:rPr>
        <w:lastRenderedPageBreak/>
        <w:t xml:space="preserve">independent merits review, and that </w:t>
      </w:r>
      <w:r>
        <w:rPr>
          <w:color w:val="auto"/>
          <w:sz w:val="24"/>
          <w:szCs w:val="24"/>
        </w:rPr>
        <w:t>the</w:t>
      </w:r>
      <w:r w:rsidRPr="00346CE2">
        <w:rPr>
          <w:color w:val="auto"/>
          <w:sz w:val="24"/>
          <w:szCs w:val="24"/>
        </w:rPr>
        <w:t xml:space="preserve"> limitations on reviewing </w:t>
      </w:r>
      <w:r>
        <w:rPr>
          <w:color w:val="auto"/>
          <w:sz w:val="24"/>
          <w:szCs w:val="24"/>
        </w:rPr>
        <w:t>how</w:t>
      </w:r>
      <w:r w:rsidRPr="00346CE2">
        <w:rPr>
          <w:color w:val="auto"/>
          <w:sz w:val="24"/>
          <w:szCs w:val="24"/>
        </w:rPr>
        <w:t xml:space="preserve"> Ministerial discretion </w:t>
      </w:r>
      <w:r>
        <w:rPr>
          <w:color w:val="auto"/>
          <w:sz w:val="24"/>
          <w:szCs w:val="24"/>
        </w:rPr>
        <w:t xml:space="preserve">is exercised </w:t>
      </w:r>
      <w:r w:rsidRPr="00346CE2">
        <w:rPr>
          <w:color w:val="auto"/>
          <w:sz w:val="24"/>
          <w:szCs w:val="24"/>
        </w:rPr>
        <w:t>should be examined.</w:t>
      </w:r>
      <w:r w:rsidRPr="00346CE2">
        <w:rPr>
          <w:rStyle w:val="EndnoteReference"/>
          <w:color w:val="auto"/>
          <w:szCs w:val="24"/>
        </w:rPr>
        <w:endnoteReference w:id="97"/>
      </w:r>
    </w:p>
    <w:p w14:paraId="4A941DB3" w14:textId="77777777" w:rsidR="00442634" w:rsidRPr="00346CE2" w:rsidRDefault="00442634" w:rsidP="00354AA1">
      <w:pPr>
        <w:pStyle w:val="coveraddress"/>
        <w:jc w:val="both"/>
        <w:rPr>
          <w:color w:val="auto"/>
          <w:sz w:val="24"/>
          <w:szCs w:val="24"/>
        </w:rPr>
      </w:pPr>
    </w:p>
    <w:p w14:paraId="2F443F9C" w14:textId="186336CC" w:rsidR="00442634" w:rsidRPr="00346CE2" w:rsidRDefault="00442634" w:rsidP="00354AA1">
      <w:pPr>
        <w:pStyle w:val="coveraddress"/>
        <w:jc w:val="both"/>
        <w:rPr>
          <w:color w:val="auto"/>
          <w:sz w:val="24"/>
          <w:szCs w:val="24"/>
        </w:rPr>
      </w:pPr>
      <w:r w:rsidRPr="00346CE2">
        <w:rPr>
          <w:color w:val="auto"/>
          <w:sz w:val="24"/>
          <w:szCs w:val="24"/>
        </w:rPr>
        <w:t xml:space="preserve">The Bill passed both </w:t>
      </w:r>
      <w:r w:rsidR="001B5E8F">
        <w:rPr>
          <w:color w:val="auto"/>
          <w:sz w:val="24"/>
          <w:szCs w:val="24"/>
        </w:rPr>
        <w:t>H</w:t>
      </w:r>
      <w:r w:rsidRPr="00346CE2">
        <w:rPr>
          <w:color w:val="auto"/>
          <w:sz w:val="24"/>
          <w:szCs w:val="24"/>
        </w:rPr>
        <w:t>ouses of Parliament on 26 November 2014.</w:t>
      </w:r>
      <w:r w:rsidRPr="00346CE2">
        <w:rPr>
          <w:rStyle w:val="EndnoteReference"/>
          <w:color w:val="auto"/>
          <w:szCs w:val="24"/>
        </w:rPr>
        <w:endnoteReference w:id="98"/>
      </w:r>
    </w:p>
    <w:p w14:paraId="68490681" w14:textId="77777777" w:rsidR="00442634" w:rsidRPr="00346CE2" w:rsidRDefault="00442634" w:rsidP="00354AA1">
      <w:pPr>
        <w:pStyle w:val="coveraddress"/>
        <w:jc w:val="both"/>
        <w:rPr>
          <w:color w:val="auto"/>
          <w:sz w:val="24"/>
          <w:szCs w:val="24"/>
        </w:rPr>
      </w:pPr>
    </w:p>
    <w:p w14:paraId="548B83F7" w14:textId="18827B99" w:rsidR="00442634" w:rsidRPr="00346CE2" w:rsidRDefault="00442634" w:rsidP="00354AA1">
      <w:pPr>
        <w:pStyle w:val="coveraddress"/>
        <w:jc w:val="both"/>
        <w:rPr>
          <w:color w:val="auto"/>
        </w:rPr>
      </w:pPr>
      <w:r w:rsidRPr="00346CE2">
        <w:rPr>
          <w:color w:val="auto"/>
          <w:sz w:val="24"/>
          <w:szCs w:val="24"/>
        </w:rPr>
        <w:t>In March 2015</w:t>
      </w:r>
      <w:r w:rsidR="002F4C1C">
        <w:rPr>
          <w:color w:val="auto"/>
          <w:sz w:val="24"/>
          <w:szCs w:val="24"/>
        </w:rPr>
        <w:t>,</w:t>
      </w:r>
      <w:r w:rsidRPr="00346CE2">
        <w:rPr>
          <w:color w:val="auto"/>
          <w:sz w:val="24"/>
          <w:szCs w:val="24"/>
        </w:rPr>
        <w:t xml:space="preserve"> the PJC commented that the expansion of visa cancelation powers limits the right to liberty.</w:t>
      </w:r>
      <w:r w:rsidRPr="00346CE2">
        <w:rPr>
          <w:rStyle w:val="EndnoteReference"/>
          <w:color w:val="auto"/>
          <w:szCs w:val="24"/>
        </w:rPr>
        <w:endnoteReference w:id="99"/>
      </w:r>
      <w:r w:rsidRPr="00346CE2">
        <w:rPr>
          <w:color w:val="auto"/>
          <w:sz w:val="24"/>
          <w:szCs w:val="24"/>
        </w:rPr>
        <w:t xml:space="preserve"> The PJC commented that it will seek advice from the Minister for Immigration and Border Protection as to whether the proposed measures are aimed at achieving a legitimate objective, are rational, and are reasonable and proportionate.</w:t>
      </w:r>
      <w:r w:rsidRPr="00346CE2">
        <w:rPr>
          <w:rStyle w:val="EndnoteReference"/>
          <w:color w:val="auto"/>
          <w:szCs w:val="24"/>
        </w:rPr>
        <w:endnoteReference w:id="100"/>
      </w:r>
    </w:p>
    <w:p w14:paraId="0752734D" w14:textId="77777777" w:rsidR="00442634" w:rsidRPr="00346CE2" w:rsidRDefault="00442634" w:rsidP="00354AA1">
      <w:pPr>
        <w:pStyle w:val="Heading3"/>
        <w:jc w:val="both"/>
      </w:pPr>
      <w:bookmarkStart w:id="53" w:name="_Toc430702066"/>
      <w:r w:rsidRPr="00346CE2">
        <w:t>Migration and Maritime Powers Legislation Amendment (Resolving the Asylum Legacy Caseload) Bill 2014</w:t>
      </w:r>
      <w:bookmarkEnd w:id="50"/>
      <w:r w:rsidRPr="00346CE2">
        <w:t xml:space="preserve"> (Cth)</w:t>
      </w:r>
      <w:bookmarkEnd w:id="53"/>
    </w:p>
    <w:p w14:paraId="011DF8EA" w14:textId="352EFCB5" w:rsidR="00442634" w:rsidRDefault="00442634" w:rsidP="00354AA1">
      <w:pPr>
        <w:jc w:val="both"/>
      </w:pPr>
      <w:r>
        <w:t xml:space="preserve">The </w:t>
      </w:r>
      <w:r w:rsidRPr="00E2560D">
        <w:t>Migration and Maritime Powers Legislation Amendment (Resolving the Asylum Legacy Caseload) Bill 2014 (Cth)</w:t>
      </w:r>
      <w:r>
        <w:t xml:space="preserve"> </w:t>
      </w:r>
      <w:r w:rsidRPr="00346CE2">
        <w:t xml:space="preserve">was sponsored by </w:t>
      </w:r>
      <w:r w:rsidRPr="00BB492C">
        <w:t xml:space="preserve">the </w:t>
      </w:r>
      <w:r w:rsidR="002F4C1C">
        <w:t>Australian Gov</w:t>
      </w:r>
      <w:r w:rsidRPr="00BB492C">
        <w:t>ernment’s immigration and border protection portfolio</w:t>
      </w:r>
      <w:r w:rsidRPr="00346CE2">
        <w:t xml:space="preserve"> and introduced </w:t>
      </w:r>
      <w:r>
        <w:t>to the House of Representatives on 25 September 2014.</w:t>
      </w:r>
      <w:r>
        <w:rPr>
          <w:rStyle w:val="EndnoteReference"/>
        </w:rPr>
        <w:endnoteReference w:id="101"/>
      </w:r>
      <w:r>
        <w:t xml:space="preserve"> The Bill proposed to, among other things, designate children born to parents who arrived by sea after 13 August 2012 as ‘unauthorised maritime arrivals’</w:t>
      </w:r>
      <w:r w:rsidR="002028CE">
        <w:t xml:space="preserve"> (UMAs)</w:t>
      </w:r>
      <w:r>
        <w:t>.</w:t>
      </w:r>
      <w:r>
        <w:rPr>
          <w:rStyle w:val="EndnoteReference"/>
        </w:rPr>
        <w:endnoteReference w:id="102"/>
      </w:r>
    </w:p>
    <w:p w14:paraId="75E2D55D" w14:textId="4FB1E0B9" w:rsidR="00442634" w:rsidRDefault="00442634" w:rsidP="00354AA1">
      <w:pPr>
        <w:jc w:val="both"/>
      </w:pPr>
      <w:r>
        <w:t>On 25 September 2014</w:t>
      </w:r>
      <w:r w:rsidR="002F4C1C">
        <w:t>,</w:t>
      </w:r>
      <w:r>
        <w:t xml:space="preserve"> the Senate referred the Bill to the Senate Legal and Constitutional Affairs Legislation Committee for inquiry and report.</w:t>
      </w:r>
      <w:r>
        <w:rPr>
          <w:rStyle w:val="EndnoteReference"/>
        </w:rPr>
        <w:endnoteReference w:id="103"/>
      </w:r>
      <w:r>
        <w:t xml:space="preserve"> In its submission to the Senate inquiry, the Australian Human Rights Commission recommended that the Bill not be passed</w:t>
      </w:r>
      <w:r>
        <w:rPr>
          <w:rStyle w:val="EndnoteReference"/>
        </w:rPr>
        <w:endnoteReference w:id="104"/>
      </w:r>
      <w:r>
        <w:t xml:space="preserve"> and expressed concern that measures contained in the Bill would require children born in Australia to asylum seeker parents, who arrive by boat, to be detained and transferred to Nauru.</w:t>
      </w:r>
      <w:r>
        <w:rPr>
          <w:rStyle w:val="EndnoteReference"/>
        </w:rPr>
        <w:endnoteReference w:id="105"/>
      </w:r>
      <w:r>
        <w:t xml:space="preserve"> </w:t>
      </w:r>
    </w:p>
    <w:p w14:paraId="1A203F02" w14:textId="77777777" w:rsidR="00442634" w:rsidRDefault="00442634" w:rsidP="00354AA1">
      <w:pPr>
        <w:jc w:val="both"/>
      </w:pPr>
      <w:r>
        <w:t>The final report of the Senate inquiry was released on 24 November 2014 and recommended that the Bill be passed, that the operation of the Bill be reviewed in three years and that the birth registration process be completed before any child born in Australia is removed to a regional processing country.</w:t>
      </w:r>
      <w:r>
        <w:rPr>
          <w:rStyle w:val="EndnoteReference"/>
        </w:rPr>
        <w:endnoteReference w:id="106"/>
      </w:r>
    </w:p>
    <w:p w14:paraId="621DF63B" w14:textId="4EA8419B" w:rsidR="00442634" w:rsidRDefault="00442634" w:rsidP="00354AA1">
      <w:pPr>
        <w:jc w:val="both"/>
      </w:pPr>
      <w:r>
        <w:t>A dissenting report was provided by the Australian Labor Party</w:t>
      </w:r>
      <w:r>
        <w:rPr>
          <w:rStyle w:val="EndnoteReference"/>
        </w:rPr>
        <w:endnoteReference w:id="107"/>
      </w:r>
      <w:r>
        <w:t xml:space="preserve"> and the Australian Greens,</w:t>
      </w:r>
      <w:r>
        <w:rPr>
          <w:rStyle w:val="EndnoteReference"/>
        </w:rPr>
        <w:endnoteReference w:id="108"/>
      </w:r>
      <w:r>
        <w:t xml:space="preserve"> with the Australian Greens commenting on how the measures contain</w:t>
      </w:r>
      <w:r w:rsidR="0079295B">
        <w:t>ed in the Bill would affect new</w:t>
      </w:r>
      <w:r>
        <w:t>born babies:</w:t>
      </w:r>
    </w:p>
    <w:p w14:paraId="327C32B7" w14:textId="77777777" w:rsidR="00442634" w:rsidRDefault="00442634" w:rsidP="00354AA1">
      <w:pPr>
        <w:ind w:left="720"/>
        <w:jc w:val="both"/>
      </w:pPr>
      <w:r>
        <w:rPr>
          <w:sz w:val="22"/>
          <w:szCs w:val="22"/>
        </w:rPr>
        <w:t>With retrospective effect, the Bill would also classify babies born in Australia to asylum seeker parents as ‘Unauthorised Maritime Arrivals (UMAs)’. These children were born in Australian hospitals, yet the Bill seeks to classify them as if they arrived by boat.</w:t>
      </w:r>
      <w:r>
        <w:rPr>
          <w:rStyle w:val="EndnoteReference"/>
        </w:rPr>
        <w:endnoteReference w:id="109"/>
      </w:r>
    </w:p>
    <w:p w14:paraId="61B264EE" w14:textId="7607052D" w:rsidR="00442634" w:rsidRDefault="00442634" w:rsidP="00354AA1">
      <w:pPr>
        <w:jc w:val="both"/>
      </w:pPr>
      <w:r>
        <w:t>In October 2014</w:t>
      </w:r>
      <w:r w:rsidR="002F4C1C">
        <w:t>,</w:t>
      </w:r>
      <w:r>
        <w:t xml:space="preserve"> the PJC commented that the designation of a child as a UMA potentially limits the obligation to consider the best interests of the child as a primary consideration.</w:t>
      </w:r>
      <w:r>
        <w:rPr>
          <w:rStyle w:val="EndnoteReference"/>
        </w:rPr>
        <w:endnoteReference w:id="110"/>
      </w:r>
      <w:r>
        <w:t xml:space="preserve"> </w:t>
      </w:r>
    </w:p>
    <w:p w14:paraId="13D6DF1F" w14:textId="77777777" w:rsidR="00442634" w:rsidRDefault="00442634" w:rsidP="00354AA1">
      <w:pPr>
        <w:jc w:val="both"/>
      </w:pPr>
      <w:r>
        <w:t>The PJC indicated that it would seek advice from the Minister for Immigration and Border Protection as to whether the proposed measures are aimed at achieving a legitimate objective, are rational, and are reasonable and proportionate.</w:t>
      </w:r>
      <w:r>
        <w:rPr>
          <w:rStyle w:val="EndnoteReference"/>
        </w:rPr>
        <w:endnoteReference w:id="111"/>
      </w:r>
    </w:p>
    <w:p w14:paraId="353A67E0" w14:textId="77777777" w:rsidR="00442634" w:rsidRDefault="00442634" w:rsidP="00354AA1">
      <w:pPr>
        <w:jc w:val="both"/>
      </w:pPr>
      <w:r>
        <w:t>The Bill passed both Houses of Parliament on 5 December 2014.</w:t>
      </w:r>
      <w:r>
        <w:rPr>
          <w:rStyle w:val="EndnoteReference"/>
        </w:rPr>
        <w:endnoteReference w:id="112"/>
      </w:r>
    </w:p>
    <w:p w14:paraId="1CAFDE62" w14:textId="77777777" w:rsidR="00442634" w:rsidRPr="00442634" w:rsidRDefault="00442634" w:rsidP="00354AA1">
      <w:pPr>
        <w:pStyle w:val="Heading3"/>
        <w:jc w:val="both"/>
      </w:pPr>
      <w:bookmarkStart w:id="54" w:name="_Toc430702067"/>
      <w:r w:rsidRPr="00442634">
        <w:lastRenderedPageBreak/>
        <w:t>Australian Citizenship and Other Legislation Amendment Bill 2014</w:t>
      </w:r>
      <w:bookmarkEnd w:id="51"/>
      <w:r w:rsidRPr="00442634">
        <w:t xml:space="preserve"> (Cth)</w:t>
      </w:r>
      <w:bookmarkEnd w:id="54"/>
    </w:p>
    <w:p w14:paraId="21F31F8F" w14:textId="60A7798A" w:rsidR="00442634" w:rsidRDefault="00442634" w:rsidP="00354AA1">
      <w:pPr>
        <w:jc w:val="both"/>
      </w:pPr>
      <w:r>
        <w:t xml:space="preserve">The </w:t>
      </w:r>
      <w:r w:rsidRPr="00080F0B">
        <w:t xml:space="preserve">Australian Citizenship and </w:t>
      </w:r>
      <w:r>
        <w:t>O</w:t>
      </w:r>
      <w:r w:rsidRPr="00080F0B">
        <w:t>ther Legislation Amendment Bill 2014 (Cth)</w:t>
      </w:r>
      <w:r>
        <w:t xml:space="preserve"> was sponsored by the </w:t>
      </w:r>
      <w:r w:rsidR="002028CE">
        <w:t>Australian G</w:t>
      </w:r>
      <w:r w:rsidRPr="00BB492C">
        <w:t>overnment’s immigration and border protection portfolio</w:t>
      </w:r>
      <w:r>
        <w:t xml:space="preserve"> and introduced to the House of Representatives on 23 October 2014.</w:t>
      </w:r>
      <w:r>
        <w:rPr>
          <w:rStyle w:val="EndnoteReference"/>
        </w:rPr>
        <w:endnoteReference w:id="113"/>
      </w:r>
      <w:r>
        <w:t xml:space="preserve"> The Bill proposed, among other things, to give the Minister for Immigration and Border Protection a discretionary power to revoke a person’s citizenship, including the citizenship of children, up to 10 years after citizenship was first granted.</w:t>
      </w:r>
      <w:r>
        <w:rPr>
          <w:rStyle w:val="EndnoteReference"/>
        </w:rPr>
        <w:endnoteReference w:id="114"/>
      </w:r>
      <w:r>
        <w:t xml:space="preserve"> </w:t>
      </w:r>
    </w:p>
    <w:p w14:paraId="070E6F25" w14:textId="41A45274" w:rsidR="00442634" w:rsidRDefault="00442634" w:rsidP="00354AA1">
      <w:pPr>
        <w:jc w:val="both"/>
      </w:pPr>
      <w:r>
        <w:t xml:space="preserve">To revoke citizenship, the </w:t>
      </w:r>
      <w:r w:rsidR="002028CE">
        <w:t>M</w:t>
      </w:r>
      <w:r>
        <w:t>inister must be ‘satisfied’ that the person became an Australian citizen as a result of fraud or misrepresentation by themselves or a third party.</w:t>
      </w:r>
      <w:r>
        <w:rPr>
          <w:rStyle w:val="EndnoteReference"/>
        </w:rPr>
        <w:endnoteReference w:id="115"/>
      </w:r>
      <w:r>
        <w:t xml:space="preserve"> </w:t>
      </w:r>
    </w:p>
    <w:p w14:paraId="4FCA88C6" w14:textId="77777777" w:rsidR="00442634" w:rsidRDefault="00442634" w:rsidP="00354AA1">
      <w:pPr>
        <w:jc w:val="both"/>
      </w:pPr>
      <w:r>
        <w:t>The Bill proposed no requirement that the allegations of fraud or misrepresentation in relation to the citizenship application be proven in court or that a person be convicted.</w:t>
      </w:r>
      <w:r>
        <w:rPr>
          <w:rStyle w:val="EndnoteReference"/>
        </w:rPr>
        <w:endnoteReference w:id="116"/>
      </w:r>
    </w:p>
    <w:p w14:paraId="27EE05D3" w14:textId="24A67194" w:rsidR="00442634" w:rsidRDefault="00442634" w:rsidP="00354AA1">
      <w:pPr>
        <w:jc w:val="both"/>
      </w:pPr>
      <w:r>
        <w:t>On 30 October 2014</w:t>
      </w:r>
      <w:r w:rsidR="002028CE">
        <w:t>,</w:t>
      </w:r>
      <w:r>
        <w:t xml:space="preserve"> the Senate referred the Bill to the Senate Legal and Constitutional Affairs Legislation Committee for inquiry and report.</w:t>
      </w:r>
      <w:r>
        <w:rPr>
          <w:rStyle w:val="EndnoteReference"/>
        </w:rPr>
        <w:endnoteReference w:id="117"/>
      </w:r>
      <w:r>
        <w:t xml:space="preserve"> In its submission to the Senate inquiry, the Australian Human Rights Commission referred to the rights of children to nationality under article 8 of the Convention on the Rights of the Child </w:t>
      </w:r>
      <w:r w:rsidR="002028CE">
        <w:t xml:space="preserve">and </w:t>
      </w:r>
      <w:r>
        <w:t>expressed concern about the potential for children to become stateless.</w:t>
      </w:r>
      <w:r>
        <w:rPr>
          <w:rStyle w:val="EndnoteReference"/>
        </w:rPr>
        <w:endnoteReference w:id="118"/>
      </w:r>
      <w:r>
        <w:t xml:space="preserve"> The Australian Human Rights Commission recommended that the Bill not be passed.</w:t>
      </w:r>
      <w:r>
        <w:rPr>
          <w:rStyle w:val="EndnoteReference"/>
        </w:rPr>
        <w:endnoteReference w:id="119"/>
      </w:r>
    </w:p>
    <w:p w14:paraId="716226B9" w14:textId="1FF23C45" w:rsidR="00442634" w:rsidRDefault="00442634" w:rsidP="00354AA1">
      <w:pPr>
        <w:jc w:val="both"/>
      </w:pPr>
      <w:r>
        <w:t xml:space="preserve">The final report of the Senate inquiry was released on 1 December 2014 and recommended that the Bill clarify the discretionary nature of the </w:t>
      </w:r>
      <w:r w:rsidR="002028CE">
        <w:t>M</w:t>
      </w:r>
      <w:r>
        <w:t>inister’s power to revoke citizenship.</w:t>
      </w:r>
      <w:r>
        <w:rPr>
          <w:rStyle w:val="EndnoteReference"/>
        </w:rPr>
        <w:endnoteReference w:id="120"/>
      </w:r>
      <w:r>
        <w:t xml:space="preserve"> The Senate’s final report commented on whether the Bill could result in making children stateless and suggested that the Bill be clarified:</w:t>
      </w:r>
    </w:p>
    <w:p w14:paraId="5D747473" w14:textId="77777777" w:rsidR="00442634" w:rsidRPr="00807D59" w:rsidRDefault="00442634" w:rsidP="00354AA1">
      <w:pPr>
        <w:ind w:left="720"/>
        <w:jc w:val="both"/>
        <w:rPr>
          <w:sz w:val="22"/>
          <w:szCs w:val="22"/>
        </w:rPr>
      </w:pPr>
      <w:r w:rsidRPr="00807D59">
        <w:rPr>
          <w:sz w:val="22"/>
          <w:szCs w:val="22"/>
        </w:rPr>
        <w:t>The committee notes the perceived inconsistency between the Bill and the [Explanatory Memorandum] on the question of whether the fraud of a third party could be used to revoke a child’s citizenship and thereby makes them stateless. The EM suggests that it could not, but the Bill states that it could. The committee suggests that the Bill should clarify the discretionary nature of the minister’s power.</w:t>
      </w:r>
      <w:r w:rsidRPr="00807D59">
        <w:rPr>
          <w:rStyle w:val="EndnoteReference"/>
          <w:sz w:val="22"/>
          <w:szCs w:val="22"/>
        </w:rPr>
        <w:endnoteReference w:id="121"/>
      </w:r>
    </w:p>
    <w:p w14:paraId="57A459AF" w14:textId="79BDB7DC" w:rsidR="00442634" w:rsidRDefault="00442634" w:rsidP="00354AA1">
      <w:pPr>
        <w:jc w:val="both"/>
      </w:pPr>
      <w:r>
        <w:t>In June 2015 the PJC commented on the measures contained in the Bill to revoke citizenship without a court finding.</w:t>
      </w:r>
      <w:r>
        <w:rPr>
          <w:rStyle w:val="EndnoteReference"/>
        </w:rPr>
        <w:endnoteReference w:id="122"/>
      </w:r>
      <w:r>
        <w:t xml:space="preserve"> The PJC members did not reach consensus about the compatibility of the Bill with the right of children to have their best interests taken as a primary consideration and commented that:</w:t>
      </w:r>
    </w:p>
    <w:p w14:paraId="57117CB8" w14:textId="77777777" w:rsidR="00442634" w:rsidRPr="00807D59" w:rsidRDefault="00442634" w:rsidP="00354AA1">
      <w:pPr>
        <w:ind w:left="720"/>
        <w:jc w:val="both"/>
        <w:rPr>
          <w:sz w:val="22"/>
          <w:szCs w:val="22"/>
        </w:rPr>
      </w:pPr>
      <w:r w:rsidRPr="00807D59">
        <w:rPr>
          <w:sz w:val="22"/>
          <w:szCs w:val="22"/>
        </w:rPr>
        <w:t>Some committee members noted the minister’s advice that the measure does not limit the obligation to consider the best interests of the child as a primary consideration and consider that the expanded power to revoke citizenship for fraud or misrepresentation is justified to ensure the integrity of the citizenship system.</w:t>
      </w:r>
    </w:p>
    <w:p w14:paraId="54EA7922" w14:textId="77777777" w:rsidR="00442634" w:rsidRPr="00346CE2" w:rsidRDefault="00442634" w:rsidP="00354AA1">
      <w:pPr>
        <w:ind w:left="720"/>
        <w:jc w:val="both"/>
      </w:pPr>
      <w:r w:rsidRPr="00807D59">
        <w:rPr>
          <w:sz w:val="22"/>
          <w:szCs w:val="22"/>
        </w:rPr>
        <w:t xml:space="preserve">On the other hand, the previous report concluded that the proposed expanded power to revoke a child’s citizenship without a court finding limits the obligation to consider the best interests of the child. Some committee members considered that the statement of compatibility had not provided sufficient information to justify that limitation for the purposes of international human rights law, and the minister’s response has not provided any further information to justify the limitation. The revocation power is able to be exercised regardless of whether or not there has been consideration of the best interests of the child. Some committee members therefore </w:t>
      </w:r>
      <w:r w:rsidRPr="00807D59">
        <w:rPr>
          <w:sz w:val="22"/>
          <w:szCs w:val="22"/>
        </w:rPr>
        <w:lastRenderedPageBreak/>
        <w:t>consider that the power to revoke a child’s citizenship without a court finding is incompatible with the obligation to consid</w:t>
      </w:r>
      <w:r w:rsidRPr="00346CE2">
        <w:rPr>
          <w:sz w:val="22"/>
          <w:szCs w:val="22"/>
        </w:rPr>
        <w:t>er the best interests of the child.</w:t>
      </w:r>
      <w:r w:rsidRPr="00346CE2">
        <w:rPr>
          <w:rStyle w:val="EndnoteReference"/>
          <w:sz w:val="22"/>
          <w:szCs w:val="22"/>
        </w:rPr>
        <w:endnoteReference w:id="123"/>
      </w:r>
    </w:p>
    <w:p w14:paraId="4235E278" w14:textId="77777777" w:rsidR="00442634" w:rsidRPr="00346CE2" w:rsidRDefault="00442634" w:rsidP="00354AA1">
      <w:pPr>
        <w:jc w:val="both"/>
      </w:pPr>
      <w:r w:rsidRPr="00346CE2">
        <w:t>The Bill is still before the Senate.</w:t>
      </w:r>
      <w:r w:rsidRPr="00346CE2">
        <w:rPr>
          <w:rStyle w:val="EndnoteReference"/>
        </w:rPr>
        <w:endnoteReference w:id="124"/>
      </w:r>
    </w:p>
    <w:p w14:paraId="3FBD3F9A" w14:textId="77777777" w:rsidR="000C7937" w:rsidRPr="00AA3994" w:rsidRDefault="000C7937" w:rsidP="000C7937">
      <w:pPr>
        <w:pStyle w:val="Heading3"/>
        <w:jc w:val="both"/>
      </w:pPr>
      <w:bookmarkStart w:id="55" w:name="_Toc427857450"/>
      <w:bookmarkStart w:id="56" w:name="_Toc430702070"/>
      <w:bookmarkStart w:id="57" w:name="_Toc430702068"/>
      <w:r w:rsidRPr="00AA3994">
        <w:t>Telecommunications Legislation Amendment (Deregulation) Bill</w:t>
      </w:r>
      <w:bookmarkEnd w:id="55"/>
      <w:r w:rsidRPr="00AA3994">
        <w:t xml:space="preserve"> 2014 (Cth)</w:t>
      </w:r>
      <w:bookmarkEnd w:id="56"/>
    </w:p>
    <w:p w14:paraId="5A3DCD43" w14:textId="77777777" w:rsidR="000C7937" w:rsidRDefault="000C7937" w:rsidP="000C7937">
      <w:pPr>
        <w:jc w:val="both"/>
      </w:pPr>
      <w:r>
        <w:t xml:space="preserve">The </w:t>
      </w:r>
      <w:r w:rsidRPr="00D15ED9">
        <w:t xml:space="preserve">Telecommunications Legislation Amendment (Deregulation) Bill </w:t>
      </w:r>
      <w:r>
        <w:t xml:space="preserve">2014 </w:t>
      </w:r>
      <w:r w:rsidRPr="00D15ED9">
        <w:t>(Cth)</w:t>
      </w:r>
      <w:r>
        <w:t xml:space="preserve"> was sponsored by </w:t>
      </w:r>
      <w:r w:rsidRPr="00BB492C">
        <w:t xml:space="preserve">the </w:t>
      </w:r>
      <w:r>
        <w:t>Australian</w:t>
      </w:r>
      <w:r w:rsidRPr="00BB492C">
        <w:t xml:space="preserve"> </w:t>
      </w:r>
      <w:r>
        <w:t>G</w:t>
      </w:r>
      <w:r w:rsidRPr="00BB492C">
        <w:t>overnment’s communications portfolio</w:t>
      </w:r>
      <w:r>
        <w:t xml:space="preserve"> and introduced to the House of Representatives on 22 October 2014.</w:t>
      </w:r>
      <w:r>
        <w:rPr>
          <w:rStyle w:val="EndnoteReference"/>
        </w:rPr>
        <w:endnoteReference w:id="125"/>
      </w:r>
      <w:r>
        <w:t xml:space="preserve"> The Bill proposed to, among other things, deregulate the supply of telephone sex services.</w:t>
      </w:r>
      <w:r>
        <w:rPr>
          <w:rStyle w:val="EndnoteReference"/>
        </w:rPr>
        <w:endnoteReference w:id="126"/>
      </w:r>
    </w:p>
    <w:p w14:paraId="0FF866C6" w14:textId="77777777" w:rsidR="000C7937" w:rsidRDefault="000C7937" w:rsidP="000C7937">
      <w:pPr>
        <w:jc w:val="both"/>
      </w:pPr>
      <w:r>
        <w:t>In November 2014, the PJC commented that telephone sex services were initially regulated to address community concerns that they were too easily accessed by children, and that deregulation may expose children to a risk of harm.</w:t>
      </w:r>
      <w:r>
        <w:rPr>
          <w:rStyle w:val="EndnoteReference"/>
        </w:rPr>
        <w:endnoteReference w:id="127"/>
      </w:r>
    </w:p>
    <w:p w14:paraId="478B6ED4" w14:textId="77777777" w:rsidR="000C7937" w:rsidRPr="00807D59" w:rsidRDefault="000C7937" w:rsidP="000C7937">
      <w:pPr>
        <w:jc w:val="both"/>
        <w:rPr>
          <w:b/>
        </w:rPr>
      </w:pPr>
      <w:r>
        <w:t>The Bill passed both Houses of Parliament on 25 March 2015.</w:t>
      </w:r>
      <w:r>
        <w:rPr>
          <w:rStyle w:val="EndnoteReference"/>
        </w:rPr>
        <w:endnoteReference w:id="128"/>
      </w:r>
    </w:p>
    <w:p w14:paraId="4B279DFF" w14:textId="77777777" w:rsidR="000C7937" w:rsidRDefault="000C7937" w:rsidP="000C7937">
      <w:pPr>
        <w:jc w:val="both"/>
      </w:pPr>
      <w:r>
        <w:t>In June 2015, the PJC later commented that the regulation of telephone sex services provided only certain limited consumer protections and did not contain provisions specifically designed to protect children from harm.</w:t>
      </w:r>
      <w:r>
        <w:rPr>
          <w:rStyle w:val="EndnoteReference"/>
        </w:rPr>
        <w:endnoteReference w:id="129"/>
      </w:r>
      <w:r>
        <w:t xml:space="preserve"> The PJC concluded that the Bill would be compatible with the rights of children.</w:t>
      </w:r>
      <w:r>
        <w:rPr>
          <w:rStyle w:val="EndnoteReference"/>
        </w:rPr>
        <w:endnoteReference w:id="130"/>
      </w:r>
    </w:p>
    <w:p w14:paraId="283DFC9F" w14:textId="77777777" w:rsidR="00442634" w:rsidRPr="00442634" w:rsidRDefault="00442634" w:rsidP="00354AA1">
      <w:pPr>
        <w:pStyle w:val="Heading3"/>
        <w:jc w:val="both"/>
      </w:pPr>
      <w:r w:rsidRPr="00442634">
        <w:t>Migration Amendment (Strengthening Biometrics Integrity) Bill 2015</w:t>
      </w:r>
      <w:bookmarkEnd w:id="52"/>
      <w:r w:rsidRPr="00442634">
        <w:t xml:space="preserve"> (Cth)</w:t>
      </w:r>
      <w:bookmarkEnd w:id="57"/>
    </w:p>
    <w:p w14:paraId="6D11303B" w14:textId="03C37012" w:rsidR="00442634" w:rsidRDefault="00442634" w:rsidP="00354AA1">
      <w:pPr>
        <w:jc w:val="both"/>
      </w:pPr>
      <w:r>
        <w:t xml:space="preserve">The </w:t>
      </w:r>
      <w:r w:rsidRPr="00C60A54">
        <w:t>Migration Amendment (Strengthening Biometrics Integrity) Bill 2015 (Cth)</w:t>
      </w:r>
      <w:r>
        <w:t xml:space="preserve"> was sponsored by the </w:t>
      </w:r>
      <w:r w:rsidR="00C1617E">
        <w:t>Australian Government’s</w:t>
      </w:r>
      <w:r w:rsidRPr="00BB492C">
        <w:t xml:space="preserve"> immigration and border protection portfolio</w:t>
      </w:r>
      <w:r>
        <w:t xml:space="preserve"> and introduced to the House of Representatives on 5 March 2015.</w:t>
      </w:r>
      <w:r>
        <w:rPr>
          <w:rStyle w:val="EndnoteReference"/>
        </w:rPr>
        <w:endnoteReference w:id="131"/>
      </w:r>
      <w:r>
        <w:t xml:space="preserve"> The Bill proposed, among other things, to remove existing restrictions on the collection of biometric data from minors and allow collection from children under the age of 15 without the presence or consent of a parent, guardian or independent person.</w:t>
      </w:r>
      <w:r>
        <w:rPr>
          <w:rStyle w:val="EndnoteReference"/>
        </w:rPr>
        <w:endnoteReference w:id="132"/>
      </w:r>
      <w:r>
        <w:t xml:space="preserve"> </w:t>
      </w:r>
    </w:p>
    <w:p w14:paraId="47744AC8" w14:textId="77777777" w:rsidR="00442634" w:rsidRDefault="00442634" w:rsidP="00354AA1">
      <w:pPr>
        <w:jc w:val="both"/>
      </w:pPr>
      <w:r>
        <w:t>Biometric data includes fingerprints, handprints, measurements of height and weight, photographs or images of a person’s face and shoulders, an audio or visual recording of a person, an iris scan, a person’s signature or other identifiers specified by the associated regulation.</w:t>
      </w:r>
      <w:r>
        <w:rPr>
          <w:rStyle w:val="EndnoteReference"/>
        </w:rPr>
        <w:endnoteReference w:id="133"/>
      </w:r>
    </w:p>
    <w:p w14:paraId="5365C487" w14:textId="472D2975" w:rsidR="00442634" w:rsidRDefault="00442634" w:rsidP="00354AA1">
      <w:pPr>
        <w:jc w:val="both"/>
      </w:pPr>
      <w:r>
        <w:t>On 5 March 2015</w:t>
      </w:r>
      <w:r w:rsidR="00C1617E">
        <w:t>,</w:t>
      </w:r>
      <w:r>
        <w:t xml:space="preserve"> the Senate referred the Bill to the Senate Legal and Constitutional Affairs Legislation Committee for inquiry and report.</w:t>
      </w:r>
      <w:r>
        <w:rPr>
          <w:rStyle w:val="EndnoteReference"/>
        </w:rPr>
        <w:endnoteReference w:id="134"/>
      </w:r>
      <w:r>
        <w:t xml:space="preserve"> The final report of the Senate inquiry was released on 5 June 2015 and recommended that the Bill be passed.</w:t>
      </w:r>
      <w:r>
        <w:rPr>
          <w:rStyle w:val="EndnoteReference"/>
        </w:rPr>
        <w:endnoteReference w:id="135"/>
      </w:r>
      <w:r>
        <w:t xml:space="preserve"> The Senate’s final report commented that departmental policies could provide adequate safeguards in relation to collecting biometric data from children under the age of 15:</w:t>
      </w:r>
    </w:p>
    <w:p w14:paraId="02316223" w14:textId="77777777" w:rsidR="00442634" w:rsidRPr="00807D59" w:rsidRDefault="00442634" w:rsidP="00354AA1">
      <w:pPr>
        <w:ind w:left="720"/>
        <w:jc w:val="both"/>
        <w:rPr>
          <w:sz w:val="22"/>
          <w:szCs w:val="22"/>
        </w:rPr>
      </w:pPr>
      <w:r w:rsidRPr="00807D59">
        <w:rPr>
          <w:sz w:val="22"/>
          <w:szCs w:val="22"/>
        </w:rPr>
        <w:t>The committee considers that the measures in the Bill designed to enhance the department’s ability to collect biometric information from minors are warranted, given ongoing concerns in relation to human trafficking and the emerging threat of young people seeking to become involved in terrorist activities overseas.</w:t>
      </w:r>
    </w:p>
    <w:p w14:paraId="3B8E8C31" w14:textId="77777777" w:rsidR="00442634" w:rsidRPr="00807D59" w:rsidRDefault="00442634" w:rsidP="00354AA1">
      <w:pPr>
        <w:ind w:left="720"/>
        <w:jc w:val="both"/>
        <w:rPr>
          <w:sz w:val="22"/>
          <w:szCs w:val="22"/>
        </w:rPr>
      </w:pPr>
      <w:r w:rsidRPr="00807D59">
        <w:rPr>
          <w:sz w:val="22"/>
          <w:szCs w:val="22"/>
        </w:rPr>
        <w:lastRenderedPageBreak/>
        <w:t>The committee also consider</w:t>
      </w:r>
      <w:r>
        <w:rPr>
          <w:sz w:val="22"/>
          <w:szCs w:val="22"/>
        </w:rPr>
        <w:t>s</w:t>
      </w:r>
      <w:r w:rsidRPr="00807D59">
        <w:rPr>
          <w:sz w:val="22"/>
          <w:szCs w:val="22"/>
        </w:rPr>
        <w:t xml:space="preserve"> that the collection of personal identifiers from minors must be consistent with recognised rights of children and should not separate children from a parent or guardian unnecessarily; these issues should be adequately addressed in the department’s policies and guidelines.</w:t>
      </w:r>
      <w:r w:rsidRPr="00807D59">
        <w:rPr>
          <w:rStyle w:val="EndnoteReference"/>
          <w:sz w:val="22"/>
          <w:szCs w:val="22"/>
        </w:rPr>
        <w:endnoteReference w:id="136"/>
      </w:r>
    </w:p>
    <w:p w14:paraId="66A50579" w14:textId="77777777" w:rsidR="00442634" w:rsidRDefault="00442634" w:rsidP="00354AA1">
      <w:pPr>
        <w:jc w:val="both"/>
      </w:pPr>
      <w:r>
        <w:t xml:space="preserve">A dissenting report was provided by the Labor Senators, which commented that safeguards for children must be provided in law, not departmental policy: </w:t>
      </w:r>
    </w:p>
    <w:p w14:paraId="63CFE359" w14:textId="77777777" w:rsidR="00442634" w:rsidRPr="00807D59" w:rsidRDefault="00442634" w:rsidP="00354AA1">
      <w:pPr>
        <w:ind w:left="720"/>
        <w:jc w:val="both"/>
        <w:rPr>
          <w:sz w:val="22"/>
          <w:szCs w:val="22"/>
        </w:rPr>
      </w:pPr>
      <w:r>
        <w:rPr>
          <w:sz w:val="22"/>
          <w:szCs w:val="22"/>
        </w:rPr>
        <w:t>Whilst the majority report did note that the collection of personal identifiers from minors must be consistent with recognised rights of children, and noted that such issues would be addressed in the department’s policies and guidelines, Labor Senators believe that only legislative measures will adequately provide the required safeguards.</w:t>
      </w:r>
      <w:r>
        <w:rPr>
          <w:rStyle w:val="EndnoteReference"/>
          <w:szCs w:val="22"/>
        </w:rPr>
        <w:endnoteReference w:id="137"/>
      </w:r>
    </w:p>
    <w:p w14:paraId="3951B8DB" w14:textId="2A9C59C7" w:rsidR="00442634" w:rsidRDefault="00442634" w:rsidP="00354AA1">
      <w:pPr>
        <w:jc w:val="both"/>
      </w:pPr>
      <w:r>
        <w:t>In August 2015</w:t>
      </w:r>
      <w:r w:rsidR="00C1617E">
        <w:t>,</w:t>
      </w:r>
      <w:r>
        <w:t xml:space="preserve"> the PJC commented that the measures contained in the Bill would limit the rights of children and may be incompatible with human rights:</w:t>
      </w:r>
    </w:p>
    <w:p w14:paraId="0F2D7623" w14:textId="77777777" w:rsidR="00442634" w:rsidRDefault="00442634" w:rsidP="00354AA1">
      <w:pPr>
        <w:ind w:left="720"/>
        <w:jc w:val="both"/>
      </w:pPr>
      <w:r>
        <w:rPr>
          <w:sz w:val="22"/>
          <w:szCs w:val="22"/>
        </w:rPr>
        <w:t>The committee considers that removing the current restrictions on the collection of personal identifiers on minors engages and limits the obligation to consider the best interests of the child as a primary consideration. As noted above, the minister’s response has not sufficiently justified this limitation for the purposes of international human rights law. The committee therefore considers that the power to collect personal identifiers from minors without the presence of their parent or guardian may be incompatible with the obligation to consider the best interests of the child.</w:t>
      </w:r>
      <w:r>
        <w:rPr>
          <w:rStyle w:val="EndnoteReference"/>
          <w:szCs w:val="22"/>
        </w:rPr>
        <w:endnoteReference w:id="138"/>
      </w:r>
      <w:r>
        <w:t xml:space="preserve"> </w:t>
      </w:r>
    </w:p>
    <w:p w14:paraId="5E19E89E" w14:textId="77777777" w:rsidR="00442634" w:rsidRDefault="00442634" w:rsidP="00354AA1">
      <w:pPr>
        <w:jc w:val="both"/>
      </w:pPr>
      <w:r>
        <w:t>The PJC also commented on the need for child rights safeguards to be included in legislation, not policy:</w:t>
      </w:r>
    </w:p>
    <w:p w14:paraId="22FDCF51" w14:textId="77777777" w:rsidR="00442634" w:rsidRDefault="00442634" w:rsidP="00354AA1">
      <w:pPr>
        <w:ind w:left="720"/>
        <w:jc w:val="both"/>
      </w:pPr>
      <w:r>
        <w:rPr>
          <w:sz w:val="22"/>
          <w:szCs w:val="22"/>
        </w:rPr>
        <w:t>The committee notes that the minister’s response explains that the department will implement additional policy guidelines to guide officers on how the new power to collect personal identifiers is to be exercised. The committee welcomes such guidance. However, international human rights law generally requires that appropriate safeguards be included in legislation. The committee remains concerned that the Bill gives a broad discretionary power to collect personal identifiers from minors with few statutory safeguards.</w:t>
      </w:r>
      <w:r>
        <w:rPr>
          <w:rStyle w:val="EndnoteReference"/>
          <w:szCs w:val="22"/>
        </w:rPr>
        <w:endnoteReference w:id="139"/>
      </w:r>
    </w:p>
    <w:p w14:paraId="7E0708B3" w14:textId="77777777" w:rsidR="00442634" w:rsidRPr="00C34339" w:rsidRDefault="00442634" w:rsidP="00354AA1">
      <w:pPr>
        <w:jc w:val="both"/>
      </w:pPr>
      <w:r>
        <w:t>The Bill passed both Houses of Parliament on 13 August 2015.</w:t>
      </w:r>
      <w:r>
        <w:rPr>
          <w:rStyle w:val="EndnoteReference"/>
        </w:rPr>
        <w:endnoteReference w:id="140"/>
      </w:r>
    </w:p>
    <w:p w14:paraId="6EE5B6A8" w14:textId="77777777" w:rsidR="00442634" w:rsidRPr="00AA3994" w:rsidRDefault="00442634" w:rsidP="00354AA1">
      <w:pPr>
        <w:pStyle w:val="Heading2"/>
        <w:jc w:val="both"/>
      </w:pPr>
      <w:bookmarkStart w:id="58" w:name="_Toc427857449"/>
      <w:bookmarkStart w:id="59" w:name="_Toc430702069"/>
      <w:bookmarkStart w:id="60" w:name="_Toc432577310"/>
      <w:r w:rsidRPr="00AA3994">
        <w:t>Bills initially considered to have had a negative impact on children’s rights but later considered to be compatible</w:t>
      </w:r>
      <w:bookmarkEnd w:id="58"/>
      <w:bookmarkEnd w:id="59"/>
      <w:bookmarkEnd w:id="60"/>
    </w:p>
    <w:p w14:paraId="7D9D4024" w14:textId="390D1376" w:rsidR="00442634" w:rsidRPr="00ED158E" w:rsidRDefault="00442634" w:rsidP="00354AA1">
      <w:pPr>
        <w:jc w:val="both"/>
      </w:pPr>
      <w:r>
        <w:t xml:space="preserve">The PJC initially considered </w:t>
      </w:r>
      <w:r w:rsidR="00E94B0F">
        <w:t xml:space="preserve">that </w:t>
      </w:r>
      <w:r>
        <w:t xml:space="preserve">two Bills introduced to federal </w:t>
      </w:r>
      <w:r w:rsidR="00C1617E">
        <w:t>P</w:t>
      </w:r>
      <w:r>
        <w:t>arliament during my reporting period would have a negative impact on children’s rights, but later considered that the two Bills would be compatible with children’s rights.</w:t>
      </w:r>
    </w:p>
    <w:p w14:paraId="4A842485" w14:textId="77777777" w:rsidR="00442634" w:rsidRPr="00AA3994" w:rsidRDefault="00442634" w:rsidP="00354AA1">
      <w:pPr>
        <w:pStyle w:val="Heading3"/>
        <w:jc w:val="both"/>
      </w:pPr>
      <w:bookmarkStart w:id="61" w:name="_Toc427850140"/>
      <w:bookmarkStart w:id="62" w:name="_Toc427855313"/>
      <w:bookmarkStart w:id="63" w:name="_Toc427855373"/>
      <w:bookmarkStart w:id="64" w:name="_Toc427855821"/>
      <w:bookmarkStart w:id="65" w:name="_Toc427850144"/>
      <w:bookmarkStart w:id="66" w:name="_Toc427855317"/>
      <w:bookmarkStart w:id="67" w:name="_Toc427855377"/>
      <w:bookmarkStart w:id="68" w:name="_Toc427855825"/>
      <w:bookmarkStart w:id="69" w:name="_Toc427857451"/>
      <w:bookmarkStart w:id="70" w:name="_Toc430702071"/>
      <w:bookmarkEnd w:id="61"/>
      <w:bookmarkEnd w:id="62"/>
      <w:bookmarkEnd w:id="63"/>
      <w:bookmarkEnd w:id="64"/>
      <w:bookmarkEnd w:id="65"/>
      <w:bookmarkEnd w:id="66"/>
      <w:bookmarkEnd w:id="67"/>
      <w:bookmarkEnd w:id="68"/>
      <w:r w:rsidRPr="00AA3994">
        <w:t>Counter-Terrorism Legislation Amendment (Foreign Fighters) Bill 2014</w:t>
      </w:r>
      <w:bookmarkEnd w:id="69"/>
      <w:r w:rsidRPr="00AA3994">
        <w:t xml:space="preserve"> (Cth)</w:t>
      </w:r>
      <w:bookmarkEnd w:id="70"/>
    </w:p>
    <w:p w14:paraId="4A79E7C5" w14:textId="39122AE9" w:rsidR="00442634" w:rsidRDefault="00442634" w:rsidP="00354AA1">
      <w:pPr>
        <w:jc w:val="both"/>
      </w:pPr>
      <w:r>
        <w:t xml:space="preserve">The </w:t>
      </w:r>
      <w:r w:rsidRPr="0051566F">
        <w:t>Counter-Terrorism Legislation Amendment (Foreign Fighters) Bill 2014 (Cth)</w:t>
      </w:r>
      <w:r>
        <w:t xml:space="preserve"> was sponsored by </w:t>
      </w:r>
      <w:r w:rsidRPr="00BB492C">
        <w:t xml:space="preserve">the </w:t>
      </w:r>
      <w:r w:rsidR="00D64DFD">
        <w:t>Australian G</w:t>
      </w:r>
      <w:r w:rsidRPr="00BB492C">
        <w:t>overnment’s Attorney-General’s portfolio</w:t>
      </w:r>
      <w:r>
        <w:t xml:space="preserve"> and introduced to the Senate on 24 September 2014.</w:t>
      </w:r>
      <w:r>
        <w:rPr>
          <w:rStyle w:val="EndnoteReference"/>
        </w:rPr>
        <w:endnoteReference w:id="141"/>
      </w:r>
      <w:r>
        <w:t xml:space="preserve"> The Bill proposed to, among </w:t>
      </w:r>
      <w:r>
        <w:lastRenderedPageBreak/>
        <w:t>other things, provide for the cancellation of a number of social welfare payments for individuals on security grounds.</w:t>
      </w:r>
      <w:r>
        <w:rPr>
          <w:rStyle w:val="EndnoteReference"/>
        </w:rPr>
        <w:endnoteReference w:id="142"/>
      </w:r>
    </w:p>
    <w:p w14:paraId="41BD4828" w14:textId="090509A2" w:rsidR="00442634" w:rsidRDefault="00442634" w:rsidP="00354AA1">
      <w:pPr>
        <w:jc w:val="both"/>
      </w:pPr>
      <w:r>
        <w:t>On 24 September 2014</w:t>
      </w:r>
      <w:r w:rsidR="00D64DFD">
        <w:t>,</w:t>
      </w:r>
      <w:r>
        <w:t xml:space="preserve"> the Attorney-General referred the Bill to the Parliamentary Joint Committee on Intelligence and Security for inquiry and report.</w:t>
      </w:r>
      <w:r>
        <w:rPr>
          <w:rStyle w:val="EndnoteReference"/>
        </w:rPr>
        <w:endnoteReference w:id="143"/>
      </w:r>
      <w:r>
        <w:t xml:space="preserve"> In its submission to the parliamentary inquiry, the Australian Human Rights Commission referred to the right of children to social security under article 26 of the Convention on the Rights of the Child and expressed concern about the potential for children to be affected by the cancellation of welfare payments.</w:t>
      </w:r>
      <w:r>
        <w:rPr>
          <w:rStyle w:val="EndnoteReference"/>
        </w:rPr>
        <w:endnoteReference w:id="144"/>
      </w:r>
      <w:r>
        <w:t xml:space="preserve"> The Australian Human Rights Commission recommended that the discretion to cancel social welfare payments include consideration of the effect of welfare cancellation on all relevant parties, including children.</w:t>
      </w:r>
      <w:r>
        <w:rPr>
          <w:rStyle w:val="EndnoteReference"/>
        </w:rPr>
        <w:endnoteReference w:id="145"/>
      </w:r>
      <w:r>
        <w:t xml:space="preserve"> </w:t>
      </w:r>
    </w:p>
    <w:p w14:paraId="15860D56" w14:textId="77777777" w:rsidR="00442634" w:rsidRDefault="00442634" w:rsidP="00354AA1">
      <w:pPr>
        <w:jc w:val="both"/>
      </w:pPr>
      <w:r>
        <w:t>The final report of the parliamentary inquiry was released on 17 October 2014 and recommended that the Bill be amended to require consideration of the likely effect of the cancellation of welfare payments on any dependents, including children, and what alternative arrangements might apply.</w:t>
      </w:r>
      <w:r>
        <w:rPr>
          <w:rStyle w:val="EndnoteReference"/>
        </w:rPr>
        <w:endnoteReference w:id="146"/>
      </w:r>
    </w:p>
    <w:p w14:paraId="52BA57CF" w14:textId="77777777" w:rsidR="00442634" w:rsidRDefault="00442634" w:rsidP="00354AA1">
      <w:pPr>
        <w:jc w:val="both"/>
      </w:pPr>
      <w:r>
        <w:t>The Bill passed both Houses of Parliament on 30 October 2014</w:t>
      </w:r>
      <w:r>
        <w:rPr>
          <w:rStyle w:val="EndnoteReference"/>
        </w:rPr>
        <w:endnoteReference w:id="147"/>
      </w:r>
      <w:r>
        <w:t xml:space="preserve"> with amendments to require consideration of the likely effects of welfare cancellation on dependents.</w:t>
      </w:r>
      <w:r>
        <w:rPr>
          <w:rStyle w:val="EndnoteReference"/>
        </w:rPr>
        <w:endnoteReference w:id="148"/>
      </w:r>
    </w:p>
    <w:p w14:paraId="51C7898C" w14:textId="364A17C7" w:rsidR="00442634" w:rsidRDefault="00442634" w:rsidP="00354AA1">
      <w:pPr>
        <w:jc w:val="both"/>
      </w:pPr>
      <w:r>
        <w:t>In March 2015</w:t>
      </w:r>
      <w:r w:rsidR="00D64DFD">
        <w:t>,</w:t>
      </w:r>
      <w:r>
        <w:t xml:space="preserve"> the PJC commented that the amendments to the Bill are likely to be compatible with the obligation to consider the best interests of the child.</w:t>
      </w:r>
      <w:r>
        <w:rPr>
          <w:rStyle w:val="EndnoteReference"/>
        </w:rPr>
        <w:endnoteReference w:id="149"/>
      </w:r>
      <w:r>
        <w:t xml:space="preserve"> The PJC included a copy of advice provided by the Attorney-General about the</w:t>
      </w:r>
      <w:r w:rsidR="001B0A2E">
        <w:t xml:space="preserve"> Bill’s</w:t>
      </w:r>
      <w:r>
        <w:t xml:space="preserve"> compatibility with the child’s right to have their best interests taken as a primary consideration:</w:t>
      </w:r>
    </w:p>
    <w:p w14:paraId="6EF4A888" w14:textId="77777777" w:rsidR="00442634" w:rsidRDefault="00442634" w:rsidP="00354AA1">
      <w:pPr>
        <w:ind w:left="720"/>
        <w:jc w:val="both"/>
      </w:pPr>
      <w:r>
        <w:rPr>
          <w:sz w:val="22"/>
          <w:szCs w:val="22"/>
        </w:rPr>
        <w:t>The Committee may wish to note that, on the recommendation of the [Parliamentary Joint Committee on Intelligence and Security], the Bill was amended to include specific factors to which the Attorney-General must have regard when considering whether to issue a Security Notice to cancel an individual’s welfare. The Attorney-General must consider the extent (if any) that any welfare payments of the individual who is the subject of the notice, are being, or may be, used for a purpose that might prejudice the security of Australia or a foreign country, and the likely effect of welfare cancellation on the individual’s dependants. This amendment clarified the circumstances where the power may be exercised. In this way, the amendments to the Bill ensure the rights and interests of the child (where applicable) are appropriately factored into the decision-making process.</w:t>
      </w:r>
      <w:r>
        <w:rPr>
          <w:rStyle w:val="EndnoteReference"/>
          <w:szCs w:val="22"/>
        </w:rPr>
        <w:endnoteReference w:id="150"/>
      </w:r>
    </w:p>
    <w:p w14:paraId="3AF26018" w14:textId="77777777" w:rsidR="00442634" w:rsidRDefault="00442634" w:rsidP="00354AA1">
      <w:pPr>
        <w:pStyle w:val="Heading2"/>
        <w:jc w:val="both"/>
      </w:pPr>
      <w:bookmarkStart w:id="71" w:name="_Toc427857452"/>
      <w:bookmarkStart w:id="72" w:name="_Toc430702072"/>
      <w:bookmarkStart w:id="73" w:name="_Toc432577311"/>
      <w:r>
        <w:t xml:space="preserve">The Commission’s intervention in </w:t>
      </w:r>
      <w:r w:rsidRPr="000E430C">
        <w:t>Bateman &amp; Kavan</w:t>
      </w:r>
      <w:r w:rsidRPr="007B236A">
        <w:t xml:space="preserve"> [2014] FCCA 2521</w:t>
      </w:r>
      <w:bookmarkEnd w:id="71"/>
      <w:bookmarkEnd w:id="72"/>
      <w:bookmarkEnd w:id="73"/>
    </w:p>
    <w:p w14:paraId="7F5D47C4" w14:textId="77777777" w:rsidR="00442634" w:rsidRDefault="00442634" w:rsidP="00354AA1">
      <w:pPr>
        <w:jc w:val="both"/>
      </w:pPr>
      <w:r>
        <w:t>The Australian Human Rights Commission has a function to intervene, with a court’s leave, in proceedings involving issues of discrimination</w:t>
      </w:r>
      <w:r>
        <w:rPr>
          <w:rStyle w:val="EndnoteReference"/>
        </w:rPr>
        <w:endnoteReference w:id="151"/>
      </w:r>
      <w:r>
        <w:t xml:space="preserve"> or human rights.</w:t>
      </w:r>
      <w:r>
        <w:rPr>
          <w:rStyle w:val="EndnoteReference"/>
        </w:rPr>
        <w:endnoteReference w:id="152"/>
      </w:r>
      <w:r>
        <w:t xml:space="preserve"> Guidelines about the Commission’s intervention function and how the Commission will exercise that function are available online.</w:t>
      </w:r>
      <w:r>
        <w:rPr>
          <w:rStyle w:val="EndnoteReference"/>
        </w:rPr>
        <w:endnoteReference w:id="153"/>
      </w:r>
    </w:p>
    <w:p w14:paraId="38971C3F" w14:textId="537EF67F" w:rsidR="00442634" w:rsidRDefault="00442634" w:rsidP="00354AA1">
      <w:pPr>
        <w:jc w:val="both"/>
      </w:pPr>
      <w:r>
        <w:t>On 22 April 2014</w:t>
      </w:r>
      <w:r w:rsidR="001B0A2E">
        <w:t>,</w:t>
      </w:r>
      <w:r>
        <w:t xml:space="preserve"> an order was made by the Federal Circuit Court extending an invitation to the Australian Human Rights Commission to intervene in the case of </w:t>
      </w:r>
      <w:r w:rsidRPr="00807D59">
        <w:rPr>
          <w:i/>
        </w:rPr>
        <w:t>Bateman &amp; Kavan</w:t>
      </w:r>
      <w:r>
        <w:t xml:space="preserve"> [2014] FCCA 2521.</w:t>
      </w:r>
      <w:r>
        <w:rPr>
          <w:rStyle w:val="EndnoteReference"/>
        </w:rPr>
        <w:endnoteReference w:id="154"/>
      </w:r>
      <w:r>
        <w:t xml:space="preserve"> The Commission accepted the invitation and orders were granted with the consent of all parties to join the Commission to the proceedings.</w:t>
      </w:r>
      <w:r>
        <w:rPr>
          <w:rStyle w:val="EndnoteReference"/>
        </w:rPr>
        <w:endnoteReference w:id="155"/>
      </w:r>
    </w:p>
    <w:p w14:paraId="1823620C" w14:textId="77777777" w:rsidR="00442634" w:rsidRDefault="00442634" w:rsidP="00354AA1">
      <w:pPr>
        <w:jc w:val="both"/>
      </w:pPr>
      <w:r>
        <w:lastRenderedPageBreak/>
        <w:t xml:space="preserve">The case dealt with the parentage of a child born as a result of an artificial conception procedure. At issue was whether the biological father of the child was a ‘parent’ for the purposes of paying child support. </w:t>
      </w:r>
    </w:p>
    <w:p w14:paraId="207532F0" w14:textId="77777777" w:rsidR="00442634" w:rsidRDefault="00442634" w:rsidP="00354AA1">
      <w:pPr>
        <w:jc w:val="both"/>
      </w:pPr>
      <w:r>
        <w:t>Previous cases from 1996 suggested that the meaning of ‘parent’ in the child support legislation was narrower than in the family law legislation. If those cases had been followed, the biological father would have been a parent for the purposes of access but not for the purposes of child support.</w:t>
      </w:r>
    </w:p>
    <w:p w14:paraId="4B2FED17" w14:textId="77777777" w:rsidR="00442634" w:rsidRDefault="00442634" w:rsidP="00354AA1">
      <w:pPr>
        <w:jc w:val="both"/>
      </w:pPr>
      <w:r>
        <w:t xml:space="preserve">The Commission’s submission focussed on amendments to the child support legislation since those cases, and the importance of interpreting the amendments in light of human rights principles. </w:t>
      </w:r>
    </w:p>
    <w:p w14:paraId="08A76546" w14:textId="77777777" w:rsidR="00442634" w:rsidRDefault="00442634" w:rsidP="00354AA1">
      <w:pPr>
        <w:jc w:val="both"/>
      </w:pPr>
      <w:r>
        <w:t>The parties settled the matter by consent, agreeing that the biological father was a parent and was liable for child support. Judge Harman delivered reasons for making the consent orders. Judge Harman considered that it was important to deliver written reasons because of the implications for other child support cases.</w:t>
      </w:r>
      <w:r>
        <w:rPr>
          <w:rStyle w:val="EndnoteReference"/>
        </w:rPr>
        <w:endnoteReference w:id="156"/>
      </w:r>
    </w:p>
    <w:p w14:paraId="18E4E0B6" w14:textId="77777777" w:rsidR="00442634" w:rsidRDefault="00442634" w:rsidP="00354AA1">
      <w:pPr>
        <w:jc w:val="both"/>
      </w:pPr>
      <w:r>
        <w:t xml:space="preserve">The Court accepted that there should be consistency in law and its application between the meaning of ‘parent’ in family law legislation and child support legislation. </w:t>
      </w:r>
    </w:p>
    <w:p w14:paraId="1F8D5506" w14:textId="6B64D02C" w:rsidR="00442634" w:rsidRDefault="00442634" w:rsidP="00354AA1">
      <w:pPr>
        <w:jc w:val="both"/>
      </w:pPr>
      <w:r>
        <w:t>Judge Harman’s written reasons reproduce the whole of the Commission’s written submission at paragraph 28. There is then some consideration of the human rights of the child in this particular case, in paragraphs 55-61.</w:t>
      </w:r>
    </w:p>
    <w:p w14:paraId="0C0395C8" w14:textId="77777777" w:rsidR="00442634" w:rsidRDefault="00442634" w:rsidP="00354AA1">
      <w:pPr>
        <w:jc w:val="both"/>
      </w:pPr>
      <w:r>
        <w:t>Judge Harman commented on the value of the Commission’s intervention:</w:t>
      </w:r>
    </w:p>
    <w:p w14:paraId="0095E1E4" w14:textId="77777777" w:rsidR="00442634" w:rsidRPr="00807D59" w:rsidRDefault="00442634" w:rsidP="00354AA1">
      <w:pPr>
        <w:ind w:left="720"/>
        <w:jc w:val="both"/>
        <w:rPr>
          <w:sz w:val="22"/>
          <w:szCs w:val="22"/>
        </w:rPr>
      </w:pPr>
      <w:r w:rsidRPr="00807D59">
        <w:rPr>
          <w:sz w:val="22"/>
          <w:szCs w:val="22"/>
        </w:rPr>
        <w:t>These issues … speak to the rights-based approach which I am urged by the Australian Human Rights Commission to adopt. In this case I accept that such an approach has some real force and application.</w:t>
      </w:r>
    </w:p>
    <w:p w14:paraId="11079F34" w14:textId="77777777" w:rsidR="00442634" w:rsidRPr="00807D59" w:rsidRDefault="00442634" w:rsidP="00354AA1">
      <w:pPr>
        <w:ind w:left="720"/>
        <w:jc w:val="both"/>
        <w:rPr>
          <w:sz w:val="22"/>
          <w:szCs w:val="22"/>
        </w:rPr>
      </w:pPr>
      <w:r w:rsidRPr="00807D59">
        <w:rPr>
          <w:sz w:val="22"/>
          <w:szCs w:val="22"/>
        </w:rPr>
        <w:t>… I am satisfied, as is submitted by the Australian Human Rights Commission, that the changes brought to the child support legislation by section 29 are such that this earlier body of case law can be distinguished.</w:t>
      </w:r>
    </w:p>
    <w:p w14:paraId="6C734A48" w14:textId="77777777" w:rsidR="00442634" w:rsidRDefault="00442634" w:rsidP="00354AA1">
      <w:pPr>
        <w:ind w:left="720"/>
        <w:jc w:val="both"/>
        <w:rPr>
          <w:sz w:val="22"/>
          <w:szCs w:val="22"/>
        </w:rPr>
      </w:pPr>
      <w:r w:rsidRPr="00807D59">
        <w:rPr>
          <w:sz w:val="22"/>
          <w:szCs w:val="22"/>
        </w:rPr>
        <w:t>… [The child] is born of two known individuals who acknowledge that fact. The child has a right to know that and a right to be financially supported by both in accordance with the means of those individuals and in accordance with law.</w:t>
      </w:r>
    </w:p>
    <w:p w14:paraId="1DF5A0EF" w14:textId="77777777" w:rsidR="00442634" w:rsidRPr="00807D59" w:rsidRDefault="00442634" w:rsidP="00354AA1">
      <w:pPr>
        <w:ind w:left="720"/>
        <w:jc w:val="both"/>
        <w:rPr>
          <w:sz w:val="22"/>
          <w:szCs w:val="22"/>
        </w:rPr>
      </w:pPr>
      <w:r w:rsidRPr="00807D59">
        <w:rPr>
          <w:sz w:val="22"/>
          <w:szCs w:val="22"/>
        </w:rPr>
        <w:t>I do not propose to canvass the arguments otherwise raised within the submissions of the Australian Human Rights Commission … save to indicate that they are accepted in their totality.</w:t>
      </w:r>
    </w:p>
    <w:p w14:paraId="732BBAED" w14:textId="77777777" w:rsidR="00442634" w:rsidRDefault="00442634" w:rsidP="00354AA1">
      <w:pPr>
        <w:ind w:left="720"/>
        <w:jc w:val="both"/>
        <w:rPr>
          <w:sz w:val="22"/>
          <w:szCs w:val="22"/>
        </w:rPr>
      </w:pPr>
      <w:r w:rsidRPr="00807D59">
        <w:rPr>
          <w:sz w:val="22"/>
          <w:szCs w:val="22"/>
        </w:rPr>
        <w:t xml:space="preserve">… What is abundantly clear from the various provisions of the </w:t>
      </w:r>
      <w:r w:rsidRPr="00807D59">
        <w:rPr>
          <w:i/>
          <w:sz w:val="22"/>
          <w:szCs w:val="22"/>
        </w:rPr>
        <w:t>International Convention on the Rights of the Child</w:t>
      </w:r>
      <w:r w:rsidRPr="00807D59">
        <w:rPr>
          <w:sz w:val="22"/>
          <w:szCs w:val="22"/>
        </w:rPr>
        <w:t xml:space="preserve"> as are identified in the submissions is that this young child has rights. Indeed, children born into this world, irrespective of how that may have occurred, have equal and universal rights. The child’s rights include the right to know his parentage socially, psychologically, emotionally, medically and financially.</w:t>
      </w:r>
    </w:p>
    <w:p w14:paraId="6FAF0896" w14:textId="77777777" w:rsidR="00442634" w:rsidRPr="004E2583" w:rsidRDefault="00442634" w:rsidP="00354AA1">
      <w:pPr>
        <w:ind w:left="720"/>
        <w:jc w:val="both"/>
      </w:pPr>
      <w:r w:rsidRPr="00807D59">
        <w:rPr>
          <w:sz w:val="22"/>
          <w:szCs w:val="22"/>
        </w:rPr>
        <w:t xml:space="preserve">… There should be no distinction between this child and any other child whose donator of genetic material is clearly known and based upon a distinction drawn purely on the means by which fertilisation of a human egg occurred. The child has a right to know his parentage and, as is indicated by the submissions of the Australian </w:t>
      </w:r>
      <w:r w:rsidRPr="00807D59">
        <w:rPr>
          <w:sz w:val="22"/>
          <w:szCs w:val="22"/>
        </w:rPr>
        <w:lastRenderedPageBreak/>
        <w:t>Human Rights Commission and those of the mother, a right to receive financial support from his parents.</w:t>
      </w:r>
      <w:r>
        <w:rPr>
          <w:rStyle w:val="EndnoteReference"/>
          <w:szCs w:val="22"/>
        </w:rPr>
        <w:endnoteReference w:id="157"/>
      </w:r>
    </w:p>
    <w:p w14:paraId="28E95150" w14:textId="77777777" w:rsidR="00442634" w:rsidRPr="002951BC" w:rsidRDefault="00442634" w:rsidP="00354AA1">
      <w:pPr>
        <w:pStyle w:val="Heading2"/>
        <w:jc w:val="both"/>
      </w:pPr>
      <w:bookmarkStart w:id="74" w:name="_Toc427857453"/>
      <w:bookmarkStart w:id="75" w:name="_Toc430702073"/>
      <w:bookmarkStart w:id="76" w:name="_Toc432577312"/>
      <w:r w:rsidRPr="002951BC">
        <w:t>Conclusion</w:t>
      </w:r>
      <w:bookmarkEnd w:id="74"/>
      <w:bookmarkEnd w:id="75"/>
      <w:bookmarkEnd w:id="76"/>
    </w:p>
    <w:p w14:paraId="19E1366B" w14:textId="77777777" w:rsidR="00442634" w:rsidRDefault="00442634" w:rsidP="00354AA1">
      <w:pPr>
        <w:jc w:val="both"/>
      </w:pPr>
      <w:r>
        <w:t>The PJC has described its scrutiny role as ‘primarily preventative in nature and directed at minimising risks of new legislation giving rise to breaches of human rights in practice’.</w:t>
      </w:r>
      <w:r>
        <w:rPr>
          <w:rStyle w:val="EndnoteReference"/>
        </w:rPr>
        <w:endnoteReference w:id="158"/>
      </w:r>
      <w:r>
        <w:t xml:space="preserve"> The PJC also considers that it has an educative role, including by raising awareness of laws that promote human rights.</w:t>
      </w:r>
      <w:r>
        <w:rPr>
          <w:rStyle w:val="EndnoteReference"/>
        </w:rPr>
        <w:endnoteReference w:id="159"/>
      </w:r>
      <w:r>
        <w:t xml:space="preserve"> </w:t>
      </w:r>
    </w:p>
    <w:p w14:paraId="54144DEF" w14:textId="77777777" w:rsidR="00990761" w:rsidRDefault="00442634" w:rsidP="00354AA1">
      <w:pPr>
        <w:jc w:val="both"/>
        <w:sectPr w:rsidR="00990761" w:rsidSect="00F60D11">
          <w:endnotePr>
            <w:numFmt w:val="decimal"/>
            <w:numRestart w:val="eachSect"/>
          </w:endnotePr>
          <w:pgSz w:w="11906" w:h="16838" w:code="9"/>
          <w:pgMar w:top="1134" w:right="1418" w:bottom="1134" w:left="1418" w:header="709" w:footer="709" w:gutter="0"/>
          <w:cols w:space="708"/>
          <w:docGrid w:linePitch="360"/>
        </w:sectPr>
      </w:pPr>
      <w:r>
        <w:t>My description of the PJC’s consideration of child rights compatibility in this chapter, as well as my description of the Commission’s parliamentary submissions and intervention in the Federal Circuit Court, seeks to advance the</w:t>
      </w:r>
      <w:r w:rsidR="00DF1155">
        <w:t>se</w:t>
      </w:r>
      <w:r>
        <w:t xml:space="preserve"> preventative and educative objectives, specifically as they relate to the human rights of children in Australia.</w:t>
      </w:r>
    </w:p>
    <w:p w14:paraId="19AAF3EE" w14:textId="29FEB2A7" w:rsidR="00AA3994" w:rsidRDefault="00AA3994" w:rsidP="00354AA1">
      <w:pPr>
        <w:pStyle w:val="Heading1"/>
        <w:jc w:val="both"/>
      </w:pPr>
      <w:bookmarkStart w:id="77" w:name="_Toc432577313"/>
      <w:r>
        <w:lastRenderedPageBreak/>
        <w:t>Business and children’s rights</w:t>
      </w:r>
      <w:bookmarkEnd w:id="77"/>
    </w:p>
    <w:p w14:paraId="4E5CA2B0" w14:textId="77777777" w:rsidR="00A07596" w:rsidRPr="00A07596" w:rsidRDefault="00185AE1" w:rsidP="00354AA1">
      <w:pPr>
        <w:pStyle w:val="TOC2"/>
        <w:tabs>
          <w:tab w:val="left" w:pos="960"/>
          <w:tab w:val="right" w:pos="9060"/>
        </w:tabs>
        <w:jc w:val="both"/>
        <w:rPr>
          <w:rFonts w:asciiTheme="minorHAnsi" w:eastAsiaTheme="minorEastAsia" w:hAnsiTheme="minorHAnsi" w:cstheme="minorBidi"/>
          <w:noProof/>
          <w:color w:val="000000" w:themeColor="text1"/>
          <w:sz w:val="22"/>
          <w:szCs w:val="22"/>
        </w:rPr>
      </w:pPr>
      <w:hyperlink w:anchor="_Toc430778354" w:history="1">
        <w:r w:rsidR="00A07596" w:rsidRPr="00A07596">
          <w:rPr>
            <w:rStyle w:val="Hyperlink"/>
            <w:noProof/>
            <w:color w:val="000000" w:themeColor="text1"/>
            <w:u w:val="none"/>
          </w:rPr>
          <w:t>3.1</w:t>
        </w:r>
        <w:r w:rsidR="00A07596" w:rsidRPr="00A07596">
          <w:rPr>
            <w:rFonts w:asciiTheme="minorHAnsi" w:eastAsiaTheme="minorEastAsia" w:hAnsiTheme="minorHAnsi" w:cstheme="minorBidi"/>
            <w:noProof/>
            <w:color w:val="000000" w:themeColor="text1"/>
            <w:sz w:val="22"/>
            <w:szCs w:val="22"/>
          </w:rPr>
          <w:tab/>
        </w:r>
        <w:r w:rsidR="00A07596" w:rsidRPr="00A07596">
          <w:rPr>
            <w:rStyle w:val="Hyperlink"/>
            <w:noProof/>
            <w:color w:val="000000" w:themeColor="text1"/>
            <w:u w:val="none"/>
          </w:rPr>
          <w:t>Introduction</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_Toc430778354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42</w:t>
        </w:r>
        <w:r w:rsidR="00A07596" w:rsidRPr="00A07596">
          <w:rPr>
            <w:noProof/>
            <w:webHidden/>
            <w:color w:val="000000" w:themeColor="text1"/>
          </w:rPr>
          <w:fldChar w:fldCharType="end"/>
        </w:r>
      </w:hyperlink>
    </w:p>
    <w:p w14:paraId="52DA20BD" w14:textId="77777777" w:rsidR="00A07596" w:rsidRPr="00A07596" w:rsidRDefault="00185AE1"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55" w:history="1">
        <w:r w:rsidR="00A07596" w:rsidRPr="00A07596">
          <w:rPr>
            <w:rStyle w:val="Hyperlink"/>
            <w:noProof/>
            <w:color w:val="000000" w:themeColor="text1"/>
            <w:u w:val="none"/>
          </w:rPr>
          <w:t>3.1.1</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Why is business a child rights issue?</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_Toc430778355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42</w:t>
        </w:r>
        <w:r w:rsidR="00A07596" w:rsidRPr="00A07596">
          <w:rPr>
            <w:noProof/>
            <w:webHidden/>
            <w:color w:val="000000" w:themeColor="text1"/>
          </w:rPr>
          <w:fldChar w:fldCharType="end"/>
        </w:r>
      </w:hyperlink>
    </w:p>
    <w:p w14:paraId="1526D498" w14:textId="77777777" w:rsidR="00A07596" w:rsidRPr="00A07596" w:rsidRDefault="00185AE1"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56" w:history="1">
        <w:r w:rsidR="00A07596" w:rsidRPr="00A07596">
          <w:rPr>
            <w:rStyle w:val="Hyperlink"/>
            <w:noProof/>
            <w:color w:val="000000" w:themeColor="text1"/>
            <w:u w:val="none"/>
          </w:rPr>
          <w:t>3.1.2</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Children as consumers</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_Toc430778356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43</w:t>
        </w:r>
        <w:r w:rsidR="00A07596" w:rsidRPr="00A07596">
          <w:rPr>
            <w:noProof/>
            <w:webHidden/>
            <w:color w:val="000000" w:themeColor="text1"/>
          </w:rPr>
          <w:fldChar w:fldCharType="end"/>
        </w:r>
      </w:hyperlink>
    </w:p>
    <w:p w14:paraId="0DB68E35" w14:textId="77777777" w:rsidR="00A07596" w:rsidRPr="00A07596" w:rsidRDefault="00185AE1"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57" w:history="1">
        <w:r w:rsidR="00A07596" w:rsidRPr="00A07596">
          <w:rPr>
            <w:rStyle w:val="Hyperlink"/>
            <w:noProof/>
            <w:color w:val="000000" w:themeColor="text1"/>
            <w:u w:val="none"/>
          </w:rPr>
          <w:t>3.1.3</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The impact of the internet</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_Toc430778357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44</w:t>
        </w:r>
        <w:r w:rsidR="00A07596" w:rsidRPr="00A07596">
          <w:rPr>
            <w:noProof/>
            <w:webHidden/>
            <w:color w:val="000000" w:themeColor="text1"/>
          </w:rPr>
          <w:fldChar w:fldCharType="end"/>
        </w:r>
      </w:hyperlink>
    </w:p>
    <w:p w14:paraId="2F7A4991" w14:textId="77777777" w:rsidR="00A07596" w:rsidRPr="00A07596" w:rsidRDefault="00185AE1"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58" w:history="1">
        <w:r w:rsidR="00A07596" w:rsidRPr="00A07596">
          <w:rPr>
            <w:rStyle w:val="Hyperlink"/>
            <w:noProof/>
            <w:color w:val="000000" w:themeColor="text1"/>
            <w:u w:val="none"/>
          </w:rPr>
          <w:t>3.1.4</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An identified need for further investigation</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_Toc430778358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45</w:t>
        </w:r>
        <w:r w:rsidR="00A07596" w:rsidRPr="00A07596">
          <w:rPr>
            <w:noProof/>
            <w:webHidden/>
            <w:color w:val="000000" w:themeColor="text1"/>
          </w:rPr>
          <w:fldChar w:fldCharType="end"/>
        </w:r>
      </w:hyperlink>
    </w:p>
    <w:p w14:paraId="01651001" w14:textId="77777777" w:rsidR="00A07596" w:rsidRPr="00A07596" w:rsidRDefault="00185AE1"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59" w:history="1">
        <w:r w:rsidR="00A07596" w:rsidRPr="00A07596">
          <w:rPr>
            <w:rStyle w:val="Hyperlink"/>
            <w:noProof/>
            <w:color w:val="000000" w:themeColor="text1"/>
            <w:u w:val="none"/>
          </w:rPr>
          <w:t>3.1.5</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A child rights-based approach</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_Toc430778359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46</w:t>
        </w:r>
        <w:r w:rsidR="00A07596" w:rsidRPr="00A07596">
          <w:rPr>
            <w:noProof/>
            <w:webHidden/>
            <w:color w:val="000000" w:themeColor="text1"/>
          </w:rPr>
          <w:fldChar w:fldCharType="end"/>
        </w:r>
      </w:hyperlink>
    </w:p>
    <w:p w14:paraId="1D239F0D" w14:textId="77777777" w:rsidR="00A07596" w:rsidRPr="00A07596" w:rsidRDefault="00185AE1" w:rsidP="00354AA1">
      <w:pPr>
        <w:pStyle w:val="TOC2"/>
        <w:tabs>
          <w:tab w:val="left" w:pos="960"/>
          <w:tab w:val="right" w:pos="9060"/>
        </w:tabs>
        <w:jc w:val="both"/>
        <w:rPr>
          <w:rFonts w:asciiTheme="minorHAnsi" w:eastAsiaTheme="minorEastAsia" w:hAnsiTheme="minorHAnsi" w:cstheme="minorBidi"/>
          <w:noProof/>
          <w:color w:val="000000" w:themeColor="text1"/>
          <w:sz w:val="22"/>
          <w:szCs w:val="22"/>
        </w:rPr>
      </w:pPr>
      <w:hyperlink w:anchor="_Toc430778360" w:history="1">
        <w:r w:rsidR="00A07596" w:rsidRPr="00A07596">
          <w:rPr>
            <w:rStyle w:val="Hyperlink"/>
            <w:noProof/>
            <w:color w:val="000000" w:themeColor="text1"/>
            <w:u w:val="none"/>
          </w:rPr>
          <w:t>3.2</w:t>
        </w:r>
        <w:r w:rsidR="00A07596" w:rsidRPr="00A07596">
          <w:rPr>
            <w:rFonts w:asciiTheme="minorHAnsi" w:eastAsiaTheme="minorEastAsia" w:hAnsiTheme="minorHAnsi" w:cstheme="minorBidi"/>
            <w:noProof/>
            <w:color w:val="000000" w:themeColor="text1"/>
            <w:sz w:val="22"/>
            <w:szCs w:val="22"/>
          </w:rPr>
          <w:tab/>
        </w:r>
        <w:r w:rsidR="00A07596" w:rsidRPr="00A07596">
          <w:rPr>
            <w:rStyle w:val="Hyperlink"/>
            <w:noProof/>
            <w:color w:val="000000" w:themeColor="text1"/>
            <w:u w:val="none"/>
          </w:rPr>
          <w:t>Literature review</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_Toc430778360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47</w:t>
        </w:r>
        <w:r w:rsidR="00A07596" w:rsidRPr="00A07596">
          <w:rPr>
            <w:noProof/>
            <w:webHidden/>
            <w:color w:val="000000" w:themeColor="text1"/>
          </w:rPr>
          <w:fldChar w:fldCharType="end"/>
        </w:r>
      </w:hyperlink>
    </w:p>
    <w:p w14:paraId="7A998166" w14:textId="77777777" w:rsidR="00A07596" w:rsidRPr="00A07596" w:rsidRDefault="00185AE1"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61" w:history="1">
        <w:r w:rsidR="00A07596" w:rsidRPr="00A07596">
          <w:rPr>
            <w:rStyle w:val="Hyperlink"/>
            <w:noProof/>
            <w:color w:val="000000" w:themeColor="text1"/>
            <w:u w:val="none"/>
          </w:rPr>
          <w:t>3.2.1</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Children and the consumer market</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_Toc430778361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48</w:t>
        </w:r>
        <w:r w:rsidR="00A07596" w:rsidRPr="00A07596">
          <w:rPr>
            <w:noProof/>
            <w:webHidden/>
            <w:color w:val="000000" w:themeColor="text1"/>
          </w:rPr>
          <w:fldChar w:fldCharType="end"/>
        </w:r>
      </w:hyperlink>
    </w:p>
    <w:p w14:paraId="6E061CED" w14:textId="77777777" w:rsidR="00A07596" w:rsidRPr="00A07596" w:rsidRDefault="00185AE1"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62" w:history="1">
        <w:r w:rsidR="00A07596" w:rsidRPr="00A07596">
          <w:rPr>
            <w:rStyle w:val="Hyperlink"/>
            <w:noProof/>
            <w:color w:val="000000" w:themeColor="text1"/>
            <w:u w:val="none"/>
          </w:rPr>
          <w:t>3.2.2</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Children and the online consumer market</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_Toc430778362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48</w:t>
        </w:r>
        <w:r w:rsidR="00A07596" w:rsidRPr="00A07596">
          <w:rPr>
            <w:noProof/>
            <w:webHidden/>
            <w:color w:val="000000" w:themeColor="text1"/>
          </w:rPr>
          <w:fldChar w:fldCharType="end"/>
        </w:r>
      </w:hyperlink>
    </w:p>
    <w:p w14:paraId="7B90A3DC" w14:textId="77777777" w:rsidR="00A07596" w:rsidRPr="00A07596" w:rsidRDefault="00185AE1"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63" w:history="1">
        <w:r w:rsidR="00A07596" w:rsidRPr="00A07596">
          <w:rPr>
            <w:rStyle w:val="Hyperlink"/>
            <w:noProof/>
            <w:color w:val="000000" w:themeColor="text1"/>
            <w:u w:val="none"/>
          </w:rPr>
          <w:t>3.2.3</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Online advertising</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_Toc430778363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49</w:t>
        </w:r>
        <w:r w:rsidR="00A07596" w:rsidRPr="00A07596">
          <w:rPr>
            <w:noProof/>
            <w:webHidden/>
            <w:color w:val="000000" w:themeColor="text1"/>
          </w:rPr>
          <w:fldChar w:fldCharType="end"/>
        </w:r>
      </w:hyperlink>
    </w:p>
    <w:p w14:paraId="76EB212F" w14:textId="77777777" w:rsidR="00A07596" w:rsidRPr="00A07596" w:rsidRDefault="00185AE1"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64" w:history="1">
        <w:r w:rsidR="00A07596" w:rsidRPr="00A07596">
          <w:rPr>
            <w:rStyle w:val="Hyperlink"/>
            <w:noProof/>
            <w:color w:val="000000" w:themeColor="text1"/>
            <w:u w:val="none"/>
          </w:rPr>
          <w:t>3.2.4</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Online privacy concerns</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_Toc430778364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51</w:t>
        </w:r>
        <w:r w:rsidR="00A07596" w:rsidRPr="00A07596">
          <w:rPr>
            <w:noProof/>
            <w:webHidden/>
            <w:color w:val="000000" w:themeColor="text1"/>
          </w:rPr>
          <w:fldChar w:fldCharType="end"/>
        </w:r>
      </w:hyperlink>
    </w:p>
    <w:p w14:paraId="3565086D" w14:textId="77777777" w:rsidR="00A07596" w:rsidRPr="00A07596" w:rsidRDefault="00185AE1"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65" w:history="1">
        <w:r w:rsidR="00A07596" w:rsidRPr="00A07596">
          <w:rPr>
            <w:rStyle w:val="Hyperlink"/>
            <w:noProof/>
            <w:color w:val="000000" w:themeColor="text1"/>
            <w:u w:val="none"/>
          </w:rPr>
          <w:t>3.2.5</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Regulatory issues</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_Toc430778365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51</w:t>
        </w:r>
        <w:r w:rsidR="00A07596" w:rsidRPr="00A07596">
          <w:rPr>
            <w:noProof/>
            <w:webHidden/>
            <w:color w:val="000000" w:themeColor="text1"/>
          </w:rPr>
          <w:fldChar w:fldCharType="end"/>
        </w:r>
      </w:hyperlink>
    </w:p>
    <w:p w14:paraId="00011D49" w14:textId="77777777" w:rsidR="00A07596" w:rsidRPr="00A07596" w:rsidRDefault="00185AE1" w:rsidP="00354AA1">
      <w:pPr>
        <w:pStyle w:val="TOC2"/>
        <w:tabs>
          <w:tab w:val="left" w:pos="960"/>
          <w:tab w:val="right" w:pos="9060"/>
        </w:tabs>
        <w:jc w:val="both"/>
        <w:rPr>
          <w:rFonts w:asciiTheme="minorHAnsi" w:eastAsiaTheme="minorEastAsia" w:hAnsiTheme="minorHAnsi" w:cstheme="minorBidi"/>
          <w:noProof/>
          <w:color w:val="000000" w:themeColor="text1"/>
          <w:sz w:val="22"/>
          <w:szCs w:val="22"/>
        </w:rPr>
      </w:pPr>
      <w:hyperlink w:anchor="_Toc430778366" w:history="1">
        <w:r w:rsidR="00A07596" w:rsidRPr="00A07596">
          <w:rPr>
            <w:rStyle w:val="Hyperlink"/>
            <w:noProof/>
            <w:color w:val="000000" w:themeColor="text1"/>
            <w:u w:val="none"/>
          </w:rPr>
          <w:t>3.3</w:t>
        </w:r>
        <w:r w:rsidR="00A07596" w:rsidRPr="00A07596">
          <w:rPr>
            <w:rFonts w:asciiTheme="minorHAnsi" w:eastAsiaTheme="minorEastAsia" w:hAnsiTheme="minorHAnsi" w:cstheme="minorBidi"/>
            <w:noProof/>
            <w:color w:val="000000" w:themeColor="text1"/>
            <w:sz w:val="22"/>
            <w:szCs w:val="22"/>
          </w:rPr>
          <w:tab/>
        </w:r>
        <w:r w:rsidR="00A07596" w:rsidRPr="00A07596">
          <w:rPr>
            <w:rStyle w:val="Hyperlink"/>
            <w:noProof/>
            <w:color w:val="000000" w:themeColor="text1"/>
            <w:u w:val="none"/>
          </w:rPr>
          <w:t>Australian consumer protection and children</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_Toc430778366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54</w:t>
        </w:r>
        <w:r w:rsidR="00A07596" w:rsidRPr="00A07596">
          <w:rPr>
            <w:noProof/>
            <w:webHidden/>
            <w:color w:val="000000" w:themeColor="text1"/>
          </w:rPr>
          <w:fldChar w:fldCharType="end"/>
        </w:r>
      </w:hyperlink>
    </w:p>
    <w:p w14:paraId="45CD2B46" w14:textId="77777777" w:rsidR="00A07596" w:rsidRPr="00A07596" w:rsidRDefault="00185AE1"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67" w:history="1">
        <w:r w:rsidR="00A07596" w:rsidRPr="00A07596">
          <w:rPr>
            <w:rStyle w:val="Hyperlink"/>
            <w:noProof/>
            <w:color w:val="000000" w:themeColor="text1"/>
            <w:u w:val="none"/>
          </w:rPr>
          <w:t>3.3.1</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Case study: children and online privacy</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_Toc430778367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55</w:t>
        </w:r>
        <w:r w:rsidR="00A07596" w:rsidRPr="00A07596">
          <w:rPr>
            <w:noProof/>
            <w:webHidden/>
            <w:color w:val="000000" w:themeColor="text1"/>
          </w:rPr>
          <w:fldChar w:fldCharType="end"/>
        </w:r>
      </w:hyperlink>
    </w:p>
    <w:p w14:paraId="6B01E748" w14:textId="77777777" w:rsidR="00A07596" w:rsidRPr="00A07596" w:rsidRDefault="00185AE1"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68" w:history="1">
        <w:r w:rsidR="00A07596" w:rsidRPr="00A07596">
          <w:rPr>
            <w:rStyle w:val="Hyperlink"/>
            <w:noProof/>
            <w:color w:val="000000" w:themeColor="text1"/>
            <w:u w:val="none"/>
          </w:rPr>
          <w:t>3.3.2</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Case study: consumer contracts and children</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_Toc430778368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56</w:t>
        </w:r>
        <w:r w:rsidR="00A07596" w:rsidRPr="00A07596">
          <w:rPr>
            <w:noProof/>
            <w:webHidden/>
            <w:color w:val="000000" w:themeColor="text1"/>
          </w:rPr>
          <w:fldChar w:fldCharType="end"/>
        </w:r>
      </w:hyperlink>
    </w:p>
    <w:p w14:paraId="4312AE77" w14:textId="77777777" w:rsidR="00A07596" w:rsidRPr="00A07596" w:rsidRDefault="00185AE1" w:rsidP="00354AA1">
      <w:pPr>
        <w:pStyle w:val="TOC2"/>
        <w:tabs>
          <w:tab w:val="left" w:pos="960"/>
          <w:tab w:val="right" w:pos="9060"/>
        </w:tabs>
        <w:jc w:val="both"/>
        <w:rPr>
          <w:rFonts w:asciiTheme="minorHAnsi" w:eastAsiaTheme="minorEastAsia" w:hAnsiTheme="minorHAnsi" w:cstheme="minorBidi"/>
          <w:noProof/>
          <w:color w:val="000000" w:themeColor="text1"/>
          <w:sz w:val="22"/>
          <w:szCs w:val="22"/>
        </w:rPr>
      </w:pPr>
      <w:hyperlink w:anchor="_Toc430778369" w:history="1">
        <w:r w:rsidR="00A07596" w:rsidRPr="00A07596">
          <w:rPr>
            <w:rStyle w:val="Hyperlink"/>
            <w:noProof/>
            <w:color w:val="000000" w:themeColor="text1"/>
            <w:u w:val="none"/>
          </w:rPr>
          <w:t>3.4</w:t>
        </w:r>
        <w:r w:rsidR="00A07596" w:rsidRPr="00A07596">
          <w:rPr>
            <w:rFonts w:asciiTheme="minorHAnsi" w:eastAsiaTheme="minorEastAsia" w:hAnsiTheme="minorHAnsi" w:cstheme="minorBidi"/>
            <w:noProof/>
            <w:color w:val="000000" w:themeColor="text1"/>
            <w:sz w:val="22"/>
            <w:szCs w:val="22"/>
          </w:rPr>
          <w:tab/>
        </w:r>
        <w:r w:rsidR="00A07596" w:rsidRPr="00A07596">
          <w:rPr>
            <w:rStyle w:val="Hyperlink"/>
            <w:noProof/>
            <w:color w:val="000000" w:themeColor="text1"/>
            <w:u w:val="none"/>
          </w:rPr>
          <w:t>Consultations – what do children say?</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_Toc430778369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58</w:t>
        </w:r>
        <w:r w:rsidR="00A07596" w:rsidRPr="00A07596">
          <w:rPr>
            <w:noProof/>
            <w:webHidden/>
            <w:color w:val="000000" w:themeColor="text1"/>
          </w:rPr>
          <w:fldChar w:fldCharType="end"/>
        </w:r>
      </w:hyperlink>
    </w:p>
    <w:p w14:paraId="3EBBE811" w14:textId="77777777" w:rsidR="00A07596" w:rsidRPr="00A07596" w:rsidRDefault="00185AE1"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70" w:history="1">
        <w:r w:rsidR="00A07596" w:rsidRPr="00A07596">
          <w:rPr>
            <w:rStyle w:val="Hyperlink"/>
            <w:noProof/>
            <w:color w:val="000000" w:themeColor="text1"/>
            <w:u w:val="none"/>
          </w:rPr>
          <w:t>3.4.1</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Financial advice services</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_Toc430778370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58</w:t>
        </w:r>
        <w:r w:rsidR="00A07596" w:rsidRPr="00A07596">
          <w:rPr>
            <w:noProof/>
            <w:webHidden/>
            <w:color w:val="000000" w:themeColor="text1"/>
          </w:rPr>
          <w:fldChar w:fldCharType="end"/>
        </w:r>
      </w:hyperlink>
    </w:p>
    <w:p w14:paraId="49C2B00A" w14:textId="77777777" w:rsidR="00A07596" w:rsidRPr="00A07596" w:rsidRDefault="00185AE1"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71" w:history="1">
        <w:r w:rsidR="00A07596" w:rsidRPr="00A07596">
          <w:rPr>
            <w:rStyle w:val="Hyperlink"/>
            <w:noProof/>
            <w:color w:val="000000" w:themeColor="text1"/>
            <w:u w:val="none"/>
          </w:rPr>
          <w:t>3.4.2</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Schools consultations/youth organisations</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_Toc430778371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59</w:t>
        </w:r>
        <w:r w:rsidR="00A07596" w:rsidRPr="00A07596">
          <w:rPr>
            <w:noProof/>
            <w:webHidden/>
            <w:color w:val="000000" w:themeColor="text1"/>
          </w:rPr>
          <w:fldChar w:fldCharType="end"/>
        </w:r>
      </w:hyperlink>
    </w:p>
    <w:p w14:paraId="4CE83DA2" w14:textId="77777777" w:rsidR="00A07596" w:rsidRPr="00A07596" w:rsidRDefault="00185AE1"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72" w:history="1">
        <w:r w:rsidR="00A07596" w:rsidRPr="00A07596">
          <w:rPr>
            <w:rStyle w:val="Hyperlink"/>
            <w:noProof/>
            <w:color w:val="000000" w:themeColor="text1"/>
            <w:u w:val="none"/>
          </w:rPr>
          <w:t>3.4.3</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Children as consumers online</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_Toc430778372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59</w:t>
        </w:r>
        <w:r w:rsidR="00A07596" w:rsidRPr="00A07596">
          <w:rPr>
            <w:noProof/>
            <w:webHidden/>
            <w:color w:val="000000" w:themeColor="text1"/>
          </w:rPr>
          <w:fldChar w:fldCharType="end"/>
        </w:r>
      </w:hyperlink>
    </w:p>
    <w:p w14:paraId="04914D11" w14:textId="77777777" w:rsidR="00A07596" w:rsidRPr="00A07596" w:rsidRDefault="00185AE1"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73" w:history="1">
        <w:r w:rsidR="00A07596" w:rsidRPr="00A07596">
          <w:rPr>
            <w:rStyle w:val="Hyperlink"/>
            <w:noProof/>
            <w:color w:val="000000" w:themeColor="text1"/>
            <w:u w:val="none"/>
          </w:rPr>
          <w:t>3.4.4</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Influence of family/friends on purchasing</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_Toc430778373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60</w:t>
        </w:r>
        <w:r w:rsidR="00A07596" w:rsidRPr="00A07596">
          <w:rPr>
            <w:noProof/>
            <w:webHidden/>
            <w:color w:val="000000" w:themeColor="text1"/>
          </w:rPr>
          <w:fldChar w:fldCharType="end"/>
        </w:r>
      </w:hyperlink>
    </w:p>
    <w:p w14:paraId="55463727" w14:textId="77777777" w:rsidR="00A07596" w:rsidRPr="00A07596" w:rsidRDefault="00185AE1"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74" w:history="1">
        <w:r w:rsidR="00A07596" w:rsidRPr="00A07596">
          <w:rPr>
            <w:rStyle w:val="Hyperlink"/>
            <w:noProof/>
            <w:color w:val="000000" w:themeColor="text1"/>
            <w:u w:val="none"/>
          </w:rPr>
          <w:t>3.4.5</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Impact of advertising</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_Toc430778374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60</w:t>
        </w:r>
        <w:r w:rsidR="00A07596" w:rsidRPr="00A07596">
          <w:rPr>
            <w:noProof/>
            <w:webHidden/>
            <w:color w:val="000000" w:themeColor="text1"/>
          </w:rPr>
          <w:fldChar w:fldCharType="end"/>
        </w:r>
      </w:hyperlink>
    </w:p>
    <w:p w14:paraId="01BEB2EE" w14:textId="77777777" w:rsidR="00A07596" w:rsidRPr="00A07596" w:rsidRDefault="00185AE1"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75" w:history="1">
        <w:r w:rsidR="00A07596" w:rsidRPr="00A07596">
          <w:rPr>
            <w:rStyle w:val="Hyperlink"/>
            <w:noProof/>
            <w:color w:val="000000" w:themeColor="text1"/>
            <w:u w:val="none"/>
          </w:rPr>
          <w:t>3.4.6</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Internet as a market research tool</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_Toc430778375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61</w:t>
        </w:r>
        <w:r w:rsidR="00A07596" w:rsidRPr="00A07596">
          <w:rPr>
            <w:noProof/>
            <w:webHidden/>
            <w:color w:val="000000" w:themeColor="text1"/>
          </w:rPr>
          <w:fldChar w:fldCharType="end"/>
        </w:r>
      </w:hyperlink>
    </w:p>
    <w:p w14:paraId="0BE30D2F" w14:textId="77777777" w:rsidR="00A07596" w:rsidRPr="00A07596" w:rsidRDefault="00185AE1"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76" w:history="1">
        <w:r w:rsidR="00A07596" w:rsidRPr="00A07596">
          <w:rPr>
            <w:rStyle w:val="Hyperlink"/>
            <w:noProof/>
            <w:color w:val="000000" w:themeColor="text1"/>
            <w:u w:val="none"/>
          </w:rPr>
          <w:t>3.4.7</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Consumer experiences</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_Toc430778376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61</w:t>
        </w:r>
        <w:r w:rsidR="00A07596" w:rsidRPr="00A07596">
          <w:rPr>
            <w:noProof/>
            <w:webHidden/>
            <w:color w:val="000000" w:themeColor="text1"/>
          </w:rPr>
          <w:fldChar w:fldCharType="end"/>
        </w:r>
      </w:hyperlink>
    </w:p>
    <w:p w14:paraId="207D8AD0" w14:textId="77777777" w:rsidR="00A07596" w:rsidRPr="00A07596" w:rsidRDefault="00185AE1"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77" w:history="1">
        <w:r w:rsidR="00A07596" w:rsidRPr="00A07596">
          <w:rPr>
            <w:rStyle w:val="Hyperlink"/>
            <w:noProof/>
            <w:color w:val="000000" w:themeColor="text1"/>
            <w:u w:val="none"/>
          </w:rPr>
          <w:t>3.4.8</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Knowledge of consumer rights</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_Toc430778377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62</w:t>
        </w:r>
        <w:r w:rsidR="00A07596" w:rsidRPr="00A07596">
          <w:rPr>
            <w:noProof/>
            <w:webHidden/>
            <w:color w:val="000000" w:themeColor="text1"/>
          </w:rPr>
          <w:fldChar w:fldCharType="end"/>
        </w:r>
      </w:hyperlink>
    </w:p>
    <w:p w14:paraId="0B4303A8" w14:textId="77777777" w:rsidR="00A07596" w:rsidRPr="00A07596" w:rsidRDefault="00185AE1"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78" w:history="1">
        <w:r w:rsidR="00A07596" w:rsidRPr="00A07596">
          <w:rPr>
            <w:rStyle w:val="Hyperlink"/>
            <w:noProof/>
            <w:color w:val="000000" w:themeColor="text1"/>
            <w:u w:val="none"/>
          </w:rPr>
          <w:t>3.4.9</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Knowledge of consumer assistance</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_Toc430778378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63</w:t>
        </w:r>
        <w:r w:rsidR="00A07596" w:rsidRPr="00A07596">
          <w:rPr>
            <w:noProof/>
            <w:webHidden/>
            <w:color w:val="000000" w:themeColor="text1"/>
          </w:rPr>
          <w:fldChar w:fldCharType="end"/>
        </w:r>
      </w:hyperlink>
    </w:p>
    <w:p w14:paraId="24EFEDCE" w14:textId="77777777" w:rsidR="00A07596" w:rsidRPr="00A07596" w:rsidRDefault="00185AE1"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79" w:history="1">
        <w:r w:rsidR="00A07596" w:rsidRPr="00A07596">
          <w:rPr>
            <w:rStyle w:val="Hyperlink"/>
            <w:noProof/>
            <w:color w:val="000000" w:themeColor="text1"/>
            <w:u w:val="none"/>
          </w:rPr>
          <w:t>3.4.10</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How can business assist?</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_Toc430778379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64</w:t>
        </w:r>
        <w:r w:rsidR="00A07596" w:rsidRPr="00A07596">
          <w:rPr>
            <w:noProof/>
            <w:webHidden/>
            <w:color w:val="000000" w:themeColor="text1"/>
          </w:rPr>
          <w:fldChar w:fldCharType="end"/>
        </w:r>
      </w:hyperlink>
    </w:p>
    <w:p w14:paraId="2382C8A6" w14:textId="77777777" w:rsidR="00A07596" w:rsidRPr="00A07596" w:rsidRDefault="00185AE1" w:rsidP="00354AA1">
      <w:pPr>
        <w:pStyle w:val="TOC2"/>
        <w:tabs>
          <w:tab w:val="left" w:pos="960"/>
          <w:tab w:val="right" w:pos="9060"/>
        </w:tabs>
        <w:jc w:val="both"/>
        <w:rPr>
          <w:rFonts w:asciiTheme="minorHAnsi" w:eastAsiaTheme="minorEastAsia" w:hAnsiTheme="minorHAnsi" w:cstheme="minorBidi"/>
          <w:noProof/>
          <w:color w:val="000000" w:themeColor="text1"/>
          <w:sz w:val="22"/>
          <w:szCs w:val="22"/>
        </w:rPr>
      </w:pPr>
      <w:hyperlink w:anchor="_Toc430778380" w:history="1">
        <w:r w:rsidR="00A07596" w:rsidRPr="00A07596">
          <w:rPr>
            <w:rStyle w:val="Hyperlink"/>
            <w:noProof/>
            <w:color w:val="000000" w:themeColor="text1"/>
            <w:u w:val="none"/>
          </w:rPr>
          <w:t>3.5</w:t>
        </w:r>
        <w:r w:rsidR="00A07596" w:rsidRPr="00A07596">
          <w:rPr>
            <w:rFonts w:asciiTheme="minorHAnsi" w:eastAsiaTheme="minorEastAsia" w:hAnsiTheme="minorHAnsi" w:cstheme="minorBidi"/>
            <w:noProof/>
            <w:color w:val="000000" w:themeColor="text1"/>
            <w:sz w:val="22"/>
            <w:szCs w:val="22"/>
          </w:rPr>
          <w:tab/>
        </w:r>
        <w:r w:rsidR="00A07596" w:rsidRPr="00A07596">
          <w:rPr>
            <w:rStyle w:val="Hyperlink"/>
            <w:noProof/>
            <w:color w:val="000000" w:themeColor="text1"/>
            <w:u w:val="none"/>
          </w:rPr>
          <w:t>Conclusion: summary &amp; key concerns</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_Toc430778380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66</w:t>
        </w:r>
        <w:r w:rsidR="00A07596" w:rsidRPr="00A07596">
          <w:rPr>
            <w:noProof/>
            <w:webHidden/>
            <w:color w:val="000000" w:themeColor="text1"/>
          </w:rPr>
          <w:fldChar w:fldCharType="end"/>
        </w:r>
      </w:hyperlink>
    </w:p>
    <w:p w14:paraId="6B584B1A" w14:textId="77777777" w:rsidR="00A07596" w:rsidRPr="00A07596" w:rsidRDefault="00185AE1"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81" w:history="1">
        <w:r w:rsidR="00A07596" w:rsidRPr="00A07596">
          <w:rPr>
            <w:rStyle w:val="Hyperlink"/>
            <w:noProof/>
            <w:color w:val="000000" w:themeColor="text1"/>
            <w:u w:val="none"/>
          </w:rPr>
          <w:t>3.5.1</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Key concern: privacy and advertising</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_Toc430778381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66</w:t>
        </w:r>
        <w:r w:rsidR="00A07596" w:rsidRPr="00A07596">
          <w:rPr>
            <w:noProof/>
            <w:webHidden/>
            <w:color w:val="000000" w:themeColor="text1"/>
          </w:rPr>
          <w:fldChar w:fldCharType="end"/>
        </w:r>
      </w:hyperlink>
    </w:p>
    <w:p w14:paraId="35460EE2" w14:textId="77777777" w:rsidR="00A07596" w:rsidRPr="00A07596" w:rsidRDefault="00185AE1"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82" w:history="1">
        <w:r w:rsidR="00A07596" w:rsidRPr="00A07596">
          <w:rPr>
            <w:rStyle w:val="Hyperlink"/>
            <w:noProof/>
            <w:color w:val="000000" w:themeColor="text1"/>
            <w:u w:val="none"/>
          </w:rPr>
          <w:t>3.5.2</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Key concern: contractual complexity</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_Toc430778382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67</w:t>
        </w:r>
        <w:r w:rsidR="00A07596" w:rsidRPr="00A07596">
          <w:rPr>
            <w:noProof/>
            <w:webHidden/>
            <w:color w:val="000000" w:themeColor="text1"/>
          </w:rPr>
          <w:fldChar w:fldCharType="end"/>
        </w:r>
      </w:hyperlink>
    </w:p>
    <w:p w14:paraId="5BB5BBA8" w14:textId="77777777" w:rsidR="00A07596" w:rsidRPr="00A07596" w:rsidRDefault="00185AE1"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83" w:history="1">
        <w:r w:rsidR="00A07596" w:rsidRPr="00A07596">
          <w:rPr>
            <w:rStyle w:val="Hyperlink"/>
            <w:noProof/>
            <w:color w:val="000000" w:themeColor="text1"/>
            <w:u w:val="none"/>
          </w:rPr>
          <w:t>3.5.3</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Key concern: enforcement and redress</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_Toc430778383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67</w:t>
        </w:r>
        <w:r w:rsidR="00A07596" w:rsidRPr="00A07596">
          <w:rPr>
            <w:noProof/>
            <w:webHidden/>
            <w:color w:val="000000" w:themeColor="text1"/>
          </w:rPr>
          <w:fldChar w:fldCharType="end"/>
        </w:r>
      </w:hyperlink>
    </w:p>
    <w:p w14:paraId="65ED07C7" w14:textId="77777777" w:rsidR="00A07596" w:rsidRPr="00A07596" w:rsidRDefault="00185AE1" w:rsidP="00354AA1">
      <w:pPr>
        <w:pStyle w:val="TOC3"/>
        <w:tabs>
          <w:tab w:val="left" w:pos="1440"/>
          <w:tab w:val="right" w:pos="9060"/>
        </w:tabs>
        <w:jc w:val="both"/>
        <w:rPr>
          <w:rFonts w:asciiTheme="minorHAnsi" w:eastAsiaTheme="minorEastAsia" w:hAnsiTheme="minorHAnsi" w:cstheme="minorBidi"/>
          <w:iCs w:val="0"/>
          <w:noProof/>
          <w:color w:val="000000" w:themeColor="text1"/>
          <w:sz w:val="22"/>
          <w:szCs w:val="22"/>
        </w:rPr>
      </w:pPr>
      <w:hyperlink w:anchor="_Toc430778384" w:history="1">
        <w:r w:rsidR="00A07596" w:rsidRPr="00A07596">
          <w:rPr>
            <w:rStyle w:val="Hyperlink"/>
            <w:noProof/>
            <w:color w:val="000000" w:themeColor="text1"/>
            <w:u w:val="none"/>
          </w:rPr>
          <w:t>3.5.4</w:t>
        </w:r>
        <w:r w:rsidR="00A07596" w:rsidRPr="00A07596">
          <w:rPr>
            <w:rFonts w:asciiTheme="minorHAnsi" w:eastAsiaTheme="minorEastAsia" w:hAnsiTheme="minorHAnsi" w:cstheme="minorBidi"/>
            <w:iCs w:val="0"/>
            <w:noProof/>
            <w:color w:val="000000" w:themeColor="text1"/>
            <w:sz w:val="22"/>
            <w:szCs w:val="22"/>
          </w:rPr>
          <w:tab/>
        </w:r>
        <w:r w:rsidR="00A07596" w:rsidRPr="00A07596">
          <w:rPr>
            <w:rStyle w:val="Hyperlink"/>
            <w:noProof/>
            <w:color w:val="000000" w:themeColor="text1"/>
            <w:u w:val="none"/>
          </w:rPr>
          <w:t>Key concern: education and research</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_Toc430778384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68</w:t>
        </w:r>
        <w:r w:rsidR="00A07596" w:rsidRPr="00A07596">
          <w:rPr>
            <w:noProof/>
            <w:webHidden/>
            <w:color w:val="000000" w:themeColor="text1"/>
          </w:rPr>
          <w:fldChar w:fldCharType="end"/>
        </w:r>
      </w:hyperlink>
    </w:p>
    <w:p w14:paraId="51503EC6" w14:textId="77777777" w:rsidR="00A07596" w:rsidRPr="00A07596" w:rsidRDefault="00185AE1" w:rsidP="00354AA1">
      <w:pPr>
        <w:pStyle w:val="TOC2"/>
        <w:tabs>
          <w:tab w:val="left" w:pos="960"/>
          <w:tab w:val="right" w:pos="9060"/>
        </w:tabs>
        <w:jc w:val="both"/>
        <w:rPr>
          <w:rFonts w:asciiTheme="minorHAnsi" w:eastAsiaTheme="minorEastAsia" w:hAnsiTheme="minorHAnsi" w:cstheme="minorBidi"/>
          <w:noProof/>
          <w:color w:val="000000" w:themeColor="text1"/>
          <w:sz w:val="22"/>
          <w:szCs w:val="22"/>
        </w:rPr>
      </w:pPr>
      <w:hyperlink w:anchor="_Toc430778385" w:history="1">
        <w:r w:rsidR="00A07596" w:rsidRPr="00A07596">
          <w:rPr>
            <w:rStyle w:val="Hyperlink"/>
            <w:noProof/>
            <w:color w:val="000000" w:themeColor="text1"/>
            <w:u w:val="none"/>
          </w:rPr>
          <w:t>3.6</w:t>
        </w:r>
        <w:r w:rsidR="00A07596" w:rsidRPr="00A07596">
          <w:rPr>
            <w:rFonts w:asciiTheme="minorHAnsi" w:eastAsiaTheme="minorEastAsia" w:hAnsiTheme="minorHAnsi" w:cstheme="minorBidi"/>
            <w:noProof/>
            <w:color w:val="000000" w:themeColor="text1"/>
            <w:sz w:val="22"/>
            <w:szCs w:val="22"/>
          </w:rPr>
          <w:tab/>
        </w:r>
        <w:r w:rsidR="00A07596" w:rsidRPr="00A07596">
          <w:rPr>
            <w:rStyle w:val="Hyperlink"/>
            <w:noProof/>
            <w:color w:val="000000" w:themeColor="text1"/>
            <w:u w:val="none"/>
          </w:rPr>
          <w:t>Recommendations</w:t>
        </w:r>
        <w:r w:rsidR="00A07596" w:rsidRPr="00A07596">
          <w:rPr>
            <w:noProof/>
            <w:webHidden/>
            <w:color w:val="000000" w:themeColor="text1"/>
          </w:rPr>
          <w:tab/>
        </w:r>
        <w:r w:rsidR="00A07596" w:rsidRPr="00A07596">
          <w:rPr>
            <w:noProof/>
            <w:webHidden/>
            <w:color w:val="000000" w:themeColor="text1"/>
          </w:rPr>
          <w:fldChar w:fldCharType="begin"/>
        </w:r>
        <w:r w:rsidR="00A07596" w:rsidRPr="00A07596">
          <w:rPr>
            <w:noProof/>
            <w:webHidden/>
            <w:color w:val="000000" w:themeColor="text1"/>
          </w:rPr>
          <w:instrText xml:space="preserve"> PAGEREF _Toc430778385 \h </w:instrText>
        </w:r>
        <w:r w:rsidR="00A07596" w:rsidRPr="00A07596">
          <w:rPr>
            <w:noProof/>
            <w:webHidden/>
            <w:color w:val="000000" w:themeColor="text1"/>
          </w:rPr>
        </w:r>
        <w:r w:rsidR="00A07596" w:rsidRPr="00A07596">
          <w:rPr>
            <w:noProof/>
            <w:webHidden/>
            <w:color w:val="000000" w:themeColor="text1"/>
          </w:rPr>
          <w:fldChar w:fldCharType="separate"/>
        </w:r>
        <w:r w:rsidR="00A07596" w:rsidRPr="00A07596">
          <w:rPr>
            <w:noProof/>
            <w:webHidden/>
            <w:color w:val="000000" w:themeColor="text1"/>
          </w:rPr>
          <w:t>69</w:t>
        </w:r>
        <w:r w:rsidR="00A07596" w:rsidRPr="00A07596">
          <w:rPr>
            <w:noProof/>
            <w:webHidden/>
            <w:color w:val="000000" w:themeColor="text1"/>
          </w:rPr>
          <w:fldChar w:fldCharType="end"/>
        </w:r>
      </w:hyperlink>
    </w:p>
    <w:p w14:paraId="0E8517D6" w14:textId="138B6117" w:rsidR="00A07596" w:rsidRPr="00A07596" w:rsidRDefault="00A07596" w:rsidP="00354AA1">
      <w:pPr>
        <w:jc w:val="both"/>
      </w:pPr>
    </w:p>
    <w:p w14:paraId="22F0216B" w14:textId="77777777" w:rsidR="006970D8" w:rsidRPr="006970D8" w:rsidRDefault="006970D8" w:rsidP="00354AA1">
      <w:pPr>
        <w:jc w:val="both"/>
      </w:pPr>
    </w:p>
    <w:p w14:paraId="713ED3F2" w14:textId="77777777" w:rsidR="00AA3994" w:rsidRDefault="006970D8" w:rsidP="00354AA1">
      <w:pPr>
        <w:pStyle w:val="Heading2"/>
        <w:jc w:val="both"/>
      </w:pPr>
      <w:bookmarkStart w:id="78" w:name="_Toc430702074"/>
      <w:r>
        <w:br w:type="column"/>
      </w:r>
      <w:bookmarkStart w:id="79" w:name="_Toc432577314"/>
      <w:r w:rsidR="00AA3994" w:rsidRPr="007C547D">
        <w:lastRenderedPageBreak/>
        <w:t>Introduction</w:t>
      </w:r>
      <w:bookmarkEnd w:id="78"/>
      <w:bookmarkEnd w:id="79"/>
    </w:p>
    <w:p w14:paraId="1255CF19" w14:textId="1E5B55BF" w:rsidR="00AA3994" w:rsidRPr="003D0638" w:rsidRDefault="00AA3994" w:rsidP="00354AA1">
      <w:pPr>
        <w:ind w:left="720"/>
        <w:jc w:val="both"/>
        <w:rPr>
          <w:sz w:val="20"/>
          <w:szCs w:val="20"/>
        </w:rPr>
      </w:pPr>
      <w:r>
        <w:rPr>
          <w:sz w:val="20"/>
          <w:szCs w:val="20"/>
        </w:rPr>
        <w:t>We live in a completely different culture and economic times. The last 10 years have seen ridiculous changes in living standards and expectations. We are now an instant society which</w:t>
      </w:r>
      <w:r w:rsidR="006533E2">
        <w:rPr>
          <w:sz w:val="20"/>
          <w:szCs w:val="20"/>
        </w:rPr>
        <w:t xml:space="preserve"> adults were not brought up in.</w:t>
      </w:r>
      <w:r w:rsidR="00C40B26">
        <w:rPr>
          <w:sz w:val="20"/>
          <w:szCs w:val="20"/>
        </w:rPr>
        <w:t xml:space="preserve"> (</w:t>
      </w:r>
      <w:r>
        <w:rPr>
          <w:sz w:val="20"/>
          <w:szCs w:val="20"/>
        </w:rPr>
        <w:t>Boy, 16 years old</w:t>
      </w:r>
      <w:r w:rsidR="00C40B26">
        <w:rPr>
          <w:sz w:val="20"/>
          <w:szCs w:val="20"/>
        </w:rPr>
        <w:t>)</w:t>
      </w:r>
      <w:r>
        <w:rPr>
          <w:rStyle w:val="EndnoteReference"/>
          <w:szCs w:val="20"/>
        </w:rPr>
        <w:endnoteReference w:id="160"/>
      </w:r>
    </w:p>
    <w:p w14:paraId="00F6A004" w14:textId="0F8F62FF" w:rsidR="00AA3994" w:rsidRDefault="00AA3994" w:rsidP="00354AA1">
      <w:pPr>
        <w:pStyle w:val="SubmissionNormal"/>
        <w:numPr>
          <w:ilvl w:val="0"/>
          <w:numId w:val="0"/>
        </w:numPr>
        <w:jc w:val="both"/>
      </w:pPr>
      <w:r>
        <w:t xml:space="preserve">In the past few decades </w:t>
      </w:r>
      <w:r w:rsidRPr="00552A81">
        <w:t>we have witnessed the rapid globalisation of business and the widespread uptake of technology across communities</w:t>
      </w:r>
      <w:r>
        <w:t>.</w:t>
      </w:r>
      <w:r>
        <w:rPr>
          <w:rStyle w:val="EndnoteReference"/>
        </w:rPr>
        <w:endnoteReference w:id="161"/>
      </w:r>
      <w:r>
        <w:t xml:space="preserve"> One issue which has </w:t>
      </w:r>
      <w:r w:rsidR="004F61F7">
        <w:t>emerged during</w:t>
      </w:r>
      <w:r>
        <w:t xml:space="preserve"> this period, and that now demands our attention, is the evolving and increasingly complex relationship of children to business. Within this changed environment, questions arise as to how children’s human rights fare.</w:t>
      </w:r>
    </w:p>
    <w:p w14:paraId="08936B1F" w14:textId="7BBC3BEF" w:rsidR="00BE0641" w:rsidRDefault="00AA3994" w:rsidP="00354AA1">
      <w:pPr>
        <w:pStyle w:val="SubmissionNormal"/>
        <w:numPr>
          <w:ilvl w:val="0"/>
          <w:numId w:val="0"/>
        </w:numPr>
        <w:jc w:val="both"/>
      </w:pPr>
      <w:r w:rsidRPr="00552A81">
        <w:t xml:space="preserve">International responses to this issue have </w:t>
      </w:r>
      <w:r w:rsidRPr="00BE0641">
        <w:t xml:space="preserve">been surprisingly recent. Formal consideration of the relationship of business to human rights occurred between the United Nations and the international business sector </w:t>
      </w:r>
      <w:r w:rsidR="006533E2" w:rsidRPr="00BE0641">
        <w:t>through the 1990</w:t>
      </w:r>
      <w:r w:rsidRPr="00BE0641">
        <w:t>s.</w:t>
      </w:r>
      <w:r w:rsidRPr="00BE0641">
        <w:rPr>
          <w:rStyle w:val="EndnoteReference"/>
        </w:rPr>
        <w:endnoteReference w:id="162"/>
      </w:r>
      <w:r w:rsidRPr="00BE0641">
        <w:t xml:space="preserve"> </w:t>
      </w:r>
      <w:r w:rsidR="00BE0641" w:rsidRPr="00BE0641">
        <w:t xml:space="preserve">  </w:t>
      </w:r>
    </w:p>
    <w:p w14:paraId="10657A32" w14:textId="6ACE191F" w:rsidR="00AA3994" w:rsidRDefault="00BE0641" w:rsidP="00354AA1">
      <w:pPr>
        <w:pStyle w:val="SubmissionNormal"/>
        <w:numPr>
          <w:ilvl w:val="0"/>
          <w:numId w:val="0"/>
        </w:numPr>
        <w:jc w:val="both"/>
      </w:pPr>
      <w:r w:rsidRPr="00BE0641">
        <w:rPr>
          <w:lang w:val="en"/>
        </w:rPr>
        <w:t xml:space="preserve">In June 2011, the United Nations Human Rights Council unanimously adopted the </w:t>
      </w:r>
      <w:r w:rsidRPr="00BE0641">
        <w:rPr>
          <w:i/>
          <w:lang w:val="en"/>
        </w:rPr>
        <w:t>Guiding Principles on Business and Human Rights</w:t>
      </w:r>
      <w:r w:rsidRPr="00BE0641">
        <w:rPr>
          <w:lang w:val="en"/>
        </w:rPr>
        <w:t xml:space="preserve"> (the Guiding Principles). The Guiding Principles provide a global standard for addressing and preventing human rights impacts associated with business activity. The Principles operate on a three pillar framework, known as the Protect, Respect, Remedy Framework.</w:t>
      </w:r>
      <w:r>
        <w:rPr>
          <w:rStyle w:val="EndnoteReference"/>
          <w:lang w:val="en"/>
        </w:rPr>
        <w:endnoteReference w:id="163"/>
      </w:r>
    </w:p>
    <w:p w14:paraId="200D813F" w14:textId="77777777" w:rsidR="00AA3994" w:rsidRDefault="00AA3994" w:rsidP="00354AA1">
      <w:pPr>
        <w:pStyle w:val="SubmissionNormal"/>
        <w:numPr>
          <w:ilvl w:val="0"/>
          <w:numId w:val="0"/>
        </w:numPr>
        <w:jc w:val="both"/>
      </w:pPr>
      <w:r>
        <w:t xml:space="preserve">However a specific focus on the impact of business on the human rights of children only occurred in 2012 with the release by UNICEF, Save the Children and the UN Global Compact of the </w:t>
      </w:r>
      <w:r w:rsidRPr="0056730F">
        <w:rPr>
          <w:i/>
        </w:rPr>
        <w:t>Children’s Rights and Business Principles</w:t>
      </w:r>
      <w:r>
        <w:t xml:space="preserve"> (the Business Principles).</w:t>
      </w:r>
      <w:r>
        <w:rPr>
          <w:rStyle w:val="EndnoteReference"/>
        </w:rPr>
        <w:endnoteReference w:id="164"/>
      </w:r>
      <w:r>
        <w:t xml:space="preserve"> The Business Principles offer guidance to business on how it can respect and support children’s rights.</w:t>
      </w:r>
      <w:r>
        <w:rPr>
          <w:rStyle w:val="EndnoteReference"/>
        </w:rPr>
        <w:endnoteReference w:id="165"/>
      </w:r>
    </w:p>
    <w:p w14:paraId="41240BE4" w14:textId="167C216B" w:rsidR="00AA3994" w:rsidRDefault="00AA3994" w:rsidP="00354AA1">
      <w:pPr>
        <w:pStyle w:val="SubmissionNormal"/>
        <w:numPr>
          <w:ilvl w:val="0"/>
          <w:numId w:val="0"/>
        </w:numPr>
        <w:jc w:val="both"/>
      </w:pPr>
      <w:r>
        <w:t xml:space="preserve">In 2013, the United Nations Committee on the Rights of the Child </w:t>
      </w:r>
      <w:r w:rsidR="000958FB">
        <w:t xml:space="preserve">(the Committee) </w:t>
      </w:r>
      <w:r>
        <w:t xml:space="preserve">released the </w:t>
      </w:r>
      <w:r w:rsidRPr="004F61F7">
        <w:rPr>
          <w:i/>
        </w:rPr>
        <w:t xml:space="preserve">General Comment on State Obligations Regarding the Impact of the Business Sector on Children’s Rights </w:t>
      </w:r>
      <w:r>
        <w:t>(General Comment).</w:t>
      </w:r>
      <w:r>
        <w:rPr>
          <w:rStyle w:val="EndnoteReference"/>
        </w:rPr>
        <w:endnoteReference w:id="166"/>
      </w:r>
      <w:r>
        <w:t xml:space="preserve"> The General Comment includes a framework for the implementation of children’s rights in the business sector and details specific measures for States to undertake in protecting the rights of children in relation to business activities.</w:t>
      </w:r>
      <w:r>
        <w:rPr>
          <w:rStyle w:val="EndnoteReference"/>
        </w:rPr>
        <w:endnoteReference w:id="167"/>
      </w:r>
      <w:r>
        <w:t xml:space="preserve"> </w:t>
      </w:r>
    </w:p>
    <w:p w14:paraId="1EE8FC4A" w14:textId="77777777" w:rsidR="00AA3994" w:rsidRDefault="00AA3994" w:rsidP="00354AA1">
      <w:pPr>
        <w:pStyle w:val="SubmissionNormal"/>
        <w:numPr>
          <w:ilvl w:val="0"/>
          <w:numId w:val="0"/>
        </w:numPr>
        <w:jc w:val="both"/>
      </w:pPr>
      <w:r w:rsidRPr="00552A81">
        <w:t>While these documents are non-binding</w:t>
      </w:r>
      <w:r w:rsidRPr="00552A81">
        <w:rPr>
          <w:rStyle w:val="EndnoteReference"/>
        </w:rPr>
        <w:endnoteReference w:id="168"/>
      </w:r>
      <w:r w:rsidRPr="00552A81">
        <w:t xml:space="preserve">, they </w:t>
      </w:r>
      <w:r w:rsidRPr="00EF1665">
        <w:t>provide a valuable lens through which to consider how the Australian business context relates to children and their human rights. It also provides us with an opportunity to hear what children in Australia have to say about their experiences. These international initiatives</w:t>
      </w:r>
      <w:r>
        <w:t xml:space="preserve"> have also forged an important precedent for a partnership-based approach with business. There is little reason to doubt that the goodwill evident within the international business sector will be similarly reflected at the domestic level in ensuring that the rights of Australian children are upheld as consumers of goods and services. </w:t>
      </w:r>
    </w:p>
    <w:p w14:paraId="6B236591" w14:textId="77777777" w:rsidR="00AA3994" w:rsidRPr="006D0876" w:rsidRDefault="00AA3994" w:rsidP="00354AA1">
      <w:pPr>
        <w:pStyle w:val="Heading3"/>
        <w:jc w:val="both"/>
      </w:pPr>
      <w:bookmarkStart w:id="80" w:name="_Toc430333082"/>
      <w:bookmarkStart w:id="81" w:name="_Toc430702075"/>
      <w:r w:rsidRPr="006D0876">
        <w:t>Why is business a child rights issue?</w:t>
      </w:r>
      <w:bookmarkEnd w:id="80"/>
      <w:bookmarkEnd w:id="81"/>
    </w:p>
    <w:p w14:paraId="47FC5ED7" w14:textId="77777777" w:rsidR="00AA3994" w:rsidRPr="00687121" w:rsidRDefault="00AA3994" w:rsidP="00DE57C1">
      <w:pPr>
        <w:ind w:left="720"/>
        <w:jc w:val="both"/>
        <w:rPr>
          <w:sz w:val="20"/>
          <w:szCs w:val="20"/>
        </w:rPr>
      </w:pPr>
      <w:r w:rsidRPr="0058743E">
        <w:rPr>
          <w:sz w:val="20"/>
          <w:szCs w:val="20"/>
        </w:rPr>
        <w:t xml:space="preserve">All </w:t>
      </w:r>
      <w:r>
        <w:rPr>
          <w:sz w:val="20"/>
          <w:szCs w:val="20"/>
        </w:rPr>
        <w:t xml:space="preserve">children have rights everywhere </w:t>
      </w:r>
      <w:r w:rsidRPr="0058743E">
        <w:rPr>
          <w:sz w:val="20"/>
          <w:szCs w:val="20"/>
        </w:rPr>
        <w:t>and at all times</w:t>
      </w:r>
      <w:r>
        <w:rPr>
          <w:sz w:val="20"/>
          <w:szCs w:val="20"/>
        </w:rPr>
        <w:t>.</w:t>
      </w:r>
      <w:r>
        <w:rPr>
          <w:rStyle w:val="EndnoteReference"/>
          <w:szCs w:val="20"/>
        </w:rPr>
        <w:endnoteReference w:id="169"/>
      </w:r>
    </w:p>
    <w:p w14:paraId="37CF3EFD" w14:textId="77777777" w:rsidR="00AA3994" w:rsidRDefault="00AA3994" w:rsidP="00354AA1">
      <w:pPr>
        <w:pStyle w:val="SubmissionNormal"/>
        <w:numPr>
          <w:ilvl w:val="0"/>
          <w:numId w:val="0"/>
        </w:numPr>
        <w:jc w:val="both"/>
      </w:pPr>
      <w:r>
        <w:t>Children’s rights are universal, indivisible, interdependent and interrelated.</w:t>
      </w:r>
      <w:r>
        <w:rPr>
          <w:rStyle w:val="EndnoteReference"/>
        </w:rPr>
        <w:endnoteReference w:id="170"/>
      </w:r>
      <w:r>
        <w:t xml:space="preserve"> Children’s rights transcend all groupings and institutions – they are relevant everywhere, including in the sphere of business. The global and transnational nature of business has made its scope, impact and influence much greater than in the </w:t>
      </w:r>
      <w:r>
        <w:lastRenderedPageBreak/>
        <w:t>past.</w:t>
      </w:r>
      <w:r>
        <w:rPr>
          <w:rStyle w:val="EndnoteReference"/>
        </w:rPr>
        <w:endnoteReference w:id="171"/>
      </w:r>
      <w:r>
        <w:t xml:space="preserve"> It has been reported that as far back as 2000, the revenues of the largest corporations exceeded the gross domestic product of some countries.</w:t>
      </w:r>
      <w:r>
        <w:rPr>
          <w:rStyle w:val="EndnoteReference"/>
        </w:rPr>
        <w:endnoteReference w:id="172"/>
      </w:r>
    </w:p>
    <w:p w14:paraId="24B0446E" w14:textId="77777777" w:rsidR="00AA3994" w:rsidRDefault="00AA3994" w:rsidP="00354AA1">
      <w:pPr>
        <w:pStyle w:val="SubmissionNormal"/>
        <w:numPr>
          <w:ilvl w:val="0"/>
          <w:numId w:val="0"/>
        </w:numPr>
        <w:jc w:val="both"/>
      </w:pPr>
      <w:r>
        <w:t>Given children under the age of 18 years account for almost one third of the world’s population,</w:t>
      </w:r>
      <w:r>
        <w:rPr>
          <w:rStyle w:val="EndnoteReference"/>
        </w:rPr>
        <w:endnoteReference w:id="173"/>
      </w:r>
      <w:r>
        <w:t xml:space="preserve"> children emerge as both rights-holders and as key stakeholders in the activities of business.</w:t>
      </w:r>
      <w:r>
        <w:rPr>
          <w:rStyle w:val="EndnoteReference"/>
        </w:rPr>
        <w:endnoteReference w:id="174"/>
      </w:r>
      <w:r>
        <w:t xml:space="preserve"> </w:t>
      </w:r>
      <w:r w:rsidRPr="00552A81">
        <w:t>As detailed in the Business Principles, children interact with business in many ways including as consumers; family members of employees; young workers and as future employees and business leaders.</w:t>
      </w:r>
      <w:r w:rsidRPr="00552A81">
        <w:rPr>
          <w:rStyle w:val="EndnoteReference"/>
        </w:rPr>
        <w:endnoteReference w:id="175"/>
      </w:r>
      <w:r w:rsidRPr="00552A81">
        <w:t xml:space="preserve"> Children are also active members of communities within which business</w:t>
      </w:r>
      <w:r>
        <w:t>es</w:t>
      </w:r>
      <w:r w:rsidRPr="00552A81">
        <w:t xml:space="preserve"> operate.</w:t>
      </w:r>
      <w:r w:rsidRPr="00552A81">
        <w:rPr>
          <w:rStyle w:val="EndnoteReference"/>
        </w:rPr>
        <w:endnoteReference w:id="176"/>
      </w:r>
      <w:r>
        <w:t xml:space="preserve"> It is for these reasons I have chosen to focus on the human rights issues relating to children’s interactions with business. </w:t>
      </w:r>
    </w:p>
    <w:p w14:paraId="193E059B" w14:textId="6F5D39EE" w:rsidR="00AA3994" w:rsidRDefault="00AA3994" w:rsidP="00354AA1">
      <w:pPr>
        <w:pStyle w:val="SubmissionNormal"/>
        <w:numPr>
          <w:ilvl w:val="0"/>
          <w:numId w:val="0"/>
        </w:numPr>
        <w:jc w:val="both"/>
      </w:pPr>
      <w:r>
        <w:t xml:space="preserve">The </w:t>
      </w:r>
      <w:r w:rsidR="00DE57C1">
        <w:t xml:space="preserve">United Nations </w:t>
      </w:r>
      <w:r>
        <w:t>Committee on the Rights of the Child identifies four general principles</w:t>
      </w:r>
      <w:r>
        <w:rPr>
          <w:rStyle w:val="EndnoteReference"/>
        </w:rPr>
        <w:endnoteReference w:id="177"/>
      </w:r>
      <w:r>
        <w:t xml:space="preserve"> that should guide any decisions and actions (including by the private sector) that concern children.</w:t>
      </w:r>
      <w:r>
        <w:rPr>
          <w:rStyle w:val="EndnoteReference"/>
        </w:rPr>
        <w:endnoteReference w:id="178"/>
      </w:r>
      <w:r>
        <w:t xml:space="preserve"> These are the right to non-discrimination;</w:t>
      </w:r>
      <w:r>
        <w:rPr>
          <w:rStyle w:val="EndnoteReference"/>
        </w:rPr>
        <w:endnoteReference w:id="179"/>
      </w:r>
      <w:r>
        <w:t xml:space="preserve"> the best interests of the child;</w:t>
      </w:r>
      <w:r>
        <w:rPr>
          <w:rStyle w:val="EndnoteReference"/>
        </w:rPr>
        <w:endnoteReference w:id="180"/>
      </w:r>
      <w:r>
        <w:t xml:space="preserve"> the right to life; survival and development</w:t>
      </w:r>
      <w:r>
        <w:rPr>
          <w:rStyle w:val="EndnoteReference"/>
        </w:rPr>
        <w:endnoteReference w:id="181"/>
      </w:r>
      <w:r>
        <w:t xml:space="preserve"> and the right of the child to be heard.</w:t>
      </w:r>
      <w:r>
        <w:rPr>
          <w:rStyle w:val="EndnoteReference"/>
        </w:rPr>
        <w:endnoteReference w:id="182"/>
      </w:r>
      <w:r>
        <w:t xml:space="preserve"> </w:t>
      </w:r>
    </w:p>
    <w:p w14:paraId="7B69D662" w14:textId="77777777" w:rsidR="00AA3994" w:rsidRDefault="00AA3994" w:rsidP="00354AA1">
      <w:pPr>
        <w:pStyle w:val="SubmissionNormal"/>
        <w:numPr>
          <w:ilvl w:val="0"/>
          <w:numId w:val="0"/>
        </w:numPr>
        <w:jc w:val="both"/>
      </w:pPr>
      <w:r>
        <w:t>The application of these guiding principles to the activities of business raise issues as varied as poor work conditions for children;</w:t>
      </w:r>
      <w:r>
        <w:rPr>
          <w:rStyle w:val="EndnoteReference"/>
        </w:rPr>
        <w:endnoteReference w:id="183"/>
      </w:r>
      <w:r>
        <w:t xml:space="preserve"> inflexible work environments for parents and carers;</w:t>
      </w:r>
      <w:r>
        <w:rPr>
          <w:rStyle w:val="EndnoteReference"/>
        </w:rPr>
        <w:endnoteReference w:id="184"/>
      </w:r>
      <w:r>
        <w:t xml:space="preserve"> environmental and product safety;</w:t>
      </w:r>
      <w:r>
        <w:rPr>
          <w:rStyle w:val="EndnoteReference"/>
        </w:rPr>
        <w:endnoteReference w:id="185"/>
      </w:r>
      <w:r>
        <w:t xml:space="preserve"> use of child-appropriate marketing and advertising</w:t>
      </w:r>
      <w:r>
        <w:rPr>
          <w:rStyle w:val="EndnoteReference"/>
        </w:rPr>
        <w:endnoteReference w:id="186"/>
      </w:r>
      <w:r>
        <w:t xml:space="preserve"> and protection of children in emergency situations.</w:t>
      </w:r>
      <w:r>
        <w:rPr>
          <w:rStyle w:val="EndnoteReference"/>
        </w:rPr>
        <w:endnoteReference w:id="187"/>
      </w:r>
    </w:p>
    <w:p w14:paraId="26526DF5" w14:textId="77777777" w:rsidR="00AA3994" w:rsidRDefault="00AA3994" w:rsidP="00354AA1">
      <w:pPr>
        <w:pStyle w:val="SubmissionNormal"/>
        <w:numPr>
          <w:ilvl w:val="0"/>
          <w:numId w:val="0"/>
        </w:numPr>
        <w:jc w:val="both"/>
      </w:pPr>
      <w:r w:rsidRPr="00EF1665">
        <w:t>It is clear that business, whatever the size, and whether directly or indirectly, impacts on the rights of children on a daily basis.</w:t>
      </w:r>
      <w:r w:rsidRPr="006B2C16">
        <w:t xml:space="preserve"> Like family, school, </w:t>
      </w:r>
      <w:r>
        <w:t xml:space="preserve">and </w:t>
      </w:r>
      <w:r w:rsidRPr="006B2C16">
        <w:t>work, business has become an ‘institution’ in the lives of most people. It is difficult to imagine how, in modern life, interactions with business could be avoided. Rather, all sectors that form part of our contemporary society, whether it be government, business or civil society, are now major actors in protecting</w:t>
      </w:r>
      <w:r>
        <w:t xml:space="preserve"> children and advancing their rights. </w:t>
      </w:r>
    </w:p>
    <w:p w14:paraId="43510953" w14:textId="77777777" w:rsidR="00AA3994" w:rsidRPr="003A7717" w:rsidRDefault="00AA3994" w:rsidP="00354AA1">
      <w:pPr>
        <w:pStyle w:val="SubmissionNormal"/>
        <w:numPr>
          <w:ilvl w:val="0"/>
          <w:numId w:val="0"/>
        </w:numPr>
        <w:jc w:val="both"/>
      </w:pPr>
      <w:r>
        <w:t xml:space="preserve">Issues such as environmental hazards, product safety </w:t>
      </w:r>
      <w:r w:rsidRPr="00552A81">
        <w:t>and child labour have been central to discussions on children’s rights and business</w:t>
      </w:r>
      <w:r>
        <w:t xml:space="preserve"> to date</w:t>
      </w:r>
      <w:r w:rsidRPr="00552A81">
        <w:t>. The issue that has remained on the periphery, and which will be the focus of this chapter, is children as consumers.</w:t>
      </w:r>
      <w:r>
        <w:t xml:space="preserve"> </w:t>
      </w:r>
    </w:p>
    <w:p w14:paraId="16DF8D45" w14:textId="77777777" w:rsidR="00AA3994" w:rsidRDefault="00AA3994" w:rsidP="00354AA1">
      <w:pPr>
        <w:pStyle w:val="Heading3"/>
        <w:jc w:val="both"/>
      </w:pPr>
      <w:bookmarkStart w:id="82" w:name="_Toc430333083"/>
      <w:bookmarkStart w:id="83" w:name="_Toc430702076"/>
      <w:r>
        <w:t>Children as consumers</w:t>
      </w:r>
      <w:bookmarkEnd w:id="82"/>
      <w:bookmarkEnd w:id="83"/>
    </w:p>
    <w:p w14:paraId="193B5AEC" w14:textId="77777777" w:rsidR="00AA3994" w:rsidRDefault="00AA3994" w:rsidP="00354AA1">
      <w:pPr>
        <w:pStyle w:val="SubmissionNormal"/>
        <w:numPr>
          <w:ilvl w:val="0"/>
          <w:numId w:val="0"/>
        </w:numPr>
        <w:jc w:val="both"/>
      </w:pPr>
      <w:r>
        <w:t>It can be disconcerting to conceive of children as active ‘consumers’ in contrast with the idea of a naïve, passive childhood empty of all consumer urges. But research, and indeed the practices of the business sector itself, reveals a very different reality.</w:t>
      </w:r>
    </w:p>
    <w:p w14:paraId="151BD4D2" w14:textId="77777777" w:rsidR="00AA3994" w:rsidRDefault="00AA3994" w:rsidP="00354AA1">
      <w:pPr>
        <w:pStyle w:val="SubmissionNormal"/>
        <w:numPr>
          <w:ilvl w:val="0"/>
          <w:numId w:val="0"/>
        </w:numPr>
        <w:jc w:val="both"/>
      </w:pPr>
      <w:r w:rsidRPr="00552A81">
        <w:t>Children’s participation as consumers has been mapped in detail by business across different markets</w:t>
      </w:r>
      <w:r>
        <w:t>, precisely because they are key players in these markets</w:t>
      </w:r>
      <w:r w:rsidRPr="00552A81">
        <w:t>. Bodies of academic research exist</w:t>
      </w:r>
      <w:r w:rsidRPr="00552A81">
        <w:rPr>
          <w:rStyle w:val="EndnoteReference"/>
        </w:rPr>
        <w:endnoteReference w:id="188"/>
      </w:r>
      <w:r w:rsidRPr="00552A81">
        <w:t xml:space="preserve"> on the ‘consumer socialisation of children’ which analyses the</w:t>
      </w:r>
      <w:r>
        <w:t xml:space="preserve"> processes by which children ‘acquire skills, knowledge and attitudes relevant to their functioning as consumers in the market place’.</w:t>
      </w:r>
      <w:r>
        <w:rPr>
          <w:rStyle w:val="EndnoteReference"/>
        </w:rPr>
        <w:endnoteReference w:id="189"/>
      </w:r>
      <w:r>
        <w:t xml:space="preserve"> Children have been identified not only as active </w:t>
      </w:r>
      <w:r w:rsidRPr="005B2445">
        <w:t>individual consumers but as major influencers of parental purchases</w:t>
      </w:r>
      <w:r w:rsidRPr="005B2445">
        <w:rPr>
          <w:rStyle w:val="EndnoteReference"/>
        </w:rPr>
        <w:endnoteReference w:id="190"/>
      </w:r>
      <w:r w:rsidRPr="005B2445">
        <w:t xml:space="preserve"> and as potential future consumers.</w:t>
      </w:r>
      <w:r w:rsidRPr="005B2445">
        <w:rPr>
          <w:rStyle w:val="EndnoteReference"/>
        </w:rPr>
        <w:endnoteReference w:id="191"/>
      </w:r>
      <w:r w:rsidRPr="005B2445">
        <w:t xml:space="preserve"> </w:t>
      </w:r>
    </w:p>
    <w:p w14:paraId="67C041E5" w14:textId="77777777" w:rsidR="00AA3994" w:rsidRDefault="00AA3994" w:rsidP="00354AA1">
      <w:pPr>
        <w:pStyle w:val="SubmissionNormal"/>
        <w:numPr>
          <w:ilvl w:val="0"/>
          <w:numId w:val="0"/>
        </w:numPr>
        <w:jc w:val="both"/>
      </w:pPr>
      <w:r>
        <w:t>As a point of comparison, a US report published in 2001 found that children’s spending had ‘doubled’ during each decade of the 1960s, 1970s and 1980s and had ‘tripled’ in the 1990s.</w:t>
      </w:r>
      <w:r>
        <w:rPr>
          <w:rStyle w:val="EndnoteReference"/>
        </w:rPr>
        <w:endnoteReference w:id="192"/>
      </w:r>
      <w:r>
        <w:t xml:space="preserve"> At around the same time, estimates placed the value of the </w:t>
      </w:r>
      <w:r>
        <w:lastRenderedPageBreak/>
        <w:t>US children’s market at approximately $115 billion.</w:t>
      </w:r>
      <w:r>
        <w:rPr>
          <w:rStyle w:val="EndnoteReference"/>
        </w:rPr>
        <w:endnoteReference w:id="193"/>
      </w:r>
      <w:r>
        <w:t xml:space="preserve"> In Australia, a 1996 report of the Australian Law Reform Commission (ALRC) similarly noted that children ‘are significant consumers of goods and services’ with ‘markets in toys, fast food, entertainment and clothes…directed explicitly at children’.</w:t>
      </w:r>
      <w:r>
        <w:rPr>
          <w:rStyle w:val="EndnoteReference"/>
        </w:rPr>
        <w:endnoteReference w:id="194"/>
      </w:r>
      <w:r>
        <w:t xml:space="preserve"> </w:t>
      </w:r>
    </w:p>
    <w:p w14:paraId="55ACE494" w14:textId="77777777" w:rsidR="00AA3994" w:rsidRDefault="00AA3994" w:rsidP="00354AA1">
      <w:pPr>
        <w:pStyle w:val="SubmissionNormal"/>
        <w:numPr>
          <w:ilvl w:val="0"/>
          <w:numId w:val="0"/>
        </w:numPr>
        <w:jc w:val="both"/>
      </w:pPr>
      <w:r w:rsidRPr="00EF1665">
        <w:t>Children are active citizens, and being part of an ‘active citizenry’ includes engaging with business as consumers.</w:t>
      </w:r>
      <w:r>
        <w:t xml:space="preserve"> What this situation raises is the question of how to </w:t>
      </w:r>
      <w:r w:rsidRPr="00CB3DC6">
        <w:t>‘ethically’ engage with the ‘child consumer’.</w:t>
      </w:r>
      <w:r>
        <w:t xml:space="preserve"> </w:t>
      </w:r>
    </w:p>
    <w:p w14:paraId="64C9DB4E" w14:textId="77777777" w:rsidR="00AA3994" w:rsidRDefault="00AA3994" w:rsidP="00354AA1">
      <w:pPr>
        <w:pStyle w:val="SubmissionNormal"/>
        <w:numPr>
          <w:ilvl w:val="0"/>
          <w:numId w:val="0"/>
        </w:numPr>
        <w:jc w:val="both"/>
      </w:pPr>
      <w:r>
        <w:t xml:space="preserve">This has given rise to academic research and advocacy focused on a number of policy issues ranging from junk food advertising to product safety to the sexualisation of children in advertising. Yet one factor that has led to unparalleled change within the landscape of business and its impact on children’s lives has been the advent of the internet. </w:t>
      </w:r>
    </w:p>
    <w:p w14:paraId="2EEF1B80" w14:textId="77777777" w:rsidR="00AA3994" w:rsidRDefault="00AA3994" w:rsidP="00354AA1">
      <w:pPr>
        <w:pStyle w:val="Heading3"/>
        <w:jc w:val="both"/>
      </w:pPr>
      <w:bookmarkStart w:id="84" w:name="_Toc430333084"/>
      <w:bookmarkStart w:id="85" w:name="_Toc430702077"/>
      <w:r>
        <w:t>The impact of the internet</w:t>
      </w:r>
      <w:bookmarkEnd w:id="84"/>
      <w:bookmarkEnd w:id="85"/>
    </w:p>
    <w:p w14:paraId="25FEC103" w14:textId="77777777" w:rsidR="00AA3994" w:rsidRPr="00552A81" w:rsidRDefault="00AA3994" w:rsidP="00354AA1">
      <w:pPr>
        <w:pStyle w:val="SubmissionNormal"/>
        <w:numPr>
          <w:ilvl w:val="0"/>
          <w:numId w:val="0"/>
        </w:numPr>
        <w:jc w:val="both"/>
      </w:pPr>
      <w:r>
        <w:t>While the internet itself may no longer be considered ‘new’,</w:t>
      </w:r>
      <w:r w:rsidRPr="003262B3">
        <w:t xml:space="preserve"> its</w:t>
      </w:r>
      <w:r>
        <w:t xml:space="preserve"> ongoing</w:t>
      </w:r>
      <w:r w:rsidRPr="003262B3">
        <w:t xml:space="preserve"> impact</w:t>
      </w:r>
      <w:r>
        <w:t xml:space="preserve"> across areas of public and private life have created new and untested frontiers, the implications of which will continue to evolve. </w:t>
      </w:r>
      <w:r w:rsidRPr="00EF1665">
        <w:t>The internet has redefined not only what it means to be a business, but what it means to be a customer. It has aided the globalisation of business and facilitated the emergence of children as online consumers in particular.</w:t>
      </w:r>
      <w:r w:rsidRPr="00552A81">
        <w:t xml:space="preserve"> </w:t>
      </w:r>
    </w:p>
    <w:p w14:paraId="393F5CD1" w14:textId="7A753F80" w:rsidR="00AA3994" w:rsidRDefault="00AA3994" w:rsidP="00354AA1">
      <w:pPr>
        <w:pStyle w:val="SubmissionNormal"/>
        <w:numPr>
          <w:ilvl w:val="0"/>
          <w:numId w:val="0"/>
        </w:numPr>
        <w:jc w:val="both"/>
      </w:pPr>
      <w:r>
        <w:t>The i</w:t>
      </w:r>
      <w:r w:rsidRPr="00552A81">
        <w:t>nternet houses the new global shopfront</w:t>
      </w:r>
      <w:r>
        <w:t>,</w:t>
      </w:r>
      <w:r w:rsidRPr="00552A81">
        <w:t xml:space="preserve"> with consumer outlets finding their way off streets, out of shopping centres and straight into Australian homes. In 2012-13, over three-quarters (76</w:t>
      </w:r>
      <w:r>
        <w:t>%</w:t>
      </w:r>
      <w:r w:rsidRPr="00552A81">
        <w:t xml:space="preserve">) or three out of four </w:t>
      </w:r>
      <w:r>
        <w:t>of Australia’s 15.4 million i</w:t>
      </w:r>
      <w:r w:rsidRPr="00552A81">
        <w:t>nternet users bought somethin</w:t>
      </w:r>
      <w:r>
        <w:t>g on</w:t>
      </w:r>
      <w:r w:rsidRPr="00552A81">
        <w:t>line.</w:t>
      </w:r>
      <w:r w:rsidRPr="00552A81">
        <w:rPr>
          <w:rStyle w:val="EndnoteReference"/>
        </w:rPr>
        <w:endnoteReference w:id="195"/>
      </w:r>
      <w:r w:rsidRPr="00552A81">
        <w:t xml:space="preserve"> O</w:t>
      </w:r>
      <w:r>
        <w:t>f particular note within the on</w:t>
      </w:r>
      <w:r w:rsidRPr="00552A81">
        <w:t>line context</w:t>
      </w:r>
      <w:r>
        <w:t xml:space="preserve"> is the high level of i</w:t>
      </w:r>
      <w:r w:rsidRPr="00552A81">
        <w:t xml:space="preserve">nternet use by children in Australia. </w:t>
      </w:r>
    </w:p>
    <w:p w14:paraId="4ED897C4" w14:textId="43BA8AD9" w:rsidR="00AA3994" w:rsidRPr="00552A81" w:rsidRDefault="00AA3994" w:rsidP="00354AA1">
      <w:pPr>
        <w:pStyle w:val="SubmissionNormal"/>
        <w:numPr>
          <w:ilvl w:val="0"/>
          <w:numId w:val="0"/>
        </w:numPr>
        <w:jc w:val="both"/>
      </w:pPr>
      <w:r w:rsidRPr="00552A81">
        <w:t>The Australian Bureau of Statistics reports that 90% of children a</w:t>
      </w:r>
      <w:r>
        <w:t>ged 5 to 14 years accessed the i</w:t>
      </w:r>
      <w:r w:rsidRPr="00552A81">
        <w:t>nternet in the 12 months to April 2012.</w:t>
      </w:r>
      <w:r w:rsidRPr="00552A81">
        <w:rPr>
          <w:rStyle w:val="EndnoteReference"/>
        </w:rPr>
        <w:endnoteReference w:id="196"/>
      </w:r>
      <w:r w:rsidRPr="00552A81">
        <w:t xml:space="preserve"> This reflects a steady increase from 65% in 2006 and 79% in 2009.</w:t>
      </w:r>
      <w:r w:rsidRPr="00552A81">
        <w:rPr>
          <w:rStyle w:val="EndnoteReference"/>
        </w:rPr>
        <w:endnoteReference w:id="197"/>
      </w:r>
      <w:r w:rsidRPr="00552A81">
        <w:t xml:space="preserve"> Generally, the propor</w:t>
      </w:r>
      <w:r>
        <w:t>tion of children accessing the i</w:t>
      </w:r>
      <w:r w:rsidRPr="00552A81">
        <w:t xml:space="preserve">nternet increased with age with 79% of children </w:t>
      </w:r>
      <w:r w:rsidR="002E30E0">
        <w:t xml:space="preserve">aged </w:t>
      </w:r>
      <w:r w:rsidRPr="00552A81">
        <w:t xml:space="preserve">5 </w:t>
      </w:r>
      <w:r>
        <w:t>to 8 years having accessed the i</w:t>
      </w:r>
      <w:r w:rsidRPr="00552A81">
        <w:t>nternet, 96% of 9 to 11 year olds and 98% of 12 to 14 year olds.</w:t>
      </w:r>
      <w:r w:rsidRPr="00552A81">
        <w:rPr>
          <w:rStyle w:val="EndnoteReference"/>
        </w:rPr>
        <w:endnoteReference w:id="198"/>
      </w:r>
    </w:p>
    <w:p w14:paraId="66430BDF" w14:textId="666D8DC8" w:rsidR="00AA3994" w:rsidRDefault="00AA3994" w:rsidP="00354AA1">
      <w:pPr>
        <w:pStyle w:val="SubmissionNormal"/>
        <w:numPr>
          <w:ilvl w:val="0"/>
          <w:numId w:val="0"/>
        </w:numPr>
        <w:jc w:val="both"/>
      </w:pPr>
      <w:r w:rsidRPr="00552A81">
        <w:t xml:space="preserve">An increasingly important part of this context is the use of multiple internet-enabled devices such as mobile </w:t>
      </w:r>
      <w:r>
        <w:t xml:space="preserve">smart </w:t>
      </w:r>
      <w:r w:rsidRPr="00552A81">
        <w:t xml:space="preserve">phones. In relation to children and mobile </w:t>
      </w:r>
      <w:r>
        <w:t xml:space="preserve">smart </w:t>
      </w:r>
      <w:r w:rsidRPr="00552A81">
        <w:t xml:space="preserve">phone use, concerns have typically centred on contractual difficulties children have in understanding </w:t>
      </w:r>
      <w:r w:rsidR="002E30E0">
        <w:t xml:space="preserve">the </w:t>
      </w:r>
      <w:r w:rsidRPr="00552A81">
        <w:t>terms and conditions of phone contracts (and issues of debt recovery).</w:t>
      </w:r>
      <w:r w:rsidRPr="00552A81">
        <w:rPr>
          <w:rStyle w:val="EndnoteReference"/>
        </w:rPr>
        <w:endnoteReference w:id="199"/>
      </w:r>
      <w:r w:rsidRPr="00552A81">
        <w:t xml:space="preserve"> </w:t>
      </w:r>
    </w:p>
    <w:p w14:paraId="352B69C4" w14:textId="74C6E737" w:rsidR="00AA3994" w:rsidRPr="00552A81" w:rsidRDefault="00AA3994" w:rsidP="00354AA1">
      <w:pPr>
        <w:pStyle w:val="SubmissionNormal"/>
        <w:numPr>
          <w:ilvl w:val="0"/>
          <w:numId w:val="0"/>
        </w:numPr>
        <w:jc w:val="both"/>
      </w:pPr>
      <w:r w:rsidRPr="00552A81">
        <w:t>Yet an emerg</w:t>
      </w:r>
      <w:r>
        <w:t>ent</w:t>
      </w:r>
      <w:r w:rsidRPr="00552A81">
        <w:t xml:space="preserve"> issue </w:t>
      </w:r>
      <w:r>
        <w:t>is how access to the i</w:t>
      </w:r>
      <w:r w:rsidRPr="00552A81">
        <w:t xml:space="preserve">nternet itself has now proliferated across multi-functional devices offering users a ‘mobile’ platform. Research has found that 37% of </w:t>
      </w:r>
      <w:r w:rsidR="002E30E0">
        <w:t>8</w:t>
      </w:r>
      <w:r w:rsidRPr="00552A81">
        <w:t xml:space="preserve"> to </w:t>
      </w:r>
      <w:r w:rsidR="002E30E0">
        <w:t>9</w:t>
      </w:r>
      <w:r w:rsidRPr="00552A81">
        <w:t xml:space="preserve"> year olds and 51% of 10 to 11 year olds </w:t>
      </w:r>
      <w:r>
        <w:t>have at some time accessed the i</w:t>
      </w:r>
      <w:r w:rsidRPr="00552A81">
        <w:t>nternet via a mobile</w:t>
      </w:r>
      <w:r>
        <w:t xml:space="preserve"> smart </w:t>
      </w:r>
      <w:r w:rsidRPr="00552A81">
        <w:t>phone.</w:t>
      </w:r>
      <w:r w:rsidRPr="00552A81">
        <w:rPr>
          <w:rStyle w:val="EndnoteReference"/>
        </w:rPr>
        <w:endnoteReference w:id="200"/>
      </w:r>
      <w:r>
        <w:t xml:space="preserve"> Apart from desktop and lap top computers, other i</w:t>
      </w:r>
      <w:r w:rsidRPr="00552A81">
        <w:t xml:space="preserve">nternet enabled devices include </w:t>
      </w:r>
      <w:r w:rsidRPr="00B04377">
        <w:t>iPads</w:t>
      </w:r>
      <w:r>
        <w:t xml:space="preserve"> (tablets)</w:t>
      </w:r>
      <w:r w:rsidR="002E30E0">
        <w:t>, iPods and game</w:t>
      </w:r>
      <w:r w:rsidRPr="00B04377">
        <w:t xml:space="preserve"> consoles.</w:t>
      </w:r>
      <w:r w:rsidRPr="00B04377">
        <w:rPr>
          <w:rStyle w:val="EndnoteReference"/>
        </w:rPr>
        <w:endnoteReference w:id="201"/>
      </w:r>
      <w:r>
        <w:t xml:space="preserve"> </w:t>
      </w:r>
    </w:p>
    <w:p w14:paraId="5D85526D" w14:textId="77777777" w:rsidR="00AA3994" w:rsidRDefault="00AA3994" w:rsidP="00354AA1">
      <w:pPr>
        <w:pStyle w:val="SubmissionNormal"/>
        <w:numPr>
          <w:ilvl w:val="0"/>
          <w:numId w:val="0"/>
        </w:numPr>
        <w:jc w:val="both"/>
      </w:pPr>
      <w:r w:rsidRPr="00552A81">
        <w:t>While c</w:t>
      </w:r>
      <w:r>
        <w:t>hildren use the i</w:t>
      </w:r>
      <w:r w:rsidRPr="00552A81">
        <w:t>nternet for a variety of purposes such as study; listening to music; playing games and social networking</w:t>
      </w:r>
      <w:r w:rsidRPr="00552A81">
        <w:rPr>
          <w:rStyle w:val="EndnoteReference"/>
        </w:rPr>
        <w:endnoteReference w:id="202"/>
      </w:r>
      <w:r w:rsidRPr="00552A81">
        <w:t xml:space="preserve"> it is also being used as an information channel to research products and to </w:t>
      </w:r>
      <w:r>
        <w:t>shop on</w:t>
      </w:r>
      <w:r w:rsidRPr="00552A81">
        <w:t>line.</w:t>
      </w:r>
      <w:r w:rsidRPr="00552A81">
        <w:rPr>
          <w:rStyle w:val="EndnoteReference"/>
        </w:rPr>
        <w:endnoteReference w:id="203"/>
      </w:r>
      <w:r w:rsidRPr="00552A81">
        <w:t xml:space="preserve"> Purchases are being made either </w:t>
      </w:r>
      <w:r w:rsidRPr="00552A81">
        <w:lastRenderedPageBreak/>
        <w:t>directly by children or indirectly by others on their behalf</w:t>
      </w:r>
      <w:r w:rsidRPr="00552A81">
        <w:rPr>
          <w:rStyle w:val="EndnoteReference"/>
        </w:rPr>
        <w:endnoteReference w:id="204"/>
      </w:r>
      <w:r w:rsidRPr="00552A81">
        <w:t xml:space="preserve"> through a ‘mobile’ platform.</w:t>
      </w:r>
    </w:p>
    <w:p w14:paraId="5EB811B6" w14:textId="4EE87AF4" w:rsidR="00AA3994" w:rsidRDefault="00AA3994" w:rsidP="00354AA1">
      <w:pPr>
        <w:pStyle w:val="SubmissionNormal"/>
        <w:numPr>
          <w:ilvl w:val="0"/>
          <w:numId w:val="0"/>
        </w:numPr>
        <w:jc w:val="both"/>
      </w:pPr>
      <w:r>
        <w:t>It has also been reported that as of 2011 there were over a million apps available</w:t>
      </w:r>
      <w:r>
        <w:rPr>
          <w:rStyle w:val="EndnoteReference"/>
        </w:rPr>
        <w:endnoteReference w:id="205"/>
      </w:r>
      <w:r>
        <w:t xml:space="preserve"> with a corresponding increase in games that are available as apps.</w:t>
      </w:r>
      <w:r>
        <w:rPr>
          <w:rStyle w:val="EndnoteReference"/>
        </w:rPr>
        <w:endnoteReference w:id="206"/>
      </w:r>
      <w:r>
        <w:t xml:space="preserve"> Where businesses opt to offer or exclusively use online mobile platforms to sell goods</w:t>
      </w:r>
      <w:r w:rsidR="00840640">
        <w:t xml:space="preserve"> and services (such as through </w:t>
      </w:r>
      <w:r>
        <w:t xml:space="preserve">apps), choices about how customers shop are being made for them. </w:t>
      </w:r>
    </w:p>
    <w:p w14:paraId="568C6575" w14:textId="77777777" w:rsidR="00AA3994" w:rsidRDefault="00AA3994" w:rsidP="00354AA1">
      <w:pPr>
        <w:pStyle w:val="SubmissionNormal"/>
        <w:numPr>
          <w:ilvl w:val="0"/>
          <w:numId w:val="0"/>
        </w:numPr>
        <w:jc w:val="both"/>
      </w:pPr>
      <w:r>
        <w:t>As the consumer context undergoes rapid and fundamental change, issues arise as to whether children are adequately equipped to navigate this changed environment.</w:t>
      </w:r>
      <w:r w:rsidRPr="000445EC">
        <w:t xml:space="preserve"> The active participation of children as online consumers raises pressing questions about whether existing regulation remains relevant, balanced and adequate.</w:t>
      </w:r>
      <w:r>
        <w:t xml:space="preserve"> </w:t>
      </w:r>
    </w:p>
    <w:p w14:paraId="631D1A62" w14:textId="77777777" w:rsidR="00AA3994" w:rsidRDefault="00AA3994" w:rsidP="00354AA1">
      <w:pPr>
        <w:pStyle w:val="Heading3"/>
        <w:jc w:val="both"/>
      </w:pPr>
      <w:bookmarkStart w:id="86" w:name="_Toc430333085"/>
      <w:bookmarkStart w:id="87" w:name="_Toc430702078"/>
      <w:r>
        <w:t>An identified need for further investigation</w:t>
      </w:r>
      <w:bookmarkEnd w:id="86"/>
      <w:bookmarkEnd w:id="87"/>
    </w:p>
    <w:p w14:paraId="6E8A1C7B" w14:textId="66F02644" w:rsidR="00AA3994" w:rsidRPr="00552A81" w:rsidRDefault="00AA3994" w:rsidP="00354AA1">
      <w:pPr>
        <w:pStyle w:val="SubmissionNormal"/>
        <w:numPr>
          <w:ilvl w:val="0"/>
          <w:numId w:val="0"/>
        </w:numPr>
        <w:jc w:val="both"/>
      </w:pPr>
      <w:r w:rsidRPr="00552A81">
        <w:t>There is growing recognition and acceptance of the relevance of business to human rights.</w:t>
      </w:r>
      <w:r w:rsidRPr="00552A81">
        <w:rPr>
          <w:rStyle w:val="EndnoteReference"/>
        </w:rPr>
        <w:endnoteReference w:id="207"/>
      </w:r>
      <w:r w:rsidRPr="00552A81">
        <w:t xml:space="preserve"> The </w:t>
      </w:r>
      <w:r w:rsidR="00840640">
        <w:t xml:space="preserve">United Nations </w:t>
      </w:r>
      <w:r w:rsidRPr="00552A81">
        <w:t>Committee on the Rights of the Child highlights the specific role of national human rights institutions in raising awareness of the provisions of the Convent</w:t>
      </w:r>
      <w:r w:rsidR="00840640">
        <w:t xml:space="preserve">ion on the Rights of the Child </w:t>
      </w:r>
      <w:r w:rsidRPr="00552A81">
        <w:t>within the business sector.</w:t>
      </w:r>
      <w:r w:rsidRPr="00552A81">
        <w:rPr>
          <w:rStyle w:val="EndnoteReference"/>
        </w:rPr>
        <w:endnoteReference w:id="208"/>
      </w:r>
      <w:r>
        <w:t xml:space="preserve"> An impetus </w:t>
      </w:r>
      <w:r w:rsidRPr="00552A81">
        <w:t>exists to take stock of how children are treated within the Australian consumer environment.</w:t>
      </w:r>
    </w:p>
    <w:p w14:paraId="437396B1" w14:textId="0C1966AB" w:rsidR="00AA3994" w:rsidRPr="00552A81" w:rsidRDefault="00AA3994" w:rsidP="00354AA1">
      <w:pPr>
        <w:pStyle w:val="SubmissionNormal"/>
        <w:numPr>
          <w:ilvl w:val="0"/>
          <w:numId w:val="0"/>
        </w:numPr>
        <w:jc w:val="both"/>
      </w:pPr>
      <w:r w:rsidRPr="00552A81">
        <w:t>As a signatory to the Convention</w:t>
      </w:r>
      <w:r w:rsidR="00840640" w:rsidRPr="00840640">
        <w:t xml:space="preserve"> </w:t>
      </w:r>
      <w:r w:rsidR="00840640">
        <w:t>on the Rights of the Child</w:t>
      </w:r>
      <w:r w:rsidRPr="00552A81">
        <w:t xml:space="preserve">, the Australian </w:t>
      </w:r>
      <w:r>
        <w:t>G</w:t>
      </w:r>
      <w:r w:rsidRPr="00552A81">
        <w:t xml:space="preserve">overnment has an obligation to comply with its provisions. Business has a responsibility to uphold the human rights of children within its operations, as well as complying with relevant regulation that ensures this occurs. </w:t>
      </w:r>
    </w:p>
    <w:p w14:paraId="4468CF74" w14:textId="77777777" w:rsidR="00AA3994" w:rsidRPr="00552A81" w:rsidRDefault="00AA3994" w:rsidP="00354AA1">
      <w:pPr>
        <w:pStyle w:val="SubmissionNormal"/>
        <w:numPr>
          <w:ilvl w:val="0"/>
          <w:numId w:val="0"/>
        </w:numPr>
        <w:jc w:val="both"/>
      </w:pPr>
      <w:r w:rsidRPr="00552A81">
        <w:t>While the business sector has emerged as a key feature of Australian society, children’s role</w:t>
      </w:r>
      <w:r>
        <w:t xml:space="preserve"> as ‘on</w:t>
      </w:r>
      <w:r w:rsidRPr="00552A81">
        <w:t xml:space="preserve">line consumers’ remains peripheral to both consumer and cyber discourses. </w:t>
      </w:r>
      <w:r w:rsidRPr="000445EC">
        <w:t>It has attracted little research or data collection both domestically and internationally.</w:t>
      </w:r>
      <w:r w:rsidRPr="00552A81">
        <w:t xml:space="preserve"> </w:t>
      </w:r>
    </w:p>
    <w:p w14:paraId="03EB761A" w14:textId="77777777" w:rsidR="00AA3994" w:rsidRPr="00552A81" w:rsidRDefault="00AA3994" w:rsidP="00354AA1">
      <w:pPr>
        <w:pStyle w:val="SubmissionNormal"/>
        <w:numPr>
          <w:ilvl w:val="0"/>
          <w:numId w:val="0"/>
        </w:numPr>
        <w:jc w:val="both"/>
      </w:pPr>
      <w:r w:rsidRPr="00552A81">
        <w:t xml:space="preserve">It remains unclear what problems </w:t>
      </w:r>
      <w:r>
        <w:t>children are experiencing as on</w:t>
      </w:r>
      <w:r w:rsidRPr="00552A81">
        <w:t xml:space="preserve">line consumers and whether current regulation is sufficient to the task of ensuring children’s human rights are adequately safeguarded. Given this situation a need exists for further investigation into this issue. </w:t>
      </w:r>
    </w:p>
    <w:p w14:paraId="7B1E7891" w14:textId="53C9DD9D" w:rsidR="00AA3994" w:rsidRPr="00552A81" w:rsidRDefault="00AA3994" w:rsidP="00354AA1">
      <w:pPr>
        <w:pStyle w:val="SubmissionNormal"/>
        <w:numPr>
          <w:ilvl w:val="0"/>
          <w:numId w:val="0"/>
        </w:numPr>
        <w:jc w:val="both"/>
      </w:pPr>
      <w:r w:rsidRPr="00552A81">
        <w:t xml:space="preserve">Section 46MB(1)(c) of the </w:t>
      </w:r>
      <w:r w:rsidRPr="00840640">
        <w:rPr>
          <w:i/>
        </w:rPr>
        <w:t>Australian Human Rights Commission Act 1986</w:t>
      </w:r>
      <w:r w:rsidR="00840640">
        <w:t xml:space="preserve"> (Cth) </w:t>
      </w:r>
      <w:r w:rsidRPr="00552A81">
        <w:t>provides that the National Children’s Commissioner may:</w:t>
      </w:r>
    </w:p>
    <w:p w14:paraId="5B044A8F" w14:textId="77777777" w:rsidR="00AA3994" w:rsidRPr="00B16868" w:rsidRDefault="00AA3994" w:rsidP="00354AA1">
      <w:pPr>
        <w:pStyle w:val="SubmissionNormal"/>
        <w:numPr>
          <w:ilvl w:val="0"/>
          <w:numId w:val="0"/>
        </w:numPr>
        <w:ind w:left="971"/>
        <w:jc w:val="both"/>
        <w:rPr>
          <w:sz w:val="22"/>
        </w:rPr>
      </w:pPr>
      <w:r w:rsidRPr="00B16868">
        <w:rPr>
          <w:sz w:val="22"/>
        </w:rPr>
        <w:t>Undertake research, or educational or other programs, for the purpose of promoting respect for the human rights of children in Australia, and promoting the enjoyment and exercise of human rights by children in Australia.</w:t>
      </w:r>
    </w:p>
    <w:p w14:paraId="4EAD41C4" w14:textId="77777777" w:rsidR="00AA3994" w:rsidRPr="00552A81" w:rsidRDefault="00AA3994" w:rsidP="00354AA1">
      <w:pPr>
        <w:pStyle w:val="SubmissionNormal"/>
        <w:numPr>
          <w:ilvl w:val="0"/>
          <w:numId w:val="0"/>
        </w:numPr>
        <w:jc w:val="both"/>
      </w:pPr>
      <w:r w:rsidRPr="00552A81">
        <w:t xml:space="preserve">Utilising this function, </w:t>
      </w:r>
      <w:r>
        <w:t>I undertook an initial</w:t>
      </w:r>
      <w:r w:rsidRPr="00552A81">
        <w:t xml:space="preserve"> examination</w:t>
      </w:r>
      <w:r>
        <w:t xml:space="preserve"> </w:t>
      </w:r>
      <w:r w:rsidRPr="00552A81">
        <w:t>into issues relating to the impact of business on the human rights of children and young people (under the age of 18 years) as consumers</w:t>
      </w:r>
      <w:r>
        <w:t>, with a particular focus on the online environment</w:t>
      </w:r>
      <w:r w:rsidRPr="00552A81">
        <w:t xml:space="preserve">. </w:t>
      </w:r>
    </w:p>
    <w:p w14:paraId="67C0D2AB" w14:textId="77777777" w:rsidR="00AA3994" w:rsidRDefault="00AA3994" w:rsidP="00354AA1">
      <w:pPr>
        <w:pStyle w:val="SubmissionNormal"/>
        <w:numPr>
          <w:ilvl w:val="0"/>
          <w:numId w:val="0"/>
        </w:numPr>
        <w:jc w:val="both"/>
      </w:pPr>
      <w:r w:rsidRPr="00552A81">
        <w:t>Children are entitled to be active and empowered participants in all areas of</w:t>
      </w:r>
      <w:r w:rsidRPr="00F42C22">
        <w:t xml:space="preserve"> public life, including as consumers. It is our responsibility as a community to ensure that this occurs in </w:t>
      </w:r>
      <w:r>
        <w:t>a manner that respects and realises the human rights of children</w:t>
      </w:r>
      <w:r w:rsidRPr="00F42C22">
        <w:t>.</w:t>
      </w:r>
    </w:p>
    <w:p w14:paraId="6B5EDB7C" w14:textId="66F0C184" w:rsidR="00AA3994" w:rsidRDefault="00AA3994" w:rsidP="00354AA1">
      <w:pPr>
        <w:pStyle w:val="SubmissionNormal"/>
        <w:numPr>
          <w:ilvl w:val="0"/>
          <w:numId w:val="0"/>
        </w:numPr>
        <w:jc w:val="both"/>
      </w:pPr>
      <w:r w:rsidRPr="00552A81">
        <w:lastRenderedPageBreak/>
        <w:t>I hope that this examination will contribut</w:t>
      </w:r>
      <w:r>
        <w:t>e</w:t>
      </w:r>
      <w:r w:rsidRPr="00552A81">
        <w:t xml:space="preserve"> to the start of a </w:t>
      </w:r>
      <w:r>
        <w:t xml:space="preserve">national discussion about children’s rights as consumers, on </w:t>
      </w:r>
      <w:r w:rsidRPr="00552A81">
        <w:t>th</w:t>
      </w:r>
      <w:r>
        <w:t>eir activities and experiences, and on options to work collaboratively</w:t>
      </w:r>
      <w:r w:rsidRPr="00552A81">
        <w:t xml:space="preserve"> with business to further improve the on</w:t>
      </w:r>
      <w:r w:rsidR="002809BF">
        <w:t>line and off</w:t>
      </w:r>
      <w:r w:rsidRPr="00552A81">
        <w:t>line consumer context</w:t>
      </w:r>
      <w:r>
        <w:t xml:space="preserve"> for children and young people</w:t>
      </w:r>
      <w:r w:rsidRPr="00552A81">
        <w:t xml:space="preserve">. </w:t>
      </w:r>
    </w:p>
    <w:p w14:paraId="31171D6F" w14:textId="77777777" w:rsidR="00AA3994" w:rsidRPr="00881FEF" w:rsidRDefault="00AA3994" w:rsidP="00354AA1">
      <w:pPr>
        <w:pStyle w:val="Heading3"/>
        <w:jc w:val="both"/>
      </w:pPr>
      <w:bookmarkStart w:id="88" w:name="_Toc430333086"/>
      <w:bookmarkStart w:id="89" w:name="_Toc430702079"/>
      <w:r>
        <w:t>A child rights-based approach</w:t>
      </w:r>
      <w:bookmarkEnd w:id="88"/>
      <w:bookmarkEnd w:id="89"/>
    </w:p>
    <w:p w14:paraId="5ED0E8B0" w14:textId="579F3D96" w:rsidR="00AA3994" w:rsidRPr="00A56392" w:rsidRDefault="00AA3994" w:rsidP="00354AA1">
      <w:pPr>
        <w:pStyle w:val="SubmissionNormal"/>
        <w:numPr>
          <w:ilvl w:val="0"/>
          <w:numId w:val="0"/>
        </w:numPr>
        <w:shd w:val="clear" w:color="auto" w:fill="FFFFFF" w:themeFill="background1"/>
        <w:jc w:val="both"/>
      </w:pPr>
      <w:r w:rsidRPr="00A56392">
        <w:t xml:space="preserve">The </w:t>
      </w:r>
      <w:r w:rsidR="001820B0">
        <w:t xml:space="preserve">United Nations </w:t>
      </w:r>
      <w:r w:rsidRPr="00A56392">
        <w:t>Committee on the Rights of the Child actively promotes the adoption of a child rights-based approach</w:t>
      </w:r>
      <w:r w:rsidR="001820B0">
        <w:t>,</w:t>
      </w:r>
      <w:r w:rsidRPr="00A56392">
        <w:rPr>
          <w:rStyle w:val="EndnoteReference"/>
        </w:rPr>
        <w:endnoteReference w:id="209"/>
      </w:r>
      <w:r w:rsidRPr="00A56392">
        <w:t xml:space="preserve"> which is consistent with the Commission’s own objective of applying ‘a human-rights-based approach to its work’.</w:t>
      </w:r>
      <w:r w:rsidRPr="00A56392">
        <w:rPr>
          <w:rStyle w:val="EndnoteReference"/>
        </w:rPr>
        <w:endnoteReference w:id="210"/>
      </w:r>
      <w:r w:rsidRPr="00A56392">
        <w:t xml:space="preserve"> </w:t>
      </w:r>
    </w:p>
    <w:p w14:paraId="0F7B9F14" w14:textId="6750FEAC" w:rsidR="00AA3994" w:rsidRPr="00A56392" w:rsidRDefault="00AA3994" w:rsidP="00354AA1">
      <w:pPr>
        <w:pStyle w:val="SubmissionNormal"/>
        <w:numPr>
          <w:ilvl w:val="0"/>
          <w:numId w:val="0"/>
        </w:numPr>
        <w:shd w:val="clear" w:color="auto" w:fill="FFFFFF" w:themeFill="background1"/>
        <w:jc w:val="both"/>
        <w:rPr>
          <w:color w:val="000000" w:themeColor="text1"/>
        </w:rPr>
      </w:pPr>
      <w:r w:rsidRPr="00A56392">
        <w:rPr>
          <w:color w:val="000000" w:themeColor="text1"/>
        </w:rPr>
        <w:t>According to the Committee, a child</w:t>
      </w:r>
      <w:r w:rsidR="001820B0">
        <w:rPr>
          <w:color w:val="000000" w:themeColor="text1"/>
        </w:rPr>
        <w:t xml:space="preserve"> </w:t>
      </w:r>
      <w:r w:rsidRPr="00A56392">
        <w:rPr>
          <w:color w:val="000000" w:themeColor="text1"/>
        </w:rPr>
        <w:t>rights</w:t>
      </w:r>
      <w:r w:rsidR="001820B0">
        <w:rPr>
          <w:color w:val="000000" w:themeColor="text1"/>
        </w:rPr>
        <w:t>-</w:t>
      </w:r>
      <w:r w:rsidRPr="00A56392">
        <w:rPr>
          <w:color w:val="000000" w:themeColor="text1"/>
        </w:rPr>
        <w:t>based approach conceives of children as rights</w:t>
      </w:r>
      <w:r>
        <w:rPr>
          <w:color w:val="000000" w:themeColor="text1"/>
        </w:rPr>
        <w:t>-</w:t>
      </w:r>
      <w:r w:rsidRPr="00A56392">
        <w:rPr>
          <w:color w:val="000000" w:themeColor="text1"/>
        </w:rPr>
        <w:t>holders with non-negotiable rights to protection.</w:t>
      </w:r>
      <w:r w:rsidRPr="00A56392">
        <w:rPr>
          <w:rStyle w:val="EndnoteReference"/>
          <w:color w:val="000000" w:themeColor="text1"/>
        </w:rPr>
        <w:endnoteReference w:id="211"/>
      </w:r>
      <w:r w:rsidRPr="00A56392">
        <w:rPr>
          <w:color w:val="000000" w:themeColor="text1"/>
        </w:rPr>
        <w:t xml:space="preserve"> It is seen as distinct from ‘child protection approaches’ where children are treated as passive ‘objects’ in need of assistance.</w:t>
      </w:r>
      <w:r w:rsidRPr="00A56392">
        <w:rPr>
          <w:rStyle w:val="EndnoteReference"/>
          <w:color w:val="000000" w:themeColor="text1"/>
        </w:rPr>
        <w:endnoteReference w:id="212"/>
      </w:r>
      <w:r w:rsidRPr="00A56392">
        <w:rPr>
          <w:color w:val="000000" w:themeColor="text1"/>
        </w:rPr>
        <w:t xml:space="preserve"> </w:t>
      </w:r>
    </w:p>
    <w:p w14:paraId="14926E67" w14:textId="77777777" w:rsidR="00AA3994" w:rsidRPr="00A56392" w:rsidRDefault="00AA3994" w:rsidP="00354AA1">
      <w:pPr>
        <w:pStyle w:val="SubmissionNormal"/>
        <w:numPr>
          <w:ilvl w:val="0"/>
          <w:numId w:val="0"/>
        </w:numPr>
        <w:shd w:val="clear" w:color="auto" w:fill="FFFFFF" w:themeFill="background1"/>
        <w:jc w:val="both"/>
      </w:pPr>
      <w:r w:rsidRPr="00A56392">
        <w:t>A child rights-based approach aims to develop the capacity of duty bearers (such as governments) to meet their obligations and to build the capacity of rights</w:t>
      </w:r>
      <w:r>
        <w:t>-</w:t>
      </w:r>
      <w:r w:rsidRPr="00A56392">
        <w:t>holders (children) to claim their rights.</w:t>
      </w:r>
      <w:r w:rsidRPr="00A56392">
        <w:rPr>
          <w:rStyle w:val="EndnoteReference"/>
        </w:rPr>
        <w:endnoteReference w:id="213"/>
      </w:r>
      <w:r w:rsidRPr="00A56392">
        <w:t xml:space="preserve"> It is guided by four general principles</w:t>
      </w:r>
      <w:r w:rsidRPr="00A56392">
        <w:rPr>
          <w:rStyle w:val="EndnoteReference"/>
        </w:rPr>
        <w:endnoteReference w:id="214"/>
      </w:r>
      <w:r w:rsidRPr="00A56392">
        <w:t xml:space="preserve"> that the Committee has specifically applied to the business context which</w:t>
      </w:r>
      <w:r>
        <w:t xml:space="preserve"> are</w:t>
      </w:r>
      <w:r w:rsidRPr="00A56392">
        <w:t xml:space="preserve"> summarised below:</w:t>
      </w:r>
    </w:p>
    <w:p w14:paraId="50A2185E" w14:textId="3425BEE0" w:rsidR="00AA3994" w:rsidRPr="00A56392" w:rsidRDefault="00AA3994" w:rsidP="000D1D92">
      <w:pPr>
        <w:pStyle w:val="SubmissionNormal"/>
        <w:numPr>
          <w:ilvl w:val="0"/>
          <w:numId w:val="20"/>
        </w:numPr>
        <w:shd w:val="clear" w:color="auto" w:fill="FFFFFF" w:themeFill="background1"/>
        <w:jc w:val="both"/>
      </w:pPr>
      <w:r w:rsidRPr="00A56392">
        <w:rPr>
          <w:i/>
        </w:rPr>
        <w:t>Th</w:t>
      </w:r>
      <w:r w:rsidR="001820B0">
        <w:rPr>
          <w:i/>
        </w:rPr>
        <w:t>e right to non-discrimination (a</w:t>
      </w:r>
      <w:r w:rsidRPr="00A56392">
        <w:rPr>
          <w:i/>
        </w:rPr>
        <w:t>rticle 2)</w:t>
      </w:r>
      <w:r w:rsidRPr="00A56392">
        <w:t xml:space="preserve"> – in relation to business, the </w:t>
      </w:r>
      <w:r w:rsidR="001F0C3F">
        <w:t>State Party</w:t>
      </w:r>
      <w:r w:rsidRPr="00A56392">
        <w:t xml:space="preserve"> must ensure that all legislation, policies and programmes that deal with business issues do not discriminate (intentionally or unintentionally) against children.</w:t>
      </w:r>
      <w:r w:rsidRPr="00A56392">
        <w:rPr>
          <w:rStyle w:val="EndnoteReference"/>
        </w:rPr>
        <w:endnoteReference w:id="215"/>
      </w:r>
      <w:r w:rsidRPr="00A56392">
        <w:t xml:space="preserve"> States </w:t>
      </w:r>
      <w:r w:rsidR="001F0C3F">
        <w:t xml:space="preserve">Parties </w:t>
      </w:r>
      <w:r w:rsidRPr="00A56392">
        <w:t>should collect statistical data and other information to identify discrimination against children, raise awareness of it within the private sphere and provide a mechanism for redress.</w:t>
      </w:r>
      <w:r w:rsidRPr="00A56392">
        <w:rPr>
          <w:rStyle w:val="EndnoteReference"/>
        </w:rPr>
        <w:endnoteReference w:id="216"/>
      </w:r>
      <w:r w:rsidRPr="00A56392">
        <w:t xml:space="preserve"> </w:t>
      </w:r>
    </w:p>
    <w:p w14:paraId="758DBBC4" w14:textId="5375E073" w:rsidR="00AA3994" w:rsidRPr="00A56392" w:rsidRDefault="00AA3994" w:rsidP="000D1D92">
      <w:pPr>
        <w:pStyle w:val="SubmissionNormal"/>
        <w:numPr>
          <w:ilvl w:val="0"/>
          <w:numId w:val="20"/>
        </w:numPr>
        <w:shd w:val="clear" w:color="auto" w:fill="FFFFFF" w:themeFill="background1"/>
        <w:jc w:val="both"/>
      </w:pPr>
      <w:r w:rsidRPr="00A56392">
        <w:rPr>
          <w:i/>
        </w:rPr>
        <w:t>The best interests of the child (</w:t>
      </w:r>
      <w:r w:rsidR="001820B0">
        <w:rPr>
          <w:i/>
        </w:rPr>
        <w:t>a</w:t>
      </w:r>
      <w:r w:rsidRPr="00A56392">
        <w:rPr>
          <w:i/>
        </w:rPr>
        <w:t xml:space="preserve">rticle 3) – </w:t>
      </w:r>
      <w:r w:rsidRPr="00A56392">
        <w:t xml:space="preserve">the </w:t>
      </w:r>
      <w:r w:rsidR="001F0C3F">
        <w:t>State Party</w:t>
      </w:r>
      <w:r w:rsidRPr="00A56392">
        <w:t xml:space="preserve"> has an obligation to ensure that the best interests of the child are a primary consideration in decisions and actions taken by the private sector that impact on a child.</w:t>
      </w:r>
      <w:r w:rsidRPr="00A56392">
        <w:rPr>
          <w:rStyle w:val="EndnoteReference"/>
        </w:rPr>
        <w:endnoteReference w:id="217"/>
      </w:r>
      <w:r w:rsidRPr="00A56392">
        <w:t xml:space="preserve"> </w:t>
      </w:r>
      <w:r w:rsidR="00283AB8">
        <w:t>States Parties</w:t>
      </w:r>
      <w:r w:rsidRPr="00A56392">
        <w:t xml:space="preserve"> must apply the ‘best interests’ principle to all legislative, administrative and judicial proceedings concerning business activities that impact on children.</w:t>
      </w:r>
      <w:r w:rsidRPr="00A56392">
        <w:rPr>
          <w:rStyle w:val="EndnoteReference"/>
        </w:rPr>
        <w:endnoteReference w:id="218"/>
      </w:r>
      <w:r w:rsidRPr="00A56392">
        <w:t xml:space="preserve"> This includes explaining how the best interests of the child ha</w:t>
      </w:r>
      <w:r w:rsidR="001F0C3F">
        <w:t>ve</w:t>
      </w:r>
      <w:r w:rsidRPr="00A56392">
        <w:t xml:space="preserve"> been weighed against other policy considerations in government decision-making.</w:t>
      </w:r>
      <w:r w:rsidRPr="00A56392">
        <w:rPr>
          <w:rStyle w:val="EndnoteReference"/>
        </w:rPr>
        <w:endnoteReference w:id="219"/>
      </w:r>
    </w:p>
    <w:p w14:paraId="59694470" w14:textId="1CB7E212" w:rsidR="00AA3994" w:rsidRPr="00A56392" w:rsidRDefault="00AA3994" w:rsidP="000D1D92">
      <w:pPr>
        <w:pStyle w:val="SubmissionNormal"/>
        <w:numPr>
          <w:ilvl w:val="0"/>
          <w:numId w:val="20"/>
        </w:numPr>
        <w:shd w:val="clear" w:color="auto" w:fill="FFFFFF" w:themeFill="background1"/>
        <w:jc w:val="both"/>
      </w:pPr>
      <w:r w:rsidRPr="00A56392">
        <w:rPr>
          <w:i/>
        </w:rPr>
        <w:t>The right to life, survival and development (</w:t>
      </w:r>
      <w:r w:rsidR="001820B0">
        <w:rPr>
          <w:i/>
        </w:rPr>
        <w:t>a</w:t>
      </w:r>
      <w:r w:rsidRPr="00A56392">
        <w:rPr>
          <w:i/>
        </w:rPr>
        <w:t>rticle 6)</w:t>
      </w:r>
      <w:r w:rsidRPr="00A56392">
        <w:t xml:space="preserve"> – ‘development’ is defined as a ‘holistic concept, embracing the child’s physical, mental, spiritual, moral, psychological and social development’.</w:t>
      </w:r>
      <w:r w:rsidRPr="00A56392">
        <w:rPr>
          <w:rStyle w:val="EndnoteReference"/>
        </w:rPr>
        <w:endnoteReference w:id="220"/>
      </w:r>
      <w:r w:rsidRPr="00A56392">
        <w:t xml:space="preserve"> In the business-specific context, a child’s healthy development may be impacted on by certain forms of marketing and advertising</w:t>
      </w:r>
      <w:r>
        <w:t>, or products</w:t>
      </w:r>
      <w:r w:rsidRPr="00A56392">
        <w:t>.</w:t>
      </w:r>
      <w:r w:rsidRPr="00A56392">
        <w:rPr>
          <w:rStyle w:val="EndnoteReference"/>
        </w:rPr>
        <w:endnoteReference w:id="221"/>
      </w:r>
      <w:r w:rsidRPr="00A56392">
        <w:t xml:space="preserve"> Where this is the case, </w:t>
      </w:r>
      <w:r w:rsidR="00283AB8">
        <w:t>States Parties</w:t>
      </w:r>
      <w:r w:rsidRPr="00A56392">
        <w:t xml:space="preserve"> have an obligation to consider preventative measures such as effective regulation and monitoring of industr</w:t>
      </w:r>
      <w:r>
        <w:t>y</w:t>
      </w:r>
      <w:r w:rsidRPr="00A56392">
        <w:t>.</w:t>
      </w:r>
      <w:r w:rsidRPr="00A56392">
        <w:rPr>
          <w:rStyle w:val="EndnoteReference"/>
        </w:rPr>
        <w:endnoteReference w:id="222"/>
      </w:r>
    </w:p>
    <w:p w14:paraId="36736ECE" w14:textId="2446E815" w:rsidR="00AA3994" w:rsidRPr="00A56392" w:rsidRDefault="00AA3994" w:rsidP="000D1D92">
      <w:pPr>
        <w:pStyle w:val="SubmissionNormal"/>
        <w:numPr>
          <w:ilvl w:val="0"/>
          <w:numId w:val="20"/>
        </w:numPr>
        <w:shd w:val="clear" w:color="auto" w:fill="FFFFFF" w:themeFill="background1"/>
        <w:jc w:val="both"/>
      </w:pPr>
      <w:r w:rsidRPr="00A56392">
        <w:rPr>
          <w:i/>
        </w:rPr>
        <w:t>The right of the child to be heard (</w:t>
      </w:r>
      <w:r w:rsidR="001820B0">
        <w:rPr>
          <w:i/>
        </w:rPr>
        <w:t>a</w:t>
      </w:r>
      <w:r w:rsidRPr="00A56392">
        <w:rPr>
          <w:i/>
        </w:rPr>
        <w:t>rticle 12)</w:t>
      </w:r>
      <w:r w:rsidRPr="00A56392">
        <w:t xml:space="preserve"> – </w:t>
      </w:r>
      <w:r w:rsidR="001F0C3F">
        <w:t>S</w:t>
      </w:r>
      <w:r>
        <w:t>tate</w:t>
      </w:r>
      <w:r w:rsidR="00283AB8">
        <w:t>s</w:t>
      </w:r>
      <w:r>
        <w:t xml:space="preserve"> </w:t>
      </w:r>
      <w:r w:rsidR="001F0C3F">
        <w:t>P</w:t>
      </w:r>
      <w:r>
        <w:t>arties</w:t>
      </w:r>
      <w:r w:rsidRPr="00A56392">
        <w:t xml:space="preserve"> should provide children with the opportunity</w:t>
      </w:r>
      <w:r w:rsidRPr="00A56392">
        <w:rPr>
          <w:rStyle w:val="EndnoteReference"/>
        </w:rPr>
        <w:endnoteReference w:id="223"/>
      </w:r>
      <w:r w:rsidRPr="00A56392">
        <w:t xml:space="preserve"> to be heard when developing national and local-level business related laws and policies that may affect them.</w:t>
      </w:r>
      <w:r w:rsidRPr="00A56392">
        <w:rPr>
          <w:rStyle w:val="EndnoteReference"/>
        </w:rPr>
        <w:endnoteReference w:id="224"/>
      </w:r>
      <w:r w:rsidR="00283AB8">
        <w:t xml:space="preserve"> The State Party</w:t>
      </w:r>
      <w:r w:rsidRPr="00A56392">
        <w:t xml:space="preserve"> should encourage children to form ‘a free view’ and provide an </w:t>
      </w:r>
      <w:r w:rsidRPr="00A56392">
        <w:lastRenderedPageBreak/>
        <w:t>environment that enables children’s ability to be heard.</w:t>
      </w:r>
      <w:r w:rsidRPr="00A56392">
        <w:rPr>
          <w:rStyle w:val="EndnoteReference"/>
        </w:rPr>
        <w:endnoteReference w:id="225"/>
      </w:r>
      <w:r w:rsidRPr="00A56392">
        <w:t xml:space="preserve"> The broadest interpretation should be applied to matters that could impact on children in order to assist with their inclusion in the social processes of their community and society.</w:t>
      </w:r>
      <w:r w:rsidRPr="00A56392">
        <w:rPr>
          <w:rStyle w:val="EndnoteReference"/>
        </w:rPr>
        <w:endnoteReference w:id="226"/>
      </w:r>
      <w:r w:rsidRPr="00A56392">
        <w:t xml:space="preserve"> Pertinently for business, the Committee specifically refers to the necessity of procedures for complaints, including access to remedies or redress.</w:t>
      </w:r>
      <w:r w:rsidRPr="00A56392">
        <w:rPr>
          <w:rStyle w:val="EndnoteReference"/>
        </w:rPr>
        <w:endnoteReference w:id="227"/>
      </w:r>
      <w:r w:rsidRPr="00A56392">
        <w:t xml:space="preserve"> </w:t>
      </w:r>
      <w:r w:rsidRPr="007325D3">
        <w:t>Further to this, children’s voices</w:t>
      </w:r>
      <w:r>
        <w:t xml:space="preserve"> also</w:t>
      </w:r>
      <w:r w:rsidRPr="007325D3">
        <w:t xml:space="preserve"> have a critical part to play as engaged customers in the design process, as expert users of goods and services, to the benef</w:t>
      </w:r>
      <w:r>
        <w:t xml:space="preserve">it of the long term health of a </w:t>
      </w:r>
      <w:r w:rsidRPr="007325D3">
        <w:t>business.</w:t>
      </w:r>
      <w:r w:rsidRPr="007325D3">
        <w:rPr>
          <w:rStyle w:val="EndnoteReference"/>
        </w:rPr>
        <w:endnoteReference w:id="228"/>
      </w:r>
    </w:p>
    <w:p w14:paraId="056EA0D1" w14:textId="35B112FB" w:rsidR="00AA3994" w:rsidRPr="00A56392" w:rsidRDefault="00AA3994" w:rsidP="00354AA1">
      <w:pPr>
        <w:pStyle w:val="SubmissionNormal"/>
        <w:numPr>
          <w:ilvl w:val="0"/>
          <w:numId w:val="0"/>
        </w:numPr>
        <w:shd w:val="clear" w:color="auto" w:fill="FFFFFF" w:themeFill="background1"/>
        <w:jc w:val="both"/>
      </w:pPr>
      <w:r w:rsidRPr="00A56392">
        <w:t>These rights do not sit in isolation from each other and often intersect. For example, the right to be heard (</w:t>
      </w:r>
      <w:r w:rsidR="001F0C3F">
        <w:t>a</w:t>
      </w:r>
      <w:r w:rsidRPr="00A56392">
        <w:t>rticle 12) can be linked with the right to freedom of expression (</w:t>
      </w:r>
      <w:r w:rsidR="001F0C3F">
        <w:t>a</w:t>
      </w:r>
      <w:r w:rsidRPr="00A56392">
        <w:t>rticle 13) as can the child’s right to information (</w:t>
      </w:r>
      <w:r w:rsidR="001F0C3F">
        <w:t>a</w:t>
      </w:r>
      <w:r w:rsidRPr="00A56392">
        <w:t>rticle 17) which to a large degree, is a prerequisite to the ability to express one’s views.</w:t>
      </w:r>
      <w:r w:rsidRPr="00A56392">
        <w:rPr>
          <w:rStyle w:val="EndnoteReference"/>
        </w:rPr>
        <w:endnoteReference w:id="229"/>
      </w:r>
      <w:r w:rsidRPr="00A56392">
        <w:t xml:space="preserve"> </w:t>
      </w:r>
    </w:p>
    <w:p w14:paraId="001C2C73" w14:textId="77777777" w:rsidR="00AA3994" w:rsidRPr="00A56392" w:rsidRDefault="00AA3994" w:rsidP="00354AA1">
      <w:pPr>
        <w:pStyle w:val="SubmissionNormal"/>
        <w:numPr>
          <w:ilvl w:val="0"/>
          <w:numId w:val="0"/>
        </w:numPr>
        <w:shd w:val="clear" w:color="auto" w:fill="FFFFFF" w:themeFill="background1"/>
        <w:jc w:val="both"/>
      </w:pPr>
      <w:r w:rsidRPr="00A56392">
        <w:t>What must also be taken into account is that children are not a homogenous group and that this diversity must be incorporated into any assessment of the best interests of the child.</w:t>
      </w:r>
      <w:r w:rsidRPr="00A56392">
        <w:rPr>
          <w:rStyle w:val="EndnoteReference"/>
        </w:rPr>
        <w:endnoteReference w:id="230"/>
      </w:r>
      <w:r w:rsidRPr="00A56392">
        <w:t xml:space="preserve"> While children share basic universal needs, the expression of those needs can be affected by the sex, sexual orientation, national origin, religion and beliefs, cultural identity and/or personality of the child.</w:t>
      </w:r>
      <w:r w:rsidRPr="00A56392">
        <w:rPr>
          <w:rStyle w:val="EndnoteReference"/>
        </w:rPr>
        <w:endnoteReference w:id="231"/>
      </w:r>
      <w:r w:rsidRPr="00A56392">
        <w:t xml:space="preserve"> </w:t>
      </w:r>
    </w:p>
    <w:p w14:paraId="53E1E5EF" w14:textId="77777777" w:rsidR="00AA3994" w:rsidRPr="00A56392" w:rsidRDefault="00AA3994" w:rsidP="00354AA1">
      <w:pPr>
        <w:pStyle w:val="SubmissionNormal"/>
        <w:numPr>
          <w:ilvl w:val="0"/>
          <w:numId w:val="0"/>
        </w:numPr>
        <w:shd w:val="clear" w:color="auto" w:fill="FFFFFF" w:themeFill="background1"/>
        <w:jc w:val="both"/>
      </w:pPr>
      <w:r w:rsidRPr="00A56392">
        <w:t>Informed by this approach, the chapter includes an international survey of existing literature as well as a summary of key regulatory issues that emerge within the domestic legal context. Also included are the findings from a series of consultations</w:t>
      </w:r>
      <w:r>
        <w:t xml:space="preserve"> I have </w:t>
      </w:r>
      <w:r w:rsidRPr="00A56392">
        <w:t xml:space="preserve">undertaken with children on their experiences as consumers. </w:t>
      </w:r>
    </w:p>
    <w:p w14:paraId="1C3ED779" w14:textId="77777777" w:rsidR="00AA3994" w:rsidRDefault="00AA3994" w:rsidP="00354AA1">
      <w:pPr>
        <w:pStyle w:val="SubmissionNormal"/>
        <w:numPr>
          <w:ilvl w:val="0"/>
          <w:numId w:val="0"/>
        </w:numPr>
        <w:shd w:val="clear" w:color="auto" w:fill="FFFFFF" w:themeFill="background1"/>
        <w:jc w:val="both"/>
      </w:pPr>
      <w:r w:rsidRPr="00A56392">
        <w:t xml:space="preserve">For the purposes of this </w:t>
      </w:r>
      <w:r>
        <w:t>examination</w:t>
      </w:r>
      <w:r w:rsidRPr="00A56392">
        <w:t xml:space="preserve"> ‘consumer’ will be defined as ‘those who purchase goods and services for personal or household use’</w:t>
      </w:r>
      <w:r>
        <w:t>.</w:t>
      </w:r>
      <w:r>
        <w:rPr>
          <w:rStyle w:val="EndnoteReference"/>
        </w:rPr>
        <w:endnoteReference w:id="232"/>
      </w:r>
    </w:p>
    <w:p w14:paraId="31DCF00F" w14:textId="77777777" w:rsidR="00AA3994" w:rsidRDefault="00AA3994" w:rsidP="00354AA1">
      <w:pPr>
        <w:pStyle w:val="SubmissionNormal"/>
        <w:numPr>
          <w:ilvl w:val="0"/>
          <w:numId w:val="0"/>
        </w:numPr>
        <w:shd w:val="clear" w:color="auto" w:fill="FFFFFF" w:themeFill="background1"/>
        <w:jc w:val="both"/>
      </w:pPr>
      <w:r>
        <w:rPr>
          <w:noProof/>
        </w:rPr>
        <mc:AlternateContent>
          <mc:Choice Requires="wps">
            <w:drawing>
              <wp:inline distT="0" distB="0" distL="0" distR="0" wp14:anchorId="49C120FC" wp14:editId="3259D21A">
                <wp:extent cx="4883785" cy="4031311"/>
                <wp:effectExtent l="0" t="0" r="12065" b="26670"/>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785" cy="4031311"/>
                        </a:xfrm>
                        <a:prstGeom prst="rect">
                          <a:avLst/>
                        </a:prstGeom>
                        <a:solidFill>
                          <a:srgbClr val="FFFFFF"/>
                        </a:solidFill>
                        <a:ln w="9525">
                          <a:solidFill>
                            <a:srgbClr val="000000"/>
                          </a:solidFill>
                          <a:miter lim="800000"/>
                          <a:headEnd/>
                          <a:tailEnd/>
                        </a:ln>
                      </wps:spPr>
                      <wps:txbx>
                        <w:txbxContent>
                          <w:p w14:paraId="5B1B02C1" w14:textId="77777777" w:rsidR="00F008D2" w:rsidRPr="00C133A0" w:rsidRDefault="00F008D2" w:rsidP="00AA3994">
                            <w:pPr>
                              <w:rPr>
                                <w:b/>
                              </w:rPr>
                            </w:pPr>
                            <w:r w:rsidRPr="00C133A0">
                              <w:rPr>
                                <w:b/>
                              </w:rPr>
                              <w:t>Summary</w:t>
                            </w:r>
                          </w:p>
                          <w:p w14:paraId="364587D2" w14:textId="77777777" w:rsidR="00F008D2" w:rsidRDefault="00F008D2" w:rsidP="000D1D92">
                            <w:pPr>
                              <w:pStyle w:val="ListParagraph"/>
                              <w:numPr>
                                <w:ilvl w:val="0"/>
                                <w:numId w:val="21"/>
                              </w:numPr>
                            </w:pPr>
                            <w:r>
                              <w:t>International initiatives provide a valuable lens through which to consider children’s rights in the Australian business context</w:t>
                            </w:r>
                          </w:p>
                          <w:p w14:paraId="247857BC" w14:textId="77777777" w:rsidR="00F008D2" w:rsidRDefault="00F008D2" w:rsidP="00AA3994">
                            <w:pPr>
                              <w:pStyle w:val="ListParagraph"/>
                            </w:pPr>
                          </w:p>
                          <w:p w14:paraId="37CA95F9" w14:textId="6C09CE32" w:rsidR="00F008D2" w:rsidRDefault="00F008D2" w:rsidP="000D1D92">
                            <w:pPr>
                              <w:pStyle w:val="ListParagraph"/>
                              <w:numPr>
                                <w:ilvl w:val="0"/>
                                <w:numId w:val="21"/>
                              </w:numPr>
                            </w:pPr>
                            <w:r>
                              <w:t>It is clear that business impacts on the rights of children on a daily basis</w:t>
                            </w:r>
                          </w:p>
                          <w:p w14:paraId="71E840A7" w14:textId="77777777" w:rsidR="00F008D2" w:rsidRDefault="00F008D2" w:rsidP="00AA3994">
                            <w:pPr>
                              <w:pStyle w:val="ListParagraph"/>
                            </w:pPr>
                          </w:p>
                          <w:p w14:paraId="760546A4" w14:textId="77777777" w:rsidR="00F008D2" w:rsidRDefault="00F008D2" w:rsidP="000D1D92">
                            <w:pPr>
                              <w:pStyle w:val="ListParagraph"/>
                              <w:numPr>
                                <w:ilvl w:val="0"/>
                                <w:numId w:val="21"/>
                              </w:numPr>
                            </w:pPr>
                            <w:r>
                              <w:t>Children are active citizens which includes being consumers</w:t>
                            </w:r>
                          </w:p>
                          <w:p w14:paraId="43740B12" w14:textId="77777777" w:rsidR="00F008D2" w:rsidRDefault="00F008D2" w:rsidP="00AA3994">
                            <w:pPr>
                              <w:pStyle w:val="ListParagraph"/>
                            </w:pPr>
                          </w:p>
                          <w:p w14:paraId="55D9975E" w14:textId="603BF7BE" w:rsidR="00F008D2" w:rsidRPr="000445EC" w:rsidRDefault="00F008D2" w:rsidP="000D1D92">
                            <w:pPr>
                              <w:pStyle w:val="ListParagraph"/>
                              <w:numPr>
                                <w:ilvl w:val="0"/>
                                <w:numId w:val="21"/>
                              </w:numPr>
                            </w:pPr>
                            <w:r w:rsidRPr="00EF1665">
                              <w:t xml:space="preserve">The internet has redefined business </w:t>
                            </w:r>
                            <w:r>
                              <w:t>and facilitated children as online</w:t>
                            </w:r>
                            <w:r w:rsidRPr="00EF1665">
                              <w:t xml:space="preserve"> </w:t>
                            </w:r>
                            <w:r w:rsidRPr="000445EC">
                              <w:t>consumers</w:t>
                            </w:r>
                          </w:p>
                          <w:p w14:paraId="1790C539" w14:textId="77777777" w:rsidR="00F008D2" w:rsidRPr="000445EC" w:rsidRDefault="00F008D2" w:rsidP="000D1D92">
                            <w:pPr>
                              <w:pStyle w:val="SubmissionNormal"/>
                              <w:numPr>
                                <w:ilvl w:val="0"/>
                                <w:numId w:val="21"/>
                              </w:numPr>
                              <w:jc w:val="both"/>
                            </w:pPr>
                            <w:r>
                              <w:t xml:space="preserve">Pressing questions are raised </w:t>
                            </w:r>
                            <w:r w:rsidRPr="000445EC">
                              <w:t>about whether existing regulation remains relevant, balanced and adequate</w:t>
                            </w:r>
                          </w:p>
                          <w:p w14:paraId="27EAC78B" w14:textId="77777777" w:rsidR="00F008D2" w:rsidRDefault="00F008D2" w:rsidP="000D1D92">
                            <w:pPr>
                              <w:pStyle w:val="ListParagraph"/>
                              <w:numPr>
                                <w:ilvl w:val="0"/>
                                <w:numId w:val="21"/>
                              </w:numPr>
                            </w:pPr>
                            <w:r>
                              <w:t>This issue has attracted</w:t>
                            </w:r>
                            <w:r w:rsidRPr="000445EC">
                              <w:t xml:space="preserve"> little research or data collection both d</w:t>
                            </w:r>
                            <w:r>
                              <w:t>omestically and internationally</w:t>
                            </w:r>
                          </w:p>
                          <w:p w14:paraId="74F5DCEF" w14:textId="77777777" w:rsidR="00F008D2" w:rsidRDefault="00F008D2" w:rsidP="00AA3994">
                            <w:pPr>
                              <w:pStyle w:val="ListParagraph"/>
                            </w:pPr>
                          </w:p>
                          <w:p w14:paraId="1729BAEE" w14:textId="68094153" w:rsidR="00F008D2" w:rsidRDefault="00F008D2" w:rsidP="000D1D92">
                            <w:pPr>
                              <w:pStyle w:val="ListParagraph"/>
                              <w:numPr>
                                <w:ilvl w:val="0"/>
                                <w:numId w:val="21"/>
                              </w:numPr>
                            </w:pPr>
                            <w:r>
                              <w:t>A need exists for further investigation using a child-rights based approach.</w:t>
                            </w:r>
                          </w:p>
                        </w:txbxContent>
                      </wps:txbx>
                      <wps:bodyPr rot="0" vert="horz" wrap="square" lIns="91440" tIns="45720" rIns="91440" bIns="45720" anchor="t" anchorCtr="0">
                        <a:noAutofit/>
                      </wps:bodyPr>
                    </wps:wsp>
                  </a:graphicData>
                </a:graphic>
              </wp:inline>
            </w:drawing>
          </mc:Choice>
          <mc:Fallback>
            <w:pict>
              <v:shape w14:anchorId="49C120FC" id="Text Box 2" o:spid="_x0000_s1028" type="#_x0000_t202" style="width:384.55pt;height:31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">
                <v:textbox>
                  <w:txbxContent>
                    <w:p w14:paraId="5B1B02C1" w14:textId="77777777" w:rsidR="00F008D2" w:rsidRPr="00C133A0" w:rsidRDefault="00F008D2" w:rsidP="00AA3994">
                      <w:pPr>
                        <w:rPr>
                          <w:b/>
                        </w:rPr>
                      </w:pPr>
                      <w:r w:rsidRPr="00C133A0">
                        <w:rPr>
                          <w:b/>
                        </w:rPr>
                        <w:t>Summary</w:t>
                      </w:r>
                    </w:p>
                    <w:p w14:paraId="364587D2" w14:textId="77777777" w:rsidR="00F008D2" w:rsidRDefault="00F008D2" w:rsidP="000D1D92">
                      <w:pPr>
                        <w:pStyle w:val="ListParagraph"/>
                        <w:numPr>
                          <w:ilvl w:val="0"/>
                          <w:numId w:val="21"/>
                        </w:numPr>
                      </w:pPr>
                      <w:r>
                        <w:t>International initiatives provide a valuable lens through which to consider children’s rights in the Australian business context</w:t>
                      </w:r>
                    </w:p>
                    <w:p w14:paraId="247857BC" w14:textId="77777777" w:rsidR="00F008D2" w:rsidRDefault="00F008D2" w:rsidP="00AA3994">
                      <w:pPr>
                        <w:pStyle w:val="ListParagraph"/>
                      </w:pPr>
                    </w:p>
                    <w:p w14:paraId="37CA95F9" w14:textId="6C09CE32" w:rsidR="00F008D2" w:rsidRDefault="00F008D2" w:rsidP="000D1D92">
                      <w:pPr>
                        <w:pStyle w:val="ListParagraph"/>
                        <w:numPr>
                          <w:ilvl w:val="0"/>
                          <w:numId w:val="21"/>
                        </w:numPr>
                      </w:pPr>
                      <w:r>
                        <w:t>It is clear that business impacts on the rights of children on a daily basis</w:t>
                      </w:r>
                    </w:p>
                    <w:p w14:paraId="71E840A7" w14:textId="77777777" w:rsidR="00F008D2" w:rsidRDefault="00F008D2" w:rsidP="00AA3994">
                      <w:pPr>
                        <w:pStyle w:val="ListParagraph"/>
                      </w:pPr>
                    </w:p>
                    <w:p w14:paraId="760546A4" w14:textId="77777777" w:rsidR="00F008D2" w:rsidRDefault="00F008D2" w:rsidP="000D1D92">
                      <w:pPr>
                        <w:pStyle w:val="ListParagraph"/>
                        <w:numPr>
                          <w:ilvl w:val="0"/>
                          <w:numId w:val="21"/>
                        </w:numPr>
                      </w:pPr>
                      <w:r>
                        <w:t>Children are active citizens which includes being consumers</w:t>
                      </w:r>
                    </w:p>
                    <w:p w14:paraId="43740B12" w14:textId="77777777" w:rsidR="00F008D2" w:rsidRDefault="00F008D2" w:rsidP="00AA3994">
                      <w:pPr>
                        <w:pStyle w:val="ListParagraph"/>
                      </w:pPr>
                    </w:p>
                    <w:p w14:paraId="55D9975E" w14:textId="603BF7BE" w:rsidR="00F008D2" w:rsidRPr="000445EC" w:rsidRDefault="00F008D2" w:rsidP="000D1D92">
                      <w:pPr>
                        <w:pStyle w:val="ListParagraph"/>
                        <w:numPr>
                          <w:ilvl w:val="0"/>
                          <w:numId w:val="21"/>
                        </w:numPr>
                      </w:pPr>
                      <w:r w:rsidRPr="00EF1665">
                        <w:t xml:space="preserve">The internet has redefined business </w:t>
                      </w:r>
                      <w:r>
                        <w:t>and facilitated children as online</w:t>
                      </w:r>
                      <w:r w:rsidRPr="00EF1665">
                        <w:t xml:space="preserve"> </w:t>
                      </w:r>
                      <w:r w:rsidRPr="000445EC">
                        <w:t>consumers</w:t>
                      </w:r>
                    </w:p>
                    <w:p w14:paraId="1790C539" w14:textId="77777777" w:rsidR="00F008D2" w:rsidRPr="000445EC" w:rsidRDefault="00F008D2" w:rsidP="000D1D92">
                      <w:pPr>
                        <w:pStyle w:val="SubmissionNormal"/>
                        <w:numPr>
                          <w:ilvl w:val="0"/>
                          <w:numId w:val="21"/>
                        </w:numPr>
                        <w:jc w:val="both"/>
                      </w:pPr>
                      <w:r>
                        <w:t xml:space="preserve">Pressing questions are raised </w:t>
                      </w:r>
                      <w:r w:rsidRPr="000445EC">
                        <w:t>about whether existing regulation remains relevant, balanced and adequate</w:t>
                      </w:r>
                    </w:p>
                    <w:p w14:paraId="27EAC78B" w14:textId="77777777" w:rsidR="00F008D2" w:rsidRDefault="00F008D2" w:rsidP="000D1D92">
                      <w:pPr>
                        <w:pStyle w:val="ListParagraph"/>
                        <w:numPr>
                          <w:ilvl w:val="0"/>
                          <w:numId w:val="21"/>
                        </w:numPr>
                      </w:pPr>
                      <w:r>
                        <w:t>This issue has attracted</w:t>
                      </w:r>
                      <w:r w:rsidRPr="000445EC">
                        <w:t xml:space="preserve"> little research or data collection both d</w:t>
                      </w:r>
                      <w:r>
                        <w:t>omestically and internationally</w:t>
                      </w:r>
                    </w:p>
                    <w:p w14:paraId="74F5DCEF" w14:textId="77777777" w:rsidR="00F008D2" w:rsidRDefault="00F008D2" w:rsidP="00AA3994">
                      <w:pPr>
                        <w:pStyle w:val="ListParagraph"/>
                      </w:pPr>
                    </w:p>
                    <w:p w14:paraId="1729BAEE" w14:textId="68094153" w:rsidR="00F008D2" w:rsidRDefault="00F008D2" w:rsidP="000D1D92">
                      <w:pPr>
                        <w:pStyle w:val="ListParagraph"/>
                        <w:numPr>
                          <w:ilvl w:val="0"/>
                          <w:numId w:val="21"/>
                        </w:numPr>
                      </w:pPr>
                      <w:r>
                        <w:t>A need exists for further investigation using a child-rights based approach.</w:t>
                      </w:r>
                    </w:p>
                  </w:txbxContent>
                </v:textbox>
                <w10:anchorlock/>
              </v:shape>
            </w:pict>
          </mc:Fallback>
        </mc:AlternateContent>
      </w:r>
    </w:p>
    <w:p w14:paraId="03F244A6" w14:textId="77777777" w:rsidR="00AA3994" w:rsidRDefault="00AA3994" w:rsidP="00354AA1">
      <w:pPr>
        <w:pStyle w:val="Heading2"/>
        <w:jc w:val="both"/>
      </w:pPr>
      <w:bookmarkStart w:id="90" w:name="_Toc430333087"/>
      <w:bookmarkStart w:id="91" w:name="_Toc430702080"/>
      <w:bookmarkStart w:id="92" w:name="_Toc432577315"/>
      <w:r>
        <w:lastRenderedPageBreak/>
        <w:t>Literature review</w:t>
      </w:r>
      <w:bookmarkEnd w:id="90"/>
      <w:bookmarkEnd w:id="91"/>
      <w:bookmarkEnd w:id="92"/>
      <w:r w:rsidRPr="0010508C">
        <w:t xml:space="preserve"> </w:t>
      </w:r>
    </w:p>
    <w:p w14:paraId="00403594" w14:textId="77777777" w:rsidR="00AA3994" w:rsidRPr="00552A81" w:rsidRDefault="00AA3994" w:rsidP="00354AA1">
      <w:pPr>
        <w:pStyle w:val="SubmissionNormal"/>
        <w:numPr>
          <w:ilvl w:val="0"/>
          <w:numId w:val="0"/>
        </w:numPr>
        <w:jc w:val="both"/>
      </w:pPr>
      <w:r>
        <w:t xml:space="preserve">There is limited Australian research on children and business. While existing research largely reflects international sources, it has been undertaken in comparable </w:t>
      </w:r>
      <w:r w:rsidRPr="00552A81">
        <w:t>countries with similar levels of technology saturation and as such offers valuable insights into our own domestic context.</w:t>
      </w:r>
    </w:p>
    <w:p w14:paraId="3A5414C1" w14:textId="77777777" w:rsidR="00AA3994" w:rsidRPr="00552A81" w:rsidRDefault="00AA3994" w:rsidP="00354AA1">
      <w:pPr>
        <w:pStyle w:val="Heading3"/>
        <w:jc w:val="both"/>
      </w:pPr>
      <w:bookmarkStart w:id="93" w:name="_Toc430333088"/>
      <w:bookmarkStart w:id="94" w:name="_Toc430702081"/>
      <w:r w:rsidRPr="00552A81">
        <w:t>Children and the consumer market</w:t>
      </w:r>
      <w:bookmarkEnd w:id="93"/>
      <w:bookmarkEnd w:id="94"/>
    </w:p>
    <w:p w14:paraId="46AD0D7A" w14:textId="77777777" w:rsidR="00AA3994" w:rsidRDefault="00AA3994" w:rsidP="00354AA1">
      <w:pPr>
        <w:pStyle w:val="SubmissionNormal"/>
        <w:numPr>
          <w:ilvl w:val="0"/>
          <w:numId w:val="0"/>
        </w:numPr>
        <w:jc w:val="both"/>
      </w:pPr>
      <w:r w:rsidRPr="00801052">
        <w:t>Within the academic discipline of marketing research there is ‘little disagreement’ that children are both ‘stakeholders in business’ and ‘also consumers’.</w:t>
      </w:r>
      <w:r w:rsidRPr="00801052">
        <w:rPr>
          <w:rStyle w:val="EndnoteReference"/>
        </w:rPr>
        <w:endnoteReference w:id="233"/>
      </w:r>
      <w:r w:rsidRPr="00552A81">
        <w:t xml:space="preserve"> </w:t>
      </w:r>
      <w:r>
        <w:t xml:space="preserve">Children </w:t>
      </w:r>
      <w:r w:rsidRPr="00552A81">
        <w:t>have an increased ability to make consumer choices, including a significant role in influencing parental purchasing patterns, and have exposure to media, technology and brands</w:t>
      </w:r>
      <w:r>
        <w:t xml:space="preserve"> at quite</w:t>
      </w:r>
      <w:r w:rsidRPr="00552A81">
        <w:t xml:space="preserve"> early age</w:t>
      </w:r>
      <w:r>
        <w:t>s</w:t>
      </w:r>
      <w:r w:rsidRPr="00552A81">
        <w:t>.</w:t>
      </w:r>
      <w:r w:rsidRPr="00552A81">
        <w:rPr>
          <w:rStyle w:val="EndnoteReference"/>
        </w:rPr>
        <w:endnoteReference w:id="234"/>
      </w:r>
    </w:p>
    <w:p w14:paraId="77EACF9E" w14:textId="77777777" w:rsidR="00AA3994" w:rsidRDefault="00AA3994" w:rsidP="00354AA1">
      <w:pPr>
        <w:pStyle w:val="SubmissionNormal"/>
        <w:numPr>
          <w:ilvl w:val="0"/>
          <w:numId w:val="0"/>
        </w:numPr>
        <w:jc w:val="both"/>
      </w:pPr>
      <w:r w:rsidRPr="000336FA">
        <w:t>The fact that children are an identified part of the ‘global teen market’</w:t>
      </w:r>
      <w:r w:rsidRPr="000336FA">
        <w:rPr>
          <w:rStyle w:val="EndnoteReference"/>
        </w:rPr>
        <w:endnoteReference w:id="235"/>
      </w:r>
      <w:r w:rsidRPr="000336FA">
        <w:t xml:space="preserve"> seems</w:t>
      </w:r>
      <w:r>
        <w:t xml:space="preserve"> evident in the numerous marketing strategies directed specifically at children. </w:t>
      </w:r>
      <w:r w:rsidRPr="000336FA">
        <w:t xml:space="preserve">Within the European Union context, research has identified three distinct markets </w:t>
      </w:r>
      <w:r>
        <w:t>that</w:t>
      </w:r>
      <w:r w:rsidRPr="000336FA">
        <w:t xml:space="preserve"> are</w:t>
      </w:r>
      <w:r>
        <w:t xml:space="preserve"> relevant to children as consumers: the primary market (the direct spending of money); the parental market (influence over parental purchasing) and the future market (where consumer habits are seeded in childhood).</w:t>
      </w:r>
      <w:r>
        <w:rPr>
          <w:rStyle w:val="EndnoteReference"/>
        </w:rPr>
        <w:endnoteReference w:id="236"/>
      </w:r>
      <w:r>
        <w:t xml:space="preserve"> </w:t>
      </w:r>
    </w:p>
    <w:p w14:paraId="062BD97D" w14:textId="77777777" w:rsidR="00AA3994" w:rsidRDefault="00AA3994" w:rsidP="00354AA1">
      <w:pPr>
        <w:pStyle w:val="SubmissionNormal"/>
        <w:numPr>
          <w:ilvl w:val="0"/>
          <w:numId w:val="0"/>
        </w:numPr>
        <w:jc w:val="both"/>
      </w:pPr>
      <w:r>
        <w:t>Other approaches include the theory of ‘consumer socialisation’, which describes ‘processes by which young people acquire skills, knowledge and attitudes relevant to their functioning as consumers in the market place’.</w:t>
      </w:r>
      <w:r>
        <w:rPr>
          <w:rStyle w:val="EndnoteReference"/>
        </w:rPr>
        <w:endnoteReference w:id="237"/>
      </w:r>
      <w:r>
        <w:t xml:space="preserve"> </w:t>
      </w:r>
    </w:p>
    <w:p w14:paraId="5B4331E7" w14:textId="0A3E826F" w:rsidR="00AA3994" w:rsidRDefault="00AA3994" w:rsidP="00354AA1">
      <w:pPr>
        <w:pStyle w:val="SubmissionNormal"/>
        <w:numPr>
          <w:ilvl w:val="0"/>
          <w:numId w:val="0"/>
        </w:numPr>
        <w:jc w:val="both"/>
      </w:pPr>
      <w:r>
        <w:t>According to this approach, children pass through three stages: the ‘perceptual’ stage (ages 3 to 7 years) where children display familiarity with ‘brands or retail stores’.</w:t>
      </w:r>
      <w:r>
        <w:rPr>
          <w:rStyle w:val="EndnoteReference"/>
        </w:rPr>
        <w:endnoteReference w:id="238"/>
      </w:r>
      <w:r>
        <w:t xml:space="preserve"> The ‘analytical’ stage (ages 7 to 11 years) is where ‘products and brands are analysed and discriminated’ on the basis of a number of factors, including advertiser’s motives.</w:t>
      </w:r>
      <w:r>
        <w:rPr>
          <w:rStyle w:val="EndnoteReference"/>
        </w:rPr>
        <w:endnoteReference w:id="239"/>
      </w:r>
      <w:r>
        <w:t xml:space="preserve"> The final stage is the ‘reflective’ stage (ages 11 to 16</w:t>
      </w:r>
      <w:r w:rsidR="00C40B26">
        <w:t xml:space="preserve"> years</w:t>
      </w:r>
      <w:r>
        <w:t>) where marketplace concepts such as ‘branding and pricing’ becomes increasingly ‘nuanced and more complex’.</w:t>
      </w:r>
      <w:r>
        <w:rPr>
          <w:rStyle w:val="EndnoteReference"/>
        </w:rPr>
        <w:endnoteReference w:id="240"/>
      </w:r>
      <w:r>
        <w:t xml:space="preserve"> The latter stage sees children moving into adolescence with the growing need to ‘shape their own identity and conform to group expectations’.</w:t>
      </w:r>
      <w:r>
        <w:rPr>
          <w:rStyle w:val="EndnoteReference"/>
        </w:rPr>
        <w:endnoteReference w:id="241"/>
      </w:r>
      <w:r>
        <w:t xml:space="preserve"> </w:t>
      </w:r>
    </w:p>
    <w:p w14:paraId="3BDE4C2D" w14:textId="77777777" w:rsidR="00AA3994" w:rsidRPr="00552A81" w:rsidRDefault="00AA3994" w:rsidP="00354AA1">
      <w:pPr>
        <w:pStyle w:val="SubmissionNormal"/>
        <w:numPr>
          <w:ilvl w:val="0"/>
          <w:numId w:val="0"/>
        </w:numPr>
        <w:jc w:val="both"/>
      </w:pPr>
      <w:r w:rsidRPr="00552A81">
        <w:t>Related to this is ‘adolescent consumption autonomy’</w:t>
      </w:r>
      <w:r w:rsidRPr="00552A81">
        <w:rPr>
          <w:rStyle w:val="EndnoteReference"/>
        </w:rPr>
        <w:endnoteReference w:id="242"/>
      </w:r>
      <w:r w:rsidRPr="00552A81">
        <w:t xml:space="preserve"> which </w:t>
      </w:r>
      <w:r>
        <w:t>is described</w:t>
      </w:r>
      <w:r w:rsidRPr="00552A81">
        <w:t xml:space="preserve"> as part of the shift into ‘adulthood’, learning to exercise consumer decisions independent from parents and guardians.</w:t>
      </w:r>
      <w:r w:rsidRPr="00552A81">
        <w:rPr>
          <w:rStyle w:val="EndnoteReference"/>
        </w:rPr>
        <w:endnoteReference w:id="243"/>
      </w:r>
      <w:r w:rsidRPr="00552A81">
        <w:t xml:space="preserve"> Such decisions build ‘confidence to define their goals independent of the wishes of parents’ replaced instead with an increasing dependence on close peer relationships.</w:t>
      </w:r>
      <w:r w:rsidRPr="00552A81">
        <w:rPr>
          <w:rStyle w:val="EndnoteReference"/>
        </w:rPr>
        <w:endnoteReference w:id="244"/>
      </w:r>
      <w:r w:rsidRPr="00552A81">
        <w:t xml:space="preserve"> Business is able to use this information to formulate effective strategies for ‘targeting and serving adolescent consumers’ based on the degree to which consumption autonomy has been attained.</w:t>
      </w:r>
      <w:r w:rsidRPr="00552A81">
        <w:rPr>
          <w:rStyle w:val="EndnoteReference"/>
        </w:rPr>
        <w:endnoteReference w:id="245"/>
      </w:r>
      <w:r w:rsidRPr="00552A81">
        <w:t xml:space="preserve"> </w:t>
      </w:r>
    </w:p>
    <w:p w14:paraId="5A1D2B58" w14:textId="77777777" w:rsidR="00AA3994" w:rsidRPr="00552A81" w:rsidRDefault="00AA3994" w:rsidP="00354AA1">
      <w:pPr>
        <w:pStyle w:val="Heading3"/>
        <w:jc w:val="both"/>
      </w:pPr>
      <w:bookmarkStart w:id="95" w:name="_Toc430333089"/>
      <w:bookmarkStart w:id="96" w:name="_Toc430702082"/>
      <w:r>
        <w:t>Children and the on</w:t>
      </w:r>
      <w:r w:rsidRPr="00552A81">
        <w:t>line consumer market</w:t>
      </w:r>
      <w:bookmarkEnd w:id="95"/>
      <w:bookmarkEnd w:id="96"/>
    </w:p>
    <w:p w14:paraId="2C14B65F" w14:textId="77777777" w:rsidR="00AA3994" w:rsidRPr="00552A81" w:rsidRDefault="00AA3994" w:rsidP="00354AA1">
      <w:pPr>
        <w:pStyle w:val="SubmissionNormal"/>
        <w:numPr>
          <w:ilvl w:val="0"/>
          <w:numId w:val="0"/>
        </w:numPr>
        <w:jc w:val="both"/>
      </w:pPr>
      <w:r w:rsidRPr="00552A81">
        <w:t>While research</w:t>
      </w:r>
      <w:r>
        <w:t xml:space="preserve"> on i</w:t>
      </w:r>
      <w:r w:rsidRPr="00552A81">
        <w:t>nternet use largely relates to adults</w:t>
      </w:r>
      <w:r w:rsidRPr="00CE0099">
        <w:t>, children are seen ‘as one of the fastest growing online niches’.</w:t>
      </w:r>
      <w:r w:rsidRPr="00CE0099">
        <w:rPr>
          <w:rStyle w:val="EndnoteReference"/>
        </w:rPr>
        <w:endnoteReference w:id="246"/>
      </w:r>
      <w:r w:rsidRPr="00CE0099">
        <w:t xml:space="preserve"> A survey of ava</w:t>
      </w:r>
      <w:r w:rsidRPr="00552A81">
        <w:t xml:space="preserve">ilable </w:t>
      </w:r>
      <w:r>
        <w:t>data reveals very high i</w:t>
      </w:r>
      <w:r w:rsidRPr="00552A81">
        <w:t>nternet access and usage by children in Australia.</w:t>
      </w:r>
      <w:r w:rsidRPr="00552A81">
        <w:rPr>
          <w:rStyle w:val="EndnoteReference"/>
        </w:rPr>
        <w:endnoteReference w:id="247"/>
      </w:r>
      <w:r w:rsidRPr="00552A81">
        <w:t xml:space="preserve"> Proliferation has been further driven by the availability and use of multiple internet-enabled devices (such as mobile </w:t>
      </w:r>
      <w:r>
        <w:t xml:space="preserve">smart </w:t>
      </w:r>
      <w:r w:rsidRPr="00552A81">
        <w:t>phones, iPads, game consoles).</w:t>
      </w:r>
      <w:r w:rsidRPr="00552A81">
        <w:rPr>
          <w:rStyle w:val="EndnoteReference"/>
        </w:rPr>
        <w:endnoteReference w:id="248"/>
      </w:r>
      <w:r w:rsidRPr="00552A81">
        <w:t xml:space="preserve"> </w:t>
      </w:r>
      <w:r>
        <w:t>While the i</w:t>
      </w:r>
      <w:r w:rsidRPr="00552A81">
        <w:t xml:space="preserve">nternet is used by children for a </w:t>
      </w:r>
      <w:r w:rsidRPr="00552A81">
        <w:lastRenderedPageBreak/>
        <w:t>variety of purposes,</w:t>
      </w:r>
      <w:r w:rsidRPr="00552A81">
        <w:rPr>
          <w:rStyle w:val="EndnoteReference"/>
        </w:rPr>
        <w:endnoteReference w:id="249"/>
      </w:r>
      <w:r w:rsidRPr="00552A81">
        <w:t xml:space="preserve"> one commentator notes ‘if you can get someone to click on your site, it creates a relationship between product and consumer’.</w:t>
      </w:r>
      <w:r w:rsidRPr="00552A81">
        <w:rPr>
          <w:rStyle w:val="EndnoteReference"/>
        </w:rPr>
        <w:endnoteReference w:id="250"/>
      </w:r>
      <w:r w:rsidRPr="00552A81">
        <w:t xml:space="preserve"> </w:t>
      </w:r>
    </w:p>
    <w:p w14:paraId="31A52777" w14:textId="77777777" w:rsidR="00AA3994" w:rsidRDefault="00AA3994" w:rsidP="00354AA1">
      <w:pPr>
        <w:pStyle w:val="SubmissionNormal"/>
        <w:numPr>
          <w:ilvl w:val="0"/>
          <w:numId w:val="0"/>
        </w:numPr>
        <w:jc w:val="both"/>
      </w:pPr>
      <w:r w:rsidRPr="00552A81">
        <w:t>Research from the United Kingdom reveals a number of reasons why children buy pro</w:t>
      </w:r>
      <w:r>
        <w:t>ducts on</w:t>
      </w:r>
      <w:r w:rsidRPr="00552A81">
        <w:t>line</w:t>
      </w:r>
      <w:r w:rsidRPr="00552A81">
        <w:rPr>
          <w:rStyle w:val="EndnoteReference"/>
        </w:rPr>
        <w:endnoteReference w:id="251"/>
      </w:r>
      <w:r w:rsidRPr="00552A81">
        <w:t xml:space="preserve"> including the inability to purchase the product locally and the idea of ‘exclusivity’ (the ability to access a range of products that peers would not possess).</w:t>
      </w:r>
      <w:r w:rsidRPr="00552A81">
        <w:rPr>
          <w:rStyle w:val="EndnoteReference"/>
        </w:rPr>
        <w:endnoteReference w:id="252"/>
      </w:r>
      <w:r w:rsidRPr="00552A81">
        <w:t xml:space="preserve"> </w:t>
      </w:r>
    </w:p>
    <w:p w14:paraId="27E7C89D" w14:textId="77777777" w:rsidR="00AA3994" w:rsidRPr="00552A81" w:rsidRDefault="00AA3994" w:rsidP="00354AA1">
      <w:pPr>
        <w:pStyle w:val="SubmissionNormal"/>
        <w:numPr>
          <w:ilvl w:val="0"/>
          <w:numId w:val="0"/>
        </w:numPr>
        <w:jc w:val="both"/>
      </w:pPr>
      <w:r w:rsidRPr="00552A81">
        <w:t>Other research reveals that after education, ‘playing games is the most popular online activity for children between the ages of 5 and 14’.</w:t>
      </w:r>
      <w:r w:rsidRPr="00552A81">
        <w:rPr>
          <w:rStyle w:val="EndnoteReference"/>
        </w:rPr>
        <w:endnoteReference w:id="253"/>
      </w:r>
      <w:r w:rsidRPr="00552A81">
        <w:t xml:space="preserve"> </w:t>
      </w:r>
      <w:r w:rsidRPr="00FF4D21">
        <w:t>Apps are becoming increasingly popular with children in the context of the significant growth in games available exclusively as apps.</w:t>
      </w:r>
      <w:r w:rsidRPr="00FF4D21">
        <w:rPr>
          <w:rStyle w:val="EndnoteReference"/>
        </w:rPr>
        <w:endnoteReference w:id="254"/>
      </w:r>
      <w:r>
        <w:t xml:space="preserve"> </w:t>
      </w:r>
    </w:p>
    <w:p w14:paraId="0207F459" w14:textId="548B95B3" w:rsidR="00AA3994" w:rsidRDefault="00AA3994" w:rsidP="00354AA1">
      <w:pPr>
        <w:pStyle w:val="SubmissionNormal"/>
        <w:numPr>
          <w:ilvl w:val="0"/>
          <w:numId w:val="0"/>
        </w:numPr>
        <w:jc w:val="both"/>
      </w:pPr>
      <w:r w:rsidRPr="00CE0099">
        <w:t>The internet platform has also enabled more creative forms of consumption.</w:t>
      </w:r>
      <w:r w:rsidRPr="00552A81">
        <w:t xml:space="preserve"> </w:t>
      </w:r>
      <w:r w:rsidR="00C40B26">
        <w:t>One commentator argues that as ‘</w:t>
      </w:r>
      <w:r w:rsidRPr="00552A81">
        <w:t xml:space="preserve">traditional barriers between </w:t>
      </w:r>
      <w:r w:rsidR="00C40B26">
        <w:t>“</w:t>
      </w:r>
      <w:r w:rsidRPr="00552A81">
        <w:t>content and</w:t>
      </w:r>
      <w:r w:rsidR="00C40B26">
        <w:t xml:space="preserve"> commerce”</w:t>
      </w:r>
      <w:r>
        <w:t xml:space="preserve"> disappear’</w:t>
      </w:r>
      <w:r>
        <w:rPr>
          <w:rStyle w:val="EndnoteReference"/>
        </w:rPr>
        <w:endnoteReference w:id="255"/>
      </w:r>
      <w:r>
        <w:t xml:space="preserve"> the result is the emergence of a ‘children’s digital media culture”</w:t>
      </w:r>
      <w:r>
        <w:rPr>
          <w:rStyle w:val="EndnoteReference"/>
        </w:rPr>
        <w:endnoteReference w:id="256"/>
      </w:r>
      <w:r>
        <w:t xml:space="preserve"> where ‘new levels of intimacy are built between marketers and children’.</w:t>
      </w:r>
      <w:r>
        <w:rPr>
          <w:rStyle w:val="EndnoteReference"/>
        </w:rPr>
        <w:endnoteReference w:id="257"/>
      </w:r>
      <w:r>
        <w:t xml:space="preserve">  </w:t>
      </w:r>
    </w:p>
    <w:p w14:paraId="0635AE7C" w14:textId="77777777" w:rsidR="00AA3994" w:rsidRDefault="00AA3994" w:rsidP="00354AA1">
      <w:pPr>
        <w:pStyle w:val="SubmissionNormal"/>
        <w:numPr>
          <w:ilvl w:val="0"/>
          <w:numId w:val="0"/>
        </w:numPr>
        <w:jc w:val="both"/>
      </w:pPr>
      <w:r>
        <w:t>For example, an extension of the ‘online gaming’ model is where children purchase access to ‘virtual worlds’ in which they create content and ideas within a virtual context, in effect aiding the development of the game.</w:t>
      </w:r>
      <w:r>
        <w:rPr>
          <w:rStyle w:val="EndnoteReference"/>
        </w:rPr>
        <w:endnoteReference w:id="258"/>
      </w:r>
      <w:r>
        <w:t xml:space="preserve"> Businesses can incorporate contractual clauses that waive all intellectual property rights children possess to the work they produce online and claim it as the property of the business.</w:t>
      </w:r>
      <w:r>
        <w:rPr>
          <w:rStyle w:val="EndnoteReference"/>
        </w:rPr>
        <w:endnoteReference w:id="259"/>
      </w:r>
      <w:r>
        <w:t xml:space="preserve"> </w:t>
      </w:r>
    </w:p>
    <w:p w14:paraId="54738EB5" w14:textId="77777777" w:rsidR="00AA3994" w:rsidRDefault="00AA3994" w:rsidP="00354AA1">
      <w:pPr>
        <w:pStyle w:val="SubmissionNormal"/>
        <w:numPr>
          <w:ilvl w:val="0"/>
          <w:numId w:val="0"/>
        </w:numPr>
        <w:jc w:val="both"/>
      </w:pPr>
      <w:r>
        <w:t xml:space="preserve">Online virtual platforms have enabled a type of consumer situation where children are paying for the ability to develop the product of the business for free. Another area where there appears to be a similar coalescing of consumer and business objectives is in the area of online advertising. </w:t>
      </w:r>
    </w:p>
    <w:p w14:paraId="7036A768" w14:textId="77777777" w:rsidR="00AA3994" w:rsidRDefault="00AA3994" w:rsidP="00354AA1">
      <w:pPr>
        <w:pStyle w:val="Heading3"/>
        <w:jc w:val="both"/>
      </w:pPr>
      <w:bookmarkStart w:id="97" w:name="_Toc430333090"/>
      <w:bookmarkStart w:id="98" w:name="_Toc430702083"/>
      <w:r>
        <w:t>Online advertising</w:t>
      </w:r>
      <w:bookmarkEnd w:id="97"/>
      <w:bookmarkEnd w:id="98"/>
    </w:p>
    <w:p w14:paraId="7BC146C0" w14:textId="77777777" w:rsidR="00AA3994" w:rsidRPr="00552A81" w:rsidRDefault="00AA3994" w:rsidP="00354AA1">
      <w:pPr>
        <w:autoSpaceDE w:val="0"/>
        <w:autoSpaceDN w:val="0"/>
        <w:adjustRightInd w:val="0"/>
        <w:spacing w:before="0" w:after="0"/>
        <w:ind w:left="720"/>
        <w:jc w:val="both"/>
        <w:rPr>
          <w:rFonts w:cs="Arial"/>
          <w:iCs/>
          <w:sz w:val="20"/>
          <w:szCs w:val="20"/>
        </w:rPr>
      </w:pPr>
      <w:r w:rsidRPr="00552A81">
        <w:rPr>
          <w:rFonts w:cs="Arial"/>
          <w:iCs/>
          <w:color w:val="000000"/>
          <w:sz w:val="20"/>
          <w:szCs w:val="20"/>
        </w:rPr>
        <w:t xml:space="preserve">Peer pressure and it is like the adverts are on all the time saying what you should own – all the time even stuff in films. </w:t>
      </w:r>
      <w:r>
        <w:rPr>
          <w:rFonts w:cs="Arial"/>
          <w:color w:val="000000"/>
          <w:sz w:val="20"/>
          <w:szCs w:val="20"/>
        </w:rPr>
        <w:t>(</w:t>
      </w:r>
      <w:r>
        <w:rPr>
          <w:rFonts w:cs="Arial"/>
          <w:bCs/>
          <w:color w:val="000000"/>
          <w:sz w:val="20"/>
          <w:szCs w:val="20"/>
        </w:rPr>
        <w:t xml:space="preserve">Female, </w:t>
      </w:r>
      <w:r w:rsidRPr="00552A81">
        <w:rPr>
          <w:rFonts w:cs="Arial"/>
          <w:bCs/>
          <w:color w:val="000000"/>
          <w:sz w:val="20"/>
          <w:szCs w:val="20"/>
        </w:rPr>
        <w:t>13</w:t>
      </w:r>
      <w:r>
        <w:rPr>
          <w:rFonts w:cs="Arial"/>
          <w:bCs/>
          <w:color w:val="000000"/>
          <w:sz w:val="20"/>
          <w:szCs w:val="20"/>
        </w:rPr>
        <w:t xml:space="preserve"> years)</w:t>
      </w:r>
      <w:r w:rsidRPr="00552A81">
        <w:rPr>
          <w:rStyle w:val="EndnoteReference"/>
          <w:rFonts w:cs="Arial"/>
          <w:bCs/>
          <w:color w:val="000000"/>
          <w:szCs w:val="20"/>
        </w:rPr>
        <w:endnoteReference w:id="260"/>
      </w:r>
    </w:p>
    <w:p w14:paraId="40C42B43" w14:textId="4E3CB4A4" w:rsidR="00AA3994" w:rsidRPr="00552A81" w:rsidRDefault="00AA3994" w:rsidP="00354AA1">
      <w:pPr>
        <w:pStyle w:val="SubmissionNormal"/>
        <w:numPr>
          <w:ilvl w:val="0"/>
          <w:numId w:val="0"/>
        </w:numPr>
        <w:jc w:val="both"/>
      </w:pPr>
      <w:r w:rsidRPr="00552A81">
        <w:t>The importan</w:t>
      </w:r>
      <w:r>
        <w:t>ce of advertising within the on</w:t>
      </w:r>
      <w:r w:rsidRPr="00552A81">
        <w:t xml:space="preserve">line context is underscored </w:t>
      </w:r>
      <w:r>
        <w:t>by the fact that the i</w:t>
      </w:r>
      <w:r w:rsidRPr="00552A81">
        <w:t>nternet is used to research purchases regardless of whether the actual</w:t>
      </w:r>
      <w:r w:rsidR="00FE2EC2">
        <w:t xml:space="preserve"> purchase ultimately occurs off</w:t>
      </w:r>
      <w:r w:rsidRPr="00552A81">
        <w:t>line.</w:t>
      </w:r>
      <w:r w:rsidRPr="00552A81">
        <w:rPr>
          <w:rStyle w:val="EndnoteReference"/>
        </w:rPr>
        <w:endnoteReference w:id="261"/>
      </w:r>
      <w:r w:rsidRPr="00552A81">
        <w:t xml:space="preserve"> One</w:t>
      </w:r>
      <w:r>
        <w:t xml:space="preserve"> </w:t>
      </w:r>
      <w:r w:rsidR="00FE2EC2">
        <w:t>United Kingdom</w:t>
      </w:r>
      <w:r w:rsidRPr="00552A81">
        <w:t xml:space="preserve"> study in 2003 found that 41% of children ‘used the Internet for this activity, finding it a valuable method for gathering product information’.</w:t>
      </w:r>
      <w:r w:rsidRPr="00552A81">
        <w:rPr>
          <w:rStyle w:val="EndnoteReference"/>
        </w:rPr>
        <w:endnoteReference w:id="262"/>
      </w:r>
      <w:r w:rsidRPr="00552A81">
        <w:t xml:space="preserve"> It was seen as aiding an ‘informed’ consumer choice even where the purcha</w:t>
      </w:r>
      <w:r w:rsidR="00FE2EC2">
        <w:t>se itself was commonly made off</w:t>
      </w:r>
      <w:r w:rsidRPr="00552A81">
        <w:t>line.</w:t>
      </w:r>
      <w:r w:rsidRPr="00552A81">
        <w:rPr>
          <w:rStyle w:val="EndnoteReference"/>
        </w:rPr>
        <w:endnoteReference w:id="263"/>
      </w:r>
    </w:p>
    <w:p w14:paraId="40BC7864" w14:textId="77777777" w:rsidR="00AA3994" w:rsidRPr="00552A81" w:rsidRDefault="00AA3994" w:rsidP="00354AA1">
      <w:pPr>
        <w:pStyle w:val="SubmissionNormal"/>
        <w:numPr>
          <w:ilvl w:val="0"/>
          <w:numId w:val="0"/>
        </w:numPr>
        <w:ind w:left="720"/>
        <w:jc w:val="both"/>
        <w:rPr>
          <w:sz w:val="20"/>
          <w:szCs w:val="20"/>
        </w:rPr>
      </w:pPr>
      <w:r w:rsidRPr="00552A81">
        <w:rPr>
          <w:sz w:val="20"/>
          <w:szCs w:val="20"/>
        </w:rPr>
        <w:t>I like skating and body boarding and surfing and stuff, and I’ve seen ads that come up and actually offer skating and body boarding and surfing. I’m not sure if it’s just me or they were placing those surfing ones [ads] on everyone’s MySpace or just mine. (</w:t>
      </w:r>
      <w:r>
        <w:rPr>
          <w:sz w:val="20"/>
          <w:szCs w:val="20"/>
        </w:rPr>
        <w:t>Male</w:t>
      </w:r>
      <w:r w:rsidRPr="00552A81">
        <w:rPr>
          <w:sz w:val="20"/>
          <w:szCs w:val="20"/>
        </w:rPr>
        <w:t>, 16 years)</w:t>
      </w:r>
      <w:r w:rsidRPr="00552A81">
        <w:rPr>
          <w:rStyle w:val="EndnoteReference"/>
          <w:szCs w:val="20"/>
        </w:rPr>
        <w:endnoteReference w:id="264"/>
      </w:r>
    </w:p>
    <w:p w14:paraId="19636002" w14:textId="77777777" w:rsidR="00AA3994" w:rsidRPr="00FB60E3" w:rsidRDefault="00AA3994" w:rsidP="00354AA1">
      <w:pPr>
        <w:pStyle w:val="SubmissionNormal"/>
        <w:numPr>
          <w:ilvl w:val="0"/>
          <w:numId w:val="0"/>
        </w:numPr>
        <w:jc w:val="both"/>
        <w:rPr>
          <w:highlight w:val="yellow"/>
        </w:rPr>
      </w:pPr>
      <w:r w:rsidRPr="00CE0099">
        <w:t>Part of the online advertising context can involve the use of tracking software and spyware, without the child’s knowledge.</w:t>
      </w:r>
      <w:r w:rsidRPr="00CE0099">
        <w:rPr>
          <w:rStyle w:val="EndnoteReference"/>
        </w:rPr>
        <w:endnoteReference w:id="265"/>
      </w:r>
      <w:r w:rsidRPr="00552A81">
        <w:t xml:space="preserve"> This software allows marketers to know who is visiting their websites and can allow them to create an ‘extensive data file</w:t>
      </w:r>
      <w:r>
        <w:t xml:space="preserve"> about individual user’s preferences for places and products’.</w:t>
      </w:r>
      <w:r>
        <w:rPr>
          <w:rStyle w:val="EndnoteReference"/>
        </w:rPr>
        <w:endnoteReference w:id="266"/>
      </w:r>
      <w:r>
        <w:t xml:space="preserve"> Such amassed information can potentially be used for ‘one-on-one relational marketing strategies directed at </w:t>
      </w:r>
      <w:r w:rsidRPr="00CE0099">
        <w:t>specific individuals’</w:t>
      </w:r>
      <w:r w:rsidRPr="00CE0099">
        <w:rPr>
          <w:rStyle w:val="EndnoteReference"/>
        </w:rPr>
        <w:endnoteReference w:id="267"/>
      </w:r>
      <w:r w:rsidRPr="00CE0099">
        <w:t xml:space="preserve"> (for example, targeted advertising on social networking sites). </w:t>
      </w:r>
    </w:p>
    <w:p w14:paraId="1466F1BD" w14:textId="77777777" w:rsidR="00AA3994" w:rsidRDefault="00AA3994" w:rsidP="00354AA1">
      <w:pPr>
        <w:pStyle w:val="SubmissionNormal"/>
        <w:numPr>
          <w:ilvl w:val="0"/>
          <w:numId w:val="0"/>
        </w:numPr>
        <w:jc w:val="both"/>
      </w:pPr>
      <w:r w:rsidRPr="00896499">
        <w:lastRenderedPageBreak/>
        <w:t>An emerging practice in online marketing is where advertising becomes deeply embedded and integral to the online content or produc</w:t>
      </w:r>
      <w:r>
        <w:t>t purchased</w:t>
      </w:r>
      <w:r>
        <w:rPr>
          <w:rStyle w:val="EndnoteReference"/>
        </w:rPr>
        <w:endnoteReference w:id="268"/>
      </w:r>
      <w:r>
        <w:t xml:space="preserve"> or even becomes the product itself. New ways to market to children and young people are being explored through online media and wireless devices which can involve the use of stealth techniques.</w:t>
      </w:r>
      <w:r>
        <w:rPr>
          <w:rStyle w:val="EndnoteReference"/>
        </w:rPr>
        <w:endnoteReference w:id="269"/>
      </w:r>
      <w:r>
        <w:t xml:space="preserve"> Child consumers are ‘immersed in branded environments frequently without knowing that they are being exposed to sophisticated marketing campaigns’.</w:t>
      </w:r>
      <w:r>
        <w:rPr>
          <w:rStyle w:val="EndnoteReference"/>
        </w:rPr>
        <w:endnoteReference w:id="270"/>
      </w:r>
      <w:r>
        <w:t xml:space="preserve"> These stealth techniques aim to create ‘favorable views and memories of specific products’.</w:t>
      </w:r>
      <w:r>
        <w:rPr>
          <w:rStyle w:val="EndnoteReference"/>
        </w:rPr>
        <w:endnoteReference w:id="271"/>
      </w:r>
    </w:p>
    <w:p w14:paraId="4C549E4D" w14:textId="77777777" w:rsidR="00AA3994" w:rsidRDefault="00AA3994" w:rsidP="00354AA1">
      <w:pPr>
        <w:pStyle w:val="SubmissionNormal"/>
        <w:numPr>
          <w:ilvl w:val="0"/>
          <w:numId w:val="0"/>
        </w:numPr>
        <w:jc w:val="both"/>
      </w:pPr>
      <w:r>
        <w:t>There are innumerable commercial game sites that offer children ‘compelling and entertaining online spaces in which to build communities, create content and play games’.</w:t>
      </w:r>
      <w:r>
        <w:rPr>
          <w:rStyle w:val="EndnoteReference"/>
        </w:rPr>
        <w:endnoteReference w:id="272"/>
      </w:r>
      <w:r>
        <w:t xml:space="preserve"> However the same sites ‘award “points”, virtual currency, or similar incentives to players who fill out marketing surveys, visit sponsored sites, and participate in simple point and click “advergames”’.</w:t>
      </w:r>
      <w:r>
        <w:rPr>
          <w:rStyle w:val="EndnoteReference"/>
        </w:rPr>
        <w:endnoteReference w:id="273"/>
      </w:r>
      <w:r>
        <w:t xml:space="preserve"> </w:t>
      </w:r>
    </w:p>
    <w:p w14:paraId="6549C41D" w14:textId="77777777" w:rsidR="00AA3994" w:rsidRDefault="00AA3994" w:rsidP="00354AA1">
      <w:pPr>
        <w:pStyle w:val="SubmissionNormal"/>
        <w:numPr>
          <w:ilvl w:val="0"/>
          <w:numId w:val="0"/>
        </w:numPr>
        <w:jc w:val="both"/>
      </w:pPr>
      <w:r>
        <w:t>Advergames are games created by companies for their clients for the specific purpose of advertising products.</w:t>
      </w:r>
      <w:r>
        <w:rPr>
          <w:rStyle w:val="EndnoteReference"/>
        </w:rPr>
        <w:endnoteReference w:id="274"/>
      </w:r>
      <w:r>
        <w:t xml:space="preserve"> The brand can become ‘the hero of the game’ while entertaining the player at the same time.</w:t>
      </w:r>
      <w:r>
        <w:rPr>
          <w:rStyle w:val="EndnoteReference"/>
        </w:rPr>
        <w:endnoteReference w:id="275"/>
      </w:r>
      <w:r>
        <w:t xml:space="preserve"> The overriding objective is that, by the end of the game, the player should have learnt something of the brand/product.</w:t>
      </w:r>
      <w:r>
        <w:rPr>
          <w:rStyle w:val="EndnoteReference"/>
        </w:rPr>
        <w:endnoteReference w:id="276"/>
      </w:r>
      <w:r>
        <w:t xml:space="preserve"> In the advergaming context the advertisement is the product being consumed – there is no tangible difference between the two. </w:t>
      </w:r>
    </w:p>
    <w:p w14:paraId="59F58C10" w14:textId="20A25602" w:rsidR="00AA3994" w:rsidRPr="000060AE" w:rsidRDefault="00AA3994" w:rsidP="00354AA1">
      <w:pPr>
        <w:pStyle w:val="SubmissionNormal"/>
        <w:numPr>
          <w:ilvl w:val="0"/>
          <w:numId w:val="0"/>
        </w:numPr>
        <w:pBdr>
          <w:top w:val="single" w:sz="4" w:space="1" w:color="auto"/>
          <w:left w:val="single" w:sz="4" w:space="4" w:color="auto"/>
          <w:bottom w:val="single" w:sz="4" w:space="1" w:color="auto"/>
          <w:right w:val="single" w:sz="4" w:space="4" w:color="auto"/>
        </w:pBdr>
        <w:jc w:val="both"/>
        <w:rPr>
          <w:b/>
        </w:rPr>
      </w:pPr>
      <w:r w:rsidDel="00EA7502">
        <w:t xml:space="preserve"> </w:t>
      </w:r>
      <w:r>
        <w:rPr>
          <w:b/>
        </w:rPr>
        <w:t>‘</w:t>
      </w:r>
      <w:r w:rsidRPr="000060AE">
        <w:rPr>
          <w:b/>
        </w:rPr>
        <w:t>Neopet</w:t>
      </w:r>
      <w:r w:rsidR="00FE2EC2">
        <w:rPr>
          <w:b/>
        </w:rPr>
        <w:t>s</w:t>
      </w:r>
      <w:r>
        <w:rPr>
          <w:b/>
        </w:rPr>
        <w:t>’</w:t>
      </w:r>
      <w:r w:rsidRPr="000060AE">
        <w:rPr>
          <w:b/>
        </w:rPr>
        <w:t xml:space="preserve"> – advergaming example </w:t>
      </w:r>
    </w:p>
    <w:p w14:paraId="3C0B217F" w14:textId="0F1D4807" w:rsidR="00AA3994" w:rsidRDefault="00AA3994" w:rsidP="00354AA1">
      <w:pPr>
        <w:pStyle w:val="SubmissionNormal"/>
        <w:numPr>
          <w:ilvl w:val="0"/>
          <w:numId w:val="0"/>
        </w:numPr>
        <w:pBdr>
          <w:top w:val="single" w:sz="4" w:space="1" w:color="auto"/>
          <w:left w:val="single" w:sz="4" w:space="4" w:color="auto"/>
          <w:bottom w:val="single" w:sz="4" w:space="1" w:color="auto"/>
          <w:right w:val="single" w:sz="4" w:space="4" w:color="auto"/>
        </w:pBdr>
        <w:jc w:val="both"/>
      </w:pPr>
      <w:r>
        <w:t>The Neopet</w:t>
      </w:r>
      <w:r w:rsidR="00FE2EC2">
        <w:t>s</w:t>
      </w:r>
      <w:r w:rsidR="00BA2D97">
        <w:t xml:space="preserve"> web</w:t>
      </w:r>
      <w:r>
        <w:t>site has more than 50 million registered users. It is a free online site where members create or adopt a ‘NeoPet’ to look after and explore the community of ‘Neopia’.</w:t>
      </w:r>
      <w:r>
        <w:rPr>
          <w:rStyle w:val="EndnoteReference"/>
        </w:rPr>
        <w:endnoteReference w:id="277"/>
      </w:r>
      <w:r>
        <w:t xml:space="preserve"> Looking after the pet requires the acquisition of currency (‘NeoPoints’) which is gained by ‘playing various games, exchanging or selling items, filling out marketing surveys and entering contests and games of chance’.</w:t>
      </w:r>
      <w:r>
        <w:rPr>
          <w:rStyle w:val="EndnoteReference"/>
        </w:rPr>
        <w:endnoteReference w:id="278"/>
      </w:r>
      <w:r>
        <w:t xml:space="preserve"> Users are also encouraged to buy ‘a variety of related merchandise and collectables, which includes trading cards, plush toys, and numerous product tie-ins and licensed spin-offs’.</w:t>
      </w:r>
      <w:r>
        <w:rPr>
          <w:rStyle w:val="EndnoteReference"/>
        </w:rPr>
        <w:endnoteReference w:id="279"/>
      </w:r>
      <w:r>
        <w:t xml:space="preserve"> ‘Immersive advertising’ is used where products and brand names are integrated within the games and features of ‘Neopia’.</w:t>
      </w:r>
      <w:r>
        <w:rPr>
          <w:rStyle w:val="EndnoteReference"/>
        </w:rPr>
        <w:endnoteReference w:id="280"/>
      </w:r>
      <w:r>
        <w:t xml:space="preserve"> A substantial part of Neopets revenue is generated by providing ‘market research and consumer studies of its users’.</w:t>
      </w:r>
      <w:r>
        <w:rPr>
          <w:rStyle w:val="EndnoteReference"/>
        </w:rPr>
        <w:endnoteReference w:id="281"/>
      </w:r>
    </w:p>
    <w:p w14:paraId="1210DD41" w14:textId="77777777" w:rsidR="00AA3994" w:rsidRPr="00E806C3" w:rsidRDefault="00AA3994" w:rsidP="00354AA1">
      <w:pPr>
        <w:pStyle w:val="SubmissionNormal"/>
        <w:numPr>
          <w:ilvl w:val="0"/>
          <w:numId w:val="0"/>
        </w:numPr>
        <w:ind w:left="720"/>
        <w:jc w:val="both"/>
        <w:rPr>
          <w:sz w:val="20"/>
          <w:szCs w:val="20"/>
        </w:rPr>
      </w:pPr>
      <w:r w:rsidRPr="00E806C3">
        <w:rPr>
          <w:sz w:val="20"/>
          <w:szCs w:val="20"/>
        </w:rPr>
        <w:t>You sometimes go on to browse on these sites and you get emails saying fantastic sale, you click on and see what they are and you think that’s really cheap I might just get that, you haven’t actually thought of buying it</w:t>
      </w:r>
      <w:r>
        <w:rPr>
          <w:sz w:val="20"/>
          <w:szCs w:val="20"/>
        </w:rPr>
        <w:t>.</w:t>
      </w:r>
      <w:r w:rsidRPr="00E806C3">
        <w:rPr>
          <w:sz w:val="20"/>
          <w:szCs w:val="20"/>
        </w:rPr>
        <w:t xml:space="preserve"> (</w:t>
      </w:r>
      <w:r>
        <w:rPr>
          <w:sz w:val="20"/>
          <w:szCs w:val="20"/>
        </w:rPr>
        <w:t>Male,</w:t>
      </w:r>
      <w:r w:rsidRPr="00E806C3">
        <w:rPr>
          <w:sz w:val="20"/>
          <w:szCs w:val="20"/>
        </w:rPr>
        <w:t xml:space="preserve"> 16</w:t>
      </w:r>
      <w:r>
        <w:rPr>
          <w:sz w:val="20"/>
          <w:szCs w:val="20"/>
        </w:rPr>
        <w:t xml:space="preserve"> years</w:t>
      </w:r>
      <w:r w:rsidRPr="00E806C3">
        <w:rPr>
          <w:sz w:val="20"/>
          <w:szCs w:val="20"/>
        </w:rPr>
        <w:t>)</w:t>
      </w:r>
      <w:r w:rsidRPr="00E806C3">
        <w:rPr>
          <w:rStyle w:val="EndnoteReference"/>
          <w:szCs w:val="20"/>
        </w:rPr>
        <w:endnoteReference w:id="282"/>
      </w:r>
    </w:p>
    <w:p w14:paraId="2C04D178" w14:textId="77777777" w:rsidR="00AA3994" w:rsidRPr="00552A81" w:rsidRDefault="00AA3994" w:rsidP="00354AA1">
      <w:pPr>
        <w:pStyle w:val="SubmissionNormal"/>
        <w:numPr>
          <w:ilvl w:val="0"/>
          <w:numId w:val="0"/>
        </w:numPr>
        <w:jc w:val="both"/>
      </w:pPr>
      <w:r>
        <w:t>A number of commentators raise concerns about the susceptibility of young children to advertising where, cognitively speaking, they are less likely to identify strategies used to influence product choice.</w:t>
      </w:r>
      <w:r>
        <w:rPr>
          <w:rStyle w:val="EndnoteReference"/>
        </w:rPr>
        <w:endnoteReference w:id="283"/>
      </w:r>
      <w:r>
        <w:t xml:space="preserve"> Aggressive marketing strategies can also actively encourage children to use ‘pester power’ on guardians in order to influence </w:t>
      </w:r>
      <w:r w:rsidRPr="00552A81">
        <w:t>purchasing decisions.</w:t>
      </w:r>
      <w:r w:rsidRPr="00552A81">
        <w:rPr>
          <w:rStyle w:val="EndnoteReference"/>
        </w:rPr>
        <w:endnoteReference w:id="284"/>
      </w:r>
    </w:p>
    <w:p w14:paraId="4FE4ADAD" w14:textId="77777777" w:rsidR="00AA3994" w:rsidRPr="00BA0F44" w:rsidRDefault="00AA3994" w:rsidP="00354AA1">
      <w:pPr>
        <w:pStyle w:val="SubmissionNormal"/>
        <w:numPr>
          <w:ilvl w:val="0"/>
          <w:numId w:val="0"/>
        </w:numPr>
        <w:jc w:val="both"/>
      </w:pPr>
      <w:r w:rsidRPr="00552A81">
        <w:t xml:space="preserve">While there is significant research on the influence of television advertising on children of various ages, there </w:t>
      </w:r>
      <w:r w:rsidRPr="00BA0F44">
        <w:t>is little research on online advertising and its impact on children, particularly given the nature of new digital technologies.</w:t>
      </w:r>
      <w:r w:rsidRPr="00BA0F44">
        <w:rPr>
          <w:rStyle w:val="EndnoteReference"/>
        </w:rPr>
        <w:endnoteReference w:id="285"/>
      </w:r>
    </w:p>
    <w:p w14:paraId="12E7B1D3" w14:textId="77777777" w:rsidR="00AA3994" w:rsidRPr="00552A81" w:rsidRDefault="00AA3994" w:rsidP="00354AA1">
      <w:pPr>
        <w:pStyle w:val="SubmissionNormal"/>
        <w:numPr>
          <w:ilvl w:val="0"/>
          <w:numId w:val="0"/>
        </w:numPr>
        <w:jc w:val="both"/>
      </w:pPr>
      <w:r w:rsidRPr="00BA0F44">
        <w:t>These practices also raise questions about online privacy and whether this ‘research into children’ (or data mining) is occurring by ‘stealth’.</w:t>
      </w:r>
      <w:r w:rsidRPr="00BA0F44">
        <w:rPr>
          <w:rStyle w:val="EndnoteReference"/>
        </w:rPr>
        <w:endnoteReference w:id="286"/>
      </w:r>
      <w:r w:rsidRPr="00552A81">
        <w:t xml:space="preserve"> This is in contrast to the approach adopted by institutions such as academia and government where strict </w:t>
      </w:r>
      <w:r w:rsidRPr="00552A81">
        <w:lastRenderedPageBreak/>
        <w:t>ethical guidelines have been established</w:t>
      </w:r>
      <w:r>
        <w:t xml:space="preserve"> for such purposes</w:t>
      </w:r>
      <w:r w:rsidRPr="00552A81">
        <w:t>. Such guidelines closely regulate research conducted on children and ensure fully informed consent is secured from children and their guardians.</w:t>
      </w:r>
      <w:r w:rsidRPr="00552A81">
        <w:rPr>
          <w:rStyle w:val="EndnoteReference"/>
        </w:rPr>
        <w:endnoteReference w:id="287"/>
      </w:r>
      <w:r w:rsidRPr="00552A81">
        <w:t xml:space="preserve"> </w:t>
      </w:r>
    </w:p>
    <w:p w14:paraId="5D9D9550" w14:textId="77777777" w:rsidR="00AA3994" w:rsidRPr="00552A81" w:rsidRDefault="00AA3994" w:rsidP="00354AA1">
      <w:pPr>
        <w:pStyle w:val="Heading3"/>
        <w:jc w:val="both"/>
      </w:pPr>
      <w:bookmarkStart w:id="99" w:name="_Toc430333091"/>
      <w:bookmarkStart w:id="100" w:name="_Toc430702084"/>
      <w:r>
        <w:t>On</w:t>
      </w:r>
      <w:r w:rsidRPr="00552A81">
        <w:t>line privacy concerns</w:t>
      </w:r>
      <w:bookmarkEnd w:id="99"/>
      <w:bookmarkEnd w:id="100"/>
    </w:p>
    <w:p w14:paraId="0175F79B" w14:textId="2834FEB9" w:rsidR="00AA3994" w:rsidRPr="00552A81" w:rsidRDefault="00E05E66" w:rsidP="00354AA1">
      <w:pPr>
        <w:pStyle w:val="SubmissionNormal"/>
        <w:numPr>
          <w:ilvl w:val="0"/>
          <w:numId w:val="0"/>
        </w:numPr>
        <w:jc w:val="both"/>
      </w:pPr>
      <w:r>
        <w:t>I</w:t>
      </w:r>
      <w:r w:rsidR="00AA3994" w:rsidRPr="00552A81">
        <w:t xml:space="preserve">f contemporary children’s culture is truly </w:t>
      </w:r>
      <w:r>
        <w:t>‘</w:t>
      </w:r>
      <w:r w:rsidR="00AA3994" w:rsidRPr="00552A81">
        <w:t>inseparable from media use</w:t>
      </w:r>
      <w:r>
        <w:t>’</w:t>
      </w:r>
      <w:r w:rsidR="00850DA2">
        <w:t>,</w:t>
      </w:r>
      <w:r w:rsidR="00AA3994" w:rsidRPr="00552A81">
        <w:rPr>
          <w:rStyle w:val="EndnoteReference"/>
        </w:rPr>
        <w:endnoteReference w:id="288"/>
      </w:r>
      <w:r w:rsidR="00AA3994" w:rsidRPr="00552A81">
        <w:t xml:space="preserve"> it is also intimately familiar with emergin</w:t>
      </w:r>
      <w:r>
        <w:t>g forms of media surveillance</w:t>
      </w:r>
      <w:r w:rsidR="00AA3994" w:rsidRPr="00552A81">
        <w:t>.</w:t>
      </w:r>
      <w:r w:rsidR="00AA3994" w:rsidRPr="00552A81">
        <w:rPr>
          <w:rStyle w:val="EndnoteReference"/>
        </w:rPr>
        <w:endnoteReference w:id="289"/>
      </w:r>
      <w:r w:rsidR="00AA3994" w:rsidRPr="00552A81">
        <w:t xml:space="preserve"> The use of tracking software and spyware such as cookies</w:t>
      </w:r>
      <w:r w:rsidR="00AA3994" w:rsidRPr="00552A81">
        <w:rPr>
          <w:rStyle w:val="EndnoteReference"/>
        </w:rPr>
        <w:endnoteReference w:id="290"/>
      </w:r>
      <w:r w:rsidR="00AA3994" w:rsidRPr="00552A81">
        <w:t xml:space="preserve"> can be used to construct very detailed consumer profiles of a demographic group that is otherwise very difficult to gain access to.</w:t>
      </w:r>
      <w:r w:rsidR="00AA3994" w:rsidRPr="00552A81">
        <w:rPr>
          <w:rStyle w:val="EndnoteReference"/>
        </w:rPr>
        <w:endnoteReference w:id="291"/>
      </w:r>
      <w:r w:rsidR="00AA3994" w:rsidRPr="00552A81">
        <w:t xml:space="preserve"> It also facilitates the tailoring and strategic placement of advertisements on the screen page while the child is active on the website.</w:t>
      </w:r>
      <w:r w:rsidR="00AA3994" w:rsidRPr="00552A81">
        <w:rPr>
          <w:rStyle w:val="EndnoteReference"/>
        </w:rPr>
        <w:endnoteReference w:id="292"/>
      </w:r>
      <w:r w:rsidR="00AA3994" w:rsidRPr="00552A81">
        <w:t xml:space="preserve"> </w:t>
      </w:r>
    </w:p>
    <w:p w14:paraId="25A8AB1C" w14:textId="5D564840" w:rsidR="00AA3994" w:rsidRPr="00552A81" w:rsidRDefault="00AA3994" w:rsidP="00354AA1">
      <w:pPr>
        <w:pStyle w:val="SubmissionNormal"/>
        <w:numPr>
          <w:ilvl w:val="0"/>
          <w:numId w:val="0"/>
        </w:numPr>
        <w:jc w:val="both"/>
      </w:pPr>
      <w:r w:rsidRPr="00552A81">
        <w:t>Quite apart from individual websites collecting personal information, there is also the broader issue of data</w:t>
      </w:r>
      <w:r w:rsidR="00ED1722">
        <w:t xml:space="preserve"> </w:t>
      </w:r>
      <w:r w:rsidRPr="00552A81">
        <w:t>mining. Data mining algorithms search across raw data, identifying trends ‘and constructing generalisations and categories’.</w:t>
      </w:r>
      <w:r w:rsidRPr="00552A81">
        <w:rPr>
          <w:rStyle w:val="EndnoteReference"/>
        </w:rPr>
        <w:endnoteReference w:id="293"/>
      </w:r>
      <w:r w:rsidRPr="00552A81">
        <w:t xml:space="preserve"> This data is then cross-collated with other databases to produce a ‘truly staggering amount of consumer information’.</w:t>
      </w:r>
      <w:r w:rsidRPr="00552A81">
        <w:rPr>
          <w:rStyle w:val="EndnoteReference"/>
        </w:rPr>
        <w:endnoteReference w:id="294"/>
      </w:r>
      <w:r w:rsidRPr="00552A81">
        <w:t xml:space="preserve"> In this sense it is not so much the creation of children’s data footprints that is the issue as is the collection and use of such material by other parties, which can be for purposes completely unrelated to the original purpose.</w:t>
      </w:r>
      <w:r w:rsidRPr="00552A81">
        <w:rPr>
          <w:rStyle w:val="EndnoteReference"/>
        </w:rPr>
        <w:endnoteReference w:id="295"/>
      </w:r>
    </w:p>
    <w:p w14:paraId="52B914AF" w14:textId="6AA9A97A" w:rsidR="00AA3994" w:rsidRDefault="00AA3994" w:rsidP="00354AA1">
      <w:pPr>
        <w:pStyle w:val="SubmissionNormal"/>
        <w:numPr>
          <w:ilvl w:val="0"/>
          <w:numId w:val="0"/>
        </w:numPr>
        <w:jc w:val="both"/>
      </w:pPr>
      <w:r>
        <w:t>Other related on</w:t>
      </w:r>
      <w:r w:rsidRPr="00552A81">
        <w:t>line privacy concerns include receiving unsolicited emails; access to priv</w:t>
      </w:r>
      <w:r>
        <w:t>ate files; loss of anonymity on</w:t>
      </w:r>
      <w:r w:rsidRPr="00552A81">
        <w:t>line, unauthorised sharing or disclosure of information and misuse of personal financial details.</w:t>
      </w:r>
      <w:r w:rsidRPr="00552A81">
        <w:rPr>
          <w:rStyle w:val="EndnoteReference"/>
        </w:rPr>
        <w:endnoteReference w:id="296"/>
      </w:r>
      <w:r w:rsidRPr="00552A81">
        <w:t xml:space="preserve"> Notably, one research study revealed that the problems children saw with online shopping involved the security of</w:t>
      </w:r>
      <w:r>
        <w:t xml:space="preserve"> online transactions, providing personal details online and the subsequent junk emails received from companies.</w:t>
      </w:r>
      <w:r>
        <w:rPr>
          <w:rStyle w:val="EndnoteReference"/>
        </w:rPr>
        <w:endnoteReference w:id="297"/>
      </w:r>
    </w:p>
    <w:p w14:paraId="215B55CE" w14:textId="77777777" w:rsidR="00AA3994" w:rsidRDefault="00AA3994" w:rsidP="00354AA1">
      <w:pPr>
        <w:pStyle w:val="SubmissionNormal"/>
        <w:numPr>
          <w:ilvl w:val="0"/>
          <w:numId w:val="0"/>
        </w:numPr>
        <w:jc w:val="both"/>
      </w:pPr>
      <w:r>
        <w:t xml:space="preserve">Despite these issues, </w:t>
      </w:r>
      <w:r w:rsidRPr="00ED40C3">
        <w:t>a lack of research in this area has been identified where ‘policy makers have typically neglected children and youth, despite their online presence’ in e-commerce discussions.</w:t>
      </w:r>
      <w:r w:rsidRPr="00ED40C3">
        <w:rPr>
          <w:rStyle w:val="EndnoteReference"/>
        </w:rPr>
        <w:endnoteReference w:id="298"/>
      </w:r>
      <w:r>
        <w:t xml:space="preserve"> </w:t>
      </w:r>
    </w:p>
    <w:p w14:paraId="47F781EC" w14:textId="77777777" w:rsidR="00AA3994" w:rsidRPr="00552A81" w:rsidRDefault="00AA3994" w:rsidP="00354AA1">
      <w:pPr>
        <w:pStyle w:val="Heading3"/>
        <w:jc w:val="both"/>
      </w:pPr>
      <w:bookmarkStart w:id="101" w:name="_Toc430333092"/>
      <w:bookmarkStart w:id="102" w:name="_Toc430702085"/>
      <w:r w:rsidRPr="00552A81">
        <w:t>Regulatory issues</w:t>
      </w:r>
      <w:bookmarkEnd w:id="101"/>
      <w:bookmarkEnd w:id="102"/>
    </w:p>
    <w:p w14:paraId="7D401C83" w14:textId="77777777" w:rsidR="00AA3994" w:rsidRPr="00552A81" w:rsidRDefault="00AA3994" w:rsidP="00354AA1">
      <w:pPr>
        <w:pStyle w:val="SubmissionNormal"/>
        <w:numPr>
          <w:ilvl w:val="0"/>
          <w:numId w:val="0"/>
        </w:numPr>
        <w:jc w:val="both"/>
      </w:pPr>
      <w:r w:rsidRPr="00552A81">
        <w:t>With what has been called the ‘com</w:t>
      </w:r>
      <w:r>
        <w:t>mercialisation’ of the i</w:t>
      </w:r>
      <w:r w:rsidRPr="00552A81">
        <w:t>nternet, particularly for children,</w:t>
      </w:r>
      <w:r w:rsidRPr="00552A81">
        <w:rPr>
          <w:rStyle w:val="EndnoteReference"/>
        </w:rPr>
        <w:endnoteReference w:id="299"/>
      </w:r>
      <w:r w:rsidRPr="00552A81">
        <w:t xml:space="preserve"> questions arise as to whether existing regulation has kept up with the rapidly changing consumer environment as it impacts on children</w:t>
      </w:r>
      <w:r>
        <w:t>.</w:t>
      </w:r>
      <w:r w:rsidRPr="00552A81">
        <w:t xml:space="preserve"> It is argued that there is a </w:t>
      </w:r>
      <w:r>
        <w:t>pressing need to ‘</w:t>
      </w:r>
      <w:r w:rsidRPr="00552A81">
        <w:t>acknowledge children’s needs and emergi</w:t>
      </w:r>
      <w:r>
        <w:t>ng rights as “digital citizens”’</w:t>
      </w:r>
      <w:r w:rsidRPr="00ED5B92">
        <w:rPr>
          <w:rStyle w:val="EndnoteReference"/>
        </w:rPr>
        <w:t xml:space="preserve"> </w:t>
      </w:r>
      <w:r w:rsidRPr="00552A81">
        <w:rPr>
          <w:rStyle w:val="EndnoteReference"/>
        </w:rPr>
        <w:endnoteReference w:id="300"/>
      </w:r>
      <w:r w:rsidRPr="00552A81">
        <w:t xml:space="preserve"> within the online context</w:t>
      </w:r>
      <w:r>
        <w:t xml:space="preserve"> in particular</w:t>
      </w:r>
      <w:r w:rsidRPr="00552A81">
        <w:t xml:space="preserve">. </w:t>
      </w:r>
    </w:p>
    <w:p w14:paraId="1F92CF5E" w14:textId="6CA2F6E6" w:rsidR="00AA3994" w:rsidRPr="00552A81" w:rsidRDefault="00AA3994" w:rsidP="00354AA1">
      <w:pPr>
        <w:pStyle w:val="SubmissionNormal"/>
        <w:numPr>
          <w:ilvl w:val="0"/>
          <w:numId w:val="0"/>
        </w:numPr>
        <w:jc w:val="both"/>
      </w:pPr>
      <w:r w:rsidRPr="00552A81">
        <w:t>The picture revealed is of children who have ‘spending power to utilize their skills’ but who still lack the ability to make more informed choices.</w:t>
      </w:r>
      <w:r w:rsidRPr="00552A81">
        <w:rPr>
          <w:rStyle w:val="EndnoteReference"/>
        </w:rPr>
        <w:endnoteReference w:id="301"/>
      </w:r>
      <w:r w:rsidR="00ED1722">
        <w:t xml:space="preserve"> </w:t>
      </w:r>
      <w:r w:rsidRPr="00552A81">
        <w:t xml:space="preserve">The </w:t>
      </w:r>
      <w:r w:rsidRPr="00ED40C3">
        <w:t>idea of the adept ‘cyber-kid’ contrasts with the findings of studies that suggest children’s knowledge of the processes and issues associated with online use might actually be ‘quite superficial and limited’.</w:t>
      </w:r>
      <w:r w:rsidRPr="00ED40C3">
        <w:rPr>
          <w:rStyle w:val="EndnoteReference"/>
        </w:rPr>
        <w:endnoteReference w:id="302"/>
      </w:r>
      <w:r w:rsidRPr="00ED40C3">
        <w:t xml:space="preserve"> Ev</w:t>
      </w:r>
      <w:r w:rsidRPr="00552A81">
        <w:t>erything from the lack of attention to privacy policies to children’s limited understanding of key legal and economic concepts suggest the need for further inquiry ‘into children’s actual (as opposed to assumed) cyber-literacy’.</w:t>
      </w:r>
      <w:r w:rsidRPr="00552A81">
        <w:rPr>
          <w:rStyle w:val="EndnoteReference"/>
        </w:rPr>
        <w:endnoteReference w:id="303"/>
      </w:r>
    </w:p>
    <w:p w14:paraId="5E2A13B3" w14:textId="769747B9" w:rsidR="00AA3994" w:rsidRPr="00552A81" w:rsidRDefault="00AA3994" w:rsidP="00354AA1">
      <w:pPr>
        <w:pStyle w:val="SubmissionNormal"/>
        <w:numPr>
          <w:ilvl w:val="0"/>
          <w:numId w:val="0"/>
        </w:numPr>
        <w:jc w:val="both"/>
      </w:pPr>
      <w:r w:rsidRPr="00552A81">
        <w:t>I</w:t>
      </w:r>
      <w:r>
        <w:t>n the i</w:t>
      </w:r>
      <w:r w:rsidRPr="00552A81">
        <w:t>nternet era, children can no longer be insulated and protected from ‘the outside’ world as</w:t>
      </w:r>
      <w:r w:rsidR="00ED1722">
        <w:t xml:space="preserve"> arguably this no longer exists. I</w:t>
      </w:r>
      <w:r w:rsidRPr="00552A81">
        <w:t>nstead</w:t>
      </w:r>
      <w:r w:rsidR="00ED1722">
        <w:t>,</w:t>
      </w:r>
      <w:r w:rsidRPr="00552A81">
        <w:t xml:space="preserve"> childhood has become </w:t>
      </w:r>
      <w:r w:rsidRPr="00552A81">
        <w:lastRenderedPageBreak/>
        <w:t>inseparable from media use and media surveillance.</w:t>
      </w:r>
      <w:r w:rsidRPr="00552A81">
        <w:rPr>
          <w:rStyle w:val="EndnoteReference"/>
        </w:rPr>
        <w:endnoteReference w:id="304"/>
      </w:r>
      <w:r w:rsidRPr="00552A81">
        <w:t xml:space="preserve"> Amid these fundamental social shifts in how children participate, the challenge is to ensure children emerge, not just as competent users of technology, but also as active, empowered and consumer literate participants.</w:t>
      </w:r>
      <w:r w:rsidRPr="00552A81">
        <w:rPr>
          <w:rStyle w:val="EndnoteReference"/>
        </w:rPr>
        <w:endnoteReference w:id="305"/>
      </w:r>
      <w:r w:rsidRPr="00552A81">
        <w:t xml:space="preserve"> </w:t>
      </w:r>
    </w:p>
    <w:p w14:paraId="0F42AFF8" w14:textId="77777777" w:rsidR="00AA3994" w:rsidRPr="00552A81" w:rsidRDefault="00AA3994" w:rsidP="00354AA1">
      <w:pPr>
        <w:pStyle w:val="SubmissionNormal"/>
        <w:numPr>
          <w:ilvl w:val="0"/>
          <w:numId w:val="0"/>
        </w:numPr>
        <w:jc w:val="both"/>
      </w:pPr>
      <w:r w:rsidRPr="00ED40C3">
        <w:t>Contractual complexity is noted as an issue in,</w:t>
      </w:r>
      <w:r w:rsidRPr="00552A81">
        <w:t xml:space="preserve"> for example, children’s knowledge of privacy policies and how companies track, collect and use the</w:t>
      </w:r>
      <w:r>
        <w:t>ir personal information on the i</w:t>
      </w:r>
      <w:r w:rsidRPr="00552A81">
        <w:t>nternet.</w:t>
      </w:r>
      <w:r w:rsidRPr="00552A81">
        <w:rPr>
          <w:rStyle w:val="EndnoteReference"/>
        </w:rPr>
        <w:endnoteReference w:id="306"/>
      </w:r>
      <w:r w:rsidRPr="00552A81">
        <w:t xml:space="preserve"> Similar issues arise where children agree to </w:t>
      </w:r>
      <w:r>
        <w:t>e</w:t>
      </w:r>
      <w:r w:rsidRPr="00552A81">
        <w:t>nd-use license agreements which are mostly written in inaccessible language and easily bypassed or agreed to.</w:t>
      </w:r>
      <w:r w:rsidRPr="00552A81">
        <w:rPr>
          <w:rStyle w:val="EndnoteReference"/>
        </w:rPr>
        <w:endnoteReference w:id="307"/>
      </w:r>
      <w:r w:rsidRPr="00552A81">
        <w:t xml:space="preserve"> These agreements put the onus on the child to seek parental consent</w:t>
      </w:r>
      <w:r w:rsidRPr="00552A81">
        <w:rPr>
          <w:rStyle w:val="EndnoteReference"/>
        </w:rPr>
        <w:endnoteReference w:id="308"/>
      </w:r>
      <w:r w:rsidRPr="00552A81">
        <w:t xml:space="preserve"> and can act to waive children’s rights to any content they create.</w:t>
      </w:r>
      <w:r w:rsidRPr="00552A81">
        <w:rPr>
          <w:rStyle w:val="EndnoteReference"/>
        </w:rPr>
        <w:endnoteReference w:id="309"/>
      </w:r>
      <w:r w:rsidRPr="00552A81">
        <w:t xml:space="preserve"> </w:t>
      </w:r>
    </w:p>
    <w:p w14:paraId="0C656CD4" w14:textId="7644DDD3" w:rsidR="00AA3994" w:rsidRDefault="00AA3994" w:rsidP="00354AA1">
      <w:pPr>
        <w:pStyle w:val="SubmissionNormal"/>
        <w:numPr>
          <w:ilvl w:val="0"/>
          <w:numId w:val="0"/>
        </w:numPr>
        <w:jc w:val="both"/>
      </w:pPr>
      <w:r w:rsidRPr="00552A81">
        <w:t xml:space="preserve">The use of ‘parental consent’ in the </w:t>
      </w:r>
      <w:r>
        <w:t>on</w:t>
      </w:r>
      <w:r w:rsidRPr="00552A81">
        <w:t xml:space="preserve">line context is </w:t>
      </w:r>
      <w:r w:rsidRPr="00ED40C3">
        <w:t>a widely understood safeguard of children and their rights, yet it has emerged in a number of studies that the process of securing informed parental consent is largely inadequate</w:t>
      </w:r>
      <w:r w:rsidRPr="00552A81">
        <w:t>.</w:t>
      </w:r>
      <w:r w:rsidRPr="00552A81">
        <w:rPr>
          <w:rStyle w:val="EndnoteReference"/>
        </w:rPr>
        <w:endnoteReference w:id="310"/>
      </w:r>
      <w:r w:rsidRPr="00552A81">
        <w:t xml:space="preserve"> Research </w:t>
      </w:r>
      <w:r>
        <w:t xml:space="preserve">demonstrates </w:t>
      </w:r>
      <w:r w:rsidRPr="00552A81">
        <w:t>that the securing of parental consent ‘is rarely strictly enforced by site operators, and can often</w:t>
      </w:r>
      <w:r w:rsidR="009A3138">
        <w:t xml:space="preserve"> be easily by-</w:t>
      </w:r>
      <w:r>
        <w:t>passed by child users’.</w:t>
      </w:r>
      <w:r>
        <w:rPr>
          <w:rStyle w:val="EndnoteReference"/>
        </w:rPr>
        <w:endnoteReference w:id="311"/>
      </w:r>
      <w:r>
        <w:t xml:space="preserve"> This is of particular relevance in light of recent Australian data suggesting an increase in internet access by children at friend’s houses</w:t>
      </w:r>
      <w:r w:rsidR="009A3138">
        <w:t>,</w:t>
      </w:r>
      <w:r>
        <w:rPr>
          <w:rStyle w:val="EndnoteReference"/>
        </w:rPr>
        <w:endnoteReference w:id="312"/>
      </w:r>
      <w:r>
        <w:t xml:space="preserve"> away from direct parental supervision. </w:t>
      </w:r>
    </w:p>
    <w:p w14:paraId="2A0CA92E" w14:textId="7D2A5385" w:rsidR="00AA3994" w:rsidRPr="00552A81" w:rsidRDefault="00AA3994" w:rsidP="00354AA1">
      <w:pPr>
        <w:pStyle w:val="SubmissionNormal"/>
        <w:numPr>
          <w:ilvl w:val="0"/>
          <w:numId w:val="0"/>
        </w:numPr>
        <w:jc w:val="both"/>
      </w:pPr>
      <w:r w:rsidRPr="00207527">
        <w:t>A clear example of this is in the context of apps</w:t>
      </w:r>
      <w:r>
        <w:t xml:space="preserve"> where parents may not even be aware of</w:t>
      </w:r>
      <w:r w:rsidRPr="00301F25">
        <w:t xml:space="preserve"> ‘the need to supervise children’s use of mobile applications’ hosted on their mobile phones.</w:t>
      </w:r>
      <w:r w:rsidRPr="00301F25">
        <w:rPr>
          <w:rStyle w:val="EndnoteReference"/>
        </w:rPr>
        <w:endnoteReference w:id="313"/>
      </w:r>
      <w:r w:rsidRPr="00301F25">
        <w:t xml:space="preserve"> This is acutely the case with the use of the ‘freemium’ app model where </w:t>
      </w:r>
      <w:r>
        <w:t>a</w:t>
      </w:r>
      <w:r w:rsidRPr="00301F25">
        <w:t xml:space="preserve"> game is advertised as ‘free’ but often require</w:t>
      </w:r>
      <w:r>
        <w:t>s</w:t>
      </w:r>
      <w:r w:rsidRPr="00301F25">
        <w:t xml:space="preserve"> the purchasing of digital or ‘virtual’ currencies in order to work effectively.</w:t>
      </w:r>
      <w:r w:rsidRPr="00301F25">
        <w:rPr>
          <w:rStyle w:val="EndnoteReference"/>
        </w:rPr>
        <w:endnoteReference w:id="314"/>
      </w:r>
      <w:r w:rsidRPr="00301F25">
        <w:t xml:space="preserve"> This can lead to situations where ‘children may make a number of in-app purchases without the knowledge of their parents’.</w:t>
      </w:r>
      <w:r w:rsidRPr="00301F25">
        <w:rPr>
          <w:rStyle w:val="EndnoteReference"/>
        </w:rPr>
        <w:endnoteReference w:id="315"/>
      </w:r>
      <w:r w:rsidRPr="00301F25">
        <w:t xml:space="preserve"> This is in part because children often ‘do not understand that they are spending real money, or how much they are spending (for example</w:t>
      </w:r>
      <w:r>
        <w:t>,</w:t>
      </w:r>
      <w:r w:rsidRPr="00301F25">
        <w:t xml:space="preserve"> in th</w:t>
      </w:r>
      <w:r w:rsidR="00850DA2">
        <w:t>e popular game Smurf Village a “wagon”</w:t>
      </w:r>
      <w:r w:rsidRPr="00301F25">
        <w:t xml:space="preserve"> of 2000 </w:t>
      </w:r>
      <w:r w:rsidR="00850DA2">
        <w:t>“</w:t>
      </w:r>
      <w:r w:rsidRPr="00301F25">
        <w:t>Smurfberries</w:t>
      </w:r>
      <w:r w:rsidR="00850DA2">
        <w:t>”</w:t>
      </w:r>
      <w:r w:rsidRPr="00301F25">
        <w:t xml:space="preserve"> cost</w:t>
      </w:r>
      <w:r>
        <w:t>s</w:t>
      </w:r>
      <w:r w:rsidRPr="00301F25">
        <w:t xml:space="preserve"> $</w:t>
      </w:r>
      <w:r w:rsidRPr="00010DEA">
        <w:t>109.99)</w:t>
      </w:r>
      <w:r w:rsidR="00DC3CD3">
        <w:t>’</w:t>
      </w:r>
      <w:r w:rsidRPr="00010DEA">
        <w:t>.</w:t>
      </w:r>
      <w:r w:rsidRPr="00010DEA">
        <w:rPr>
          <w:rStyle w:val="EndnoteReference"/>
        </w:rPr>
        <w:endnoteReference w:id="316"/>
      </w:r>
      <w:r>
        <w:t xml:space="preserve"> Other concerns raised within the app context include marketing strategies being inappropriate to the age of users and apps targeted at children that simulate gambling.</w:t>
      </w:r>
      <w:r>
        <w:rPr>
          <w:rStyle w:val="EndnoteReference"/>
        </w:rPr>
        <w:endnoteReference w:id="317"/>
      </w:r>
    </w:p>
    <w:p w14:paraId="42C30AF9" w14:textId="77777777" w:rsidR="00AA3994" w:rsidRPr="00552A81" w:rsidRDefault="00AA3994" w:rsidP="00354AA1">
      <w:pPr>
        <w:pStyle w:val="SubmissionNormal"/>
        <w:numPr>
          <w:ilvl w:val="0"/>
          <w:numId w:val="0"/>
        </w:numPr>
        <w:jc w:val="both"/>
      </w:pPr>
      <w:r w:rsidRPr="00FF4D21">
        <w:t>Suggested reforms to the app consumer market</w:t>
      </w:r>
      <w:r w:rsidRPr="00010DEA">
        <w:t xml:space="preserve"> include ensuring consumers ma</w:t>
      </w:r>
      <w:r>
        <w:t>k</w:t>
      </w:r>
      <w:r w:rsidRPr="00010DEA">
        <w:t xml:space="preserve">e greater </w:t>
      </w:r>
      <w:r w:rsidRPr="00552A81">
        <w:t>use of ‘existing settings and controls’ in safeguarding appropriate use by children.</w:t>
      </w:r>
      <w:r w:rsidRPr="00552A81">
        <w:rPr>
          <w:rStyle w:val="EndnoteReference"/>
        </w:rPr>
        <w:endnoteReference w:id="318"/>
      </w:r>
      <w:r w:rsidRPr="00552A81">
        <w:t xml:space="preserve"> </w:t>
      </w:r>
      <w:r>
        <w:t>T</w:t>
      </w:r>
      <w:r w:rsidRPr="00552A81">
        <w:t xml:space="preserve">he adoption by business of a </w:t>
      </w:r>
      <w:r w:rsidRPr="00506836">
        <w:t>‘best practice’ industry approach</w:t>
      </w:r>
      <w:r w:rsidRPr="00552A81">
        <w:t xml:space="preserve"> to ensure appropriate use of apps by children</w:t>
      </w:r>
      <w:r>
        <w:t xml:space="preserve"> was also recommended</w:t>
      </w:r>
      <w:r w:rsidRPr="00552A81">
        <w:t>.</w:t>
      </w:r>
      <w:r w:rsidRPr="00552A81">
        <w:rPr>
          <w:rStyle w:val="EndnoteReference"/>
        </w:rPr>
        <w:endnoteReference w:id="319"/>
      </w:r>
      <w:r w:rsidRPr="00552A81">
        <w:t xml:space="preserve"> Further research and continued monitoring of children’s consumer experiences with apps was considered necessary.</w:t>
      </w:r>
      <w:r w:rsidRPr="00552A81">
        <w:rPr>
          <w:rStyle w:val="EndnoteReference"/>
        </w:rPr>
        <w:endnoteReference w:id="320"/>
      </w:r>
    </w:p>
    <w:p w14:paraId="4F88D450" w14:textId="4AE274AD" w:rsidR="00AA3994" w:rsidRPr="00552A81" w:rsidRDefault="00AA3994" w:rsidP="00354AA1">
      <w:pPr>
        <w:pStyle w:val="SubmissionNormal"/>
        <w:numPr>
          <w:ilvl w:val="0"/>
          <w:numId w:val="0"/>
        </w:numPr>
        <w:ind w:left="720"/>
        <w:jc w:val="both"/>
        <w:rPr>
          <w:sz w:val="20"/>
          <w:szCs w:val="20"/>
        </w:rPr>
      </w:pPr>
      <w:r w:rsidRPr="00552A81">
        <w:rPr>
          <w:sz w:val="20"/>
          <w:szCs w:val="20"/>
        </w:rPr>
        <w:t xml:space="preserve">Everything is nice as written, but companies only aim at earnings. </w:t>
      </w:r>
      <w:r w:rsidR="00ED1722">
        <w:rPr>
          <w:sz w:val="20"/>
          <w:szCs w:val="20"/>
        </w:rPr>
        <w:t>(</w:t>
      </w:r>
      <w:r w:rsidRPr="00552A81">
        <w:rPr>
          <w:sz w:val="20"/>
          <w:szCs w:val="20"/>
        </w:rPr>
        <w:t>Young person</w:t>
      </w:r>
      <w:r>
        <w:rPr>
          <w:sz w:val="20"/>
          <w:szCs w:val="20"/>
        </w:rPr>
        <w:t>,</w:t>
      </w:r>
      <w:r w:rsidRPr="00552A81">
        <w:rPr>
          <w:sz w:val="20"/>
          <w:szCs w:val="20"/>
        </w:rPr>
        <w:t xml:space="preserve"> Brazil</w:t>
      </w:r>
      <w:r w:rsidR="00ED1722">
        <w:rPr>
          <w:sz w:val="20"/>
          <w:szCs w:val="20"/>
        </w:rPr>
        <w:t>)</w:t>
      </w:r>
      <w:r w:rsidRPr="00552A81">
        <w:rPr>
          <w:rStyle w:val="EndnoteReference"/>
          <w:rFonts w:cs="Arial"/>
          <w:szCs w:val="20"/>
        </w:rPr>
        <w:endnoteReference w:id="321"/>
      </w:r>
    </w:p>
    <w:p w14:paraId="4F45E371" w14:textId="58F8ACE6" w:rsidR="00AA3994" w:rsidRPr="00552A81" w:rsidRDefault="00AA3994" w:rsidP="00354AA1">
      <w:pPr>
        <w:pStyle w:val="SubmissionNormal"/>
        <w:numPr>
          <w:ilvl w:val="0"/>
          <w:numId w:val="0"/>
        </w:numPr>
        <w:jc w:val="both"/>
      </w:pPr>
      <w:r w:rsidRPr="00552A81">
        <w:t>However</w:t>
      </w:r>
      <w:r>
        <w:t xml:space="preserve">, </w:t>
      </w:r>
      <w:r w:rsidRPr="00552A81">
        <w:t xml:space="preserve">criticisms </w:t>
      </w:r>
      <w:r>
        <w:t>have been</w:t>
      </w:r>
      <w:r w:rsidRPr="00552A81">
        <w:t xml:space="preserve"> levelled at the adoption of voluntary ‘best practice’ or self-regulatory approach</w:t>
      </w:r>
      <w:r>
        <w:t>es, as</w:t>
      </w:r>
      <w:r w:rsidRPr="00552A81">
        <w:t xml:space="preserve"> failing to guarantee that all businesses would abide by relevant standards.</w:t>
      </w:r>
      <w:r w:rsidRPr="00552A81">
        <w:rPr>
          <w:rStyle w:val="EndnoteReference"/>
        </w:rPr>
        <w:endnoteReference w:id="322"/>
      </w:r>
      <w:r w:rsidRPr="00552A81">
        <w:t xml:space="preserve"> For example, where business adopts codes of conduct limiting ‘traditional’ forms of advertising to children (</w:t>
      </w:r>
      <w:r w:rsidR="004B4BE8">
        <w:t>such as</w:t>
      </w:r>
      <w:r w:rsidRPr="00552A81">
        <w:t xml:space="preserve"> television), the </w:t>
      </w:r>
      <w:r w:rsidRPr="00506836">
        <w:t>perceived risk was that investment would be diverted to forms of ‘new media’ not yet covered by such codes</w:t>
      </w:r>
      <w:r w:rsidRPr="00552A81">
        <w:t>.</w:t>
      </w:r>
      <w:r w:rsidRPr="00552A81">
        <w:rPr>
          <w:rStyle w:val="EndnoteReference"/>
        </w:rPr>
        <w:endnoteReference w:id="323"/>
      </w:r>
      <w:r w:rsidRPr="00552A81">
        <w:t xml:space="preserve">  </w:t>
      </w:r>
    </w:p>
    <w:p w14:paraId="473352D9" w14:textId="0989F588" w:rsidR="00AA3994" w:rsidRPr="00552A81" w:rsidRDefault="00AA3994" w:rsidP="00354AA1">
      <w:pPr>
        <w:pStyle w:val="SubmissionNormal"/>
        <w:numPr>
          <w:ilvl w:val="0"/>
          <w:numId w:val="0"/>
        </w:numPr>
        <w:jc w:val="both"/>
      </w:pPr>
      <w:r w:rsidRPr="00552A81">
        <w:t xml:space="preserve">Concerns </w:t>
      </w:r>
      <w:r>
        <w:t>have</w:t>
      </w:r>
      <w:r w:rsidRPr="00552A81">
        <w:t xml:space="preserve"> also</w:t>
      </w:r>
      <w:r>
        <w:t xml:space="preserve"> been</w:t>
      </w:r>
      <w:r w:rsidRPr="00552A81">
        <w:t xml:space="preserve"> raised about regulation only targeting ‘misleading’ advertising in a situation where ‘perfectly truthful advertisements’ can send messages that are inconsistent with public policy goals.</w:t>
      </w:r>
      <w:r w:rsidRPr="00552A81">
        <w:rPr>
          <w:rStyle w:val="EndnoteReference"/>
        </w:rPr>
        <w:endnoteReference w:id="324"/>
      </w:r>
      <w:r w:rsidRPr="00552A81">
        <w:t xml:space="preserve"> In other words, </w:t>
      </w:r>
      <w:r w:rsidRPr="00506836">
        <w:t>‘self-</w:t>
      </w:r>
      <w:r w:rsidRPr="00506836">
        <w:lastRenderedPageBreak/>
        <w:t>regulation cannot prevent marketing that works’ – that is, sustained and targeted advertising to children.</w:t>
      </w:r>
      <w:r w:rsidRPr="00506836">
        <w:rPr>
          <w:rStyle w:val="EndnoteReference"/>
        </w:rPr>
        <w:endnoteReference w:id="325"/>
      </w:r>
      <w:r w:rsidRPr="00506836">
        <w:t xml:space="preserve"> Instead it is argued that the very aims of self</w:t>
      </w:r>
      <w:r w:rsidRPr="00552A81">
        <w:t xml:space="preserve">-regulation </w:t>
      </w:r>
      <w:r w:rsidRPr="00636FE7">
        <w:t xml:space="preserve">have to be reconfigured to continue to support business needs, and to </w:t>
      </w:r>
      <w:r w:rsidR="00636FE7" w:rsidRPr="00636FE7">
        <w:t>protect</w:t>
      </w:r>
      <w:r w:rsidRPr="00636FE7">
        <w:t xml:space="preserve"> against commercial practices that gain an unfair competitive advantage.</w:t>
      </w:r>
      <w:r w:rsidRPr="00636FE7">
        <w:rPr>
          <w:rStyle w:val="EndnoteReference"/>
        </w:rPr>
        <w:endnoteReference w:id="326"/>
      </w:r>
      <w:r w:rsidRPr="00552A81">
        <w:t xml:space="preserve"> </w:t>
      </w:r>
    </w:p>
    <w:p w14:paraId="16FE1EC9" w14:textId="6981FD28" w:rsidR="00AA3994" w:rsidRPr="00552A81" w:rsidRDefault="00AA3994" w:rsidP="00354AA1">
      <w:pPr>
        <w:pStyle w:val="SubmissionNormal"/>
        <w:numPr>
          <w:ilvl w:val="0"/>
          <w:numId w:val="0"/>
        </w:numPr>
        <w:jc w:val="both"/>
      </w:pPr>
      <w:r w:rsidRPr="00552A81">
        <w:t>Accordingly</w:t>
      </w:r>
      <w:r>
        <w:t>,</w:t>
      </w:r>
      <w:r w:rsidRPr="00552A81">
        <w:t xml:space="preserve"> consumers, particularly vulnerable consumers such as children, </w:t>
      </w:r>
      <w:r>
        <w:t xml:space="preserve">need to </w:t>
      </w:r>
      <w:r w:rsidRPr="00552A81">
        <w:t>be protected by ‘restricting exposure to, and the impact of, certain forms of marketing’.</w:t>
      </w:r>
      <w:r w:rsidRPr="00552A81">
        <w:rPr>
          <w:rStyle w:val="EndnoteReference"/>
        </w:rPr>
        <w:endnoteReference w:id="327"/>
      </w:r>
      <w:r w:rsidRPr="00552A81">
        <w:t xml:space="preserve"> </w:t>
      </w:r>
      <w:r w:rsidR="00F51BD1">
        <w:t xml:space="preserve">Amadine </w:t>
      </w:r>
      <w:r>
        <w:t xml:space="preserve">Garde argues it is </w:t>
      </w:r>
      <w:r w:rsidRPr="00552A81">
        <w:t>counter-intuitive to place the onus on business to curtail promotion of products that are lawfully placed on the market.</w:t>
      </w:r>
      <w:r w:rsidRPr="00552A81">
        <w:rPr>
          <w:rStyle w:val="EndnoteReference"/>
        </w:rPr>
        <w:endnoteReference w:id="328"/>
      </w:r>
      <w:r w:rsidRPr="00552A81">
        <w:t xml:space="preserve"> In a regulatory sense, stakeholders </w:t>
      </w:r>
      <w:r>
        <w:t>are</w:t>
      </w:r>
      <w:r w:rsidRPr="00552A81">
        <w:t xml:space="preserve"> seen as having ‘different roles’</w:t>
      </w:r>
      <w:r>
        <w:t>, with</w:t>
      </w:r>
      <w:r w:rsidRPr="00552A81">
        <w:t xml:space="preserve"> government</w:t>
      </w:r>
      <w:r>
        <w:t xml:space="preserve"> </w:t>
      </w:r>
      <w:r w:rsidRPr="00552A81">
        <w:t>responsible for developing policy and providing leadership in implementation, monitoring and evaluation of these practices.</w:t>
      </w:r>
      <w:r w:rsidRPr="00552A81">
        <w:rPr>
          <w:rStyle w:val="EndnoteReference"/>
        </w:rPr>
        <w:endnoteReference w:id="329"/>
      </w:r>
      <w:r w:rsidRPr="00552A81">
        <w:t xml:space="preserve">  </w:t>
      </w:r>
    </w:p>
    <w:p w14:paraId="2DEFB13B" w14:textId="77777777" w:rsidR="00AA3994" w:rsidRPr="00552A81" w:rsidRDefault="00AA3994" w:rsidP="00354AA1">
      <w:pPr>
        <w:pStyle w:val="SubmissionNormal"/>
        <w:numPr>
          <w:ilvl w:val="0"/>
          <w:numId w:val="0"/>
        </w:numPr>
        <w:jc w:val="both"/>
      </w:pPr>
      <w:r>
        <w:t>One approach</w:t>
      </w:r>
      <w:r w:rsidRPr="00552A81">
        <w:t xml:space="preserve"> to improved privacy regulation </w:t>
      </w:r>
      <w:r>
        <w:t xml:space="preserve">suggested in the literature </w:t>
      </w:r>
      <w:r w:rsidRPr="00552A81">
        <w:t>in</w:t>
      </w:r>
      <w:r>
        <w:t>volves</w:t>
      </w:r>
      <w:r w:rsidRPr="00552A81">
        <w:t xml:space="preserve"> an ‘explicit and clear campaign of awareness regarding the uses to which data’ may be stored and mined</w:t>
      </w:r>
      <w:r w:rsidRPr="00506836">
        <w:t>, placing the onus of responsibility on those who wish to use personal data in this mann</w:t>
      </w:r>
      <w:r w:rsidRPr="00552A81">
        <w:t>er.</w:t>
      </w:r>
      <w:r w:rsidRPr="00552A81">
        <w:rPr>
          <w:rStyle w:val="EndnoteReference"/>
        </w:rPr>
        <w:endnoteReference w:id="330"/>
      </w:r>
      <w:r w:rsidRPr="00552A81">
        <w:t xml:space="preserve"> Arguably, this knowledge or awareness would give people the opportunity to ‘resist or negotiate the uses of their information’.</w:t>
      </w:r>
      <w:r w:rsidRPr="00552A81">
        <w:rPr>
          <w:rStyle w:val="EndnoteReference"/>
        </w:rPr>
        <w:endnoteReference w:id="331"/>
      </w:r>
      <w:r w:rsidRPr="00552A81">
        <w:t xml:space="preserve"> It was also considered ‘</w:t>
      </w:r>
      <w:r w:rsidRPr="00061ABE">
        <w:t>especially vital that appropriate guidelines were established for ensuring truly informed consent from a child’</w:t>
      </w:r>
      <w:r w:rsidRPr="00552A81">
        <w:t>.</w:t>
      </w:r>
      <w:r w:rsidRPr="00552A81">
        <w:rPr>
          <w:rStyle w:val="EndnoteReference"/>
        </w:rPr>
        <w:endnoteReference w:id="332"/>
      </w:r>
      <w:r w:rsidRPr="00552A81">
        <w:t xml:space="preserve"> Child research protocols used by academic and government institutions were recommended as </w:t>
      </w:r>
      <w:r>
        <w:t xml:space="preserve">offering </w:t>
      </w:r>
      <w:r w:rsidRPr="00552A81">
        <w:t>a possible framework.</w:t>
      </w:r>
      <w:r w:rsidRPr="00552A81">
        <w:rPr>
          <w:rStyle w:val="EndnoteReference"/>
        </w:rPr>
        <w:endnoteReference w:id="333"/>
      </w:r>
      <w:r w:rsidRPr="00552A81">
        <w:t xml:space="preserve"> </w:t>
      </w:r>
    </w:p>
    <w:p w14:paraId="5F6EDE5A" w14:textId="3EF10BFE" w:rsidR="00AA3994" w:rsidRDefault="00AA3994" w:rsidP="00354AA1">
      <w:pPr>
        <w:pStyle w:val="SubmissionNormal"/>
        <w:numPr>
          <w:ilvl w:val="0"/>
          <w:numId w:val="0"/>
        </w:numPr>
        <w:jc w:val="both"/>
      </w:pPr>
      <w:r w:rsidRPr="00552A81">
        <w:t>Reference was also made to the U</w:t>
      </w:r>
      <w:r w:rsidR="00F51BD1">
        <w:t xml:space="preserve">nited </w:t>
      </w:r>
      <w:r w:rsidRPr="00552A81">
        <w:t>S</w:t>
      </w:r>
      <w:r w:rsidR="00F51BD1">
        <w:t>tates</w:t>
      </w:r>
      <w:r w:rsidRPr="00552A81">
        <w:t xml:space="preserve"> approach </w:t>
      </w:r>
      <w:r>
        <w:t>where</w:t>
      </w:r>
      <w:r w:rsidRPr="00552A81">
        <w:t xml:space="preserve"> </w:t>
      </w:r>
      <w:r>
        <w:t>specific</w:t>
      </w:r>
      <w:r w:rsidRPr="00552A81">
        <w:t xml:space="preserve"> regulatory requirements </w:t>
      </w:r>
      <w:r>
        <w:t xml:space="preserve">are </w:t>
      </w:r>
      <w:r w:rsidRPr="00552A81">
        <w:t>placed on children’s websites that knowingly gather information from children (under the age of 13</w:t>
      </w:r>
      <w:r w:rsidR="00F51BD1">
        <w:t xml:space="preserve"> years</w:t>
      </w:r>
      <w:r w:rsidRPr="00552A81">
        <w:t>)</w:t>
      </w:r>
      <w:r>
        <w:t>.</w:t>
      </w:r>
      <w:r w:rsidRPr="00552A81">
        <w:rPr>
          <w:rStyle w:val="EndnoteReference"/>
        </w:rPr>
        <w:endnoteReference w:id="334"/>
      </w:r>
      <w:r w:rsidRPr="00552A81">
        <w:t xml:space="preserve"> </w:t>
      </w:r>
      <w:r>
        <w:t>Businesses are required</w:t>
      </w:r>
      <w:r w:rsidRPr="00552A81">
        <w:t xml:space="preserve"> </w:t>
      </w:r>
      <w:r>
        <w:t>to</w:t>
      </w:r>
      <w:r w:rsidRPr="00552A81">
        <w:t xml:space="preserve"> give notice to parents about data collection activities and obtain verifiable consent from parents prior</w:t>
      </w:r>
      <w:r>
        <w:t xml:space="preserve"> to collecting any information from children.</w:t>
      </w:r>
      <w:r>
        <w:rPr>
          <w:rStyle w:val="EndnoteReference"/>
        </w:rPr>
        <w:endnoteReference w:id="335"/>
      </w:r>
      <w:r>
        <w:t xml:space="preserve"> They must also provide parents with access to any information collected from </w:t>
      </w:r>
      <w:r w:rsidRPr="00552A81">
        <w:t>their children together with the opportunity to prevent the data being used for any other purpose.</w:t>
      </w:r>
      <w:r w:rsidRPr="00552A81">
        <w:rPr>
          <w:rStyle w:val="EndnoteReference"/>
        </w:rPr>
        <w:endnoteReference w:id="336"/>
      </w:r>
    </w:p>
    <w:p w14:paraId="3B550C32" w14:textId="4065E405" w:rsidR="00AA3994" w:rsidRPr="00552A81" w:rsidRDefault="00AA3994" w:rsidP="00354AA1">
      <w:pPr>
        <w:pStyle w:val="SubmissionNormal"/>
        <w:numPr>
          <w:ilvl w:val="0"/>
          <w:numId w:val="0"/>
        </w:numPr>
        <w:jc w:val="both"/>
      </w:pPr>
      <w:r>
        <w:t>The proposed European Union General Data Protection Regulation recommends incorporating a consent requirement</w:t>
      </w:r>
      <w:r w:rsidRPr="003B4F0C">
        <w:t xml:space="preserve"> </w:t>
      </w:r>
      <w:r>
        <w:t>where personal data is being processed for children under the age of 13</w:t>
      </w:r>
      <w:r w:rsidR="00F51BD1">
        <w:t xml:space="preserve"> years</w:t>
      </w:r>
      <w:r>
        <w:t>.</w:t>
      </w:r>
      <w:r>
        <w:rPr>
          <w:rStyle w:val="EndnoteReference"/>
        </w:rPr>
        <w:endnoteReference w:id="337"/>
      </w:r>
      <w:r>
        <w:t xml:space="preserve"> The consent must be verifiably given by parents on behalf of the child.</w:t>
      </w:r>
      <w:r>
        <w:rPr>
          <w:rStyle w:val="EndnoteReference"/>
        </w:rPr>
        <w:endnoteReference w:id="338"/>
      </w:r>
      <w:r>
        <w:t xml:space="preserve"> This has not yet been implemented. Like Australia, privacy laws in Singapore, Hong Kong,</w:t>
      </w:r>
      <w:r>
        <w:rPr>
          <w:rStyle w:val="EndnoteReference"/>
        </w:rPr>
        <w:endnoteReference w:id="339"/>
      </w:r>
      <w:r>
        <w:t xml:space="preserve"> New Zealand and Canada do not make specific provisions for protecting the personal data of children (minors).</w:t>
      </w:r>
      <w:r>
        <w:rPr>
          <w:rStyle w:val="EndnoteReference"/>
        </w:rPr>
        <w:endnoteReference w:id="340"/>
      </w:r>
    </w:p>
    <w:p w14:paraId="48C1AA69" w14:textId="2F447DA7" w:rsidR="00AA3994" w:rsidRPr="00552A81" w:rsidRDefault="00AA3994" w:rsidP="00354AA1">
      <w:pPr>
        <w:pStyle w:val="SubmissionNormal"/>
        <w:numPr>
          <w:ilvl w:val="0"/>
          <w:numId w:val="0"/>
        </w:numPr>
        <w:jc w:val="both"/>
      </w:pPr>
      <w:r w:rsidRPr="00552A81">
        <w:t xml:space="preserve">Another important procedural issue that </w:t>
      </w:r>
      <w:r>
        <w:t>is consistently</w:t>
      </w:r>
      <w:r w:rsidRPr="00552A81">
        <w:t xml:space="preserve"> raised </w:t>
      </w:r>
      <w:r w:rsidR="001A6DCE">
        <w:t>is</w:t>
      </w:r>
      <w:r w:rsidRPr="00552A81">
        <w:t xml:space="preserve"> the </w:t>
      </w:r>
      <w:r w:rsidRPr="00061ABE">
        <w:t>need for an effective complaints system.</w:t>
      </w:r>
      <w:r w:rsidRPr="00552A81">
        <w:t xml:space="preserve"> A number of commentators note the importance of effective complaints and remediation systems</w:t>
      </w:r>
      <w:r w:rsidR="00F51BD1">
        <w:t>,</w:t>
      </w:r>
      <w:r w:rsidRPr="00552A81">
        <w:rPr>
          <w:rStyle w:val="EndnoteReference"/>
        </w:rPr>
        <w:endnoteReference w:id="341"/>
      </w:r>
      <w:r w:rsidRPr="00552A81">
        <w:t xml:space="preserve"> </w:t>
      </w:r>
      <w:r w:rsidRPr="009C65B7">
        <w:t xml:space="preserve">with one study finding </w:t>
      </w:r>
      <w:r w:rsidRPr="00B1072B">
        <w:t xml:space="preserve">that ‘only nine out of 22 sites’ responded </w:t>
      </w:r>
      <w:r w:rsidRPr="00A96266">
        <w:t>to complaints submitted by children seeking assistance</w:t>
      </w:r>
      <w:r w:rsidRPr="009C65B7">
        <w:t>.</w:t>
      </w:r>
      <w:r w:rsidRPr="009C65B7">
        <w:rPr>
          <w:rStyle w:val="EndnoteReference"/>
        </w:rPr>
        <w:endnoteReference w:id="342"/>
      </w:r>
      <w:r w:rsidRPr="00552A81">
        <w:t xml:space="preserve"> </w:t>
      </w:r>
    </w:p>
    <w:p w14:paraId="48B36C97" w14:textId="54EB2361" w:rsidR="00AA3994" w:rsidRPr="00552A81" w:rsidRDefault="00F51BD1" w:rsidP="00354AA1">
      <w:pPr>
        <w:pStyle w:val="SubmissionNormal"/>
        <w:numPr>
          <w:ilvl w:val="0"/>
          <w:numId w:val="0"/>
        </w:numPr>
        <w:jc w:val="both"/>
      </w:pPr>
      <w:r>
        <w:t xml:space="preserve">Sandra </w:t>
      </w:r>
      <w:r w:rsidR="00AA3994">
        <w:t>Calvert raises the issue of regulatory consistency, asking regulators ‘to address the issue of consistent regulation between newer online marketing activities and traditional television and film guidelines’.</w:t>
      </w:r>
      <w:r w:rsidR="00AA3994" w:rsidRPr="00A87E63">
        <w:rPr>
          <w:rStyle w:val="EndnoteReference"/>
        </w:rPr>
        <w:endnoteReference w:id="343"/>
      </w:r>
      <w:r w:rsidR="00AA3994">
        <w:t xml:space="preserve"> Given the increasing convergence of ‘varying forms of technologies together under one umbrella’</w:t>
      </w:r>
      <w:r w:rsidR="00AA3994">
        <w:rPr>
          <w:rStyle w:val="EndnoteReference"/>
        </w:rPr>
        <w:endnoteReference w:id="344"/>
      </w:r>
      <w:r w:rsidR="00AA3994">
        <w:t xml:space="preserve"> it is seen as ‘sensible to have uniform standards for marketing to children across varying media platforms’.</w:t>
      </w:r>
      <w:r w:rsidR="00AA3994">
        <w:rPr>
          <w:rStyle w:val="EndnoteReference"/>
        </w:rPr>
        <w:endnoteReference w:id="345"/>
      </w:r>
    </w:p>
    <w:p w14:paraId="2659ACA8" w14:textId="77777777" w:rsidR="00AA3994" w:rsidRPr="00552A81" w:rsidRDefault="00AA3994" w:rsidP="00354AA1">
      <w:pPr>
        <w:pStyle w:val="SubmissionNormal"/>
        <w:numPr>
          <w:ilvl w:val="0"/>
          <w:numId w:val="0"/>
        </w:numPr>
        <w:jc w:val="both"/>
      </w:pPr>
      <w:r w:rsidRPr="00061ABE">
        <w:t>The fact that the online environment is not constrained solely by domestic law poses additional regulatory challenges</w:t>
      </w:r>
      <w:r w:rsidRPr="00552A81">
        <w:t>.</w:t>
      </w:r>
      <w:r w:rsidRPr="00552A81">
        <w:rPr>
          <w:rStyle w:val="EndnoteReference"/>
        </w:rPr>
        <w:endnoteReference w:id="346"/>
      </w:r>
      <w:r w:rsidRPr="00552A81">
        <w:t xml:space="preserve"> For example, ‘setting up an online shop in a </w:t>
      </w:r>
      <w:r w:rsidRPr="00552A81">
        <w:lastRenderedPageBreak/>
        <w:t>different country…can insulate users from prosecution for violating a number of laws’ that would otherwise apply in the domestic context.</w:t>
      </w:r>
      <w:r w:rsidRPr="00552A81">
        <w:rPr>
          <w:rStyle w:val="EndnoteReference"/>
        </w:rPr>
        <w:endnoteReference w:id="347"/>
      </w:r>
      <w:r w:rsidRPr="00552A81">
        <w:t xml:space="preserve">  </w:t>
      </w:r>
    </w:p>
    <w:p w14:paraId="59416DAA" w14:textId="77777777" w:rsidR="00AA3994" w:rsidRDefault="00AA3994" w:rsidP="00354AA1">
      <w:pPr>
        <w:pStyle w:val="SubmissionNormal"/>
        <w:numPr>
          <w:ilvl w:val="0"/>
          <w:numId w:val="0"/>
        </w:numPr>
        <w:jc w:val="both"/>
      </w:pPr>
      <w:r w:rsidRPr="00552A81">
        <w:t>As online communities (of which consumer activities are a part) become ‘increasingly important arenas for social development and cultural participation’ the opportunities these provide to both users</w:t>
      </w:r>
      <w:r>
        <w:t xml:space="preserve"> and business ‘will continue to expand’.</w:t>
      </w:r>
      <w:r>
        <w:rPr>
          <w:rStyle w:val="EndnoteReference"/>
        </w:rPr>
        <w:endnoteReference w:id="348"/>
      </w:r>
      <w:r>
        <w:t xml:space="preserve"> So too, it is argued, will the underlying tensions between ‘human rights and current market-research practices’.</w:t>
      </w:r>
      <w:r>
        <w:rPr>
          <w:rStyle w:val="EndnoteReference"/>
        </w:rPr>
        <w:endnoteReference w:id="349"/>
      </w:r>
      <w:r>
        <w:t xml:space="preserve"> The aim of regulation is to address such tensions and provide a balance to often competing policy objectives.</w:t>
      </w:r>
    </w:p>
    <w:p w14:paraId="3E18FB49" w14:textId="7BEFC1AA" w:rsidR="00AA3994" w:rsidRDefault="00AA3994" w:rsidP="00354AA1">
      <w:pPr>
        <w:pStyle w:val="SubmissionNormal"/>
        <w:numPr>
          <w:ilvl w:val="0"/>
          <w:numId w:val="0"/>
        </w:numPr>
        <w:jc w:val="both"/>
        <w:rPr>
          <w:bCs/>
        </w:rPr>
      </w:pPr>
      <w:r>
        <w:rPr>
          <w:noProof/>
        </w:rPr>
        <mc:AlternateContent>
          <mc:Choice Requires="wps">
            <w:drawing>
              <wp:anchor distT="45720" distB="45720" distL="114300" distR="114300" simplePos="0" relativeHeight="251654144" behindDoc="0" locked="0" layoutInCell="1" allowOverlap="1" wp14:anchorId="5AF548D2" wp14:editId="3ADDEBB0">
                <wp:simplePos x="0" y="0"/>
                <wp:positionH relativeFrom="margin">
                  <wp:posOffset>-5080</wp:posOffset>
                </wp:positionH>
                <wp:positionV relativeFrom="paragraph">
                  <wp:posOffset>1149350</wp:posOffset>
                </wp:positionV>
                <wp:extent cx="5675630" cy="5467350"/>
                <wp:effectExtent l="0" t="0" r="20320"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630" cy="5467350"/>
                        </a:xfrm>
                        <a:prstGeom prst="rect">
                          <a:avLst/>
                        </a:prstGeom>
                        <a:solidFill>
                          <a:srgbClr val="FFFFFF"/>
                        </a:solidFill>
                        <a:ln w="9525">
                          <a:solidFill>
                            <a:srgbClr val="000000"/>
                          </a:solidFill>
                          <a:miter lim="800000"/>
                          <a:headEnd/>
                          <a:tailEnd/>
                        </a:ln>
                      </wps:spPr>
                      <wps:txbx>
                        <w:txbxContent>
                          <w:p w14:paraId="71B06D4D" w14:textId="77777777" w:rsidR="00F008D2" w:rsidRPr="00C133A0" w:rsidRDefault="00F008D2" w:rsidP="00AA3994">
                            <w:pPr>
                              <w:rPr>
                                <w:b/>
                              </w:rPr>
                            </w:pPr>
                            <w:r w:rsidRPr="00C133A0">
                              <w:rPr>
                                <w:b/>
                              </w:rPr>
                              <w:t>Summary – Literature review</w:t>
                            </w:r>
                          </w:p>
                          <w:p w14:paraId="185E08F4" w14:textId="77777777" w:rsidR="00F008D2" w:rsidRDefault="00F008D2" w:rsidP="000D1D92">
                            <w:pPr>
                              <w:pStyle w:val="ListParagraph"/>
                              <w:numPr>
                                <w:ilvl w:val="0"/>
                                <w:numId w:val="22"/>
                              </w:numPr>
                            </w:pPr>
                            <w:r w:rsidRPr="00CE0099">
                              <w:t>Children are seen as one of the fastest growing online niches</w:t>
                            </w:r>
                          </w:p>
                          <w:p w14:paraId="6A8A345B" w14:textId="77777777" w:rsidR="00F008D2" w:rsidRDefault="00F008D2" w:rsidP="00AA3994">
                            <w:pPr>
                              <w:pStyle w:val="ListParagraph"/>
                            </w:pPr>
                          </w:p>
                          <w:p w14:paraId="53077E58" w14:textId="77777777" w:rsidR="00F008D2" w:rsidRDefault="00F008D2" w:rsidP="000D1D92">
                            <w:pPr>
                              <w:pStyle w:val="ListParagraph"/>
                              <w:numPr>
                                <w:ilvl w:val="0"/>
                                <w:numId w:val="22"/>
                              </w:numPr>
                            </w:pPr>
                            <w:r>
                              <w:t>Online advertising</w:t>
                            </w:r>
                            <w:r w:rsidRPr="00896499">
                              <w:t xml:space="preserve"> can involve the use of t</w:t>
                            </w:r>
                            <w:r>
                              <w:t xml:space="preserve">racking software </w:t>
                            </w:r>
                            <w:r w:rsidRPr="00896499">
                              <w:t xml:space="preserve">and embedded advertising </w:t>
                            </w:r>
                            <w:r>
                              <w:t xml:space="preserve">that is </w:t>
                            </w:r>
                            <w:r w:rsidRPr="00896499">
                              <w:t>integral to the online content or product purchased</w:t>
                            </w:r>
                          </w:p>
                          <w:p w14:paraId="6186D666" w14:textId="77777777" w:rsidR="00F008D2" w:rsidRDefault="00F008D2" w:rsidP="00AA3994">
                            <w:pPr>
                              <w:pStyle w:val="ListParagraph"/>
                            </w:pPr>
                          </w:p>
                          <w:p w14:paraId="0CDBFE7E" w14:textId="77777777" w:rsidR="00F008D2" w:rsidRDefault="00F008D2" w:rsidP="000D1D92">
                            <w:pPr>
                              <w:pStyle w:val="ListParagraph"/>
                              <w:numPr>
                                <w:ilvl w:val="0"/>
                                <w:numId w:val="22"/>
                              </w:numPr>
                            </w:pPr>
                            <w:r w:rsidRPr="00DD5A87">
                              <w:t>These practices raise questions about online privacy and whether this ‘research into children’ (o</w:t>
                            </w:r>
                            <w:r>
                              <w:t>r data mining) is occurring by stealth</w:t>
                            </w:r>
                          </w:p>
                          <w:p w14:paraId="6EBEEFC7" w14:textId="77777777" w:rsidR="00F008D2" w:rsidRDefault="00F008D2" w:rsidP="00AA3994">
                            <w:pPr>
                              <w:pStyle w:val="ListParagraph"/>
                            </w:pPr>
                          </w:p>
                          <w:p w14:paraId="2E01947D" w14:textId="77777777" w:rsidR="00F008D2" w:rsidRDefault="00F008D2" w:rsidP="000D1D92">
                            <w:pPr>
                              <w:pStyle w:val="ListParagraph"/>
                              <w:numPr>
                                <w:ilvl w:val="0"/>
                                <w:numId w:val="22"/>
                              </w:numPr>
                            </w:pPr>
                            <w:r>
                              <w:t>Little</w:t>
                            </w:r>
                            <w:r w:rsidRPr="00DD5A87">
                              <w:t xml:space="preserve"> research </w:t>
                            </w:r>
                            <w:r>
                              <w:t xml:space="preserve">exists </w:t>
                            </w:r>
                            <w:r w:rsidRPr="00DD5A87">
                              <w:t>on</w:t>
                            </w:r>
                            <w:r>
                              <w:t xml:space="preserve"> children and</w:t>
                            </w:r>
                            <w:r w:rsidRPr="00DD5A87">
                              <w:t xml:space="preserve"> online advertis</w:t>
                            </w:r>
                            <w:r>
                              <w:t xml:space="preserve">ing/privacy in relation to </w:t>
                            </w:r>
                            <w:r w:rsidRPr="00DD5A87">
                              <w:t>new digital tec</w:t>
                            </w:r>
                            <w:r>
                              <w:t>hnologies</w:t>
                            </w:r>
                          </w:p>
                          <w:p w14:paraId="0DAA482B" w14:textId="77777777" w:rsidR="00F008D2" w:rsidRDefault="00F008D2" w:rsidP="00AA3994">
                            <w:pPr>
                              <w:pStyle w:val="ListParagraph"/>
                            </w:pPr>
                          </w:p>
                          <w:p w14:paraId="589F5B68" w14:textId="77777777" w:rsidR="00F008D2" w:rsidRDefault="00F008D2" w:rsidP="000D1D92">
                            <w:pPr>
                              <w:pStyle w:val="ListParagraph"/>
                              <w:numPr>
                                <w:ilvl w:val="0"/>
                                <w:numId w:val="22"/>
                              </w:numPr>
                            </w:pPr>
                            <w:r>
                              <w:t>S</w:t>
                            </w:r>
                            <w:r w:rsidRPr="00ED40C3">
                              <w:t xml:space="preserve">tudies suggest children’s knowledge of issues associated with online use </w:t>
                            </w:r>
                            <w:r>
                              <w:t xml:space="preserve">is </w:t>
                            </w:r>
                            <w:r w:rsidRPr="00ED40C3">
                              <w:t>superficial and limited</w:t>
                            </w:r>
                          </w:p>
                          <w:p w14:paraId="7482910D" w14:textId="77777777" w:rsidR="00F008D2" w:rsidRDefault="00F008D2" w:rsidP="00AA3994">
                            <w:pPr>
                              <w:pStyle w:val="ListParagraph"/>
                            </w:pPr>
                          </w:p>
                          <w:p w14:paraId="50038B9E" w14:textId="579F6F8A" w:rsidR="00F008D2" w:rsidRDefault="00F008D2" w:rsidP="000D1D92">
                            <w:pPr>
                              <w:pStyle w:val="ListParagraph"/>
                              <w:numPr>
                                <w:ilvl w:val="0"/>
                                <w:numId w:val="22"/>
                              </w:numPr>
                            </w:pPr>
                            <w:r>
                              <w:t xml:space="preserve">Contractual complexity is an issue, as is the inadequacy in </w:t>
                            </w:r>
                            <w:r w:rsidRPr="00506836">
                              <w:t xml:space="preserve">the process of securing informed parental consent </w:t>
                            </w:r>
                          </w:p>
                          <w:p w14:paraId="33101BD1" w14:textId="77777777" w:rsidR="00F008D2" w:rsidRDefault="00F008D2" w:rsidP="00AA3994">
                            <w:pPr>
                              <w:pStyle w:val="ListParagraph"/>
                            </w:pPr>
                          </w:p>
                          <w:p w14:paraId="0C07FE97" w14:textId="1A86EB62" w:rsidR="00F008D2" w:rsidRPr="00061ABE" w:rsidRDefault="00F008D2" w:rsidP="000D1D92">
                            <w:pPr>
                              <w:pStyle w:val="ListParagraph"/>
                              <w:numPr>
                                <w:ilvl w:val="0"/>
                                <w:numId w:val="22"/>
                              </w:numPr>
                            </w:pPr>
                            <w:r>
                              <w:t xml:space="preserve">Perceived risks </w:t>
                            </w:r>
                            <w:r w:rsidRPr="00506836">
                              <w:t xml:space="preserve">with self-regulation </w:t>
                            </w:r>
                            <w:r>
                              <w:t xml:space="preserve">were identified, with suggested reform including placing </w:t>
                            </w:r>
                            <w:r w:rsidRPr="00061ABE">
                              <w:t>the onus of responsibility on those who wish to use personal data</w:t>
                            </w:r>
                          </w:p>
                          <w:p w14:paraId="29BE9C48" w14:textId="77777777" w:rsidR="00F008D2" w:rsidRPr="00061ABE" w:rsidRDefault="00F008D2" w:rsidP="00AA3994">
                            <w:pPr>
                              <w:pStyle w:val="ListParagraph"/>
                            </w:pPr>
                          </w:p>
                          <w:p w14:paraId="107E3D31" w14:textId="42514F40" w:rsidR="00F008D2" w:rsidRPr="00061ABE" w:rsidRDefault="00F008D2" w:rsidP="000D1D92">
                            <w:pPr>
                              <w:pStyle w:val="ListParagraph"/>
                              <w:numPr>
                                <w:ilvl w:val="0"/>
                                <w:numId w:val="22"/>
                              </w:numPr>
                            </w:pPr>
                            <w:r>
                              <w:t>The literature suggests that a</w:t>
                            </w:r>
                            <w:r w:rsidRPr="00061ABE">
                              <w:t>ppropriate guidelines for ensuring trul</w:t>
                            </w:r>
                            <w:r>
                              <w:t xml:space="preserve">y informed consent from a child, together with </w:t>
                            </w:r>
                            <w:r w:rsidRPr="00061ABE">
                              <w:t>an ef</w:t>
                            </w:r>
                            <w:r>
                              <w:t>fective complaints system,</w:t>
                            </w:r>
                            <w:r w:rsidRPr="00BD178A">
                              <w:t xml:space="preserve"> </w:t>
                            </w:r>
                            <w:r>
                              <w:t xml:space="preserve">should be </w:t>
                            </w:r>
                            <w:r w:rsidRPr="00061ABE">
                              <w:t>established</w:t>
                            </w:r>
                          </w:p>
                          <w:p w14:paraId="55FE3BC5" w14:textId="77777777" w:rsidR="00F008D2" w:rsidRPr="00061ABE" w:rsidRDefault="00F008D2" w:rsidP="00AA3994">
                            <w:pPr>
                              <w:pStyle w:val="ListParagraph"/>
                            </w:pPr>
                          </w:p>
                          <w:p w14:paraId="1547CC89" w14:textId="4500D7CE" w:rsidR="00F008D2" w:rsidRPr="00061ABE" w:rsidRDefault="00F008D2" w:rsidP="000D1D92">
                            <w:pPr>
                              <w:pStyle w:val="ListParagraph"/>
                              <w:numPr>
                                <w:ilvl w:val="0"/>
                                <w:numId w:val="22"/>
                              </w:numPr>
                            </w:pPr>
                            <w:r w:rsidRPr="00061ABE">
                              <w:t>The online environment is not constrained solely by domestic law</w:t>
                            </w:r>
                            <w:r>
                              <w:t>,</w:t>
                            </w:r>
                            <w:r w:rsidRPr="00061ABE">
                              <w:t xml:space="preserve"> </w:t>
                            </w:r>
                            <w:r>
                              <w:t xml:space="preserve">which </w:t>
                            </w:r>
                            <w:r w:rsidRPr="00061ABE">
                              <w:t>poses additional regulatory challenges</w:t>
                            </w:r>
                            <w:r>
                              <w:t>.</w:t>
                            </w:r>
                          </w:p>
                          <w:p w14:paraId="7E7E60AF" w14:textId="77777777" w:rsidR="00F008D2" w:rsidRDefault="00F008D2" w:rsidP="00AA3994">
                            <w:pPr>
                              <w:pStyle w:val="ListParagraph"/>
                            </w:pPr>
                          </w:p>
                          <w:p w14:paraId="51500D43" w14:textId="77777777" w:rsidR="00F008D2" w:rsidRPr="00506836" w:rsidRDefault="00F008D2" w:rsidP="00AA3994"/>
                          <w:p w14:paraId="0719AE91" w14:textId="77777777" w:rsidR="00F008D2" w:rsidRPr="00DD5A87" w:rsidRDefault="00F008D2" w:rsidP="00AA3994">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548D2" id="_x0000_s1029" type="#_x0000_t202" style="position:absolute;left:0;text-align:left;margin-left:-.4pt;margin-top:90.5pt;width:446.9pt;height:430.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">
                <v:textbox>
                  <w:txbxContent>
                    <w:p w14:paraId="71B06D4D" w14:textId="77777777" w:rsidR="00F008D2" w:rsidRPr="00C133A0" w:rsidRDefault="00F008D2" w:rsidP="00AA3994">
                      <w:pPr>
                        <w:rPr>
                          <w:b/>
                        </w:rPr>
                      </w:pPr>
                      <w:r w:rsidRPr="00C133A0">
                        <w:rPr>
                          <w:b/>
                        </w:rPr>
                        <w:t>Summary – Literature review</w:t>
                      </w:r>
                    </w:p>
                    <w:p w14:paraId="185E08F4" w14:textId="77777777" w:rsidR="00F008D2" w:rsidRDefault="00F008D2" w:rsidP="000D1D92">
                      <w:pPr>
                        <w:pStyle w:val="ListParagraph"/>
                        <w:numPr>
                          <w:ilvl w:val="0"/>
                          <w:numId w:val="22"/>
                        </w:numPr>
                      </w:pPr>
                      <w:r w:rsidRPr="00CE0099">
                        <w:t>Children are seen as one of the fastest growing online niches</w:t>
                      </w:r>
                    </w:p>
                    <w:p w14:paraId="6A8A345B" w14:textId="77777777" w:rsidR="00F008D2" w:rsidRDefault="00F008D2" w:rsidP="00AA3994">
                      <w:pPr>
                        <w:pStyle w:val="ListParagraph"/>
                      </w:pPr>
                    </w:p>
                    <w:p w14:paraId="53077E58" w14:textId="77777777" w:rsidR="00F008D2" w:rsidRDefault="00F008D2" w:rsidP="000D1D92">
                      <w:pPr>
                        <w:pStyle w:val="ListParagraph"/>
                        <w:numPr>
                          <w:ilvl w:val="0"/>
                          <w:numId w:val="22"/>
                        </w:numPr>
                      </w:pPr>
                      <w:r>
                        <w:t>Online advertising</w:t>
                      </w:r>
                      <w:r w:rsidRPr="00896499">
                        <w:t xml:space="preserve"> can involve the use of t</w:t>
                      </w:r>
                      <w:r>
                        <w:t xml:space="preserve">racking software </w:t>
                      </w:r>
                      <w:r w:rsidRPr="00896499">
                        <w:t xml:space="preserve">and embedded advertising </w:t>
                      </w:r>
                      <w:r>
                        <w:t xml:space="preserve">that is </w:t>
                      </w:r>
                      <w:r w:rsidRPr="00896499">
                        <w:t>integral to the online content or product purchased</w:t>
                      </w:r>
                    </w:p>
                    <w:p w14:paraId="6186D666" w14:textId="77777777" w:rsidR="00F008D2" w:rsidRDefault="00F008D2" w:rsidP="00AA3994">
                      <w:pPr>
                        <w:pStyle w:val="ListParagraph"/>
                      </w:pPr>
                    </w:p>
                    <w:p w14:paraId="0CDBFE7E" w14:textId="77777777" w:rsidR="00F008D2" w:rsidRDefault="00F008D2" w:rsidP="000D1D92">
                      <w:pPr>
                        <w:pStyle w:val="ListParagraph"/>
                        <w:numPr>
                          <w:ilvl w:val="0"/>
                          <w:numId w:val="22"/>
                        </w:numPr>
                      </w:pPr>
                      <w:r w:rsidRPr="00DD5A87">
                        <w:t>These practices raise questions about online privacy and whether this ‘research into children’ (o</w:t>
                      </w:r>
                      <w:r>
                        <w:t>r data mining) is occurring by stealth</w:t>
                      </w:r>
                    </w:p>
                    <w:p w14:paraId="6EBEEFC7" w14:textId="77777777" w:rsidR="00F008D2" w:rsidRDefault="00F008D2" w:rsidP="00AA3994">
                      <w:pPr>
                        <w:pStyle w:val="ListParagraph"/>
                      </w:pPr>
                    </w:p>
                    <w:p w14:paraId="2E01947D" w14:textId="77777777" w:rsidR="00F008D2" w:rsidRDefault="00F008D2" w:rsidP="000D1D92">
                      <w:pPr>
                        <w:pStyle w:val="ListParagraph"/>
                        <w:numPr>
                          <w:ilvl w:val="0"/>
                          <w:numId w:val="22"/>
                        </w:numPr>
                      </w:pPr>
                      <w:r>
                        <w:t>Little</w:t>
                      </w:r>
                      <w:r w:rsidRPr="00DD5A87">
                        <w:t xml:space="preserve"> research </w:t>
                      </w:r>
                      <w:r>
                        <w:t xml:space="preserve">exists </w:t>
                      </w:r>
                      <w:r w:rsidRPr="00DD5A87">
                        <w:t>on</w:t>
                      </w:r>
                      <w:r>
                        <w:t xml:space="preserve"> children and</w:t>
                      </w:r>
                      <w:r w:rsidRPr="00DD5A87">
                        <w:t xml:space="preserve"> online advertis</w:t>
                      </w:r>
                      <w:r>
                        <w:t xml:space="preserve">ing/privacy in relation to </w:t>
                      </w:r>
                      <w:r w:rsidRPr="00DD5A87">
                        <w:t>new digital tec</w:t>
                      </w:r>
                      <w:r>
                        <w:t>hnologies</w:t>
                      </w:r>
                    </w:p>
                    <w:p w14:paraId="0DAA482B" w14:textId="77777777" w:rsidR="00F008D2" w:rsidRDefault="00F008D2" w:rsidP="00AA3994">
                      <w:pPr>
                        <w:pStyle w:val="ListParagraph"/>
                      </w:pPr>
                    </w:p>
                    <w:p w14:paraId="589F5B68" w14:textId="77777777" w:rsidR="00F008D2" w:rsidRDefault="00F008D2" w:rsidP="000D1D92">
                      <w:pPr>
                        <w:pStyle w:val="ListParagraph"/>
                        <w:numPr>
                          <w:ilvl w:val="0"/>
                          <w:numId w:val="22"/>
                        </w:numPr>
                      </w:pPr>
                      <w:r>
                        <w:t>S</w:t>
                      </w:r>
                      <w:r w:rsidRPr="00ED40C3">
                        <w:t xml:space="preserve">tudies suggest children’s knowledge of issues associated with online use </w:t>
                      </w:r>
                      <w:r>
                        <w:t xml:space="preserve">is </w:t>
                      </w:r>
                      <w:r w:rsidRPr="00ED40C3">
                        <w:t>superficial and limited</w:t>
                      </w:r>
                    </w:p>
                    <w:p w14:paraId="7482910D" w14:textId="77777777" w:rsidR="00F008D2" w:rsidRDefault="00F008D2" w:rsidP="00AA3994">
                      <w:pPr>
                        <w:pStyle w:val="ListParagraph"/>
                      </w:pPr>
                    </w:p>
                    <w:p w14:paraId="50038B9E" w14:textId="579F6F8A" w:rsidR="00F008D2" w:rsidRDefault="00F008D2" w:rsidP="000D1D92">
                      <w:pPr>
                        <w:pStyle w:val="ListParagraph"/>
                        <w:numPr>
                          <w:ilvl w:val="0"/>
                          <w:numId w:val="22"/>
                        </w:numPr>
                      </w:pPr>
                      <w:r>
                        <w:t xml:space="preserve">Contractual complexity is an issue, as is the inadequacy in </w:t>
                      </w:r>
                      <w:r w:rsidRPr="00506836">
                        <w:t xml:space="preserve">the process of securing informed parental consent </w:t>
                      </w:r>
                    </w:p>
                    <w:p w14:paraId="33101BD1" w14:textId="77777777" w:rsidR="00F008D2" w:rsidRDefault="00F008D2" w:rsidP="00AA3994">
                      <w:pPr>
                        <w:pStyle w:val="ListParagraph"/>
                      </w:pPr>
                    </w:p>
                    <w:p w14:paraId="0C07FE97" w14:textId="1A86EB62" w:rsidR="00F008D2" w:rsidRPr="00061ABE" w:rsidRDefault="00F008D2" w:rsidP="000D1D92">
                      <w:pPr>
                        <w:pStyle w:val="ListParagraph"/>
                        <w:numPr>
                          <w:ilvl w:val="0"/>
                          <w:numId w:val="22"/>
                        </w:numPr>
                      </w:pPr>
                      <w:r>
                        <w:t xml:space="preserve">Perceived risks </w:t>
                      </w:r>
                      <w:r w:rsidRPr="00506836">
                        <w:t xml:space="preserve">with self-regulation </w:t>
                      </w:r>
                      <w:r>
                        <w:t xml:space="preserve">were identified, with suggested reform including placing </w:t>
                      </w:r>
                      <w:r w:rsidRPr="00061ABE">
                        <w:t>the onus of responsibility on those who wish to use personal data</w:t>
                      </w:r>
                    </w:p>
                    <w:p w14:paraId="29BE9C48" w14:textId="77777777" w:rsidR="00F008D2" w:rsidRPr="00061ABE" w:rsidRDefault="00F008D2" w:rsidP="00AA3994">
                      <w:pPr>
                        <w:pStyle w:val="ListParagraph"/>
                      </w:pPr>
                    </w:p>
                    <w:p w14:paraId="107E3D31" w14:textId="42514F40" w:rsidR="00F008D2" w:rsidRPr="00061ABE" w:rsidRDefault="00F008D2" w:rsidP="000D1D92">
                      <w:pPr>
                        <w:pStyle w:val="ListParagraph"/>
                        <w:numPr>
                          <w:ilvl w:val="0"/>
                          <w:numId w:val="22"/>
                        </w:numPr>
                      </w:pPr>
                      <w:r>
                        <w:t>The literature suggests that a</w:t>
                      </w:r>
                      <w:r w:rsidRPr="00061ABE">
                        <w:t>ppropriate guidelines for ensuring trul</w:t>
                      </w:r>
                      <w:r>
                        <w:t xml:space="preserve">y informed consent from a child, together with </w:t>
                      </w:r>
                      <w:r w:rsidRPr="00061ABE">
                        <w:t>an ef</w:t>
                      </w:r>
                      <w:r>
                        <w:t>fective complaints system,</w:t>
                      </w:r>
                      <w:r w:rsidRPr="00BD178A">
                        <w:t xml:space="preserve"> </w:t>
                      </w:r>
                      <w:r>
                        <w:t xml:space="preserve">should be </w:t>
                      </w:r>
                      <w:r w:rsidRPr="00061ABE">
                        <w:t>established</w:t>
                      </w:r>
                    </w:p>
                    <w:p w14:paraId="55FE3BC5" w14:textId="77777777" w:rsidR="00F008D2" w:rsidRPr="00061ABE" w:rsidRDefault="00F008D2" w:rsidP="00AA3994">
                      <w:pPr>
                        <w:pStyle w:val="ListParagraph"/>
                      </w:pPr>
                    </w:p>
                    <w:p w14:paraId="1547CC89" w14:textId="4500D7CE" w:rsidR="00F008D2" w:rsidRPr="00061ABE" w:rsidRDefault="00F008D2" w:rsidP="000D1D92">
                      <w:pPr>
                        <w:pStyle w:val="ListParagraph"/>
                        <w:numPr>
                          <w:ilvl w:val="0"/>
                          <w:numId w:val="22"/>
                        </w:numPr>
                      </w:pPr>
                      <w:r w:rsidRPr="00061ABE">
                        <w:t>The online environment is not constrained solely by domestic law</w:t>
                      </w:r>
                      <w:r>
                        <w:t>,</w:t>
                      </w:r>
                      <w:r w:rsidRPr="00061ABE">
                        <w:t xml:space="preserve"> </w:t>
                      </w:r>
                      <w:r>
                        <w:t xml:space="preserve">which </w:t>
                      </w:r>
                      <w:r w:rsidRPr="00061ABE">
                        <w:t>poses additional regulatory challenges</w:t>
                      </w:r>
                      <w:r>
                        <w:t>.</w:t>
                      </w:r>
                    </w:p>
                    <w:p w14:paraId="7E7E60AF" w14:textId="77777777" w:rsidR="00F008D2" w:rsidRDefault="00F008D2" w:rsidP="00AA3994">
                      <w:pPr>
                        <w:pStyle w:val="ListParagraph"/>
                      </w:pPr>
                    </w:p>
                    <w:p w14:paraId="51500D43" w14:textId="77777777" w:rsidR="00F008D2" w:rsidRPr="00506836" w:rsidRDefault="00F008D2" w:rsidP="00AA3994"/>
                    <w:p w14:paraId="0719AE91" w14:textId="77777777" w:rsidR="00F008D2" w:rsidRPr="00DD5A87" w:rsidRDefault="00F008D2" w:rsidP="00AA3994">
                      <w:pPr>
                        <w:pStyle w:val="ListParagraph"/>
                      </w:pPr>
                    </w:p>
                  </w:txbxContent>
                </v:textbox>
                <w10:wrap type="square" anchorx="margin"/>
              </v:shape>
            </w:pict>
          </mc:Fallback>
        </mc:AlternateContent>
      </w:r>
      <w:r>
        <w:t>A number of key regulatory issues that emerge within the Australian legal context are considered below, the review of which was assisted by analysis from King &amp; Wood Mallesons.</w:t>
      </w:r>
    </w:p>
    <w:p w14:paraId="5F6CE1E8" w14:textId="4A889CD0" w:rsidR="00AA3994" w:rsidRDefault="00AA3994" w:rsidP="00354AA1">
      <w:pPr>
        <w:pStyle w:val="Heading2"/>
        <w:jc w:val="both"/>
      </w:pPr>
      <w:bookmarkStart w:id="103" w:name="_Toc430333093"/>
      <w:bookmarkStart w:id="104" w:name="_Toc430702086"/>
      <w:bookmarkStart w:id="105" w:name="_Toc432577316"/>
      <w:r>
        <w:lastRenderedPageBreak/>
        <w:t>Australian consumer protection and children</w:t>
      </w:r>
      <w:bookmarkEnd w:id="103"/>
      <w:bookmarkEnd w:id="104"/>
      <w:bookmarkEnd w:id="105"/>
    </w:p>
    <w:p w14:paraId="6F235892" w14:textId="304C37A6" w:rsidR="00AA3994" w:rsidRPr="003A09B4" w:rsidRDefault="00AA3994" w:rsidP="00354AA1">
      <w:pPr>
        <w:jc w:val="both"/>
      </w:pPr>
      <w:r w:rsidRPr="003A09B4">
        <w:t xml:space="preserve">Many different laws regulate the online consumer space. For example, consumer laws cover unfair contracts, </w:t>
      </w:r>
      <w:r w:rsidR="00AE3B97" w:rsidRPr="003A09B4">
        <w:t xml:space="preserve">product safety and </w:t>
      </w:r>
      <w:r w:rsidRPr="003A09B4">
        <w:t>misleading and deceptive conduct</w:t>
      </w:r>
      <w:r w:rsidR="00AE3B97" w:rsidRPr="003A09B4">
        <w:t>,</w:t>
      </w:r>
      <w:r w:rsidRPr="003A09B4">
        <w:t xml:space="preserve"> and provides for options for redress.</w:t>
      </w:r>
      <w:r w:rsidRPr="003A09B4">
        <w:rPr>
          <w:rStyle w:val="EndnoteReference"/>
        </w:rPr>
        <w:endnoteReference w:id="350"/>
      </w:r>
      <w:r w:rsidRPr="003A09B4">
        <w:t xml:space="preserve"> Privacy laws also apply to the online marketplace as does the regulation of online forms of marketing and advertising.</w:t>
      </w:r>
    </w:p>
    <w:p w14:paraId="3A09CA55" w14:textId="611FD340" w:rsidR="00AA3994" w:rsidRDefault="00AA3994" w:rsidP="00354AA1">
      <w:pPr>
        <w:jc w:val="both"/>
      </w:pPr>
      <w:r w:rsidRPr="003A09B4">
        <w:t>Given the breadth of laws involved in the regulation of online consumer activities, in this examination two issues have been singled out as case studies. The aim is to highlight how laws operate domestically and the extent to which they operate to specifically protect (if at all) the rights of children as online consumers. The first of these is privacy</w:t>
      </w:r>
      <w:r w:rsidR="003A09B4" w:rsidRPr="003A09B4">
        <w:t xml:space="preserve"> law. The second is consumer law – </w:t>
      </w:r>
      <w:r w:rsidRPr="003A09B4">
        <w:t>specifically the ability of children to enter into contracts, unfair contracts and misleading and deceptive conduct.</w:t>
      </w:r>
    </w:p>
    <w:p w14:paraId="24A3EAEF" w14:textId="77777777" w:rsidR="00AA3994" w:rsidRDefault="00AA3994" w:rsidP="00354AA1">
      <w:pPr>
        <w:pStyle w:val="Heading3"/>
        <w:jc w:val="both"/>
      </w:pPr>
      <w:bookmarkStart w:id="106" w:name="_Toc430333094"/>
      <w:bookmarkStart w:id="107" w:name="_Toc430702087"/>
      <w:r>
        <w:t>Case study: children and online privacy</w:t>
      </w:r>
      <w:bookmarkEnd w:id="106"/>
      <w:bookmarkEnd w:id="107"/>
    </w:p>
    <w:p w14:paraId="3F789450" w14:textId="29E6F982" w:rsidR="00AA3994" w:rsidRDefault="00AA3994" w:rsidP="00354AA1">
      <w:pPr>
        <w:jc w:val="both"/>
      </w:pPr>
      <w:r>
        <w:t xml:space="preserve">In Australia, both state and federal laws exist in relation to privacy. The main source of information privacy regulation in Australia is the federal </w:t>
      </w:r>
      <w:r w:rsidRPr="00371F62">
        <w:rPr>
          <w:i/>
        </w:rPr>
        <w:t>Privacy Act 1988</w:t>
      </w:r>
      <w:r>
        <w:t xml:space="preserve"> (Cth)</w:t>
      </w:r>
      <w:r w:rsidR="00AE3B97">
        <w:t xml:space="preserve"> (the Privacy Act)</w:t>
      </w:r>
      <w:r>
        <w:t>. In a 2008 review of the Privacy Act</w:t>
      </w:r>
      <w:r w:rsidR="00AE3B97">
        <w:t>,</w:t>
      </w:r>
      <w:r>
        <w:t xml:space="preserve"> the Australian Law Reform Commission (ALRC) identified a number of issues relating to children and their expectations of privacy and the disclosure of their personal information.</w:t>
      </w:r>
      <w:r>
        <w:rPr>
          <w:rStyle w:val="EndnoteReference"/>
        </w:rPr>
        <w:endnoteReference w:id="351"/>
      </w:r>
      <w:r>
        <w:t xml:space="preserve"> </w:t>
      </w:r>
      <w:r w:rsidRPr="00A64907">
        <w:t>A particular issue of concern was the actual capacity of children to genuinely consent to or otherwise make decisions that affect their rights.</w:t>
      </w:r>
      <w:r w:rsidRPr="00A64907">
        <w:rPr>
          <w:rStyle w:val="EndnoteReference"/>
        </w:rPr>
        <w:endnoteReference w:id="352"/>
      </w:r>
      <w:r>
        <w:t xml:space="preserve"> </w:t>
      </w:r>
    </w:p>
    <w:p w14:paraId="0FDE9177" w14:textId="70678E42" w:rsidR="00AA3994" w:rsidRPr="00552A81" w:rsidRDefault="00AA3994" w:rsidP="00354AA1">
      <w:pPr>
        <w:jc w:val="both"/>
      </w:pPr>
      <w:r>
        <w:t xml:space="preserve">The </w:t>
      </w:r>
      <w:r w:rsidRPr="00552A81">
        <w:t xml:space="preserve">Privacy Act does not set a minimum age at which a child is able to consent to decisions about their privacy and the use of their personal information. In the absence of a </w:t>
      </w:r>
      <w:r>
        <w:t xml:space="preserve">set </w:t>
      </w:r>
      <w:r w:rsidRPr="00552A81">
        <w:t xml:space="preserve">minimum age, </w:t>
      </w:r>
      <w:r w:rsidRPr="00A64907">
        <w:t>an individual assessment on the ability to consent would need to be made of each child on a case by case basis</w:t>
      </w:r>
      <w:r w:rsidRPr="00552A81">
        <w:t>.</w:t>
      </w:r>
      <w:r w:rsidRPr="00552A81">
        <w:rPr>
          <w:rStyle w:val="EndnoteReference"/>
        </w:rPr>
        <w:endnoteReference w:id="353"/>
      </w:r>
      <w:r w:rsidRPr="00552A81">
        <w:t xml:space="preserve"> This would include assessing the child’s ability to fully comprehend the meaning of the decision.</w:t>
      </w:r>
      <w:r w:rsidRPr="00552A81">
        <w:rPr>
          <w:rStyle w:val="EndnoteReference"/>
        </w:rPr>
        <w:endnoteReference w:id="354"/>
      </w:r>
      <w:r w:rsidRPr="00552A81">
        <w:t xml:space="preserve"> Until that time it is assumed that a parent or guardian will make these decisions on behalf of the child.</w:t>
      </w:r>
      <w:r w:rsidRPr="00552A81">
        <w:rPr>
          <w:rStyle w:val="EndnoteReference"/>
        </w:rPr>
        <w:endnoteReference w:id="355"/>
      </w:r>
      <w:r w:rsidRPr="00552A81">
        <w:t xml:space="preserve"> </w:t>
      </w:r>
      <w:r w:rsidRPr="00A64907">
        <w:t>In a practical sense, the ability of business to make such an assessment would be difficult to undertake</w:t>
      </w:r>
      <w:r w:rsidR="00AE3B97">
        <w:t xml:space="preserve">, </w:t>
      </w:r>
      <w:r w:rsidRPr="00A64907">
        <w:t>particularly in the context of online commerce.</w:t>
      </w:r>
    </w:p>
    <w:p w14:paraId="687F31E2" w14:textId="7672C191" w:rsidR="00AA3994" w:rsidRDefault="00AA3994" w:rsidP="00354AA1">
      <w:pPr>
        <w:jc w:val="both"/>
      </w:pPr>
      <w:r>
        <w:t>The</w:t>
      </w:r>
      <w:r w:rsidRPr="00552A81">
        <w:t xml:space="preserve"> ALRC </w:t>
      </w:r>
      <w:r>
        <w:t>drew specific attention to the impact</w:t>
      </w:r>
      <w:r w:rsidRPr="00552A81">
        <w:t xml:space="preserve"> of ‘direct marketing’ </w:t>
      </w:r>
      <w:r>
        <w:t xml:space="preserve">on </w:t>
      </w:r>
      <w:r w:rsidRPr="00552A81">
        <w:t>children and young people.</w:t>
      </w:r>
      <w:r w:rsidRPr="00552A81">
        <w:rPr>
          <w:rStyle w:val="EndnoteReference"/>
        </w:rPr>
        <w:endnoteReference w:id="356"/>
      </w:r>
      <w:r w:rsidRPr="00552A81">
        <w:t xml:space="preserve"> A number of laws regulate ‘direct marketing’ practices including the </w:t>
      </w:r>
      <w:r w:rsidRPr="00552A81">
        <w:rPr>
          <w:i/>
        </w:rPr>
        <w:t>Spam Act 2003</w:t>
      </w:r>
      <w:r w:rsidRPr="00552A81">
        <w:t xml:space="preserve"> (Cth) and the </w:t>
      </w:r>
      <w:r w:rsidRPr="00552A81">
        <w:rPr>
          <w:i/>
        </w:rPr>
        <w:t xml:space="preserve">Do Not Call Register Act 2006 </w:t>
      </w:r>
      <w:r w:rsidRPr="00552A81">
        <w:t xml:space="preserve">(Cth). </w:t>
      </w:r>
      <w:r w:rsidR="00842C10">
        <w:t>With</w:t>
      </w:r>
      <w:r w:rsidRPr="00552A81">
        <w:t xml:space="preserve"> respect </w:t>
      </w:r>
      <w:r w:rsidR="00842C10">
        <w:t>to</w:t>
      </w:r>
      <w:r w:rsidRPr="00552A81">
        <w:t xml:space="preserve"> the</w:t>
      </w:r>
      <w:r>
        <w:t xml:space="preserve"> Privacy Act, the ALRC concluded that children did not have the ability to ‘comprehend the nature of an ongoing [consumer] relationship or have sufficient understanding to have a “reasonable expectation” of receiving direct marketing material as a result of that continuing relationship’.</w:t>
      </w:r>
      <w:r>
        <w:rPr>
          <w:rStyle w:val="EndnoteReference"/>
        </w:rPr>
        <w:endnoteReference w:id="357"/>
      </w:r>
    </w:p>
    <w:p w14:paraId="72A99905" w14:textId="5B451C8A" w:rsidR="00AA3994" w:rsidRDefault="00AA3994" w:rsidP="00354AA1">
      <w:pPr>
        <w:jc w:val="both"/>
      </w:pPr>
      <w:r>
        <w:t>To address this issue, the ALRC recommended that parental consent be a prerequisite to the use of personal information for direct marketing purposes for children under the age of 15 years.</w:t>
      </w:r>
      <w:r>
        <w:rPr>
          <w:rStyle w:val="EndnoteReference"/>
        </w:rPr>
        <w:endnoteReference w:id="358"/>
      </w:r>
      <w:r>
        <w:t xml:space="preserve"> For children and young people over the age of 15 years, the ALRC proposed a change to the law that allowed organisations to presume that children over the age of 15 years possess the capacity to consent.</w:t>
      </w:r>
      <w:r>
        <w:rPr>
          <w:rStyle w:val="EndnoteReference"/>
        </w:rPr>
        <w:endnoteReference w:id="359"/>
      </w:r>
      <w:r>
        <w:t xml:space="preserve"> If organisations wished to rely on this presumption then reasonable steps had to be undertaken to confirm the person was over 15 years of age.</w:t>
      </w:r>
      <w:r>
        <w:rPr>
          <w:rStyle w:val="EndnoteReference"/>
        </w:rPr>
        <w:endnoteReference w:id="360"/>
      </w:r>
      <w:r>
        <w:t xml:space="preserve"> This recommended change to the law has not been adopted by</w:t>
      </w:r>
      <w:r w:rsidR="00A44F5B">
        <w:t xml:space="preserve"> the Australian G</w:t>
      </w:r>
      <w:r>
        <w:t>overnment.</w:t>
      </w:r>
      <w:r>
        <w:rPr>
          <w:rStyle w:val="EndnoteReference"/>
        </w:rPr>
        <w:endnoteReference w:id="361"/>
      </w:r>
      <w:r>
        <w:t xml:space="preserve"> </w:t>
      </w:r>
      <w:r w:rsidRPr="00495E5B">
        <w:t xml:space="preserve">A further review by the ALRC in 2014 into </w:t>
      </w:r>
      <w:r w:rsidRPr="00A44F5B">
        <w:rPr>
          <w:i/>
        </w:rPr>
        <w:t>Serious Invasions of Privacy in the Digital Era</w:t>
      </w:r>
      <w:r w:rsidRPr="006F51AC">
        <w:t xml:space="preserve"> </w:t>
      </w:r>
      <w:r w:rsidRPr="006F51AC">
        <w:lastRenderedPageBreak/>
        <w:t xml:space="preserve">highlighted similar concerns and recommended a cause of action </w:t>
      </w:r>
      <w:r w:rsidRPr="008F6818">
        <w:t xml:space="preserve">provision </w:t>
      </w:r>
      <w:r w:rsidRPr="00A96266">
        <w:t>be includ</w:t>
      </w:r>
      <w:r w:rsidRPr="00495E5B">
        <w:t>ed in the legisl</w:t>
      </w:r>
      <w:r w:rsidRPr="006F51AC">
        <w:t>ation in relation to serious breaches of privacy</w:t>
      </w:r>
      <w:r w:rsidRPr="00495E5B">
        <w:t>.</w:t>
      </w:r>
      <w:r w:rsidRPr="00495E5B">
        <w:rPr>
          <w:rStyle w:val="EndnoteReference"/>
        </w:rPr>
        <w:endnoteReference w:id="362"/>
      </w:r>
    </w:p>
    <w:p w14:paraId="5A2F58E1" w14:textId="2F11CB00" w:rsidR="00AA2C8B" w:rsidRDefault="00AA2C8B" w:rsidP="00354AA1">
      <w:pPr>
        <w:jc w:val="both"/>
      </w:pPr>
      <w:r>
        <w:t>The Office of the Australian Information Commissioner (OAIC) has published guidelines on its interpretation of the Australian Privacy Principles set out in the Privacy Act.  The guidelines state that where it is not reasonable for a regulated entity to perform a case-by-case assessment of the capacity of an individual under the age of 18, the entity may presume that an individual over the age of 15 has capacity to consent unless there is something to suggest otherwise.</w:t>
      </w:r>
      <w:r>
        <w:rPr>
          <w:rStyle w:val="EndnoteReference"/>
        </w:rPr>
        <w:endnoteReference w:id="363"/>
      </w:r>
      <w:r>
        <w:t xml:space="preserve">  While these guidelines are in line with the ALRC’s proposed changes to the law, they are not legally binding and serve only to indicate the OAIC’s approach to regulation.</w:t>
      </w:r>
    </w:p>
    <w:p w14:paraId="6F604090" w14:textId="11B1F21B" w:rsidR="00AA3994" w:rsidRDefault="00AA3994" w:rsidP="00354AA1">
      <w:pPr>
        <w:jc w:val="both"/>
      </w:pPr>
      <w:r>
        <w:t xml:space="preserve">No significant change to Australian privacy laws has occurred in relation to children and young people since the publication of the </w:t>
      </w:r>
      <w:r w:rsidRPr="004F3FEE">
        <w:t>ALRC report in 2008.</w:t>
      </w:r>
      <w:r>
        <w:t xml:space="preserve"> Given the high levels of internet use by children in Australia it may now be a timely opportunity to revi</w:t>
      </w:r>
      <w:r w:rsidR="00644976">
        <w:t>sit the ALRC’s recommendations on</w:t>
      </w:r>
      <w:r>
        <w:t xml:space="preserve"> the online privacy of children in Australia.</w:t>
      </w:r>
    </w:p>
    <w:p w14:paraId="5A99B5F1" w14:textId="6E16F9FB" w:rsidR="00AA3994" w:rsidRPr="004521F0" w:rsidRDefault="00AA3994" w:rsidP="00354AA1">
      <w:pPr>
        <w:jc w:val="both"/>
        <w:rPr>
          <w:rFonts w:cs="Arial"/>
        </w:rPr>
      </w:pPr>
      <w:r w:rsidRPr="004521F0">
        <w:rPr>
          <w:rFonts w:cs="Arial"/>
        </w:rPr>
        <w:t>In 2015, the OAIC</w:t>
      </w:r>
      <w:r w:rsidR="00AA2C8B">
        <w:rPr>
          <w:rFonts w:cs="Arial"/>
        </w:rPr>
        <w:t xml:space="preserve"> </w:t>
      </w:r>
      <w:r w:rsidRPr="004521F0">
        <w:rPr>
          <w:rFonts w:cs="Arial"/>
        </w:rPr>
        <w:t>along with 28 other privacy enforcement authorities around the world took part in the third Global Privacy Enforcement Network (GPEN) Privacy Sweep.</w:t>
      </w:r>
      <w:r w:rsidRPr="004521F0">
        <w:rPr>
          <w:rStyle w:val="EndnoteReference"/>
          <w:rFonts w:cs="Arial"/>
        </w:rPr>
        <w:endnoteReference w:id="364"/>
      </w:r>
      <w:r w:rsidRPr="004521F0">
        <w:rPr>
          <w:rFonts w:cs="Arial"/>
        </w:rPr>
        <w:t xml:space="preserve"> A number of child-targeted websites and apps were examined for the collection of children’s personal information.</w:t>
      </w:r>
      <w:r w:rsidRPr="004521F0">
        <w:rPr>
          <w:rStyle w:val="EndnoteReference"/>
          <w:rFonts w:cs="Arial"/>
        </w:rPr>
        <w:endnoteReference w:id="365"/>
      </w:r>
      <w:r w:rsidRPr="004521F0">
        <w:rPr>
          <w:rFonts w:cs="Arial"/>
        </w:rPr>
        <w:t xml:space="preserve"> This included consideration of whether parental involvement was sought, the ease of deletion of personal information, whether users were redirected off the site and the tailoring of privacy information to children.</w:t>
      </w:r>
      <w:r w:rsidRPr="004521F0">
        <w:rPr>
          <w:rStyle w:val="EndnoteReference"/>
          <w:rFonts w:cs="Arial"/>
        </w:rPr>
        <w:endnoteReference w:id="366"/>
      </w:r>
    </w:p>
    <w:p w14:paraId="55E5D277" w14:textId="60C39A88" w:rsidR="00AA3994" w:rsidRPr="00615ED1" w:rsidRDefault="00AA3994" w:rsidP="00354AA1">
      <w:pPr>
        <w:jc w:val="both"/>
        <w:rPr>
          <w:rFonts w:cs="Arial"/>
        </w:rPr>
      </w:pPr>
      <w:r w:rsidRPr="004521F0">
        <w:rPr>
          <w:rFonts w:cs="Arial"/>
        </w:rPr>
        <w:t xml:space="preserve">The OAIC found that a number of websites/apps targeting children </w:t>
      </w:r>
      <w:r>
        <w:rPr>
          <w:rFonts w:cs="Arial"/>
        </w:rPr>
        <w:t xml:space="preserve">under </w:t>
      </w:r>
      <w:r w:rsidRPr="004521F0">
        <w:rPr>
          <w:rFonts w:cs="Arial"/>
        </w:rPr>
        <w:t xml:space="preserve">12 years </w:t>
      </w:r>
      <w:r>
        <w:rPr>
          <w:rFonts w:cs="Arial"/>
        </w:rPr>
        <w:t xml:space="preserve">either did not collect, or limited the </w:t>
      </w:r>
      <w:r w:rsidRPr="004521F0">
        <w:rPr>
          <w:rFonts w:cs="Arial"/>
        </w:rPr>
        <w:t>collection of</w:t>
      </w:r>
      <w:r>
        <w:rPr>
          <w:rFonts w:cs="Arial"/>
        </w:rPr>
        <w:t>,</w:t>
      </w:r>
      <w:r w:rsidRPr="004521F0">
        <w:rPr>
          <w:rFonts w:cs="Arial"/>
        </w:rPr>
        <w:t xml:space="preserve"> children’s personal information.</w:t>
      </w:r>
      <w:r w:rsidRPr="004521F0">
        <w:rPr>
          <w:rStyle w:val="EndnoteReference"/>
          <w:rFonts w:cs="Arial"/>
        </w:rPr>
        <w:endnoteReference w:id="367"/>
      </w:r>
      <w:r w:rsidRPr="004521F0">
        <w:rPr>
          <w:rFonts w:cs="Arial"/>
        </w:rPr>
        <w:t xml:space="preserve"> However deficiencies existed in the incorporation of child-appropriate privacy measures (including the tailoring of privacy information to children) and the re-directing of children </w:t>
      </w:r>
      <w:r w:rsidR="00A44F5B">
        <w:rPr>
          <w:rFonts w:cs="Arial"/>
        </w:rPr>
        <w:t>away from</w:t>
      </w:r>
      <w:r w:rsidRPr="004521F0">
        <w:rPr>
          <w:rFonts w:cs="Arial"/>
        </w:rPr>
        <w:t xml:space="preserve"> sites.</w:t>
      </w:r>
      <w:r w:rsidRPr="004521F0">
        <w:rPr>
          <w:rStyle w:val="EndnoteReference"/>
          <w:rFonts w:cs="Arial"/>
        </w:rPr>
        <w:endnoteReference w:id="368"/>
      </w:r>
      <w:r w:rsidRPr="004521F0">
        <w:rPr>
          <w:rFonts w:cs="Arial"/>
        </w:rPr>
        <w:t xml:space="preserve"> Facilitating parental involvement was considered a key measure to protecting children’s privacy along with protective controls in respect of collection and deletion of personal information and redirection.</w:t>
      </w:r>
      <w:r w:rsidRPr="004521F0">
        <w:rPr>
          <w:rStyle w:val="EndnoteReference"/>
          <w:rFonts w:cs="Arial"/>
        </w:rPr>
        <w:endnoteReference w:id="369"/>
      </w:r>
      <w:r w:rsidRPr="004521F0">
        <w:rPr>
          <w:rFonts w:cs="Arial"/>
        </w:rPr>
        <w:t xml:space="preserve"> The OAIC is currently considering the resu</w:t>
      </w:r>
      <w:r w:rsidR="00B55A05">
        <w:rPr>
          <w:rFonts w:cs="Arial"/>
        </w:rPr>
        <w:t>lts for any further follow-</w:t>
      </w:r>
      <w:r w:rsidRPr="004521F0">
        <w:rPr>
          <w:rFonts w:cs="Arial"/>
        </w:rPr>
        <w:t>up action.</w:t>
      </w:r>
      <w:r w:rsidRPr="004521F0">
        <w:rPr>
          <w:rStyle w:val="EndnoteReference"/>
          <w:rFonts w:cs="Arial"/>
        </w:rPr>
        <w:endnoteReference w:id="370"/>
      </w:r>
    </w:p>
    <w:p w14:paraId="6CC7F8FE" w14:textId="77777777" w:rsidR="00AA3994" w:rsidRDefault="00AA3994" w:rsidP="00354AA1">
      <w:pPr>
        <w:pStyle w:val="Heading3"/>
        <w:jc w:val="both"/>
      </w:pPr>
      <w:bookmarkStart w:id="108" w:name="_Toc430333095"/>
      <w:bookmarkStart w:id="109" w:name="_Toc430702088"/>
      <w:r>
        <w:t>Case study: consumer contracts and children</w:t>
      </w:r>
      <w:r>
        <w:rPr>
          <w:rStyle w:val="EndnoteReference"/>
        </w:rPr>
        <w:endnoteReference w:id="371"/>
      </w:r>
      <w:bookmarkEnd w:id="108"/>
      <w:bookmarkEnd w:id="109"/>
    </w:p>
    <w:p w14:paraId="4EA81957" w14:textId="77777777" w:rsidR="00AA3994" w:rsidRDefault="00AA3994" w:rsidP="00354AA1">
      <w:pPr>
        <w:jc w:val="both"/>
      </w:pPr>
      <w:r w:rsidRPr="005B1318">
        <w:t>A contract is enforceable where both parties have the ‘capacity’ to enter into a contract. Certain parties may be exempt from what would otherwise be a binding contract if they are considered to ‘lack capacity’. Those considered to ‘lack capacity’ include children (minors).</w:t>
      </w:r>
      <w:r w:rsidRPr="005B1318">
        <w:rPr>
          <w:rStyle w:val="EndnoteReference"/>
        </w:rPr>
        <w:endnoteReference w:id="372"/>
      </w:r>
    </w:p>
    <w:p w14:paraId="21E0FC31" w14:textId="77777777" w:rsidR="00AA3994" w:rsidRDefault="00AA3994" w:rsidP="00354AA1">
      <w:pPr>
        <w:jc w:val="both"/>
      </w:pPr>
      <w:r>
        <w:t>While the ability to understand commercial matters varies between individuals, Australian law sets the age of an adult at 18 years of age for most purposes.</w:t>
      </w:r>
      <w:r>
        <w:rPr>
          <w:rStyle w:val="EndnoteReference"/>
        </w:rPr>
        <w:endnoteReference w:id="373"/>
      </w:r>
      <w:r>
        <w:t xml:space="preserve"> </w:t>
      </w:r>
      <w:r w:rsidRPr="00230221">
        <w:t>People under the age of 18 years are ‘minors’ who are generally not bound to obligations arising out of contracts due to their presumed ‘lack of capacity’ to fully understand the obligations they have entered into.</w:t>
      </w:r>
      <w:r>
        <w:t xml:space="preserve"> </w:t>
      </w:r>
    </w:p>
    <w:p w14:paraId="4F37B89E" w14:textId="1BAE49E7" w:rsidR="00AA3994" w:rsidRDefault="00AA3994" w:rsidP="00354AA1">
      <w:pPr>
        <w:jc w:val="both"/>
      </w:pPr>
      <w:r>
        <w:t>The common law</w:t>
      </w:r>
      <w:r>
        <w:rPr>
          <w:rStyle w:val="EndnoteReference"/>
        </w:rPr>
        <w:endnoteReference w:id="374"/>
      </w:r>
      <w:r>
        <w:t xml:space="preserve"> allows for one exception to this general rule where a minor will be bound to contracts for goods and services that are considered ‘necessary’ to the minor’s way of life.</w:t>
      </w:r>
      <w:r>
        <w:rPr>
          <w:rStyle w:val="EndnoteReference"/>
        </w:rPr>
        <w:endnoteReference w:id="375"/>
      </w:r>
      <w:r>
        <w:t xml:space="preserve"> </w:t>
      </w:r>
      <w:r w:rsidR="00B55A05">
        <w:t>Determining</w:t>
      </w:r>
      <w:r>
        <w:t xml:space="preserve"> whether something is ‘necessary’ will depend on </w:t>
      </w:r>
      <w:r>
        <w:lastRenderedPageBreak/>
        <w:t>individual circumstances including his/her age, means, requirements and whether the minor was provided with these goods or services from alternative sources.</w:t>
      </w:r>
      <w:r>
        <w:rPr>
          <w:rStyle w:val="EndnoteReference"/>
        </w:rPr>
        <w:endnoteReference w:id="376"/>
      </w:r>
      <w:r>
        <w:t xml:space="preserve"> </w:t>
      </w:r>
    </w:p>
    <w:p w14:paraId="27B276EB" w14:textId="4F20B55E" w:rsidR="00AA3994" w:rsidRDefault="00AA3994" w:rsidP="00354AA1">
      <w:pPr>
        <w:jc w:val="both"/>
      </w:pPr>
      <w:r>
        <w:t xml:space="preserve">Legislation on contracting with minors also exists at the </w:t>
      </w:r>
      <w:r w:rsidR="00427826">
        <w:t>s</w:t>
      </w:r>
      <w:r>
        <w:t xml:space="preserve">tate and </w:t>
      </w:r>
      <w:r w:rsidR="00427826">
        <w:t>t</w:t>
      </w:r>
      <w:r>
        <w:t>erritory level. It largely mirrors the common law position that minors under the age of 18 years cannot be bound to contracts with the exception of contracts for goods and services considered ‘necessary’</w:t>
      </w:r>
      <w:r>
        <w:rPr>
          <w:rStyle w:val="EndnoteReference"/>
        </w:rPr>
        <w:endnoteReference w:id="377"/>
      </w:r>
      <w:r>
        <w:t xml:space="preserve"> (or in the case of NSW - considered ‘beneficial’).</w:t>
      </w:r>
      <w:r>
        <w:rPr>
          <w:rStyle w:val="EndnoteReference"/>
        </w:rPr>
        <w:endnoteReference w:id="378"/>
      </w:r>
    </w:p>
    <w:p w14:paraId="0488CFF8" w14:textId="77777777" w:rsidR="00AA3994" w:rsidRDefault="00AA3994" w:rsidP="00354AA1">
      <w:pPr>
        <w:jc w:val="both"/>
      </w:pPr>
      <w:r>
        <w:t>Similar to the Privacy Act, general consumer laws (known as the ‘Australian Consumer Law’) do not contain any child-specific provisions.</w:t>
      </w:r>
      <w:r>
        <w:rPr>
          <w:rStyle w:val="EndnoteReference"/>
        </w:rPr>
        <w:endnoteReference w:id="379"/>
      </w:r>
      <w:r>
        <w:t xml:space="preserve"> The law does however include provisions that are generally relevant to children’s online consumer activities such as the prohibition of unfair terms in consumer contracts and the prohibition of misleading and deceptive conduct.</w:t>
      </w:r>
      <w:r>
        <w:rPr>
          <w:rStyle w:val="EndnoteReference"/>
        </w:rPr>
        <w:endnoteReference w:id="380"/>
      </w:r>
      <w:r>
        <w:t xml:space="preserve"> </w:t>
      </w:r>
    </w:p>
    <w:p w14:paraId="0F9F1239" w14:textId="77777777" w:rsidR="00AA3994" w:rsidRDefault="00AA3994" w:rsidP="00354AA1">
      <w:pPr>
        <w:jc w:val="both"/>
      </w:pPr>
      <w:r>
        <w:t xml:space="preserve">For </w:t>
      </w:r>
      <w:r w:rsidRPr="00A01BF0">
        <w:t>a term in a contract to be unfair it must</w:t>
      </w:r>
      <w:r>
        <w:t>:</w:t>
      </w:r>
      <w:r w:rsidRPr="00A01BF0">
        <w:t xml:space="preserve"> cause a significant imbalance between the parties’ rights and obligations; be unreasonable and unnecessary to protecting the legitimate interests of the party who has gained the advantage</w:t>
      </w:r>
      <w:r>
        <w:t>;</w:t>
      </w:r>
      <w:r w:rsidRPr="00A01BF0">
        <w:t xml:space="preserve"> and caused detriment to the disadvantaged party.</w:t>
      </w:r>
      <w:r w:rsidRPr="00A01BF0">
        <w:rPr>
          <w:rStyle w:val="EndnoteReference"/>
        </w:rPr>
        <w:endnoteReference w:id="381"/>
      </w:r>
      <w:r w:rsidRPr="00A01BF0">
        <w:t xml:space="preserve"> While the age of a party is not specifically considered within these provisions, arguably a young person could be at greater risk of falling victim to unfair contractual terms owing to their relative lack of capacity.</w:t>
      </w:r>
    </w:p>
    <w:p w14:paraId="648ABFDD" w14:textId="77777777" w:rsidR="00AA3994" w:rsidRDefault="00AA3994" w:rsidP="00354AA1">
      <w:pPr>
        <w:jc w:val="both"/>
      </w:pPr>
      <w:r w:rsidRPr="0036431D">
        <w:t>The test for whether something is misleading or deceptive is whether a reasonable person in the category of consumers likely to be affected (here young people) would consider the conduct to be misleading or deceptive</w:t>
      </w:r>
      <w:r>
        <w:t>.</w:t>
      </w:r>
      <w:r>
        <w:rPr>
          <w:rStyle w:val="EndnoteReference"/>
        </w:rPr>
        <w:endnoteReference w:id="382"/>
      </w:r>
      <w:r>
        <w:t xml:space="preserve"> While the law does not have specific provisions relating to children, it is flexibly applied to different categories of people. For goods and services specifically targeted at young people </w:t>
      </w:r>
      <w:r w:rsidRPr="00A01BF0">
        <w:t>the relevant category to consider would be ‘young consumers’ and the conduct would be assessed against the understanding or comprehension of an ‘ordinary young person’</w:t>
      </w:r>
      <w:r>
        <w:t>.</w:t>
      </w:r>
      <w:r>
        <w:rPr>
          <w:rStyle w:val="EndnoteReference"/>
        </w:rPr>
        <w:endnoteReference w:id="383"/>
      </w:r>
      <w:r>
        <w:t xml:space="preserve"> To this extent, the law recognises and makes allowances for the particular issues children may have in this context.</w:t>
      </w:r>
    </w:p>
    <w:p w14:paraId="39EF731A" w14:textId="08F65E72" w:rsidR="00AA3994" w:rsidRDefault="00AA3994" w:rsidP="00354AA1">
      <w:pPr>
        <w:jc w:val="both"/>
      </w:pPr>
      <w:r w:rsidRPr="00BA3749">
        <w:t>One of the practical difficulties presented by modern commerce is the use of the internet to conduct business by parties resident in different countries. It is unclear which country’s laws apply to such transactions.</w:t>
      </w:r>
      <w:r>
        <w:t xml:space="preserve"> The application of </w:t>
      </w:r>
      <w:r w:rsidR="001F69FB">
        <w:t xml:space="preserve">the </w:t>
      </w:r>
      <w:r>
        <w:t>Australian Consumer Law (such as unfair contractual terms) to overseas business has not yet been determined.</w:t>
      </w:r>
      <w:r>
        <w:rPr>
          <w:rStyle w:val="EndnoteReference"/>
        </w:rPr>
        <w:endnoteReference w:id="384"/>
      </w:r>
      <w:r>
        <w:t xml:space="preserve"> It has, however, been determined that representations made on the internet by overseas entities can constitute misleading and deceptive conduct for the purposes of Australian law.</w:t>
      </w:r>
      <w:r>
        <w:rPr>
          <w:rStyle w:val="EndnoteReference"/>
        </w:rPr>
        <w:endnoteReference w:id="385"/>
      </w:r>
    </w:p>
    <w:p w14:paraId="321F82EA" w14:textId="5A839172" w:rsidR="00AA3994" w:rsidRDefault="00AA3994" w:rsidP="00354AA1">
      <w:pPr>
        <w:jc w:val="both"/>
      </w:pPr>
      <w:r w:rsidRPr="00BA3749">
        <w:t xml:space="preserve">While Australian </w:t>
      </w:r>
      <w:r>
        <w:t>c</w:t>
      </w:r>
      <w:r w:rsidRPr="00BA3749">
        <w:t>onsumer law has the capacity to consider the particular issues that children as a ‘category’ may possess, it still only offers a reactive, court-based solution in situations where children wish to enforce their rights.</w:t>
      </w:r>
      <w:r>
        <w:t xml:space="preserve"> Pursuing such an action in court is costly and time-consuming for most people. The ability of children (even where represented by a parent/guardian) to avail themselves of this option in a practical sense is questionable</w:t>
      </w:r>
      <w:r w:rsidR="001F69FB">
        <w:t xml:space="preserve">, </w:t>
      </w:r>
      <w:r>
        <w:t xml:space="preserve">particularly where any monetary loss incurred involved a relatively small amount. </w:t>
      </w:r>
      <w:r w:rsidRPr="00BA3749">
        <w:t>In the absence of preventative and/or child-accessible enforcement options, this could lead to a situation where children disproportionately bear the loss of such transactions/misconduct.</w:t>
      </w:r>
      <w:r>
        <w:t xml:space="preserve"> </w:t>
      </w:r>
    </w:p>
    <w:p w14:paraId="7DEE1602" w14:textId="7FF1E1DD" w:rsidR="00AA3994" w:rsidRDefault="00AA3994" w:rsidP="00354AA1">
      <w:pPr>
        <w:jc w:val="both"/>
      </w:pPr>
      <w:r>
        <w:t xml:space="preserve">In the absence of a minimum age, the use of parental consent as a safeguard of children’s rights in the online privacy context needs to be reconsidered. It is clear that both business and children/guardians face practical difficulties in assessing a child’s </w:t>
      </w:r>
      <w:r>
        <w:lastRenderedPageBreak/>
        <w:t>individual ability to provide meaningful consent. It is suggested that clear guidance be provided on what is being consented to</w:t>
      </w:r>
      <w:r w:rsidR="001F69FB">
        <w:t xml:space="preserve">, </w:t>
      </w:r>
      <w:r>
        <w:t>even where guardians are involved.</w:t>
      </w:r>
    </w:p>
    <w:p w14:paraId="31CF441D" w14:textId="7C4EAED9" w:rsidR="00AA3994" w:rsidRDefault="00AA3994" w:rsidP="00354AA1">
      <w:pPr>
        <w:jc w:val="both"/>
      </w:pPr>
      <w:r>
        <w:t>Additionally</w:t>
      </w:r>
      <w:r w:rsidR="00B67BDF">
        <w:t>,</w:t>
      </w:r>
      <w:r>
        <w:t xml:space="preserve"> any ge</w:t>
      </w:r>
      <w:r w:rsidR="001F69FB">
        <w:t>neral review of such regulations and</w:t>
      </w:r>
      <w:r>
        <w:t xml:space="preserve"> safeguards must be applicable within the transnational online context to ensure any options for redress are able to be enforced.</w:t>
      </w:r>
    </w:p>
    <w:p w14:paraId="7774C9E6" w14:textId="77777777" w:rsidR="00AA3994" w:rsidRDefault="00AA3994" w:rsidP="00354AA1">
      <w:pPr>
        <w:jc w:val="both"/>
      </w:pPr>
    </w:p>
    <w:p w14:paraId="567273B1" w14:textId="77777777" w:rsidR="00AA3994" w:rsidRDefault="00AA3994" w:rsidP="00354AA1">
      <w:pPr>
        <w:jc w:val="both"/>
      </w:pPr>
    </w:p>
    <w:p w14:paraId="7FCD1FF1" w14:textId="77777777" w:rsidR="00AA3994" w:rsidRDefault="00AA3994" w:rsidP="00354AA1">
      <w:pPr>
        <w:jc w:val="both"/>
      </w:pPr>
      <w:r>
        <w:rPr>
          <w:noProof/>
        </w:rPr>
        <mc:AlternateContent>
          <mc:Choice Requires="wps">
            <w:drawing>
              <wp:anchor distT="45720" distB="45720" distL="114300" distR="114300" simplePos="0" relativeHeight="251656192" behindDoc="0" locked="0" layoutInCell="1" allowOverlap="1" wp14:anchorId="4785309E" wp14:editId="6EA79A46">
                <wp:simplePos x="0" y="0"/>
                <wp:positionH relativeFrom="column">
                  <wp:posOffset>61595</wp:posOffset>
                </wp:positionH>
                <wp:positionV relativeFrom="paragraph">
                  <wp:posOffset>90170</wp:posOffset>
                </wp:positionV>
                <wp:extent cx="5586730" cy="5472430"/>
                <wp:effectExtent l="0" t="0" r="13970" b="1397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6730" cy="5472430"/>
                        </a:xfrm>
                        <a:prstGeom prst="rect">
                          <a:avLst/>
                        </a:prstGeom>
                        <a:solidFill>
                          <a:srgbClr val="FFFFFF"/>
                        </a:solidFill>
                        <a:ln w="9525">
                          <a:solidFill>
                            <a:srgbClr val="000000"/>
                          </a:solidFill>
                          <a:miter lim="800000"/>
                          <a:headEnd/>
                          <a:tailEnd/>
                        </a:ln>
                      </wps:spPr>
                      <wps:txbx>
                        <w:txbxContent>
                          <w:p w14:paraId="6D1DE29F" w14:textId="77777777" w:rsidR="00F008D2" w:rsidRPr="00C133A0" w:rsidRDefault="00F008D2" w:rsidP="00AA3994">
                            <w:pPr>
                              <w:rPr>
                                <w:b/>
                              </w:rPr>
                            </w:pPr>
                            <w:r w:rsidRPr="00C133A0">
                              <w:rPr>
                                <w:b/>
                              </w:rPr>
                              <w:t>Summary - Australian consumer protection and children</w:t>
                            </w:r>
                          </w:p>
                          <w:p w14:paraId="2E8BEC9E" w14:textId="37DAC66F" w:rsidR="00F008D2" w:rsidRPr="00A64907" w:rsidRDefault="00F008D2" w:rsidP="000D1D92">
                            <w:pPr>
                              <w:pStyle w:val="ListParagraph"/>
                              <w:numPr>
                                <w:ilvl w:val="0"/>
                                <w:numId w:val="23"/>
                              </w:numPr>
                            </w:pPr>
                            <w:r w:rsidRPr="00A64907">
                              <w:t xml:space="preserve">A particular issue of concern </w:t>
                            </w:r>
                            <w:r>
                              <w:t>is</w:t>
                            </w:r>
                            <w:r w:rsidRPr="00A64907">
                              <w:t xml:space="preserve"> the actual capacity of children to genuinely consent to</w:t>
                            </w:r>
                            <w:r>
                              <w:t xml:space="preserve"> </w:t>
                            </w:r>
                            <w:r w:rsidRPr="00A64907">
                              <w:t>or otherwise make decisions that affect their rights</w:t>
                            </w:r>
                          </w:p>
                          <w:p w14:paraId="490130CE" w14:textId="77777777" w:rsidR="00F008D2" w:rsidRDefault="00F008D2" w:rsidP="00AA3994">
                            <w:pPr>
                              <w:pStyle w:val="ListParagraph"/>
                            </w:pPr>
                          </w:p>
                          <w:p w14:paraId="4DBA2CA5" w14:textId="77777777" w:rsidR="00F008D2" w:rsidRDefault="00F008D2" w:rsidP="000D1D92">
                            <w:pPr>
                              <w:pStyle w:val="ListParagraph"/>
                              <w:numPr>
                                <w:ilvl w:val="0"/>
                                <w:numId w:val="23"/>
                              </w:numPr>
                            </w:pPr>
                            <w:r>
                              <w:t>An</w:t>
                            </w:r>
                            <w:r w:rsidRPr="00A64907">
                              <w:t xml:space="preserve"> individual assessment on the ability to consent</w:t>
                            </w:r>
                            <w:r>
                              <w:t xml:space="preserve"> to privacy related-decisions</w:t>
                            </w:r>
                            <w:r w:rsidRPr="00A64907">
                              <w:t xml:space="preserve"> would need to be made of each child on a case by case basis</w:t>
                            </w:r>
                          </w:p>
                          <w:p w14:paraId="7A4F9FA9" w14:textId="77777777" w:rsidR="00F008D2" w:rsidRDefault="00F008D2" w:rsidP="00AA3994">
                            <w:pPr>
                              <w:pStyle w:val="ListParagraph"/>
                            </w:pPr>
                          </w:p>
                          <w:p w14:paraId="5BAD21E9" w14:textId="77777777" w:rsidR="00F008D2" w:rsidRDefault="00F008D2" w:rsidP="000D1D92">
                            <w:pPr>
                              <w:pStyle w:val="ListParagraph"/>
                              <w:numPr>
                                <w:ilvl w:val="0"/>
                                <w:numId w:val="23"/>
                              </w:numPr>
                            </w:pPr>
                            <w:r>
                              <w:t>Practically speaking</w:t>
                            </w:r>
                            <w:r w:rsidRPr="000466AD">
                              <w:t xml:space="preserve"> the ability of business to make such an assessment would be difficult to undertake in the context of online commerce</w:t>
                            </w:r>
                          </w:p>
                          <w:p w14:paraId="1BFAC9E1" w14:textId="77777777" w:rsidR="00F008D2" w:rsidRDefault="00F008D2" w:rsidP="00AA3994">
                            <w:pPr>
                              <w:pStyle w:val="ListParagraph"/>
                            </w:pPr>
                          </w:p>
                          <w:p w14:paraId="7F1F753B" w14:textId="77777777" w:rsidR="00F008D2" w:rsidRPr="000466AD" w:rsidRDefault="00F008D2" w:rsidP="000D1D92">
                            <w:pPr>
                              <w:pStyle w:val="ListParagraph"/>
                              <w:numPr>
                                <w:ilvl w:val="0"/>
                                <w:numId w:val="23"/>
                              </w:numPr>
                            </w:pPr>
                            <w:r w:rsidRPr="000466AD">
                              <w:rPr>
                                <w:rFonts w:cs="Arial"/>
                              </w:rPr>
                              <w:t>The OAIC considers facilitating parental involvement as a key measure to protecting children’s privacy</w:t>
                            </w:r>
                          </w:p>
                          <w:p w14:paraId="74E156FC" w14:textId="77777777" w:rsidR="00F008D2" w:rsidRDefault="00F008D2" w:rsidP="00AA3994">
                            <w:pPr>
                              <w:pStyle w:val="ListParagraph"/>
                            </w:pPr>
                          </w:p>
                          <w:p w14:paraId="03D2F9D0" w14:textId="77777777" w:rsidR="00F008D2" w:rsidRDefault="00F008D2" w:rsidP="000D1D92">
                            <w:pPr>
                              <w:pStyle w:val="ListParagraph"/>
                              <w:numPr>
                                <w:ilvl w:val="0"/>
                                <w:numId w:val="23"/>
                              </w:numPr>
                              <w:jc w:val="both"/>
                            </w:pPr>
                            <w:r w:rsidRPr="00230221">
                              <w:t>People under the age of 18 years are generally not bound to contractual obligations due to their presumed ‘lack of capacity’</w:t>
                            </w:r>
                          </w:p>
                          <w:p w14:paraId="4FC64234" w14:textId="77777777" w:rsidR="00F008D2" w:rsidRDefault="00F008D2" w:rsidP="00AA3994">
                            <w:pPr>
                              <w:pStyle w:val="ListParagraph"/>
                            </w:pPr>
                          </w:p>
                          <w:p w14:paraId="03E6B417" w14:textId="77777777" w:rsidR="00F008D2" w:rsidRDefault="00F008D2" w:rsidP="000D1D92">
                            <w:pPr>
                              <w:pStyle w:val="ListParagraph"/>
                              <w:numPr>
                                <w:ilvl w:val="0"/>
                                <w:numId w:val="23"/>
                              </w:numPr>
                              <w:jc w:val="both"/>
                            </w:pPr>
                            <w:r w:rsidRPr="00A01BF0">
                              <w:t>A young person could be at greater risk of falling victim to unfair contractual terms owing to their relative lack of capacity</w:t>
                            </w:r>
                          </w:p>
                          <w:p w14:paraId="449778BF" w14:textId="77777777" w:rsidR="00F008D2" w:rsidRDefault="00F008D2" w:rsidP="00AA3994">
                            <w:pPr>
                              <w:pStyle w:val="ListParagraph"/>
                              <w:jc w:val="both"/>
                            </w:pPr>
                          </w:p>
                          <w:p w14:paraId="02001F8B" w14:textId="77777777" w:rsidR="00F008D2" w:rsidRDefault="00F008D2" w:rsidP="000D1D92">
                            <w:pPr>
                              <w:pStyle w:val="ListParagraph"/>
                              <w:numPr>
                                <w:ilvl w:val="0"/>
                                <w:numId w:val="23"/>
                              </w:numPr>
                              <w:jc w:val="both"/>
                            </w:pPr>
                            <w:r w:rsidRPr="00BA3749">
                              <w:t>Where online commerce occurs by parties resident in different countries it  is unclear which country’s laws apply to such transactions</w:t>
                            </w:r>
                          </w:p>
                          <w:p w14:paraId="59C6B70A" w14:textId="77777777" w:rsidR="00F008D2" w:rsidRDefault="00F008D2" w:rsidP="00AA3994">
                            <w:pPr>
                              <w:pStyle w:val="ListParagraph"/>
                            </w:pPr>
                          </w:p>
                          <w:p w14:paraId="3768E688" w14:textId="77777777" w:rsidR="00F008D2" w:rsidRPr="00BA3749" w:rsidRDefault="00F008D2" w:rsidP="000D1D92">
                            <w:pPr>
                              <w:pStyle w:val="ListParagraph"/>
                              <w:numPr>
                                <w:ilvl w:val="0"/>
                                <w:numId w:val="23"/>
                              </w:numPr>
                              <w:jc w:val="both"/>
                            </w:pPr>
                            <w:r>
                              <w:t>The law s</w:t>
                            </w:r>
                            <w:r w:rsidRPr="00BA3749">
                              <w:t>till only</w:t>
                            </w:r>
                            <w:r>
                              <w:t xml:space="preserve"> largely</w:t>
                            </w:r>
                            <w:r w:rsidRPr="00BA3749">
                              <w:t xml:space="preserve"> offers a reactive, court-based solution in situations where children wish to enforce their rights</w:t>
                            </w:r>
                          </w:p>
                          <w:p w14:paraId="4E60CF77" w14:textId="77777777" w:rsidR="00F008D2" w:rsidRDefault="00F008D2" w:rsidP="00AA3994">
                            <w:pPr>
                              <w:pStyle w:val="ListParagraph"/>
                            </w:pPr>
                          </w:p>
                          <w:p w14:paraId="7303DCD2" w14:textId="7196BB55" w:rsidR="00F008D2" w:rsidRPr="0036431D" w:rsidRDefault="00F008D2" w:rsidP="000D1D92">
                            <w:pPr>
                              <w:pStyle w:val="ListParagraph"/>
                              <w:numPr>
                                <w:ilvl w:val="0"/>
                                <w:numId w:val="23"/>
                              </w:numPr>
                              <w:jc w:val="both"/>
                            </w:pPr>
                            <w:r>
                              <w:t>T</w:t>
                            </w:r>
                            <w:r w:rsidRPr="0036431D">
                              <w:t>he absence of preventative and/or child-acces</w:t>
                            </w:r>
                            <w:r>
                              <w:t xml:space="preserve">sible enforcement options </w:t>
                            </w:r>
                            <w:r w:rsidRPr="0036431D">
                              <w:t>could lead to situations where children disproportionately bear the loss of such transactions/misconduct</w:t>
                            </w:r>
                            <w:r>
                              <w:t>.</w:t>
                            </w:r>
                          </w:p>
                          <w:p w14:paraId="763B6743" w14:textId="77777777" w:rsidR="00F008D2" w:rsidRDefault="00F008D2" w:rsidP="00AA3994">
                            <w:pPr>
                              <w:pStyle w:val="ListParagraph"/>
                              <w:jc w:val="both"/>
                            </w:pPr>
                          </w:p>
                          <w:p w14:paraId="5FF562A9" w14:textId="77777777" w:rsidR="00F008D2" w:rsidRDefault="00F008D2" w:rsidP="00AA3994">
                            <w:pPr>
                              <w:pStyle w:val="ListParagraph"/>
                            </w:pPr>
                          </w:p>
                          <w:p w14:paraId="63D6C7D5" w14:textId="77777777" w:rsidR="00F008D2" w:rsidRPr="000466AD" w:rsidRDefault="00F008D2" w:rsidP="00AA3994">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5309E" id="_x0000_s1030" type="#_x0000_t202" style="position:absolute;left:0;text-align:left;margin-left:4.85pt;margin-top:7.1pt;width:439.9pt;height:430.9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">
                <v:textbox>
                  <w:txbxContent>
                    <w:p w14:paraId="6D1DE29F" w14:textId="77777777" w:rsidR="00F008D2" w:rsidRPr="00C133A0" w:rsidRDefault="00F008D2" w:rsidP="00AA3994">
                      <w:pPr>
                        <w:rPr>
                          <w:b/>
                        </w:rPr>
                      </w:pPr>
                      <w:r w:rsidRPr="00C133A0">
                        <w:rPr>
                          <w:b/>
                        </w:rPr>
                        <w:t>Summary - Australian consumer protection and children</w:t>
                      </w:r>
                    </w:p>
                    <w:p w14:paraId="2E8BEC9E" w14:textId="37DAC66F" w:rsidR="00F008D2" w:rsidRPr="00A64907" w:rsidRDefault="00F008D2" w:rsidP="000D1D92">
                      <w:pPr>
                        <w:pStyle w:val="ListParagraph"/>
                        <w:numPr>
                          <w:ilvl w:val="0"/>
                          <w:numId w:val="23"/>
                        </w:numPr>
                      </w:pPr>
                      <w:r w:rsidRPr="00A64907">
                        <w:t xml:space="preserve">A particular issue of concern </w:t>
                      </w:r>
                      <w:r>
                        <w:t>is</w:t>
                      </w:r>
                      <w:r w:rsidRPr="00A64907">
                        <w:t xml:space="preserve"> the actual capacity of children to genuinely consent to</w:t>
                      </w:r>
                      <w:r>
                        <w:t xml:space="preserve"> </w:t>
                      </w:r>
                      <w:r w:rsidRPr="00A64907">
                        <w:t>or otherwise make decisions that affect their rights</w:t>
                      </w:r>
                    </w:p>
                    <w:p w14:paraId="490130CE" w14:textId="77777777" w:rsidR="00F008D2" w:rsidRDefault="00F008D2" w:rsidP="00AA3994">
                      <w:pPr>
                        <w:pStyle w:val="ListParagraph"/>
                      </w:pPr>
                    </w:p>
                    <w:p w14:paraId="4DBA2CA5" w14:textId="77777777" w:rsidR="00F008D2" w:rsidRDefault="00F008D2" w:rsidP="000D1D92">
                      <w:pPr>
                        <w:pStyle w:val="ListParagraph"/>
                        <w:numPr>
                          <w:ilvl w:val="0"/>
                          <w:numId w:val="23"/>
                        </w:numPr>
                      </w:pPr>
                      <w:r>
                        <w:t>An</w:t>
                      </w:r>
                      <w:r w:rsidRPr="00A64907">
                        <w:t xml:space="preserve"> individual assessment on the ability to consent</w:t>
                      </w:r>
                      <w:r>
                        <w:t xml:space="preserve"> to privacy related-decisions</w:t>
                      </w:r>
                      <w:r w:rsidRPr="00A64907">
                        <w:t xml:space="preserve"> would need to be made of each child on a case by case basis</w:t>
                      </w:r>
                    </w:p>
                    <w:p w14:paraId="7A4F9FA9" w14:textId="77777777" w:rsidR="00F008D2" w:rsidRDefault="00F008D2" w:rsidP="00AA3994">
                      <w:pPr>
                        <w:pStyle w:val="ListParagraph"/>
                      </w:pPr>
                    </w:p>
                    <w:p w14:paraId="5BAD21E9" w14:textId="77777777" w:rsidR="00F008D2" w:rsidRDefault="00F008D2" w:rsidP="000D1D92">
                      <w:pPr>
                        <w:pStyle w:val="ListParagraph"/>
                        <w:numPr>
                          <w:ilvl w:val="0"/>
                          <w:numId w:val="23"/>
                        </w:numPr>
                      </w:pPr>
                      <w:r>
                        <w:t>Practically speaking</w:t>
                      </w:r>
                      <w:r w:rsidRPr="000466AD">
                        <w:t xml:space="preserve"> the ability of business to make such an assessment would be difficult to undertake in the context of online commerce</w:t>
                      </w:r>
                    </w:p>
                    <w:p w14:paraId="1BFAC9E1" w14:textId="77777777" w:rsidR="00F008D2" w:rsidRDefault="00F008D2" w:rsidP="00AA3994">
                      <w:pPr>
                        <w:pStyle w:val="ListParagraph"/>
                      </w:pPr>
                    </w:p>
                    <w:p w14:paraId="7F1F753B" w14:textId="77777777" w:rsidR="00F008D2" w:rsidRPr="000466AD" w:rsidRDefault="00F008D2" w:rsidP="000D1D92">
                      <w:pPr>
                        <w:pStyle w:val="ListParagraph"/>
                        <w:numPr>
                          <w:ilvl w:val="0"/>
                          <w:numId w:val="23"/>
                        </w:numPr>
                      </w:pPr>
                      <w:r w:rsidRPr="000466AD">
                        <w:rPr>
                          <w:rFonts w:cs="Arial"/>
                        </w:rPr>
                        <w:t>The OAIC considers facilitating parental involvement as a key measure to protecting children’s privacy</w:t>
                      </w:r>
                    </w:p>
                    <w:p w14:paraId="74E156FC" w14:textId="77777777" w:rsidR="00F008D2" w:rsidRDefault="00F008D2" w:rsidP="00AA3994">
                      <w:pPr>
                        <w:pStyle w:val="ListParagraph"/>
                      </w:pPr>
                    </w:p>
                    <w:p w14:paraId="03D2F9D0" w14:textId="77777777" w:rsidR="00F008D2" w:rsidRDefault="00F008D2" w:rsidP="000D1D92">
                      <w:pPr>
                        <w:pStyle w:val="ListParagraph"/>
                        <w:numPr>
                          <w:ilvl w:val="0"/>
                          <w:numId w:val="23"/>
                        </w:numPr>
                        <w:jc w:val="both"/>
                      </w:pPr>
                      <w:r w:rsidRPr="00230221">
                        <w:t>People under the age of 18 years are generally not bound to contractual obligations due to their presumed ‘lack of capacity’</w:t>
                      </w:r>
                    </w:p>
                    <w:p w14:paraId="4FC64234" w14:textId="77777777" w:rsidR="00F008D2" w:rsidRDefault="00F008D2" w:rsidP="00AA3994">
                      <w:pPr>
                        <w:pStyle w:val="ListParagraph"/>
                      </w:pPr>
                    </w:p>
                    <w:p w14:paraId="03E6B417" w14:textId="77777777" w:rsidR="00F008D2" w:rsidRDefault="00F008D2" w:rsidP="000D1D92">
                      <w:pPr>
                        <w:pStyle w:val="ListParagraph"/>
                        <w:numPr>
                          <w:ilvl w:val="0"/>
                          <w:numId w:val="23"/>
                        </w:numPr>
                        <w:jc w:val="both"/>
                      </w:pPr>
                      <w:r w:rsidRPr="00A01BF0">
                        <w:t>A young person could be at greater risk of falling victim to unfair contractual terms owing to their relative lack of capacity</w:t>
                      </w:r>
                    </w:p>
                    <w:p w14:paraId="449778BF" w14:textId="77777777" w:rsidR="00F008D2" w:rsidRDefault="00F008D2" w:rsidP="00AA3994">
                      <w:pPr>
                        <w:pStyle w:val="ListParagraph"/>
                        <w:jc w:val="both"/>
                      </w:pPr>
                    </w:p>
                    <w:p w14:paraId="02001F8B" w14:textId="77777777" w:rsidR="00F008D2" w:rsidRDefault="00F008D2" w:rsidP="000D1D92">
                      <w:pPr>
                        <w:pStyle w:val="ListParagraph"/>
                        <w:numPr>
                          <w:ilvl w:val="0"/>
                          <w:numId w:val="23"/>
                        </w:numPr>
                        <w:jc w:val="both"/>
                      </w:pPr>
                      <w:r w:rsidRPr="00BA3749">
                        <w:t>Where online commerce occurs by parties resident in different countries it  is unclear which country’s laws apply to such transactions</w:t>
                      </w:r>
                    </w:p>
                    <w:p w14:paraId="59C6B70A" w14:textId="77777777" w:rsidR="00F008D2" w:rsidRDefault="00F008D2" w:rsidP="00AA3994">
                      <w:pPr>
                        <w:pStyle w:val="ListParagraph"/>
                      </w:pPr>
                    </w:p>
                    <w:p w14:paraId="3768E688" w14:textId="77777777" w:rsidR="00F008D2" w:rsidRPr="00BA3749" w:rsidRDefault="00F008D2" w:rsidP="000D1D92">
                      <w:pPr>
                        <w:pStyle w:val="ListParagraph"/>
                        <w:numPr>
                          <w:ilvl w:val="0"/>
                          <w:numId w:val="23"/>
                        </w:numPr>
                        <w:jc w:val="both"/>
                      </w:pPr>
                      <w:r>
                        <w:t>The law s</w:t>
                      </w:r>
                      <w:r w:rsidRPr="00BA3749">
                        <w:t>till only</w:t>
                      </w:r>
                      <w:r>
                        <w:t xml:space="preserve"> largely</w:t>
                      </w:r>
                      <w:r w:rsidRPr="00BA3749">
                        <w:t xml:space="preserve"> offers a reactive, court-based solution in situations where children wish to enforce their rights</w:t>
                      </w:r>
                    </w:p>
                    <w:p w14:paraId="4E60CF77" w14:textId="77777777" w:rsidR="00F008D2" w:rsidRDefault="00F008D2" w:rsidP="00AA3994">
                      <w:pPr>
                        <w:pStyle w:val="ListParagraph"/>
                      </w:pPr>
                    </w:p>
                    <w:p w14:paraId="7303DCD2" w14:textId="7196BB55" w:rsidR="00F008D2" w:rsidRPr="0036431D" w:rsidRDefault="00F008D2" w:rsidP="000D1D92">
                      <w:pPr>
                        <w:pStyle w:val="ListParagraph"/>
                        <w:numPr>
                          <w:ilvl w:val="0"/>
                          <w:numId w:val="23"/>
                        </w:numPr>
                        <w:jc w:val="both"/>
                      </w:pPr>
                      <w:r>
                        <w:t>T</w:t>
                      </w:r>
                      <w:r w:rsidRPr="0036431D">
                        <w:t>he absence of preventative and/or child-acces</w:t>
                      </w:r>
                      <w:r>
                        <w:t xml:space="preserve">sible enforcement options </w:t>
                      </w:r>
                      <w:r w:rsidRPr="0036431D">
                        <w:t>could lead to situations where children disproportionately bear the loss of such transactions/misconduct</w:t>
                      </w:r>
                      <w:r>
                        <w:t>.</w:t>
                      </w:r>
                    </w:p>
                    <w:p w14:paraId="763B6743" w14:textId="77777777" w:rsidR="00F008D2" w:rsidRDefault="00F008D2" w:rsidP="00AA3994">
                      <w:pPr>
                        <w:pStyle w:val="ListParagraph"/>
                        <w:jc w:val="both"/>
                      </w:pPr>
                    </w:p>
                    <w:p w14:paraId="5FF562A9" w14:textId="77777777" w:rsidR="00F008D2" w:rsidRDefault="00F008D2" w:rsidP="00AA3994">
                      <w:pPr>
                        <w:pStyle w:val="ListParagraph"/>
                      </w:pPr>
                    </w:p>
                    <w:p w14:paraId="63D6C7D5" w14:textId="77777777" w:rsidR="00F008D2" w:rsidRPr="000466AD" w:rsidRDefault="00F008D2" w:rsidP="00AA3994">
                      <w:pPr>
                        <w:pStyle w:val="ListParagraph"/>
                      </w:pPr>
                    </w:p>
                  </w:txbxContent>
                </v:textbox>
                <w10:wrap type="square"/>
              </v:shape>
            </w:pict>
          </mc:Fallback>
        </mc:AlternateContent>
      </w:r>
    </w:p>
    <w:p w14:paraId="7B4F6E29" w14:textId="77777777" w:rsidR="00AA3994" w:rsidRDefault="00AA3994" w:rsidP="00354AA1">
      <w:pPr>
        <w:pStyle w:val="Heading2"/>
        <w:jc w:val="both"/>
      </w:pPr>
      <w:bookmarkStart w:id="110" w:name="_Toc430333096"/>
      <w:bookmarkStart w:id="111" w:name="_Toc430702089"/>
      <w:bookmarkStart w:id="112" w:name="_Toc432577317"/>
      <w:r>
        <w:lastRenderedPageBreak/>
        <w:t>Consultations – what do children say?</w:t>
      </w:r>
      <w:bookmarkEnd w:id="110"/>
      <w:bookmarkEnd w:id="111"/>
      <w:bookmarkEnd w:id="112"/>
    </w:p>
    <w:p w14:paraId="314226C9" w14:textId="77777777" w:rsidR="00AA3994" w:rsidRPr="000E4AF5" w:rsidRDefault="00AA3994" w:rsidP="00354AA1">
      <w:pPr>
        <w:pStyle w:val="Heading3"/>
        <w:jc w:val="both"/>
      </w:pPr>
      <w:bookmarkStart w:id="113" w:name="_Toc430333097"/>
      <w:bookmarkStart w:id="114" w:name="_Toc430702090"/>
      <w:r>
        <w:t>Financial advice services</w:t>
      </w:r>
      <w:bookmarkEnd w:id="113"/>
      <w:bookmarkEnd w:id="114"/>
    </w:p>
    <w:p w14:paraId="51D6CBA7" w14:textId="77777777" w:rsidR="00AA3994" w:rsidRPr="00552A81" w:rsidRDefault="00AA3994" w:rsidP="00354AA1">
      <w:pPr>
        <w:jc w:val="both"/>
      </w:pPr>
      <w:r>
        <w:t xml:space="preserve">As part of the examination into this issue, I was able to liaise with a number of financial advice services, as well as the National Children’s </w:t>
      </w:r>
      <w:r w:rsidRPr="00552A81">
        <w:t>Youth and Law Centre, to ascertain whether children were using these services to seek consumer advice.</w:t>
      </w:r>
    </w:p>
    <w:p w14:paraId="384FAF51" w14:textId="505F015A" w:rsidR="00AA3994" w:rsidRDefault="00AA3994" w:rsidP="00354AA1">
      <w:pPr>
        <w:jc w:val="both"/>
      </w:pPr>
      <w:r w:rsidRPr="00030874">
        <w:t>Almost uniformly the responses received made it clear children were either not availing themselves of these services for this purpose or were grossly underrepresented.</w:t>
      </w:r>
      <w:r w:rsidRPr="00030874">
        <w:rPr>
          <w:rStyle w:val="EndnoteReference"/>
        </w:rPr>
        <w:endnoteReference w:id="386"/>
      </w:r>
      <w:r w:rsidRPr="00552A81">
        <w:t xml:space="preserve"> In some instances data was not disaggregated by </w:t>
      </w:r>
      <w:r w:rsidR="00B67BDF">
        <w:t xml:space="preserve">the </w:t>
      </w:r>
      <w:r w:rsidRPr="00552A81">
        <w:t>age of the complainant</w:t>
      </w:r>
      <w:r w:rsidRPr="00552A81">
        <w:rPr>
          <w:rStyle w:val="EndnoteReference"/>
        </w:rPr>
        <w:endnoteReference w:id="387"/>
      </w:r>
      <w:r w:rsidRPr="00552A81">
        <w:t xml:space="preserve"> or where the guardian was named in a contract on the child’s behalf, the record of complaint was in the guardian’s name and recorded age.</w:t>
      </w:r>
      <w:r w:rsidRPr="00552A81">
        <w:rPr>
          <w:rStyle w:val="EndnoteReference"/>
        </w:rPr>
        <w:endnoteReference w:id="388"/>
      </w:r>
      <w:r w:rsidRPr="00552A81">
        <w:t xml:space="preserve"> This practice had the consequence of effectively masking the role of the child as the actual complainant.</w:t>
      </w:r>
      <w:r>
        <w:t xml:space="preserve"> </w:t>
      </w:r>
    </w:p>
    <w:p w14:paraId="6405949C" w14:textId="77777777" w:rsidR="00AA3994" w:rsidRDefault="00AA3994" w:rsidP="00354AA1">
      <w:pPr>
        <w:jc w:val="both"/>
      </w:pPr>
      <w:r>
        <w:t>Disaggregated data by age is necessary in identifying problems children are experiencing within the consumer context and organisations should be supported to routinely collect this type of information. In terms of a child’s right to be heard, it raises broader questions of children’s awareness of such organisations and the accessibility of such services to children.</w:t>
      </w:r>
    </w:p>
    <w:p w14:paraId="45230AE0" w14:textId="3FAE7C2E" w:rsidR="00AA3994" w:rsidRDefault="00B67BDF" w:rsidP="00354AA1">
      <w:pPr>
        <w:pStyle w:val="Heading3"/>
        <w:jc w:val="both"/>
      </w:pPr>
      <w:bookmarkStart w:id="115" w:name="_Toc430333098"/>
      <w:bookmarkStart w:id="116" w:name="_Toc430702091"/>
      <w:r>
        <w:t xml:space="preserve">Consultations with schools and </w:t>
      </w:r>
      <w:r w:rsidR="00AA3994">
        <w:t>youth organisations</w:t>
      </w:r>
      <w:bookmarkEnd w:id="115"/>
      <w:bookmarkEnd w:id="116"/>
    </w:p>
    <w:p w14:paraId="6C6503EC" w14:textId="648C7968" w:rsidR="00AA3994" w:rsidRDefault="00AA3994" w:rsidP="00354AA1">
      <w:pPr>
        <w:jc w:val="both"/>
      </w:pPr>
      <w:r>
        <w:t xml:space="preserve">As part of a formal consultation process, I met with a total of </w:t>
      </w:r>
      <w:r w:rsidR="00B67BDF">
        <w:t>7</w:t>
      </w:r>
      <w:r w:rsidR="00113512">
        <w:t xml:space="preserve"> schools and youth groups. 120</w:t>
      </w:r>
      <w:r>
        <w:t xml:space="preserve"> students/young people were consulted, with age groups ranging from </w:t>
      </w:r>
      <w:r w:rsidR="00B67BDF">
        <w:t>Y</w:t>
      </w:r>
      <w:r>
        <w:t xml:space="preserve">ear 6 up to </w:t>
      </w:r>
      <w:r w:rsidR="00B67BDF">
        <w:t>Y</w:t>
      </w:r>
      <w:r>
        <w:t>ear 12 age students. The schools consulted with represented a cross-section of diversity, gender and socio-economic background. The children and young people participated in general discussion, scenario-based exercises and completed a short individual survey.</w:t>
      </w:r>
    </w:p>
    <w:p w14:paraId="7A5458AF" w14:textId="77777777" w:rsidR="00AA3994" w:rsidRDefault="00AA3994" w:rsidP="00354AA1">
      <w:pPr>
        <w:jc w:val="both"/>
      </w:pPr>
      <w:r>
        <w:t xml:space="preserve">Given the lack of research on this issue, the aim of the consultations was to learn directly from children about their experiences as consumers within the Australian business context. Given the small sample size, the consultations represent a starting point for discussion and to flag issues identified by children for further detailed consideration. </w:t>
      </w:r>
    </w:p>
    <w:p w14:paraId="10DB3DC5" w14:textId="77777777" w:rsidR="00AA3994" w:rsidRPr="0081446F" w:rsidRDefault="00AA3994" w:rsidP="00354AA1">
      <w:pPr>
        <w:jc w:val="both"/>
      </w:pPr>
      <w:r w:rsidRPr="00B96B26">
        <w:t xml:space="preserve">The analysis includes a summary of </w:t>
      </w:r>
      <w:r>
        <w:t>a number of children’s rights</w:t>
      </w:r>
      <w:r w:rsidRPr="00B96B26">
        <w:t xml:space="preserve"> </w:t>
      </w:r>
      <w:r>
        <w:t>relevant to</w:t>
      </w:r>
      <w:r w:rsidRPr="00B96B26">
        <w:t xml:space="preserve"> each issue identified</w:t>
      </w:r>
      <w:r>
        <w:t>, in keeping with the guiding principles of the Convention on the Rights of the Child.</w:t>
      </w:r>
    </w:p>
    <w:p w14:paraId="45DD5C59" w14:textId="77777777" w:rsidR="00AA3994" w:rsidRDefault="00AA3994" w:rsidP="00354AA1">
      <w:pPr>
        <w:pStyle w:val="Heading3"/>
        <w:jc w:val="both"/>
      </w:pPr>
      <w:bookmarkStart w:id="117" w:name="_Toc430333099"/>
      <w:bookmarkStart w:id="118" w:name="_Toc430702092"/>
      <w:r>
        <w:t>Children as consumers online</w:t>
      </w:r>
      <w:bookmarkEnd w:id="117"/>
      <w:bookmarkEnd w:id="118"/>
    </w:p>
    <w:p w14:paraId="582C9B7F" w14:textId="0665ED51" w:rsidR="00AA3994" w:rsidRPr="006254C9" w:rsidRDefault="00AA3994" w:rsidP="00354AA1">
      <w:pPr>
        <w:ind w:left="1440"/>
        <w:jc w:val="both"/>
        <w:rPr>
          <w:sz w:val="20"/>
          <w:szCs w:val="20"/>
        </w:rPr>
      </w:pPr>
      <w:r w:rsidRPr="006254C9">
        <w:rPr>
          <w:sz w:val="20"/>
          <w:szCs w:val="20"/>
        </w:rPr>
        <w:t>[It’s] easier online and going shopping can be annoying</w:t>
      </w:r>
      <w:r w:rsidR="00B67BDF">
        <w:rPr>
          <w:sz w:val="20"/>
          <w:szCs w:val="20"/>
        </w:rPr>
        <w:t>. (</w:t>
      </w:r>
      <w:r>
        <w:rPr>
          <w:sz w:val="20"/>
          <w:szCs w:val="20"/>
        </w:rPr>
        <w:t xml:space="preserve">Year 8 </w:t>
      </w:r>
      <w:r w:rsidR="00B67BDF">
        <w:rPr>
          <w:sz w:val="20"/>
          <w:szCs w:val="20"/>
        </w:rPr>
        <w:t>s</w:t>
      </w:r>
      <w:r>
        <w:rPr>
          <w:sz w:val="20"/>
          <w:szCs w:val="20"/>
        </w:rPr>
        <w:t>tudent</w:t>
      </w:r>
      <w:r w:rsidR="00B67BDF">
        <w:rPr>
          <w:sz w:val="20"/>
          <w:szCs w:val="20"/>
        </w:rPr>
        <w:t>)</w:t>
      </w:r>
      <w:r w:rsidR="00B67BDF">
        <w:rPr>
          <w:rStyle w:val="EndnoteReference"/>
          <w:szCs w:val="20"/>
        </w:rPr>
        <w:endnoteReference w:id="389"/>
      </w:r>
    </w:p>
    <w:p w14:paraId="425636D2" w14:textId="5CF8B1E4" w:rsidR="00AA3994" w:rsidRPr="00030874" w:rsidRDefault="00AA3994" w:rsidP="00354AA1">
      <w:pPr>
        <w:jc w:val="both"/>
      </w:pPr>
      <w:r w:rsidRPr="00030874">
        <w:t>It is clear from consultations that children are significant users of the internet as consumers, with 62.5% of participants saying that they used the internet to purchase products.</w:t>
      </w:r>
      <w:r>
        <w:t xml:space="preserve"> Reasons for on</w:t>
      </w:r>
      <w:r w:rsidRPr="00552A81">
        <w:t>line purchasing included ‘ease and convenience’</w:t>
      </w:r>
      <w:r w:rsidR="003B4324">
        <w:t>,</w:t>
      </w:r>
      <w:r w:rsidRPr="00552A81">
        <w:t xml:space="preserve"> cheaper online prices and product availability. Most </w:t>
      </w:r>
      <w:r>
        <w:t>products purchased on</w:t>
      </w:r>
      <w:r w:rsidRPr="00552A81">
        <w:t>line were for leisure/entertainment purposes (</w:t>
      </w:r>
      <w:r w:rsidR="00171732">
        <w:t>clothing, shoes</w:t>
      </w:r>
      <w:r w:rsidR="00171732" w:rsidRPr="00552A81">
        <w:t xml:space="preserve"> </w:t>
      </w:r>
      <w:r w:rsidR="00171732">
        <w:t xml:space="preserve">and </w:t>
      </w:r>
      <w:r w:rsidRPr="00552A81">
        <w:t>digital entertainment such as games</w:t>
      </w:r>
      <w:r w:rsidR="00171732">
        <w:t xml:space="preserve"> and</w:t>
      </w:r>
      <w:r w:rsidRPr="00552A81">
        <w:t xml:space="preserve"> apps) and for the</w:t>
      </w:r>
      <w:r w:rsidR="00171732">
        <w:t xml:space="preserve"> purchase of technology (phones,</w:t>
      </w:r>
      <w:r w:rsidRPr="00552A81">
        <w:t xml:space="preserve"> computers</w:t>
      </w:r>
      <w:r w:rsidR="00171732">
        <w:t>,</w:t>
      </w:r>
      <w:r w:rsidRPr="00552A81">
        <w:t xml:space="preserve"> </w:t>
      </w:r>
      <w:r w:rsidR="00840BEA">
        <w:t xml:space="preserve">game </w:t>
      </w:r>
      <w:r w:rsidR="00840BEA">
        <w:lastRenderedPageBreak/>
        <w:t>consoles and</w:t>
      </w:r>
      <w:r w:rsidRPr="00552A81">
        <w:t xml:space="preserve"> technology accessories). Some variations in age group were noted in terms of the type </w:t>
      </w:r>
      <w:r w:rsidRPr="00030874">
        <w:t xml:space="preserve">of products being purchased. </w:t>
      </w:r>
    </w:p>
    <w:p w14:paraId="0081EE69" w14:textId="0A28117A" w:rsidR="00AA3994" w:rsidRDefault="00AA3994" w:rsidP="00354AA1">
      <w:pPr>
        <w:jc w:val="both"/>
      </w:pPr>
      <w:r w:rsidRPr="00030874">
        <w:t>The focus on leisure and entertainment reflects the importance of access to such products by children</w:t>
      </w:r>
      <w:r w:rsidR="0071112F">
        <w:t>,</w:t>
      </w:r>
      <w:r w:rsidRPr="00030874">
        <w:t xml:space="preserve"> particularly when guided by the principle on the child’s right to development.</w:t>
      </w:r>
      <w:r w:rsidRPr="00552A81">
        <w:t xml:space="preserve"> </w:t>
      </w:r>
      <w:r>
        <w:t>Where the i</w:t>
      </w:r>
      <w:r w:rsidRPr="00552A81">
        <w:t xml:space="preserve">nternet </w:t>
      </w:r>
      <w:r>
        <w:t>becomes</w:t>
      </w:r>
      <w:r w:rsidRPr="00552A81">
        <w:t xml:space="preserve"> the sole platform for access to a number of social and educational opportunities</w:t>
      </w:r>
      <w:r>
        <w:t>, the ability to purchase technology itself contributes to understanding children’s consumer choices online. In the past this arguably would have been cast as the right of children to have access to books, leisure activities (such as team sports) and cultural activities</w:t>
      </w:r>
      <w:r w:rsidR="0071112F">
        <w:t xml:space="preserve"> as an important part their ‘holistic development’</w:t>
      </w:r>
      <w:r>
        <w:t xml:space="preserve">. </w:t>
      </w:r>
      <w:r w:rsidR="0071112F">
        <w:t>N</w:t>
      </w:r>
      <w:r>
        <w:t xml:space="preserve">ow many of these ‘products’ and activities </w:t>
      </w:r>
      <w:r w:rsidR="0071112F">
        <w:t>are easily accessible</w:t>
      </w:r>
      <w:r>
        <w:t xml:space="preserve"> </w:t>
      </w:r>
      <w:r w:rsidR="0071112F">
        <w:t>online.</w:t>
      </w:r>
    </w:p>
    <w:p w14:paraId="0F6DF04E" w14:textId="77777777" w:rsidR="00AA3994" w:rsidRDefault="00AA3994" w:rsidP="00354AA1">
      <w:pPr>
        <w:pStyle w:val="Heading3"/>
        <w:jc w:val="both"/>
      </w:pPr>
      <w:bookmarkStart w:id="119" w:name="_Toc430333100"/>
      <w:bookmarkStart w:id="120" w:name="_Toc430702093"/>
      <w:r>
        <w:t>Influence of family/friends on purchasing</w:t>
      </w:r>
      <w:bookmarkEnd w:id="119"/>
      <w:bookmarkEnd w:id="120"/>
    </w:p>
    <w:p w14:paraId="07A88B16" w14:textId="3DEF1D11" w:rsidR="00AA3994" w:rsidRPr="001E4D2D" w:rsidRDefault="00AA3994" w:rsidP="00354AA1">
      <w:pPr>
        <w:ind w:left="131" w:firstLine="720"/>
        <w:jc w:val="both"/>
        <w:rPr>
          <w:sz w:val="20"/>
          <w:szCs w:val="20"/>
        </w:rPr>
      </w:pPr>
      <w:r w:rsidRPr="001E4D2D">
        <w:rPr>
          <w:sz w:val="20"/>
          <w:szCs w:val="20"/>
        </w:rPr>
        <w:t>Find out what Paulo thinks</w:t>
      </w:r>
      <w:r w:rsidR="00B67BDF">
        <w:rPr>
          <w:sz w:val="20"/>
          <w:szCs w:val="20"/>
        </w:rPr>
        <w:t>. (</w:t>
      </w:r>
      <w:r w:rsidRPr="001E4D2D">
        <w:rPr>
          <w:sz w:val="20"/>
          <w:szCs w:val="20"/>
        </w:rPr>
        <w:t>Year 6</w:t>
      </w:r>
      <w:r>
        <w:rPr>
          <w:sz w:val="20"/>
          <w:szCs w:val="20"/>
        </w:rPr>
        <w:t xml:space="preserve"> </w:t>
      </w:r>
      <w:r w:rsidR="00B67BDF">
        <w:rPr>
          <w:sz w:val="20"/>
          <w:szCs w:val="20"/>
        </w:rPr>
        <w:t>s</w:t>
      </w:r>
      <w:r>
        <w:rPr>
          <w:sz w:val="20"/>
          <w:szCs w:val="20"/>
        </w:rPr>
        <w:t>tudent</w:t>
      </w:r>
      <w:r w:rsidR="00B67BDF">
        <w:rPr>
          <w:sz w:val="20"/>
          <w:szCs w:val="20"/>
        </w:rPr>
        <w:t xml:space="preserve">) </w:t>
      </w:r>
      <w:r w:rsidR="00B67BDF" w:rsidRPr="001E4D2D">
        <w:rPr>
          <w:rStyle w:val="EndnoteReference"/>
          <w:szCs w:val="20"/>
        </w:rPr>
        <w:endnoteReference w:id="390"/>
      </w:r>
    </w:p>
    <w:p w14:paraId="67EC834C" w14:textId="77777777" w:rsidR="00AA3994" w:rsidRPr="00552A81" w:rsidRDefault="00AA3994" w:rsidP="00354AA1">
      <w:pPr>
        <w:jc w:val="both"/>
      </w:pPr>
      <w:r w:rsidRPr="00552A81">
        <w:t xml:space="preserve">The most commonly cited influence on purchasing decisions were friends and family members. </w:t>
      </w:r>
    </w:p>
    <w:p w14:paraId="7775FAEC" w14:textId="77777777" w:rsidR="00AA3994" w:rsidRPr="00552A81" w:rsidRDefault="00AA3994" w:rsidP="00354AA1">
      <w:pPr>
        <w:jc w:val="both"/>
      </w:pPr>
      <w:r w:rsidRPr="00552A81">
        <w:t xml:space="preserve">Generally, ‘family members’ referred to ‘parents’ as opposed to other family members and nearly all children surveyed said they often or always informed their parents about making online purchases. The influence of parents in the online shopping context may be linked to children relying primarily on parent’s credit cards to make purchases. This is in contrast to offline purchases where other sources of payment featured (allowance, income from job and/or trading goods, gift money). Specific reference was made to the use of ‘debit cards’ or ‘pre-paid Visa cards’ by children over 16 years, the use of which would not require a guardian’s knowledge or consent. </w:t>
      </w:r>
    </w:p>
    <w:p w14:paraId="04281F15" w14:textId="77777777" w:rsidR="00AA3994" w:rsidRPr="00552A81" w:rsidRDefault="00AA3994" w:rsidP="00354AA1">
      <w:pPr>
        <w:jc w:val="both"/>
      </w:pPr>
      <w:r w:rsidRPr="00552A81">
        <w:t>Apart from parents, siblings were also mentioned in the context of influencing purchases as well as in facilitating the purchase.</w:t>
      </w:r>
    </w:p>
    <w:p w14:paraId="123D191C" w14:textId="77777777" w:rsidR="00AA3994" w:rsidRPr="00552A81" w:rsidRDefault="00AA3994" w:rsidP="00354AA1">
      <w:pPr>
        <w:jc w:val="both"/>
      </w:pPr>
      <w:r w:rsidRPr="00552A81">
        <w:t xml:space="preserve">Some children mentioned </w:t>
      </w:r>
      <w:r>
        <w:t>certain</w:t>
      </w:r>
      <w:r w:rsidRPr="00552A81">
        <w:t xml:space="preserve"> friends when talking about why they might make purchases. This was particularly the case with gaming where purchases seemed to follow general trends as well as what friends had purchased. Research has linked the role of the adolescent peer group in purchasing to assertions of individuality and independence, though it was difficult to clearly ascertain how much of a factor this played in decision-making. Where such activities do contribute to a child’s burgeoning assertion of their individuality and independence (and in this context particularly where access to such activities</w:t>
      </w:r>
      <w:r>
        <w:t xml:space="preserve"> and products can only occur on</w:t>
      </w:r>
      <w:r w:rsidRPr="00552A81">
        <w:t xml:space="preserve">line) this can be similarly informed by the guiding principle on the right to development. </w:t>
      </w:r>
    </w:p>
    <w:p w14:paraId="4CF90EA7" w14:textId="77777777" w:rsidR="00AA3994" w:rsidRPr="00552A81" w:rsidRDefault="00AA3994" w:rsidP="00354AA1">
      <w:pPr>
        <w:jc w:val="both"/>
      </w:pPr>
      <w:r w:rsidRPr="00552A81">
        <w:t xml:space="preserve">While circumventing direct parental influence through the use of other forms of payment can be seen as an assertion of independence, issues arise as to whether these payment practices are occurring in a manner that is consistent with the best interests of the child. This is particularly the case where </w:t>
      </w:r>
      <w:r>
        <w:t>regulatory safeguards in the on</w:t>
      </w:r>
      <w:r w:rsidRPr="00552A81">
        <w:t>line context often assume the consent of guardians as a safeguard.</w:t>
      </w:r>
    </w:p>
    <w:p w14:paraId="09B40173" w14:textId="77777777" w:rsidR="00AA3994" w:rsidRPr="00552A81" w:rsidRDefault="00AA3994" w:rsidP="00354AA1">
      <w:pPr>
        <w:pStyle w:val="Heading3"/>
        <w:jc w:val="both"/>
      </w:pPr>
      <w:bookmarkStart w:id="121" w:name="_Toc430333101"/>
      <w:bookmarkStart w:id="122" w:name="_Toc430702094"/>
      <w:r w:rsidRPr="00552A81">
        <w:t>Impact of advertising</w:t>
      </w:r>
      <w:bookmarkEnd w:id="121"/>
      <w:bookmarkEnd w:id="122"/>
    </w:p>
    <w:p w14:paraId="59A85804" w14:textId="44408F56" w:rsidR="00AA3994" w:rsidRPr="00552A81" w:rsidRDefault="00AA3994" w:rsidP="00354AA1">
      <w:pPr>
        <w:ind w:left="851"/>
        <w:jc w:val="both"/>
        <w:rPr>
          <w:sz w:val="20"/>
          <w:szCs w:val="20"/>
        </w:rPr>
      </w:pPr>
      <w:r w:rsidRPr="00552A81">
        <w:rPr>
          <w:sz w:val="20"/>
          <w:szCs w:val="20"/>
        </w:rPr>
        <w:t>Ads can trick you [by] making it [the product] look awesome</w:t>
      </w:r>
      <w:r w:rsidR="008E681F">
        <w:rPr>
          <w:sz w:val="20"/>
          <w:szCs w:val="20"/>
        </w:rPr>
        <w:t>.</w:t>
      </w:r>
      <w:r w:rsidRPr="00552A81">
        <w:rPr>
          <w:sz w:val="20"/>
          <w:szCs w:val="20"/>
        </w:rPr>
        <w:t xml:space="preserve"> </w:t>
      </w:r>
      <w:r w:rsidR="008E681F">
        <w:rPr>
          <w:sz w:val="20"/>
          <w:szCs w:val="20"/>
        </w:rPr>
        <w:t>(</w:t>
      </w:r>
      <w:r w:rsidRPr="00552A81">
        <w:rPr>
          <w:sz w:val="20"/>
          <w:szCs w:val="20"/>
        </w:rPr>
        <w:t xml:space="preserve">Year 6 </w:t>
      </w:r>
      <w:r w:rsidR="00732BD5">
        <w:rPr>
          <w:sz w:val="20"/>
          <w:szCs w:val="20"/>
        </w:rPr>
        <w:t>s</w:t>
      </w:r>
      <w:r>
        <w:rPr>
          <w:sz w:val="20"/>
          <w:szCs w:val="20"/>
        </w:rPr>
        <w:t>tudent</w:t>
      </w:r>
      <w:r w:rsidR="008E681F">
        <w:rPr>
          <w:sz w:val="20"/>
          <w:szCs w:val="20"/>
        </w:rPr>
        <w:t>)</w:t>
      </w:r>
      <w:r w:rsidR="008E681F" w:rsidRPr="00552A81">
        <w:rPr>
          <w:rStyle w:val="EndnoteReference"/>
          <w:szCs w:val="20"/>
        </w:rPr>
        <w:endnoteReference w:id="391"/>
      </w:r>
    </w:p>
    <w:p w14:paraId="2A4576FC" w14:textId="6AE03949" w:rsidR="00AA3994" w:rsidRPr="007E784F" w:rsidRDefault="00AA3994" w:rsidP="00354AA1">
      <w:pPr>
        <w:jc w:val="both"/>
      </w:pPr>
      <w:r w:rsidRPr="00552A81">
        <w:lastRenderedPageBreak/>
        <w:t>Al</w:t>
      </w:r>
      <w:r>
        <w:t>though some of the participants were of the view that they were generally not influenced by advertising and ‘popular trends’,</w:t>
      </w:r>
      <w:r w:rsidRPr="00552A81">
        <w:t xml:space="preserve"> </w:t>
      </w:r>
      <w:r w:rsidRPr="00030874">
        <w:t>‘ads’ were the next most commonly cited factor influencing decisions after family and friends.</w:t>
      </w:r>
      <w:r w:rsidRPr="00552A81">
        <w:t xml:space="preserve"> </w:t>
      </w:r>
      <w:r>
        <w:t>Further, m</w:t>
      </w:r>
      <w:r w:rsidRPr="00552A81">
        <w:t xml:space="preserve">any of the children </w:t>
      </w:r>
      <w:r>
        <w:t>and young people said</w:t>
      </w:r>
      <w:r w:rsidRPr="00552A81">
        <w:t xml:space="preserve"> that b</w:t>
      </w:r>
      <w:r w:rsidR="00732BD5">
        <w:t>rands influenced their decision-</w:t>
      </w:r>
      <w:r w:rsidRPr="00552A81">
        <w:t>making when considering a purchase. Some participants referred to specific brands and companies when discussing their</w:t>
      </w:r>
      <w:r>
        <w:t xml:space="preserve"> purchasing habits and, in some instances, demonstrated in depth knowledge of developers of products.</w:t>
      </w:r>
    </w:p>
    <w:p w14:paraId="45F259BE" w14:textId="77777777" w:rsidR="00AA3994" w:rsidRPr="00552A81" w:rsidRDefault="00AA3994" w:rsidP="00354AA1">
      <w:pPr>
        <w:jc w:val="both"/>
      </w:pPr>
      <w:r>
        <w:t>The principle on</w:t>
      </w:r>
      <w:r w:rsidRPr="007E784F">
        <w:t xml:space="preserve"> the right to development has been interpreted by the Committee to include consideration of how a child’s ‘healthy development’ may be impacted on by certain forms of marketing and advertising.</w:t>
      </w:r>
      <w:r>
        <w:rPr>
          <w:rStyle w:val="EndnoteReference"/>
        </w:rPr>
        <w:endnoteReference w:id="392"/>
      </w:r>
      <w:r>
        <w:t xml:space="preserve"> In addition to this, the principle on the best interests of the child obliges government to ensure that the </w:t>
      </w:r>
      <w:r w:rsidRPr="00552A81">
        <w:t>child’s best interests is a primary consideration in actions taken by the private sector.</w:t>
      </w:r>
      <w:r w:rsidRPr="00552A81">
        <w:rPr>
          <w:rStyle w:val="EndnoteReference"/>
        </w:rPr>
        <w:endnoteReference w:id="393"/>
      </w:r>
      <w:r w:rsidRPr="00552A81">
        <w:t xml:space="preserve"> Guided by these principles, a </w:t>
      </w:r>
      <w:r>
        <w:t xml:space="preserve">detailed </w:t>
      </w:r>
      <w:r w:rsidRPr="00552A81">
        <w:t xml:space="preserve">review into the type and level of advertising targeted at children within the Australian </w:t>
      </w:r>
      <w:r>
        <w:t>on</w:t>
      </w:r>
      <w:r w:rsidRPr="00552A81">
        <w:t xml:space="preserve">line consumer context </w:t>
      </w:r>
      <w:r>
        <w:t>should</w:t>
      </w:r>
      <w:r w:rsidRPr="00552A81">
        <w:t xml:space="preserve"> be considered. </w:t>
      </w:r>
    </w:p>
    <w:p w14:paraId="7D69B0B3" w14:textId="77777777" w:rsidR="00AA3994" w:rsidRPr="00552A81" w:rsidRDefault="00AA3994" w:rsidP="00354AA1">
      <w:pPr>
        <w:pStyle w:val="Heading3"/>
        <w:jc w:val="both"/>
      </w:pPr>
      <w:bookmarkStart w:id="123" w:name="_Toc430333102"/>
      <w:bookmarkStart w:id="124" w:name="_Toc430702095"/>
      <w:r w:rsidRPr="00552A81">
        <w:t>Internet as a market research tool</w:t>
      </w:r>
      <w:bookmarkEnd w:id="123"/>
      <w:bookmarkEnd w:id="124"/>
    </w:p>
    <w:p w14:paraId="5AACCBB2" w14:textId="0D2526EB" w:rsidR="00AA3994" w:rsidRPr="00552A81" w:rsidRDefault="00AA3994" w:rsidP="00354AA1">
      <w:pPr>
        <w:ind w:left="851"/>
        <w:jc w:val="both"/>
        <w:rPr>
          <w:sz w:val="20"/>
          <w:szCs w:val="20"/>
        </w:rPr>
      </w:pPr>
      <w:r w:rsidRPr="00552A81">
        <w:rPr>
          <w:sz w:val="20"/>
          <w:szCs w:val="20"/>
        </w:rPr>
        <w:t>You can go onl</w:t>
      </w:r>
      <w:r w:rsidR="008E681F">
        <w:rPr>
          <w:sz w:val="20"/>
          <w:szCs w:val="20"/>
        </w:rPr>
        <w:t>ine and do a bit of researching. (</w:t>
      </w:r>
      <w:r w:rsidR="00732BD5">
        <w:rPr>
          <w:sz w:val="20"/>
          <w:szCs w:val="20"/>
        </w:rPr>
        <w:t>Young person</w:t>
      </w:r>
      <w:r>
        <w:rPr>
          <w:sz w:val="20"/>
          <w:szCs w:val="20"/>
        </w:rPr>
        <w:t xml:space="preserve">, </w:t>
      </w:r>
      <w:r w:rsidRPr="00552A81">
        <w:rPr>
          <w:sz w:val="20"/>
          <w:szCs w:val="20"/>
        </w:rPr>
        <w:t>HighWater Theatre</w:t>
      </w:r>
      <w:r w:rsidR="000379B5">
        <w:rPr>
          <w:sz w:val="20"/>
          <w:szCs w:val="20"/>
        </w:rPr>
        <w:t xml:space="preserve"> Program</w:t>
      </w:r>
      <w:r w:rsidR="008E681F">
        <w:rPr>
          <w:sz w:val="20"/>
          <w:szCs w:val="20"/>
        </w:rPr>
        <w:t>)</w:t>
      </w:r>
      <w:r w:rsidRPr="00552A81">
        <w:rPr>
          <w:rStyle w:val="EndnoteReference"/>
          <w:szCs w:val="20"/>
        </w:rPr>
        <w:endnoteReference w:id="394"/>
      </w:r>
    </w:p>
    <w:p w14:paraId="320F517E" w14:textId="41D0C79A" w:rsidR="00AA3994" w:rsidRPr="00552A81" w:rsidRDefault="00AA3994" w:rsidP="00354AA1">
      <w:pPr>
        <w:jc w:val="both"/>
      </w:pPr>
      <w:r w:rsidRPr="00DF2F8E">
        <w:t>It emerged that the internet was being used by children as a type of ‘market research’ tool.</w:t>
      </w:r>
      <w:r w:rsidRPr="00552A81">
        <w:t xml:space="preserve"> This was particularly so with children who seemed to possess high levels of digital literacy. For example</w:t>
      </w:r>
      <w:r>
        <w:t>,</w:t>
      </w:r>
      <w:r w:rsidRPr="00552A81">
        <w:t xml:space="preserve"> students spoke of going online and looking at forums and Facebook pages to see if people had written negative comments about products they were interested in purchasi</w:t>
      </w:r>
      <w:r>
        <w:t>ng. The significance of this on</w:t>
      </w:r>
      <w:r w:rsidRPr="00552A81">
        <w:t>line ‘consumer activity’ is two-fold – first that it focuses on the process of selection (regardless of whether the product itself is purchased on</w:t>
      </w:r>
      <w:r w:rsidR="00732BD5">
        <w:t>line</w:t>
      </w:r>
      <w:r w:rsidRPr="00552A81">
        <w:t xml:space="preserve"> or offline). Second, </w:t>
      </w:r>
      <w:r w:rsidRPr="00DF2F8E">
        <w:t>this practice reinforces the impact and significance of certain forms of online advertising</w:t>
      </w:r>
      <w:r>
        <w:t xml:space="preserve">, </w:t>
      </w:r>
      <w:r w:rsidRPr="00552A81">
        <w:t>such as company sponsored product reviews and information sites.</w:t>
      </w:r>
    </w:p>
    <w:p w14:paraId="10B622D9" w14:textId="526C6CD2" w:rsidR="00AA3994" w:rsidRPr="00552A81" w:rsidRDefault="00AA3994" w:rsidP="00354AA1">
      <w:pPr>
        <w:jc w:val="both"/>
      </w:pPr>
      <w:r w:rsidRPr="00552A81">
        <w:t>Again the child’s right to development and the best interests of the child are principles that should guide consideration of this issue. This is particularly the case where such marketing and advertising is capable of misleading children who may lack the capacity to distinguish between sponsored and independent reviews of products.</w:t>
      </w:r>
      <w:r w:rsidRPr="00552A81">
        <w:rPr>
          <w:rStyle w:val="EndnoteReference"/>
        </w:rPr>
        <w:endnoteReference w:id="395"/>
      </w:r>
      <w:r w:rsidRPr="00552A81">
        <w:t xml:space="preserve"> </w:t>
      </w:r>
      <w:r w:rsidR="00732BD5">
        <w:t>The Australian G</w:t>
      </w:r>
      <w:r w:rsidRPr="00552A81">
        <w:t>overnment</w:t>
      </w:r>
      <w:r w:rsidR="00732BD5">
        <w:t xml:space="preserve"> </w:t>
      </w:r>
      <w:r w:rsidRPr="00552A81">
        <w:t>may wish to monitor this situation to ensure that proper regulation of this issue is in keeping with the best interests of the child.</w:t>
      </w:r>
      <w:r w:rsidRPr="00552A81">
        <w:rPr>
          <w:rStyle w:val="EndnoteReference"/>
        </w:rPr>
        <w:endnoteReference w:id="396"/>
      </w:r>
      <w:r w:rsidRPr="00552A81">
        <w:t xml:space="preserve"> An additional consideration might be a child’s right to access information and material from a diversity of sources.</w:t>
      </w:r>
      <w:r w:rsidRPr="00552A81">
        <w:rPr>
          <w:rStyle w:val="EndnoteReference"/>
        </w:rPr>
        <w:endnoteReference w:id="397"/>
      </w:r>
      <w:r w:rsidRPr="00552A81">
        <w:t xml:space="preserve"> In this context</w:t>
      </w:r>
      <w:r w:rsidR="00732BD5">
        <w:t>,</w:t>
      </w:r>
      <w:r w:rsidRPr="00552A81">
        <w:t xml:space="preserve"> the </w:t>
      </w:r>
      <w:r w:rsidR="00732BD5">
        <w:t>Australian G</w:t>
      </w:r>
      <w:r w:rsidRPr="00552A81">
        <w:t>overnment could consider developing appropriate guidelines to ensure the protection of the child from material that may be considered ‘injurious’ to their wellbeing.</w:t>
      </w:r>
      <w:r w:rsidRPr="00552A81">
        <w:rPr>
          <w:rStyle w:val="EndnoteReference"/>
        </w:rPr>
        <w:endnoteReference w:id="398"/>
      </w:r>
      <w:r w:rsidRPr="00552A81">
        <w:t xml:space="preserve"> </w:t>
      </w:r>
    </w:p>
    <w:p w14:paraId="36638AAA" w14:textId="77777777" w:rsidR="00AA3994" w:rsidRPr="00552A81" w:rsidRDefault="00AA3994" w:rsidP="00354AA1">
      <w:pPr>
        <w:jc w:val="both"/>
      </w:pPr>
      <w:r w:rsidRPr="00DF2F8E">
        <w:t>A child’s right to privacy</w:t>
      </w:r>
      <w:r w:rsidRPr="00DF2F8E">
        <w:rPr>
          <w:rStyle w:val="EndnoteReference"/>
        </w:rPr>
        <w:endnoteReference w:id="399"/>
      </w:r>
      <w:r w:rsidRPr="00DF2F8E">
        <w:t xml:space="preserve"> is also relevant to the use and regulation of the internet as a market research tool. Regardless of whether a product is actually purchased, information can be gathered on a child’s site visits and compiled as part of market research.</w:t>
      </w:r>
      <w:r w:rsidRPr="00552A81">
        <w:t xml:space="preserve"> This information can be on-sold to other companies for marketing purposes or to specifically t</w:t>
      </w:r>
      <w:r>
        <w:t>arget children with tailored on</w:t>
      </w:r>
      <w:r w:rsidRPr="00552A81">
        <w:t xml:space="preserve">line advertisements. </w:t>
      </w:r>
    </w:p>
    <w:p w14:paraId="23CB7F90" w14:textId="77777777" w:rsidR="00AA3994" w:rsidRPr="00552A81" w:rsidRDefault="00AA3994" w:rsidP="00354AA1">
      <w:pPr>
        <w:pStyle w:val="Heading3"/>
        <w:jc w:val="both"/>
      </w:pPr>
      <w:bookmarkStart w:id="125" w:name="_Toc430333103"/>
      <w:bookmarkStart w:id="126" w:name="_Toc430702096"/>
      <w:r>
        <w:lastRenderedPageBreak/>
        <w:t>C</w:t>
      </w:r>
      <w:r w:rsidRPr="00552A81">
        <w:t xml:space="preserve">onsumer </w:t>
      </w:r>
      <w:r>
        <w:t>experiences</w:t>
      </w:r>
      <w:bookmarkEnd w:id="125"/>
      <w:bookmarkEnd w:id="126"/>
    </w:p>
    <w:p w14:paraId="50E98F0E" w14:textId="159664AF" w:rsidR="00AA3994" w:rsidRPr="00552A81" w:rsidRDefault="00AA3994" w:rsidP="00354AA1">
      <w:pPr>
        <w:ind w:left="720"/>
        <w:jc w:val="both"/>
        <w:rPr>
          <w:sz w:val="20"/>
          <w:szCs w:val="20"/>
        </w:rPr>
      </w:pPr>
      <w:r w:rsidRPr="00552A81">
        <w:rPr>
          <w:sz w:val="20"/>
          <w:szCs w:val="20"/>
        </w:rPr>
        <w:t>I don’t know why she would expect, you know, not to get ripped off…if they are all the way on the other side of the planet or something it’s probably not the best idea to give them your money</w:t>
      </w:r>
      <w:r w:rsidR="00732BD5">
        <w:rPr>
          <w:sz w:val="20"/>
          <w:szCs w:val="20"/>
        </w:rPr>
        <w:t>. (</w:t>
      </w:r>
      <w:r w:rsidRPr="00552A81">
        <w:rPr>
          <w:sz w:val="20"/>
          <w:szCs w:val="20"/>
        </w:rPr>
        <w:t>Year 9</w:t>
      </w:r>
      <w:r>
        <w:rPr>
          <w:sz w:val="20"/>
          <w:szCs w:val="20"/>
        </w:rPr>
        <w:t xml:space="preserve"> </w:t>
      </w:r>
      <w:r w:rsidR="00732BD5">
        <w:rPr>
          <w:sz w:val="20"/>
          <w:szCs w:val="20"/>
        </w:rPr>
        <w:t>s</w:t>
      </w:r>
      <w:r>
        <w:rPr>
          <w:sz w:val="20"/>
          <w:szCs w:val="20"/>
        </w:rPr>
        <w:t>tudent</w:t>
      </w:r>
      <w:r w:rsidR="00732BD5">
        <w:rPr>
          <w:sz w:val="20"/>
          <w:szCs w:val="20"/>
        </w:rPr>
        <w:t>)</w:t>
      </w:r>
      <w:r w:rsidR="00732BD5" w:rsidRPr="00552A81">
        <w:rPr>
          <w:rStyle w:val="EndnoteReference"/>
          <w:szCs w:val="20"/>
        </w:rPr>
        <w:endnoteReference w:id="400"/>
      </w:r>
    </w:p>
    <w:p w14:paraId="2B21DA76" w14:textId="55751D4D" w:rsidR="00AA3994" w:rsidRPr="00552A81" w:rsidRDefault="00AA3994" w:rsidP="00354AA1">
      <w:pPr>
        <w:jc w:val="both"/>
      </w:pPr>
      <w:r w:rsidRPr="00552A81">
        <w:t xml:space="preserve">The problems children experienced in purchasing products online ranged from receiving products that were unfit for purpose (in poor condition, non-functioning/incompatible); receiving the wrong product (wrong colour/style) to not receiving the product at all. In older age groups, problems included issues with warranties and hidden terms and conditions in contracts (for example receiving phone bills charging for extra data usage). In most situations, steps were taken by the child </w:t>
      </w:r>
      <w:r>
        <w:t xml:space="preserve">(and/or their parent/friend/sibling) </w:t>
      </w:r>
      <w:r w:rsidRPr="00552A81">
        <w:t>to address the issue through internal company processes and the problem was resolved. In a smaller number of cases no action was taken and the situation remained unchanged.</w:t>
      </w:r>
    </w:p>
    <w:p w14:paraId="4CC6BA8E" w14:textId="77777777" w:rsidR="00AA3994" w:rsidRPr="00552A81" w:rsidRDefault="00AA3994" w:rsidP="00354AA1">
      <w:pPr>
        <w:jc w:val="both"/>
      </w:pPr>
      <w:r w:rsidRPr="00552A81">
        <w:t>Apart from ‘lack of necessity’, the main reason identified b</w:t>
      </w:r>
      <w:r>
        <w:t>y children who did not use the i</w:t>
      </w:r>
      <w:r w:rsidRPr="00552A81">
        <w:t xml:space="preserve">nternet to purchase products were issues with ‘security’ and/or privacy. There was a reluctance to provide personal information and suspicions about the process being a ‘scam’ that could result in funds being fraudulently removed from a parent’s account. </w:t>
      </w:r>
    </w:p>
    <w:p w14:paraId="7EEFC3AE" w14:textId="77777777" w:rsidR="00AA3994" w:rsidRPr="00552A81" w:rsidRDefault="00AA3994" w:rsidP="00354AA1">
      <w:pPr>
        <w:jc w:val="both"/>
      </w:pPr>
      <w:r w:rsidRPr="00AF2AD2">
        <w:t>A number of the consumer issues that children experienced online could be in part addressed by the provision of clear information on their consumer rights.</w:t>
      </w:r>
      <w:r w:rsidRPr="00552A81">
        <w:t xml:space="preserve"> Relevantly for business, the Committee has commented that the guiding principle on the right to be heard includes the ability of children to access information ‘in formats appropriate to their age and capacities on all issues of concern to them’.</w:t>
      </w:r>
      <w:r w:rsidRPr="00552A81">
        <w:rPr>
          <w:rStyle w:val="EndnoteReference"/>
        </w:rPr>
        <w:endnoteReference w:id="401"/>
      </w:r>
      <w:r w:rsidRPr="00552A81">
        <w:t xml:space="preserve"> This includes the provision of information on their rights</w:t>
      </w:r>
      <w:r w:rsidRPr="00552A81">
        <w:rPr>
          <w:rStyle w:val="EndnoteReference"/>
        </w:rPr>
        <w:endnoteReference w:id="402"/>
      </w:r>
      <w:r w:rsidRPr="00552A81">
        <w:t xml:space="preserve"> (such as contractual rights). In practical terms this would mean providing contracts that are easy to understand in accessible formats, including information on the returns process.</w:t>
      </w:r>
    </w:p>
    <w:p w14:paraId="4F32F235" w14:textId="2296D531" w:rsidR="00AA3994" w:rsidRPr="00552A81" w:rsidRDefault="00AA3994" w:rsidP="00354AA1">
      <w:pPr>
        <w:ind w:left="720"/>
        <w:jc w:val="both"/>
        <w:rPr>
          <w:sz w:val="20"/>
          <w:szCs w:val="20"/>
        </w:rPr>
      </w:pPr>
      <w:r w:rsidRPr="00552A81">
        <w:rPr>
          <w:sz w:val="20"/>
          <w:szCs w:val="20"/>
        </w:rPr>
        <w:t>I get at my email address all these weird messages from all these weird sites…and it’s really disturbing sometimes because they send photos</w:t>
      </w:r>
      <w:r w:rsidR="00A14079">
        <w:rPr>
          <w:sz w:val="20"/>
          <w:szCs w:val="20"/>
        </w:rPr>
        <w:t>. (</w:t>
      </w:r>
      <w:r>
        <w:rPr>
          <w:sz w:val="20"/>
          <w:szCs w:val="20"/>
        </w:rPr>
        <w:t>Y</w:t>
      </w:r>
      <w:r w:rsidRPr="00552A81">
        <w:rPr>
          <w:sz w:val="20"/>
          <w:szCs w:val="20"/>
        </w:rPr>
        <w:t>ear 10</w:t>
      </w:r>
      <w:r>
        <w:rPr>
          <w:sz w:val="20"/>
          <w:szCs w:val="20"/>
        </w:rPr>
        <w:t xml:space="preserve"> </w:t>
      </w:r>
      <w:r w:rsidR="00A14079">
        <w:rPr>
          <w:sz w:val="20"/>
          <w:szCs w:val="20"/>
        </w:rPr>
        <w:t>s</w:t>
      </w:r>
      <w:r>
        <w:rPr>
          <w:sz w:val="20"/>
          <w:szCs w:val="20"/>
        </w:rPr>
        <w:t>tudent</w:t>
      </w:r>
      <w:r w:rsidR="00A14079">
        <w:rPr>
          <w:sz w:val="20"/>
          <w:szCs w:val="20"/>
        </w:rPr>
        <w:t>)</w:t>
      </w:r>
      <w:r w:rsidR="00A14079" w:rsidRPr="00552A81">
        <w:rPr>
          <w:rStyle w:val="EndnoteReference"/>
          <w:szCs w:val="20"/>
        </w:rPr>
        <w:endnoteReference w:id="403"/>
      </w:r>
    </w:p>
    <w:p w14:paraId="7082A8CD" w14:textId="77777777" w:rsidR="00AA3994" w:rsidRPr="00552A81" w:rsidRDefault="00AA3994" w:rsidP="00354AA1">
      <w:pPr>
        <w:jc w:val="both"/>
      </w:pPr>
      <w:r w:rsidRPr="00552A81">
        <w:t>Another consideration in this context is the child’s right to privacy where they are entitled to protection of the law against breaches of their privacy.</w:t>
      </w:r>
      <w:r w:rsidRPr="00552A81">
        <w:rPr>
          <w:rStyle w:val="EndnoteReference"/>
        </w:rPr>
        <w:endnoteReference w:id="404"/>
      </w:r>
      <w:r w:rsidRPr="00552A81">
        <w:t xml:space="preserve"> The relevance of this issue is to the children who avoid </w:t>
      </w:r>
      <w:r>
        <w:t>using the i</w:t>
      </w:r>
      <w:r w:rsidRPr="00552A81">
        <w:t xml:space="preserve">nternet as a consumer platform (and in doing so denying themselves access to the same opportunities as other consumers) because of concerns about the security of their information. These concerns could be alleviated in part with the </w:t>
      </w:r>
      <w:r w:rsidRPr="00AF2AD2">
        <w:t>provision of accessible and easily enforceable privacy policies</w:t>
      </w:r>
      <w:r w:rsidRPr="00552A81">
        <w:t xml:space="preserve"> that clearly state children’s privacy rights within the consumer context.</w:t>
      </w:r>
      <w:r w:rsidRPr="00552A81">
        <w:rPr>
          <w:rStyle w:val="EndnoteReference"/>
        </w:rPr>
        <w:endnoteReference w:id="405"/>
      </w:r>
      <w:r w:rsidRPr="00552A81">
        <w:t xml:space="preserve"> This would in turn assist in upholding the principle to the right to development in relation to an otherwise excluded group of children.</w:t>
      </w:r>
    </w:p>
    <w:p w14:paraId="5F92C099" w14:textId="77777777" w:rsidR="00AA3994" w:rsidRPr="00552A81" w:rsidRDefault="00AA3994" w:rsidP="00354AA1">
      <w:pPr>
        <w:pStyle w:val="Heading3"/>
        <w:jc w:val="both"/>
      </w:pPr>
      <w:bookmarkStart w:id="127" w:name="_Toc430333104"/>
      <w:bookmarkStart w:id="128" w:name="_Toc430702097"/>
      <w:r w:rsidRPr="00552A81">
        <w:t>Knowledge of consumer rights</w:t>
      </w:r>
      <w:bookmarkEnd w:id="127"/>
      <w:bookmarkEnd w:id="128"/>
    </w:p>
    <w:p w14:paraId="1BF39ECD" w14:textId="362AD66A" w:rsidR="00AA3994" w:rsidRPr="00552A81" w:rsidRDefault="00AA3994" w:rsidP="00354AA1">
      <w:pPr>
        <w:ind w:left="720"/>
        <w:jc w:val="both"/>
        <w:rPr>
          <w:sz w:val="20"/>
          <w:szCs w:val="20"/>
        </w:rPr>
      </w:pPr>
      <w:r w:rsidRPr="00552A81">
        <w:rPr>
          <w:sz w:val="20"/>
          <w:szCs w:val="20"/>
        </w:rPr>
        <w:t>You could waste like half of your day just reading the terms and conditions</w:t>
      </w:r>
      <w:r w:rsidR="00A14079">
        <w:rPr>
          <w:sz w:val="20"/>
          <w:szCs w:val="20"/>
        </w:rPr>
        <w:t>.</w:t>
      </w:r>
      <w:r w:rsidRPr="00552A81">
        <w:rPr>
          <w:sz w:val="20"/>
          <w:szCs w:val="20"/>
        </w:rPr>
        <w:t xml:space="preserve"> </w:t>
      </w:r>
      <w:r w:rsidR="00A14079">
        <w:rPr>
          <w:sz w:val="20"/>
          <w:szCs w:val="20"/>
        </w:rPr>
        <w:t>(</w:t>
      </w:r>
      <w:r w:rsidRPr="00552A81">
        <w:rPr>
          <w:sz w:val="20"/>
          <w:szCs w:val="20"/>
        </w:rPr>
        <w:t>Year 6</w:t>
      </w:r>
      <w:r>
        <w:rPr>
          <w:sz w:val="20"/>
          <w:szCs w:val="20"/>
        </w:rPr>
        <w:t xml:space="preserve"> </w:t>
      </w:r>
      <w:r w:rsidR="00A14079">
        <w:rPr>
          <w:sz w:val="20"/>
          <w:szCs w:val="20"/>
        </w:rPr>
        <w:t>s</w:t>
      </w:r>
      <w:r>
        <w:rPr>
          <w:sz w:val="20"/>
          <w:szCs w:val="20"/>
        </w:rPr>
        <w:t>tudent</w:t>
      </w:r>
      <w:r w:rsidR="00A14079">
        <w:rPr>
          <w:sz w:val="20"/>
          <w:szCs w:val="20"/>
        </w:rPr>
        <w:t>)</w:t>
      </w:r>
      <w:r w:rsidR="00A14079" w:rsidRPr="00552A81">
        <w:rPr>
          <w:rStyle w:val="EndnoteReference"/>
          <w:szCs w:val="20"/>
        </w:rPr>
        <w:endnoteReference w:id="406"/>
      </w:r>
    </w:p>
    <w:p w14:paraId="6C1FE38E" w14:textId="77777777" w:rsidR="00AA3994" w:rsidRPr="00AF2AD2" w:rsidRDefault="00AA3994" w:rsidP="00354AA1">
      <w:pPr>
        <w:jc w:val="both"/>
      </w:pPr>
      <w:r w:rsidRPr="00552A81">
        <w:t xml:space="preserve">About half of the participants said that they knew they had consumer rights and </w:t>
      </w:r>
      <w:r>
        <w:t xml:space="preserve">knowledge </w:t>
      </w:r>
      <w:r w:rsidRPr="00552A81">
        <w:t>of basic options available to them (for example</w:t>
      </w:r>
      <w:r>
        <w:t>,</w:t>
      </w:r>
      <w:r w:rsidRPr="00552A81">
        <w:t xml:space="preserve"> needing </w:t>
      </w:r>
      <w:r>
        <w:t>a</w:t>
      </w:r>
      <w:r w:rsidRPr="00552A81">
        <w:t xml:space="preserve"> receipt in order to return an item). Yet </w:t>
      </w:r>
      <w:r w:rsidRPr="00AF2AD2">
        <w:t>while participants seemed generally more confident and knowledgeable about processes involved in returning purchases to shops, this did not seem to translate to the online consumer context.</w:t>
      </w:r>
    </w:p>
    <w:p w14:paraId="1E69AA8F" w14:textId="7063F5DB" w:rsidR="00AA3994" w:rsidRDefault="00AA3994" w:rsidP="00354AA1">
      <w:pPr>
        <w:jc w:val="both"/>
      </w:pPr>
      <w:r w:rsidRPr="00AF2AD2">
        <w:lastRenderedPageBreak/>
        <w:t>Consultations revealed a general tendency to believe that the onus to fix the problem was with the consumer.</w:t>
      </w:r>
      <w:r w:rsidRPr="00552A81">
        <w:t xml:space="preserve"> For example, </w:t>
      </w:r>
      <w:r>
        <w:t xml:space="preserve">in a scenario </w:t>
      </w:r>
      <w:r w:rsidRPr="00552A81">
        <w:t>where a young person bought a pair of jeans online that were ripped, one of the most commonly suggested solutions was for the person to ‘sew up the jeans’ themselves. Similarly in scenarios involving game apps that didn’t work, some participants suggested the person bear the cost of fixing the problem by simply</w:t>
      </w:r>
      <w:r>
        <w:t xml:space="preserve"> </w:t>
      </w:r>
      <w:r w:rsidR="00A14079">
        <w:t>re-purchasing</w:t>
      </w:r>
      <w:r>
        <w:t xml:space="preserve"> the app.</w:t>
      </w:r>
    </w:p>
    <w:p w14:paraId="56C1000C" w14:textId="77777777" w:rsidR="00AA3994" w:rsidRDefault="00AA3994" w:rsidP="00354AA1">
      <w:pPr>
        <w:jc w:val="both"/>
      </w:pPr>
      <w:r>
        <w:t>Even where the products involved were more expensive, solutions suggested by children continued to place the onus on the young person to resolve the problem themselves. In a scenario where an iPad purchased on a parent’s credit card failed to arrive, a suggested solution was to ‘pay back’ the money to the parent. Similarly, where a young person was locked into a phone plan with ‘hidden costs’ one suggested solution was to ‘save up money for a new contract’.</w:t>
      </w:r>
    </w:p>
    <w:p w14:paraId="452BACDE" w14:textId="77777777" w:rsidR="00AA3994" w:rsidRPr="00552A81" w:rsidRDefault="00AA3994" w:rsidP="00354AA1">
      <w:pPr>
        <w:jc w:val="both"/>
      </w:pPr>
      <w:r w:rsidRPr="00552A81">
        <w:t>The majority of participants were often unsure of how to proceed in situations where online refunds and exchanges had been denied. Few children understood their right to a product of a certain standard that was ‘fit for purpose’. When prompted about available consumer options once the returns period had elapsed on a faulty product, most children thought nothing could be done. A student summed up the general view with - ‘bad luck!’. Another student joked ‘go home and cry’.</w:t>
      </w:r>
    </w:p>
    <w:p w14:paraId="379398B1" w14:textId="77777777" w:rsidR="00AA3994" w:rsidRPr="00552A81" w:rsidRDefault="00AA3994" w:rsidP="00354AA1">
      <w:pPr>
        <w:jc w:val="both"/>
      </w:pPr>
      <w:r w:rsidRPr="00552A81">
        <w:t xml:space="preserve">A similar </w:t>
      </w:r>
      <w:r w:rsidRPr="00F22ECA">
        <w:t>attitude of ‘personal culpability’ or ‘luck’ emerged in the idea that they were the victims of ‘scams’.</w:t>
      </w:r>
      <w:r w:rsidRPr="00552A81">
        <w:t xml:space="preserve"> A situation where a young person’s details were handed out to other companies was described as a ‘scam’ as was a situa</w:t>
      </w:r>
      <w:r>
        <w:t>tion where an iPad purchased on</w:t>
      </w:r>
      <w:r w:rsidRPr="00552A81">
        <w:t xml:space="preserve">line failed to arrive. In the latter scenario, as it was perceived to be the result of a ‘scam’ it was thought ‘the child might be too scared to tell the parent because they might get in trouble’. </w:t>
      </w:r>
    </w:p>
    <w:p w14:paraId="34558230" w14:textId="25B96A0C" w:rsidR="00AA3994" w:rsidRPr="00552A81" w:rsidRDefault="00AA3994" w:rsidP="00354AA1">
      <w:pPr>
        <w:ind w:firstLine="720"/>
        <w:jc w:val="both"/>
        <w:rPr>
          <w:sz w:val="20"/>
          <w:szCs w:val="20"/>
        </w:rPr>
      </w:pPr>
      <w:r w:rsidRPr="00552A81">
        <w:rPr>
          <w:sz w:val="20"/>
          <w:szCs w:val="20"/>
        </w:rPr>
        <w:t>Say online ‘it’s very bad – 0 stars’</w:t>
      </w:r>
      <w:r w:rsidR="004224B6">
        <w:rPr>
          <w:sz w:val="20"/>
          <w:szCs w:val="20"/>
        </w:rPr>
        <w:t>. (</w:t>
      </w:r>
      <w:r w:rsidRPr="00552A81">
        <w:rPr>
          <w:sz w:val="20"/>
          <w:szCs w:val="20"/>
        </w:rPr>
        <w:t>Year 6</w:t>
      </w:r>
      <w:r>
        <w:rPr>
          <w:sz w:val="20"/>
          <w:szCs w:val="20"/>
        </w:rPr>
        <w:t xml:space="preserve"> </w:t>
      </w:r>
      <w:r w:rsidR="004224B6">
        <w:rPr>
          <w:sz w:val="20"/>
          <w:szCs w:val="20"/>
        </w:rPr>
        <w:t>s</w:t>
      </w:r>
      <w:r>
        <w:rPr>
          <w:sz w:val="20"/>
          <w:szCs w:val="20"/>
        </w:rPr>
        <w:t>tudent</w:t>
      </w:r>
      <w:r w:rsidR="004224B6">
        <w:rPr>
          <w:sz w:val="20"/>
          <w:szCs w:val="20"/>
        </w:rPr>
        <w:t>)</w:t>
      </w:r>
      <w:r w:rsidR="004224B6" w:rsidRPr="00552A81">
        <w:rPr>
          <w:rStyle w:val="EndnoteReference"/>
          <w:szCs w:val="20"/>
        </w:rPr>
        <w:endnoteReference w:id="407"/>
      </w:r>
    </w:p>
    <w:p w14:paraId="4F7034A4" w14:textId="77777777" w:rsidR="00AA3994" w:rsidRPr="00552A81" w:rsidRDefault="00AA3994" w:rsidP="00354AA1">
      <w:pPr>
        <w:jc w:val="both"/>
      </w:pPr>
      <w:r w:rsidRPr="00552A81">
        <w:t xml:space="preserve">Interestingly, a number of participants suggested ‘reputational’ as opposed to ‘consumer rights-based’ options for redress. This ranged from ‘protesting outside the factory’ to using online rating sites to ‘contacting television channels’ and ‘spreading the word’. As one young person stated, ‘tell everyone to never buy something from there’. </w:t>
      </w:r>
    </w:p>
    <w:p w14:paraId="1EA0632D" w14:textId="77777777" w:rsidR="00AA3994" w:rsidRPr="00552A81" w:rsidRDefault="00AA3994" w:rsidP="00354AA1">
      <w:pPr>
        <w:jc w:val="both"/>
      </w:pPr>
      <w:r w:rsidRPr="00E27038">
        <w:t>Situations that could have been addressed pursuant to consumer rights protections were instead perceived as situations where the child had been ‘tricked’ or ‘caught out’ and was at fault. What this attitude shows is a vacuum of knowledge about avenues of redress that exist as part of a child’s consumer rights.</w:t>
      </w:r>
      <w:r w:rsidRPr="00552A81">
        <w:t xml:space="preserve"> Similarly the ‘reputational redress option’ raises questions about whether children are ‘choosing’ that option or whether it is seen as the only option available to them. </w:t>
      </w:r>
    </w:p>
    <w:p w14:paraId="0A0988E5" w14:textId="77777777" w:rsidR="00AA3994" w:rsidRPr="00552A81" w:rsidRDefault="00AA3994" w:rsidP="00354AA1">
      <w:pPr>
        <w:jc w:val="both"/>
      </w:pPr>
      <w:r w:rsidRPr="00552A81">
        <w:t xml:space="preserve">The guiding principle on the right of the child to be heard </w:t>
      </w:r>
      <w:r>
        <w:t>stresse</w:t>
      </w:r>
      <w:r w:rsidRPr="00552A81">
        <w:t>s the importance of information on children’s rights being provided in child appropriate formats.</w:t>
      </w:r>
      <w:r w:rsidRPr="00552A81">
        <w:rPr>
          <w:rStyle w:val="EndnoteReference"/>
        </w:rPr>
        <w:endnoteReference w:id="408"/>
      </w:r>
      <w:r>
        <w:t xml:space="preserve"> In the on</w:t>
      </w:r>
      <w:r w:rsidRPr="00552A81">
        <w:t>line context, this would include both consumer rights and privacy rights (in terms of the appropriate use of personal information).</w:t>
      </w:r>
      <w:r w:rsidRPr="00552A81">
        <w:rPr>
          <w:rStyle w:val="EndnoteReference"/>
        </w:rPr>
        <w:endnoteReference w:id="409"/>
      </w:r>
      <w:r w:rsidRPr="00552A81">
        <w:t xml:space="preserve"> The concept of ‘child appropriate formats’ may need to extend beyond the mere simplification of legal terms to consideration of how to effectively bring such terms and conditions to the attention of the child and their guardian. Importantly, the guiding principle on the right to be heard </w:t>
      </w:r>
      <w:r>
        <w:t>emphasises</w:t>
      </w:r>
      <w:r w:rsidRPr="00552A81">
        <w:t xml:space="preserve"> the provision of accessible complaints procedures, including access to remedies or redress.</w:t>
      </w:r>
      <w:r w:rsidRPr="00552A81">
        <w:rPr>
          <w:rStyle w:val="EndnoteReference"/>
        </w:rPr>
        <w:endnoteReference w:id="410"/>
      </w:r>
    </w:p>
    <w:p w14:paraId="2AD580F9" w14:textId="77777777" w:rsidR="00AA3994" w:rsidRPr="00552A81" w:rsidRDefault="00AA3994" w:rsidP="00354AA1">
      <w:pPr>
        <w:pStyle w:val="Heading3"/>
        <w:jc w:val="both"/>
      </w:pPr>
      <w:bookmarkStart w:id="129" w:name="_Toc430333105"/>
      <w:bookmarkStart w:id="130" w:name="_Toc430702098"/>
      <w:r w:rsidRPr="00552A81">
        <w:lastRenderedPageBreak/>
        <w:t>Knowledge of consumer assistance</w:t>
      </w:r>
      <w:bookmarkEnd w:id="129"/>
      <w:bookmarkEnd w:id="130"/>
    </w:p>
    <w:p w14:paraId="5BC1AABF" w14:textId="5BAB2F86" w:rsidR="00AA3994" w:rsidRDefault="00AA3994" w:rsidP="00354AA1">
      <w:pPr>
        <w:ind w:left="720"/>
        <w:jc w:val="both"/>
        <w:rPr>
          <w:sz w:val="20"/>
          <w:szCs w:val="20"/>
        </w:rPr>
      </w:pPr>
      <w:r w:rsidRPr="00552A81">
        <w:rPr>
          <w:sz w:val="20"/>
          <w:szCs w:val="20"/>
        </w:rPr>
        <w:t>Complain to a system above the shop</w:t>
      </w:r>
      <w:r w:rsidR="004224B6">
        <w:rPr>
          <w:sz w:val="20"/>
          <w:szCs w:val="20"/>
        </w:rPr>
        <w:t>. (</w:t>
      </w:r>
      <w:r w:rsidRPr="00552A81">
        <w:rPr>
          <w:sz w:val="20"/>
          <w:szCs w:val="20"/>
        </w:rPr>
        <w:t>Year 9</w:t>
      </w:r>
      <w:r>
        <w:rPr>
          <w:sz w:val="20"/>
          <w:szCs w:val="20"/>
        </w:rPr>
        <w:t xml:space="preserve"> </w:t>
      </w:r>
      <w:r w:rsidR="004224B6">
        <w:rPr>
          <w:sz w:val="20"/>
          <w:szCs w:val="20"/>
        </w:rPr>
        <w:t>student)</w:t>
      </w:r>
      <w:r w:rsidR="004224B6" w:rsidRPr="00552A81">
        <w:rPr>
          <w:rStyle w:val="EndnoteReference"/>
          <w:szCs w:val="20"/>
        </w:rPr>
        <w:endnoteReference w:id="411"/>
      </w:r>
    </w:p>
    <w:p w14:paraId="2FC03682" w14:textId="1B93B50A" w:rsidR="00AA3994" w:rsidRPr="00552A81" w:rsidRDefault="00AA3994" w:rsidP="00354AA1">
      <w:pPr>
        <w:ind w:left="720"/>
        <w:jc w:val="both"/>
        <w:rPr>
          <w:sz w:val="20"/>
          <w:szCs w:val="20"/>
        </w:rPr>
      </w:pPr>
      <w:r>
        <w:rPr>
          <w:sz w:val="20"/>
          <w:szCs w:val="20"/>
        </w:rPr>
        <w:t>But this is like on</w:t>
      </w:r>
      <w:r w:rsidRPr="00552A81">
        <w:rPr>
          <w:sz w:val="20"/>
          <w:szCs w:val="20"/>
        </w:rPr>
        <w:t>line, so….don’t really know</w:t>
      </w:r>
      <w:r w:rsidR="004224B6">
        <w:rPr>
          <w:sz w:val="20"/>
          <w:szCs w:val="20"/>
        </w:rPr>
        <w:t>. (</w:t>
      </w:r>
      <w:r w:rsidRPr="00552A81">
        <w:rPr>
          <w:sz w:val="20"/>
          <w:szCs w:val="20"/>
        </w:rPr>
        <w:t>Year 10</w:t>
      </w:r>
      <w:r>
        <w:rPr>
          <w:sz w:val="20"/>
          <w:szCs w:val="20"/>
        </w:rPr>
        <w:t xml:space="preserve"> </w:t>
      </w:r>
      <w:r w:rsidR="004224B6">
        <w:rPr>
          <w:sz w:val="20"/>
          <w:szCs w:val="20"/>
        </w:rPr>
        <w:t>student)</w:t>
      </w:r>
      <w:r w:rsidR="004224B6" w:rsidRPr="00552A81">
        <w:rPr>
          <w:rStyle w:val="EndnoteReference"/>
          <w:szCs w:val="20"/>
        </w:rPr>
        <w:endnoteReference w:id="412"/>
      </w:r>
    </w:p>
    <w:p w14:paraId="7BF7D9E3" w14:textId="77777777" w:rsidR="00AA3994" w:rsidRPr="00552A81" w:rsidRDefault="00AA3994" w:rsidP="00354AA1">
      <w:pPr>
        <w:jc w:val="both"/>
      </w:pPr>
      <w:r w:rsidRPr="00E27038">
        <w:t>While participants seemed aware that formal avenues existed for addressing breaches of consumer rights, they were unclear of any specific options.</w:t>
      </w:r>
      <w:r w:rsidRPr="00552A81">
        <w:t xml:space="preserve"> This was particularly evident among younger children. </w:t>
      </w:r>
    </w:p>
    <w:p w14:paraId="6E6ED04C" w14:textId="43EB23D8" w:rsidR="00AA3994" w:rsidRPr="00552A81" w:rsidRDefault="00AA3994" w:rsidP="00354AA1">
      <w:pPr>
        <w:jc w:val="both"/>
      </w:pPr>
      <w:r w:rsidRPr="00552A81">
        <w:t xml:space="preserve">Many of the Year 6 students suggested calling the police, ‘suing’ the company or involving the government in some way as appropriate avenues for redress. Responses ranged from ‘get the government and shut the company down’; ‘call government helpline’ to ‘complain to the children’s rights commissioner and see what they can do’. </w:t>
      </w:r>
      <w:r w:rsidRPr="00E27038">
        <w:t>The ability to enforce rights in a transnational context was also commented on</w:t>
      </w:r>
      <w:r w:rsidR="00B63D90">
        <w:t>.</w:t>
      </w:r>
      <w:r w:rsidRPr="00E27038">
        <w:t xml:space="preserve"> </w:t>
      </w:r>
      <w:r w:rsidR="00B63D90">
        <w:t>T</w:t>
      </w:r>
      <w:r w:rsidRPr="00E27038">
        <w:t>here seemed to be little confidence in the ability to seek redress where the company was hosted in another country.</w:t>
      </w:r>
      <w:r w:rsidRPr="00552A81">
        <w:t xml:space="preserve"> </w:t>
      </w:r>
      <w:r>
        <w:t xml:space="preserve">In a scenario where a faulty iPad was purchased from a Hong Kong-based company, this lack of confidence was revealed in comments such as </w:t>
      </w:r>
      <w:r w:rsidRPr="00552A81">
        <w:t>‘call the Chinese police’ and ‘catch a plane to Hong Kong’.</w:t>
      </w:r>
    </w:p>
    <w:p w14:paraId="2C39F71C" w14:textId="77777777" w:rsidR="00AA3994" w:rsidRPr="00552A81" w:rsidRDefault="00AA3994" w:rsidP="00354AA1">
      <w:pPr>
        <w:jc w:val="both"/>
      </w:pPr>
      <w:r w:rsidRPr="00552A81">
        <w:t>Even among older participants there was a lack of knowledge as to the most appropriate agencies to contact. The ‘Human Rights Commission’ was one suggested option as were vague references to a complaint system existing outside of the shop’s internal processes. Only two participants suggested approaching an ombudsman or ‘fair trading’.</w:t>
      </w:r>
    </w:p>
    <w:p w14:paraId="46C9BE9E" w14:textId="3D84035B" w:rsidR="00AA3994" w:rsidRPr="00552A81" w:rsidRDefault="00AA3994" w:rsidP="00354AA1">
      <w:pPr>
        <w:jc w:val="both"/>
      </w:pPr>
      <w:r w:rsidRPr="00552A81">
        <w:t xml:space="preserve">In a practical sense the knowledge of rights requires knowledge of how to implement those rights through relevant complaints resolution bodies. The guiding principle on the right of the child to be </w:t>
      </w:r>
      <w:r w:rsidRPr="00E27038">
        <w:t>heard requires access to child-appropriate information relating to appeals and complaints procedures</w:t>
      </w:r>
      <w:r w:rsidRPr="00552A81">
        <w:t>.</w:t>
      </w:r>
      <w:r w:rsidRPr="00552A81">
        <w:rPr>
          <w:rStyle w:val="EndnoteReference"/>
        </w:rPr>
        <w:endnoteReference w:id="413"/>
      </w:r>
      <w:r w:rsidRPr="00552A81">
        <w:t xml:space="preserve"> Both business and government have key roles to play in raising awareness and in ensuring the accessibility of such processes for children.</w:t>
      </w:r>
      <w:r w:rsidRPr="00552A81">
        <w:rPr>
          <w:rStyle w:val="EndnoteReference"/>
        </w:rPr>
        <w:endnoteReference w:id="414"/>
      </w:r>
      <w:r w:rsidRPr="00552A81">
        <w:t xml:space="preserve"> In addition to this children should have the opportunity to have access to a representative or appropriate body in proceedings affecting them.</w:t>
      </w:r>
      <w:r w:rsidRPr="00552A81">
        <w:rPr>
          <w:rStyle w:val="EndnoteReference"/>
        </w:rPr>
        <w:endnoteReference w:id="415"/>
      </w:r>
      <w:r w:rsidRPr="00552A81">
        <w:t xml:space="preserve"> </w:t>
      </w:r>
      <w:r w:rsidR="00092E8A">
        <w:t>G</w:t>
      </w:r>
      <w:r w:rsidRPr="00552A81">
        <w:t>overnment</w:t>
      </w:r>
      <w:r w:rsidR="00092E8A">
        <w:t>s</w:t>
      </w:r>
      <w:r w:rsidRPr="00552A81">
        <w:t xml:space="preserve"> could usefully assist in raising awareness of such organisations among children and their guardians.</w:t>
      </w:r>
    </w:p>
    <w:p w14:paraId="44A29E3F" w14:textId="77777777" w:rsidR="00AA3994" w:rsidRPr="00552A81" w:rsidRDefault="00AA3994" w:rsidP="00354AA1">
      <w:pPr>
        <w:pStyle w:val="Heading3"/>
        <w:jc w:val="both"/>
      </w:pPr>
      <w:bookmarkStart w:id="131" w:name="_Toc430333106"/>
      <w:bookmarkStart w:id="132" w:name="_Toc430702099"/>
      <w:r w:rsidRPr="00552A81">
        <w:t>How can business assist?</w:t>
      </w:r>
      <w:bookmarkEnd w:id="131"/>
      <w:bookmarkEnd w:id="132"/>
    </w:p>
    <w:p w14:paraId="2D9DB17A" w14:textId="15E82CBF" w:rsidR="00AA3994" w:rsidRPr="00552A81" w:rsidRDefault="00AA3994" w:rsidP="00354AA1">
      <w:pPr>
        <w:ind w:left="720"/>
        <w:jc w:val="both"/>
        <w:rPr>
          <w:sz w:val="20"/>
          <w:szCs w:val="20"/>
        </w:rPr>
      </w:pPr>
      <w:r w:rsidRPr="00552A81">
        <w:rPr>
          <w:sz w:val="20"/>
          <w:szCs w:val="20"/>
        </w:rPr>
        <w:t>Businesses should translate from ‘terms and conditions’ to English</w:t>
      </w:r>
      <w:r w:rsidR="001F360D">
        <w:rPr>
          <w:sz w:val="20"/>
          <w:szCs w:val="20"/>
        </w:rPr>
        <w:t>. (</w:t>
      </w:r>
      <w:r w:rsidRPr="00552A81">
        <w:rPr>
          <w:sz w:val="20"/>
          <w:szCs w:val="20"/>
        </w:rPr>
        <w:t>Year 6</w:t>
      </w:r>
      <w:r>
        <w:rPr>
          <w:sz w:val="20"/>
          <w:szCs w:val="20"/>
        </w:rPr>
        <w:t xml:space="preserve"> </w:t>
      </w:r>
      <w:r w:rsidR="001F360D">
        <w:rPr>
          <w:sz w:val="20"/>
          <w:szCs w:val="20"/>
        </w:rPr>
        <w:t>s</w:t>
      </w:r>
      <w:r>
        <w:rPr>
          <w:sz w:val="20"/>
          <w:szCs w:val="20"/>
        </w:rPr>
        <w:t>tudent</w:t>
      </w:r>
      <w:r w:rsidR="001F360D">
        <w:rPr>
          <w:sz w:val="20"/>
          <w:szCs w:val="20"/>
        </w:rPr>
        <w:t>)</w:t>
      </w:r>
      <w:r w:rsidR="001F360D" w:rsidRPr="00552A81">
        <w:rPr>
          <w:rStyle w:val="EndnoteReference"/>
          <w:szCs w:val="20"/>
        </w:rPr>
        <w:endnoteReference w:id="416"/>
      </w:r>
    </w:p>
    <w:p w14:paraId="15AE5FF4" w14:textId="29FFEBD4" w:rsidR="00AA3994" w:rsidRPr="00552A81" w:rsidRDefault="00AA3994" w:rsidP="00354AA1">
      <w:pPr>
        <w:ind w:left="720"/>
        <w:jc w:val="both"/>
        <w:rPr>
          <w:sz w:val="20"/>
          <w:szCs w:val="20"/>
        </w:rPr>
      </w:pPr>
      <w:r w:rsidRPr="00552A81">
        <w:rPr>
          <w:sz w:val="20"/>
          <w:szCs w:val="20"/>
        </w:rPr>
        <w:t>Most companies don’t help</w:t>
      </w:r>
      <w:r w:rsidR="001F360D">
        <w:rPr>
          <w:sz w:val="20"/>
          <w:szCs w:val="20"/>
        </w:rPr>
        <w:t>. (</w:t>
      </w:r>
      <w:r w:rsidRPr="00552A81">
        <w:rPr>
          <w:sz w:val="20"/>
          <w:szCs w:val="20"/>
        </w:rPr>
        <w:t>Year 9</w:t>
      </w:r>
      <w:r>
        <w:rPr>
          <w:sz w:val="20"/>
          <w:szCs w:val="20"/>
        </w:rPr>
        <w:t xml:space="preserve"> </w:t>
      </w:r>
      <w:r w:rsidR="001F360D">
        <w:rPr>
          <w:sz w:val="20"/>
          <w:szCs w:val="20"/>
        </w:rPr>
        <w:t>s</w:t>
      </w:r>
      <w:r>
        <w:rPr>
          <w:sz w:val="20"/>
          <w:szCs w:val="20"/>
        </w:rPr>
        <w:t>tudent</w:t>
      </w:r>
      <w:r w:rsidR="001F360D">
        <w:rPr>
          <w:sz w:val="20"/>
          <w:szCs w:val="20"/>
        </w:rPr>
        <w:t>)</w:t>
      </w:r>
      <w:r w:rsidR="001F360D" w:rsidRPr="00552A81">
        <w:rPr>
          <w:rStyle w:val="EndnoteReference"/>
          <w:szCs w:val="20"/>
        </w:rPr>
        <w:endnoteReference w:id="417"/>
      </w:r>
    </w:p>
    <w:p w14:paraId="5DA3C3D1" w14:textId="77777777" w:rsidR="00AA3994" w:rsidRPr="00552A81" w:rsidRDefault="00AA3994" w:rsidP="00354AA1">
      <w:pPr>
        <w:jc w:val="both"/>
      </w:pPr>
      <w:r w:rsidRPr="00552A81">
        <w:t>A number of children and young people expressed low expectations about the likelihood that business would assist them within the consumer context. Sentiments included that companies simply ‘don’t help’ either because ‘they think they can get away with things because we are children’ or that they ‘won’t do much about it’ because they ‘already have lots of money’. It was stated that business shouldn’t ‘take advantage’ of young people being unaware of consumer rights and should instead assist customers with the provision of easily accessible information and take active steps to resolve problems that arise.</w:t>
      </w:r>
      <w:r w:rsidRPr="00552A81">
        <w:rPr>
          <w:rStyle w:val="EndnoteReference"/>
        </w:rPr>
        <w:endnoteReference w:id="418"/>
      </w:r>
    </w:p>
    <w:p w14:paraId="6E9C2142" w14:textId="6619A8D9" w:rsidR="00AA3994" w:rsidRPr="00552A81" w:rsidRDefault="00AA3994" w:rsidP="00354AA1">
      <w:pPr>
        <w:jc w:val="both"/>
      </w:pPr>
      <w:r w:rsidRPr="00552A81">
        <w:lastRenderedPageBreak/>
        <w:t>Suggestions as to how companies could assist children predominantly concerned the provision of information on consumer rights. Most participants suggested providing more information to young people, in a clearer format within the consumer context including ‘child-friendly’ formats. Information needed to be ‘clearly explained’</w:t>
      </w:r>
      <w:r w:rsidR="000379B5">
        <w:t>,</w:t>
      </w:r>
      <w:r w:rsidRPr="00552A81">
        <w:t xml:space="preserve"> particularly about their ‘rights’ where </w:t>
      </w:r>
      <w:r w:rsidRPr="00E27038">
        <w:t>companies should try and ‘help’ children to make information (terms and conditions, warranties, contracts</w:t>
      </w:r>
      <w:r>
        <w:t>, policies</w:t>
      </w:r>
      <w:r w:rsidRPr="00E27038">
        <w:t>) ‘easier to understand’.</w:t>
      </w:r>
    </w:p>
    <w:p w14:paraId="76B4D63D" w14:textId="77777777" w:rsidR="00AA3994" w:rsidRDefault="00AA3994" w:rsidP="00354AA1">
      <w:pPr>
        <w:jc w:val="both"/>
      </w:pPr>
      <w:r w:rsidRPr="00552A81">
        <w:t>What is striking about these suggestions is how closely they mirror the considerations arising out of the guiding principles to be heard, to develop and to act in a child’s best interests.</w:t>
      </w:r>
      <w:r>
        <w:t xml:space="preserve"> Implementation of a number of these suggested measures could assist business in ensuring that the rights of children are being upheld within the online consumer context. </w:t>
      </w:r>
    </w:p>
    <w:p w14:paraId="128BC658" w14:textId="016F7DC1" w:rsidR="00AA3994" w:rsidRDefault="00AA3994" w:rsidP="00354AA1">
      <w:pPr>
        <w:jc w:val="both"/>
      </w:pPr>
      <w:r w:rsidRPr="00552A81">
        <w:t>It also provides business with the opportunity to change children’s opinions about how business is viewed and provides government</w:t>
      </w:r>
      <w:r w:rsidR="000379B5">
        <w:t>s</w:t>
      </w:r>
      <w:r w:rsidRPr="00552A81">
        <w:t xml:space="preserve"> with the opportunity to support business in these actions by ensuring that the best interests of the child are being met by the private sector within the consumer context.</w:t>
      </w:r>
      <w:r w:rsidRPr="00552A81">
        <w:rPr>
          <w:rStyle w:val="EndnoteReference"/>
        </w:rPr>
        <w:endnoteReference w:id="419"/>
      </w:r>
    </w:p>
    <w:p w14:paraId="454F1DA8" w14:textId="2997A006" w:rsidR="00AA3994" w:rsidRDefault="00092E8A" w:rsidP="00354AA1">
      <w:pPr>
        <w:jc w:val="both"/>
      </w:pPr>
      <w:r w:rsidRPr="00C133A0">
        <w:rPr>
          <w:noProof/>
        </w:rPr>
        <w:lastRenderedPageBreak/>
        <mc:AlternateContent>
          <mc:Choice Requires="wps">
            <w:drawing>
              <wp:inline distT="0" distB="0" distL="0" distR="0" wp14:anchorId="38E2C3FF" wp14:editId="41FBA781">
                <wp:extent cx="5759450" cy="6496216"/>
                <wp:effectExtent l="0" t="0" r="12700" b="19050"/>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6496216"/>
                        </a:xfrm>
                        <a:prstGeom prst="rect">
                          <a:avLst/>
                        </a:prstGeom>
                        <a:solidFill>
                          <a:srgbClr val="FFFFFF"/>
                        </a:solidFill>
                        <a:ln w="9525">
                          <a:solidFill>
                            <a:srgbClr val="000000"/>
                          </a:solidFill>
                          <a:miter lim="800000"/>
                          <a:headEnd/>
                          <a:tailEnd/>
                        </a:ln>
                      </wps:spPr>
                      <wps:txbx>
                        <w:txbxContent>
                          <w:p w14:paraId="3B0E809B" w14:textId="77777777" w:rsidR="00F008D2" w:rsidRPr="00C133A0" w:rsidRDefault="00F008D2" w:rsidP="00092E8A">
                            <w:pPr>
                              <w:rPr>
                                <w:b/>
                                <w:bCs/>
                              </w:rPr>
                            </w:pPr>
                            <w:r>
                              <w:rPr>
                                <w:b/>
                                <w:bCs/>
                              </w:rPr>
                              <w:t xml:space="preserve">Summary – </w:t>
                            </w:r>
                            <w:r w:rsidRPr="00C133A0">
                              <w:rPr>
                                <w:b/>
                                <w:bCs/>
                              </w:rPr>
                              <w:t>Consultations</w:t>
                            </w:r>
                            <w:r>
                              <w:rPr>
                                <w:b/>
                                <w:bCs/>
                              </w:rPr>
                              <w:t>:</w:t>
                            </w:r>
                            <w:r w:rsidRPr="00C133A0">
                              <w:rPr>
                                <w:b/>
                                <w:bCs/>
                              </w:rPr>
                              <w:t xml:space="preserve"> what do children say?</w:t>
                            </w:r>
                          </w:p>
                          <w:p w14:paraId="63563B01" w14:textId="77777777" w:rsidR="00F008D2" w:rsidRDefault="00F008D2" w:rsidP="000D1D92">
                            <w:pPr>
                              <w:pStyle w:val="ListParagraph"/>
                              <w:numPr>
                                <w:ilvl w:val="0"/>
                                <w:numId w:val="24"/>
                              </w:numPr>
                            </w:pPr>
                            <w:r>
                              <w:t>C</w:t>
                            </w:r>
                            <w:r w:rsidRPr="00030874">
                              <w:t>hildren are either not availing themselves of financial advice services for this purpose or were grossly underrepresented</w:t>
                            </w:r>
                          </w:p>
                          <w:p w14:paraId="7E227737" w14:textId="77777777" w:rsidR="00F008D2" w:rsidRDefault="00F008D2" w:rsidP="00092E8A">
                            <w:pPr>
                              <w:pStyle w:val="ListParagraph"/>
                            </w:pPr>
                          </w:p>
                          <w:p w14:paraId="0B4481BA" w14:textId="77777777" w:rsidR="00F008D2" w:rsidRDefault="00F008D2" w:rsidP="000D1D92">
                            <w:pPr>
                              <w:pStyle w:val="ListParagraph"/>
                              <w:numPr>
                                <w:ilvl w:val="0"/>
                                <w:numId w:val="24"/>
                              </w:numPr>
                            </w:pPr>
                            <w:r>
                              <w:t>Consultations revealed</w:t>
                            </w:r>
                            <w:r w:rsidRPr="00030874">
                              <w:t xml:space="preserve"> that children are significant users of the internet as consumers</w:t>
                            </w:r>
                          </w:p>
                          <w:p w14:paraId="5E318314" w14:textId="77777777" w:rsidR="00F008D2" w:rsidRDefault="00F008D2" w:rsidP="00092E8A">
                            <w:pPr>
                              <w:pStyle w:val="ListParagraph"/>
                            </w:pPr>
                          </w:p>
                          <w:p w14:paraId="2C7E6D2F" w14:textId="77777777" w:rsidR="00F008D2" w:rsidRDefault="00F008D2" w:rsidP="000D1D92">
                            <w:pPr>
                              <w:pStyle w:val="ListParagraph"/>
                              <w:numPr>
                                <w:ilvl w:val="0"/>
                                <w:numId w:val="24"/>
                              </w:numPr>
                            </w:pPr>
                            <w:r w:rsidRPr="00030874">
                              <w:t>The focus on leisure and entertainment reflects the importance of access to such products by children in light of their right to development</w:t>
                            </w:r>
                          </w:p>
                          <w:p w14:paraId="092F7287" w14:textId="77777777" w:rsidR="00F008D2" w:rsidRDefault="00F008D2" w:rsidP="00092E8A">
                            <w:pPr>
                              <w:pStyle w:val="ListParagraph"/>
                            </w:pPr>
                          </w:p>
                          <w:p w14:paraId="7C495F55" w14:textId="7334AF3E" w:rsidR="00F008D2" w:rsidRDefault="00F008D2" w:rsidP="000D1D92">
                            <w:pPr>
                              <w:pStyle w:val="ListParagraph"/>
                              <w:numPr>
                                <w:ilvl w:val="0"/>
                                <w:numId w:val="24"/>
                              </w:numPr>
                            </w:pPr>
                            <w:r w:rsidRPr="00030874">
                              <w:t>Ad</w:t>
                            </w:r>
                            <w:r>
                              <w:t>vertisements</w:t>
                            </w:r>
                            <w:r w:rsidRPr="00030874">
                              <w:t xml:space="preserve"> were the next most commonly cited factor influencing decisions after family and friends</w:t>
                            </w:r>
                          </w:p>
                          <w:p w14:paraId="25DB4C39" w14:textId="77777777" w:rsidR="00F008D2" w:rsidRDefault="00F008D2" w:rsidP="00092E8A">
                            <w:pPr>
                              <w:pStyle w:val="ListParagraph"/>
                            </w:pPr>
                          </w:p>
                          <w:p w14:paraId="6907E26C" w14:textId="32C359ED" w:rsidR="00F008D2" w:rsidRDefault="00F008D2" w:rsidP="000D1D92">
                            <w:pPr>
                              <w:pStyle w:val="ListParagraph"/>
                              <w:numPr>
                                <w:ilvl w:val="0"/>
                                <w:numId w:val="24"/>
                              </w:numPr>
                            </w:pPr>
                            <w:r w:rsidRPr="00DF2F8E">
                              <w:t>The internet was being used by children as a type of ‘market research’ tool</w:t>
                            </w:r>
                            <w:r>
                              <w:t>,</w:t>
                            </w:r>
                            <w:r w:rsidRPr="00DF2F8E">
                              <w:t xml:space="preserve"> reinforcing the significance of certain forms of online advertising</w:t>
                            </w:r>
                            <w:r>
                              <w:t xml:space="preserve"> and online privacy concerns</w:t>
                            </w:r>
                          </w:p>
                          <w:p w14:paraId="6E864085" w14:textId="77777777" w:rsidR="00F008D2" w:rsidRDefault="00F008D2" w:rsidP="00092E8A">
                            <w:pPr>
                              <w:pStyle w:val="ListParagraph"/>
                            </w:pPr>
                          </w:p>
                          <w:p w14:paraId="2F660EC0" w14:textId="4733E2D2" w:rsidR="00F008D2" w:rsidRPr="00F22ECA" w:rsidRDefault="00F008D2" w:rsidP="000D1D92">
                            <w:pPr>
                              <w:pStyle w:val="ListParagraph"/>
                              <w:numPr>
                                <w:ilvl w:val="0"/>
                                <w:numId w:val="24"/>
                              </w:numPr>
                            </w:pPr>
                            <w:r w:rsidRPr="00F22ECA">
                              <w:t xml:space="preserve">While participants seemed more knowledgeable about offline returns processes this did not seem to translate to the online consumer context </w:t>
                            </w:r>
                          </w:p>
                          <w:p w14:paraId="7950ACE5" w14:textId="77777777" w:rsidR="00F008D2" w:rsidRPr="00680F72" w:rsidRDefault="00F008D2" w:rsidP="00092E8A">
                            <w:pPr>
                              <w:pStyle w:val="ListParagraph"/>
                            </w:pPr>
                          </w:p>
                          <w:p w14:paraId="2705C288" w14:textId="77777777" w:rsidR="00F008D2" w:rsidRDefault="00F008D2" w:rsidP="000D1D92">
                            <w:pPr>
                              <w:pStyle w:val="ListParagraph"/>
                              <w:numPr>
                                <w:ilvl w:val="0"/>
                                <w:numId w:val="24"/>
                              </w:numPr>
                            </w:pPr>
                            <w:r w:rsidRPr="00680F72">
                              <w:t>There was a general tendency to believe that</w:t>
                            </w:r>
                            <w:r>
                              <w:t xml:space="preserve"> the onus to fix a</w:t>
                            </w:r>
                            <w:r w:rsidRPr="00680F72">
                              <w:t xml:space="preserve"> problem was </w:t>
                            </w:r>
                            <w:r>
                              <w:t>on</w:t>
                            </w:r>
                            <w:r w:rsidRPr="00680F72">
                              <w:t xml:space="preserve"> the consumer </w:t>
                            </w:r>
                          </w:p>
                          <w:p w14:paraId="2304A044" w14:textId="77777777" w:rsidR="00F008D2" w:rsidRDefault="00F008D2" w:rsidP="00092E8A">
                            <w:pPr>
                              <w:pStyle w:val="ListParagraph"/>
                            </w:pPr>
                          </w:p>
                          <w:p w14:paraId="038527C6" w14:textId="2C917186" w:rsidR="00F008D2" w:rsidRPr="00680F72" w:rsidRDefault="00F008D2" w:rsidP="000D1D92">
                            <w:pPr>
                              <w:pStyle w:val="ListParagraph"/>
                              <w:numPr>
                                <w:ilvl w:val="0"/>
                                <w:numId w:val="24"/>
                              </w:numPr>
                            </w:pPr>
                            <w:r>
                              <w:t>W</w:t>
                            </w:r>
                            <w:r w:rsidRPr="00680F72">
                              <w:t xml:space="preserve">hile </w:t>
                            </w:r>
                            <w:r>
                              <w:t>there was awareness</w:t>
                            </w:r>
                            <w:r w:rsidRPr="00680F72">
                              <w:t xml:space="preserve"> </w:t>
                            </w:r>
                            <w:r>
                              <w:t>of</w:t>
                            </w:r>
                            <w:r w:rsidRPr="00680F72">
                              <w:t xml:space="preserve"> formal avenues</w:t>
                            </w:r>
                            <w:r>
                              <w:t xml:space="preserve"> for redress, participants</w:t>
                            </w:r>
                            <w:r w:rsidRPr="00680F72">
                              <w:t xml:space="preserve"> were unclear of any specific options</w:t>
                            </w:r>
                          </w:p>
                          <w:p w14:paraId="26538CF4" w14:textId="77777777" w:rsidR="00F008D2" w:rsidRPr="00680F72" w:rsidRDefault="00F008D2" w:rsidP="00092E8A">
                            <w:pPr>
                              <w:pStyle w:val="ListParagraph"/>
                            </w:pPr>
                          </w:p>
                          <w:p w14:paraId="6E53450E" w14:textId="77777777" w:rsidR="00F008D2" w:rsidRPr="00680F72" w:rsidRDefault="00F008D2" w:rsidP="000D1D92">
                            <w:pPr>
                              <w:pStyle w:val="ListParagraph"/>
                              <w:numPr>
                                <w:ilvl w:val="0"/>
                                <w:numId w:val="24"/>
                              </w:numPr>
                            </w:pPr>
                            <w:r w:rsidRPr="00680F72">
                              <w:t xml:space="preserve">There was little confidence in the ability to enforce rights in a transnational context </w:t>
                            </w:r>
                          </w:p>
                          <w:p w14:paraId="0B8D10D1" w14:textId="77777777" w:rsidR="00F008D2" w:rsidRPr="00680F72" w:rsidRDefault="00F008D2" w:rsidP="00092E8A">
                            <w:pPr>
                              <w:pStyle w:val="ListParagraph"/>
                            </w:pPr>
                          </w:p>
                          <w:p w14:paraId="3DCAD69A" w14:textId="77777777" w:rsidR="00F008D2" w:rsidRPr="00AF2AD2" w:rsidRDefault="00F008D2" w:rsidP="000D1D92">
                            <w:pPr>
                              <w:pStyle w:val="ListParagraph"/>
                              <w:numPr>
                                <w:ilvl w:val="0"/>
                                <w:numId w:val="24"/>
                              </w:numPr>
                            </w:pPr>
                            <w:r>
                              <w:t>There was a belief that companies should assist</w:t>
                            </w:r>
                            <w:r w:rsidRPr="00680F72">
                              <w:t xml:space="preserve"> children </w:t>
                            </w:r>
                            <w:r>
                              <w:t>and</w:t>
                            </w:r>
                            <w:r w:rsidRPr="00680F72">
                              <w:t xml:space="preserve"> make information (terms and conditions, warranties, co</w:t>
                            </w:r>
                            <w:r>
                              <w:t>ntracts, policies) easier to understand.</w:t>
                            </w:r>
                          </w:p>
                        </w:txbxContent>
                      </wps:txbx>
                      <wps:bodyPr rot="0" vert="horz" wrap="square" lIns="91440" tIns="45720" rIns="91440" bIns="45720" anchor="t" anchorCtr="0">
                        <a:noAutofit/>
                      </wps:bodyPr>
                    </wps:wsp>
                  </a:graphicData>
                </a:graphic>
              </wp:inline>
            </w:drawing>
          </mc:Choice>
          <mc:Fallback>
            <w:pict>
              <v:shape w14:anchorId="38E2C3FF" id="_x0000_s1031" type="#_x0000_t202" style="width:453.5pt;height:5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">
                <v:textbox>
                  <w:txbxContent>
                    <w:p w14:paraId="3B0E809B" w14:textId="77777777" w:rsidR="00F008D2" w:rsidRPr="00C133A0" w:rsidRDefault="00F008D2" w:rsidP="00092E8A">
                      <w:pPr>
                        <w:rPr>
                          <w:b/>
                          <w:bCs/>
                        </w:rPr>
                      </w:pPr>
                      <w:r>
                        <w:rPr>
                          <w:b/>
                          <w:bCs/>
                        </w:rPr>
                        <w:t xml:space="preserve">Summary – </w:t>
                      </w:r>
                      <w:r w:rsidRPr="00C133A0">
                        <w:rPr>
                          <w:b/>
                          <w:bCs/>
                        </w:rPr>
                        <w:t>Consultations</w:t>
                      </w:r>
                      <w:r>
                        <w:rPr>
                          <w:b/>
                          <w:bCs/>
                        </w:rPr>
                        <w:t>:</w:t>
                      </w:r>
                      <w:r w:rsidRPr="00C133A0">
                        <w:rPr>
                          <w:b/>
                          <w:bCs/>
                        </w:rPr>
                        <w:t xml:space="preserve"> what do children say?</w:t>
                      </w:r>
                    </w:p>
                    <w:p w14:paraId="63563B01" w14:textId="77777777" w:rsidR="00F008D2" w:rsidRDefault="00F008D2" w:rsidP="000D1D92">
                      <w:pPr>
                        <w:pStyle w:val="ListParagraph"/>
                        <w:numPr>
                          <w:ilvl w:val="0"/>
                          <w:numId w:val="24"/>
                        </w:numPr>
                      </w:pPr>
                      <w:r>
                        <w:t>C</w:t>
                      </w:r>
                      <w:r w:rsidRPr="00030874">
                        <w:t>hildren are either not availing themselves of financial advice services for this purpose or were grossly underrepresented</w:t>
                      </w:r>
                    </w:p>
                    <w:p w14:paraId="7E227737" w14:textId="77777777" w:rsidR="00F008D2" w:rsidRDefault="00F008D2" w:rsidP="00092E8A">
                      <w:pPr>
                        <w:pStyle w:val="ListParagraph"/>
                      </w:pPr>
                    </w:p>
                    <w:p w14:paraId="0B4481BA" w14:textId="77777777" w:rsidR="00F008D2" w:rsidRDefault="00F008D2" w:rsidP="000D1D92">
                      <w:pPr>
                        <w:pStyle w:val="ListParagraph"/>
                        <w:numPr>
                          <w:ilvl w:val="0"/>
                          <w:numId w:val="24"/>
                        </w:numPr>
                      </w:pPr>
                      <w:r>
                        <w:t>Consultations revealed</w:t>
                      </w:r>
                      <w:r w:rsidRPr="00030874">
                        <w:t xml:space="preserve"> that children are significant users of the internet as consumers</w:t>
                      </w:r>
                    </w:p>
                    <w:p w14:paraId="5E318314" w14:textId="77777777" w:rsidR="00F008D2" w:rsidRDefault="00F008D2" w:rsidP="00092E8A">
                      <w:pPr>
                        <w:pStyle w:val="ListParagraph"/>
                      </w:pPr>
                    </w:p>
                    <w:p w14:paraId="2C7E6D2F" w14:textId="77777777" w:rsidR="00F008D2" w:rsidRDefault="00F008D2" w:rsidP="000D1D92">
                      <w:pPr>
                        <w:pStyle w:val="ListParagraph"/>
                        <w:numPr>
                          <w:ilvl w:val="0"/>
                          <w:numId w:val="24"/>
                        </w:numPr>
                      </w:pPr>
                      <w:r w:rsidRPr="00030874">
                        <w:t>The focus on leisure and entertainment reflects the importance of access to such products by children in light of their right to development</w:t>
                      </w:r>
                    </w:p>
                    <w:p w14:paraId="092F7287" w14:textId="77777777" w:rsidR="00F008D2" w:rsidRDefault="00F008D2" w:rsidP="00092E8A">
                      <w:pPr>
                        <w:pStyle w:val="ListParagraph"/>
                      </w:pPr>
                    </w:p>
                    <w:p w14:paraId="7C495F55" w14:textId="7334AF3E" w:rsidR="00F008D2" w:rsidRDefault="00F008D2" w:rsidP="000D1D92">
                      <w:pPr>
                        <w:pStyle w:val="ListParagraph"/>
                        <w:numPr>
                          <w:ilvl w:val="0"/>
                          <w:numId w:val="24"/>
                        </w:numPr>
                      </w:pPr>
                      <w:r w:rsidRPr="00030874">
                        <w:t>Ad</w:t>
                      </w:r>
                      <w:r>
                        <w:t>vertisements</w:t>
                      </w:r>
                      <w:r w:rsidRPr="00030874">
                        <w:t xml:space="preserve"> were the next most commonly cited factor influencing decisions after family and friends</w:t>
                      </w:r>
                    </w:p>
                    <w:p w14:paraId="25DB4C39" w14:textId="77777777" w:rsidR="00F008D2" w:rsidRDefault="00F008D2" w:rsidP="00092E8A">
                      <w:pPr>
                        <w:pStyle w:val="ListParagraph"/>
                      </w:pPr>
                    </w:p>
                    <w:p w14:paraId="6907E26C" w14:textId="32C359ED" w:rsidR="00F008D2" w:rsidRDefault="00F008D2" w:rsidP="000D1D92">
                      <w:pPr>
                        <w:pStyle w:val="ListParagraph"/>
                        <w:numPr>
                          <w:ilvl w:val="0"/>
                          <w:numId w:val="24"/>
                        </w:numPr>
                      </w:pPr>
                      <w:r w:rsidRPr="00DF2F8E">
                        <w:t>The internet was being used by children as a type of ‘market research’ tool</w:t>
                      </w:r>
                      <w:r>
                        <w:t>,</w:t>
                      </w:r>
                      <w:r w:rsidRPr="00DF2F8E">
                        <w:t xml:space="preserve"> reinforcing the significance of certain forms of online advertising</w:t>
                      </w:r>
                      <w:r>
                        <w:t xml:space="preserve"> and online privacy concerns</w:t>
                      </w:r>
                    </w:p>
                    <w:p w14:paraId="6E864085" w14:textId="77777777" w:rsidR="00F008D2" w:rsidRDefault="00F008D2" w:rsidP="00092E8A">
                      <w:pPr>
                        <w:pStyle w:val="ListParagraph"/>
                      </w:pPr>
                    </w:p>
                    <w:p w14:paraId="2F660EC0" w14:textId="4733E2D2" w:rsidR="00F008D2" w:rsidRPr="00F22ECA" w:rsidRDefault="00F008D2" w:rsidP="000D1D92">
                      <w:pPr>
                        <w:pStyle w:val="ListParagraph"/>
                        <w:numPr>
                          <w:ilvl w:val="0"/>
                          <w:numId w:val="24"/>
                        </w:numPr>
                      </w:pPr>
                      <w:r w:rsidRPr="00F22ECA">
                        <w:t xml:space="preserve">While participants seemed more knowledgeable about offline returns processes this did not seem to translate to the online consumer context </w:t>
                      </w:r>
                    </w:p>
                    <w:p w14:paraId="7950ACE5" w14:textId="77777777" w:rsidR="00F008D2" w:rsidRPr="00680F72" w:rsidRDefault="00F008D2" w:rsidP="00092E8A">
                      <w:pPr>
                        <w:pStyle w:val="ListParagraph"/>
                      </w:pPr>
                    </w:p>
                    <w:p w14:paraId="2705C288" w14:textId="77777777" w:rsidR="00F008D2" w:rsidRDefault="00F008D2" w:rsidP="000D1D92">
                      <w:pPr>
                        <w:pStyle w:val="ListParagraph"/>
                        <w:numPr>
                          <w:ilvl w:val="0"/>
                          <w:numId w:val="24"/>
                        </w:numPr>
                      </w:pPr>
                      <w:r w:rsidRPr="00680F72">
                        <w:t>There was a general tendency to believe that</w:t>
                      </w:r>
                      <w:r>
                        <w:t xml:space="preserve"> the onus to fix a</w:t>
                      </w:r>
                      <w:r w:rsidRPr="00680F72">
                        <w:t xml:space="preserve"> problem was </w:t>
                      </w:r>
                      <w:r>
                        <w:t>on</w:t>
                      </w:r>
                      <w:r w:rsidRPr="00680F72">
                        <w:t xml:space="preserve"> the consumer </w:t>
                      </w:r>
                    </w:p>
                    <w:p w14:paraId="2304A044" w14:textId="77777777" w:rsidR="00F008D2" w:rsidRDefault="00F008D2" w:rsidP="00092E8A">
                      <w:pPr>
                        <w:pStyle w:val="ListParagraph"/>
                      </w:pPr>
                    </w:p>
                    <w:p w14:paraId="038527C6" w14:textId="2C917186" w:rsidR="00F008D2" w:rsidRPr="00680F72" w:rsidRDefault="00F008D2" w:rsidP="000D1D92">
                      <w:pPr>
                        <w:pStyle w:val="ListParagraph"/>
                        <w:numPr>
                          <w:ilvl w:val="0"/>
                          <w:numId w:val="24"/>
                        </w:numPr>
                      </w:pPr>
                      <w:r>
                        <w:t>W</w:t>
                      </w:r>
                      <w:r w:rsidRPr="00680F72">
                        <w:t xml:space="preserve">hile </w:t>
                      </w:r>
                      <w:r>
                        <w:t>there was awareness</w:t>
                      </w:r>
                      <w:r w:rsidRPr="00680F72">
                        <w:t xml:space="preserve"> </w:t>
                      </w:r>
                      <w:r>
                        <w:t>of</w:t>
                      </w:r>
                      <w:r w:rsidRPr="00680F72">
                        <w:t xml:space="preserve"> formal avenues</w:t>
                      </w:r>
                      <w:r>
                        <w:t xml:space="preserve"> for redress, participants</w:t>
                      </w:r>
                      <w:r w:rsidRPr="00680F72">
                        <w:t xml:space="preserve"> were unclear of any specific options</w:t>
                      </w:r>
                    </w:p>
                    <w:p w14:paraId="26538CF4" w14:textId="77777777" w:rsidR="00F008D2" w:rsidRPr="00680F72" w:rsidRDefault="00F008D2" w:rsidP="00092E8A">
                      <w:pPr>
                        <w:pStyle w:val="ListParagraph"/>
                      </w:pPr>
                    </w:p>
                    <w:p w14:paraId="6E53450E" w14:textId="77777777" w:rsidR="00F008D2" w:rsidRPr="00680F72" w:rsidRDefault="00F008D2" w:rsidP="000D1D92">
                      <w:pPr>
                        <w:pStyle w:val="ListParagraph"/>
                        <w:numPr>
                          <w:ilvl w:val="0"/>
                          <w:numId w:val="24"/>
                        </w:numPr>
                      </w:pPr>
                      <w:r w:rsidRPr="00680F72">
                        <w:t xml:space="preserve">There was little confidence in the ability to enforce rights in a transnational context </w:t>
                      </w:r>
                    </w:p>
                    <w:p w14:paraId="0B8D10D1" w14:textId="77777777" w:rsidR="00F008D2" w:rsidRPr="00680F72" w:rsidRDefault="00F008D2" w:rsidP="00092E8A">
                      <w:pPr>
                        <w:pStyle w:val="ListParagraph"/>
                      </w:pPr>
                    </w:p>
                    <w:p w14:paraId="3DCAD69A" w14:textId="77777777" w:rsidR="00F008D2" w:rsidRPr="00AF2AD2" w:rsidRDefault="00F008D2" w:rsidP="000D1D92">
                      <w:pPr>
                        <w:pStyle w:val="ListParagraph"/>
                        <w:numPr>
                          <w:ilvl w:val="0"/>
                          <w:numId w:val="24"/>
                        </w:numPr>
                      </w:pPr>
                      <w:r>
                        <w:t>There was a belief that companies should assist</w:t>
                      </w:r>
                      <w:r w:rsidRPr="00680F72">
                        <w:t xml:space="preserve"> children </w:t>
                      </w:r>
                      <w:r>
                        <w:t>and</w:t>
                      </w:r>
                      <w:r w:rsidRPr="00680F72">
                        <w:t xml:space="preserve"> make information (terms and conditions, warranties, co</w:t>
                      </w:r>
                      <w:r>
                        <w:t>ntracts, policies) easier to understand.</w:t>
                      </w:r>
                    </w:p>
                  </w:txbxContent>
                </v:textbox>
                <w10:anchorlock/>
              </v:shape>
            </w:pict>
          </mc:Fallback>
        </mc:AlternateContent>
      </w:r>
    </w:p>
    <w:p w14:paraId="07318D7A" w14:textId="77777777" w:rsidR="00AA3994" w:rsidRDefault="00AA3994" w:rsidP="00354AA1">
      <w:pPr>
        <w:pStyle w:val="Heading2"/>
        <w:jc w:val="both"/>
      </w:pPr>
      <w:bookmarkStart w:id="133" w:name="_Toc430333107"/>
      <w:bookmarkStart w:id="134" w:name="_Toc430702100"/>
      <w:bookmarkStart w:id="135" w:name="_Toc432577318"/>
      <w:r>
        <w:t>Conclusion: summary &amp; key concerns</w:t>
      </w:r>
      <w:bookmarkEnd w:id="133"/>
      <w:bookmarkEnd w:id="134"/>
      <w:bookmarkEnd w:id="135"/>
    </w:p>
    <w:p w14:paraId="130D33D3" w14:textId="77777777" w:rsidR="00AA3994" w:rsidRDefault="00AA3994" w:rsidP="00354AA1">
      <w:pPr>
        <w:pStyle w:val="SubmissionNormal"/>
        <w:numPr>
          <w:ilvl w:val="0"/>
          <w:numId w:val="0"/>
        </w:numPr>
        <w:jc w:val="both"/>
      </w:pPr>
      <w:r>
        <w:t>The globalisation, not only of business, but of</w:t>
      </w:r>
      <w:r w:rsidRPr="00F47491">
        <w:t xml:space="preserve"> technology across communities</w:t>
      </w:r>
      <w:r>
        <w:t xml:space="preserve"> necessitates a re-evaluation of children’s relationship with business. This is particularly pressing in light of the impact of the i</w:t>
      </w:r>
      <w:r w:rsidRPr="00F47491">
        <w:t xml:space="preserve">nternet </w:t>
      </w:r>
      <w:r>
        <w:t>on redefining</w:t>
      </w:r>
      <w:r w:rsidRPr="00F47491">
        <w:t xml:space="preserve"> business </w:t>
      </w:r>
      <w:r>
        <w:t xml:space="preserve">operations </w:t>
      </w:r>
      <w:r w:rsidRPr="00F47491">
        <w:t>and</w:t>
      </w:r>
      <w:r>
        <w:t xml:space="preserve"> in</w:t>
      </w:r>
      <w:r w:rsidRPr="00F47491">
        <w:t xml:space="preserve"> </w:t>
      </w:r>
      <w:r>
        <w:t>facilitating the emergence of children as on</w:t>
      </w:r>
      <w:r w:rsidRPr="00F47491">
        <w:t>line consumers.</w:t>
      </w:r>
    </w:p>
    <w:p w14:paraId="7C89E976" w14:textId="6CA8FB70" w:rsidR="00AA3994" w:rsidRDefault="00AA3994" w:rsidP="00354AA1">
      <w:pPr>
        <w:pStyle w:val="SubmissionNormal"/>
        <w:numPr>
          <w:ilvl w:val="0"/>
          <w:numId w:val="0"/>
        </w:numPr>
        <w:jc w:val="both"/>
      </w:pPr>
      <w:r>
        <w:t>The internet is</w:t>
      </w:r>
      <w:r w:rsidRPr="00F47491">
        <w:t xml:space="preserve"> </w:t>
      </w:r>
      <w:r>
        <w:t xml:space="preserve">being </w:t>
      </w:r>
      <w:r w:rsidRPr="00F47491">
        <w:t xml:space="preserve">used </w:t>
      </w:r>
      <w:r>
        <w:t xml:space="preserve">by children </w:t>
      </w:r>
      <w:r w:rsidRPr="00F47491">
        <w:t>as an information channel to resear</w:t>
      </w:r>
      <w:r>
        <w:t>ch products and to shop online with access proliferating through fixed and mobile platforms. It has also led to more ‘</w:t>
      </w:r>
      <w:r w:rsidRPr="00F47491">
        <w:t>creative</w:t>
      </w:r>
      <w:r>
        <w:t>’</w:t>
      </w:r>
      <w:r w:rsidRPr="00F47491">
        <w:t xml:space="preserve"> forms of consumption</w:t>
      </w:r>
      <w:r>
        <w:t xml:space="preserve"> that blur the lines between advertiser and product as well as purchaser and seller.</w:t>
      </w:r>
    </w:p>
    <w:p w14:paraId="51CE3C77" w14:textId="29C2F56B" w:rsidR="00AA3994" w:rsidRDefault="00AA3994" w:rsidP="00354AA1">
      <w:pPr>
        <w:jc w:val="both"/>
      </w:pPr>
      <w:r>
        <w:lastRenderedPageBreak/>
        <w:t xml:space="preserve">Research </w:t>
      </w:r>
      <w:r w:rsidRPr="00F47491">
        <w:t>describes</w:t>
      </w:r>
      <w:r>
        <w:t xml:space="preserve"> the importance of consumer activities to children as integrally linked to the shift into ‘adulthood’ in </w:t>
      </w:r>
      <w:r w:rsidRPr="00F47491">
        <w:t>learning to exercise decisio</w:t>
      </w:r>
      <w:r>
        <w:t>ns independent</w:t>
      </w:r>
      <w:r w:rsidR="002C4A3B">
        <w:t>ly</w:t>
      </w:r>
      <w:r>
        <w:t xml:space="preserve"> from parents/guardians. The outcomes of consultations with children undertaken for this examination support this focus on children’s independent identity in</w:t>
      </w:r>
      <w:r w:rsidRPr="00F47491">
        <w:t xml:space="preserve"> </w:t>
      </w:r>
      <w:r>
        <w:t>the types of on</w:t>
      </w:r>
      <w:r w:rsidRPr="00F47491">
        <w:t xml:space="preserve">line </w:t>
      </w:r>
      <w:r>
        <w:t>products purchased primarily for</w:t>
      </w:r>
      <w:r w:rsidRPr="00F47491">
        <w:t xml:space="preserve"> leisure/entertainment </w:t>
      </w:r>
      <w:r>
        <w:t xml:space="preserve">purposes. The internet also facilitates wider access to such options through increased </w:t>
      </w:r>
      <w:r w:rsidRPr="00F47491">
        <w:t>availability</w:t>
      </w:r>
      <w:r>
        <w:t xml:space="preserve"> and cheaper online prices</w:t>
      </w:r>
      <w:r w:rsidRPr="00F47491">
        <w:t>.</w:t>
      </w:r>
      <w:r>
        <w:t xml:space="preserve"> </w:t>
      </w:r>
    </w:p>
    <w:p w14:paraId="6FF290F2" w14:textId="77777777" w:rsidR="00AA3994" w:rsidRDefault="00AA3994" w:rsidP="00354AA1">
      <w:pPr>
        <w:jc w:val="both"/>
      </w:pPr>
      <w:r>
        <w:t>Some commentators have suggested that the transforming of the internet into an increasingly ‘commercialised space’ has simultaneously occurred with the rise in its significance as an arena</w:t>
      </w:r>
      <w:r w:rsidRPr="00F47491">
        <w:t xml:space="preserve"> </w:t>
      </w:r>
      <w:r>
        <w:t>for</w:t>
      </w:r>
      <w:r w:rsidRPr="00F47491">
        <w:t xml:space="preserve"> social development and cultural participation</w:t>
      </w:r>
      <w:r>
        <w:t>. Within this context, q</w:t>
      </w:r>
      <w:r w:rsidRPr="00F47491">
        <w:t xml:space="preserve">uestions arise as to whether existing regulation has kept </w:t>
      </w:r>
      <w:r>
        <w:t>up with the rapidly changing on</w:t>
      </w:r>
      <w:r w:rsidRPr="00F47491">
        <w:t xml:space="preserve">line consumer environment as it </w:t>
      </w:r>
      <w:r>
        <w:t>relates to</w:t>
      </w:r>
      <w:r w:rsidRPr="00F47491">
        <w:t xml:space="preserve"> children.</w:t>
      </w:r>
      <w:r>
        <w:t xml:space="preserve"> </w:t>
      </w:r>
    </w:p>
    <w:p w14:paraId="47AF8D73" w14:textId="77777777" w:rsidR="00AA3994" w:rsidRDefault="00AA3994" w:rsidP="00354AA1">
      <w:pPr>
        <w:jc w:val="both"/>
      </w:pPr>
      <w:r>
        <w:t xml:space="preserve">It remains </w:t>
      </w:r>
      <w:r w:rsidRPr="00F47491">
        <w:t xml:space="preserve">unclear what problems </w:t>
      </w:r>
      <w:r>
        <w:t>children are experiencing as on</w:t>
      </w:r>
      <w:r w:rsidRPr="00F47491">
        <w:t xml:space="preserve">line consumers and whether current regulation </w:t>
      </w:r>
      <w:r>
        <w:t>remains adequate</w:t>
      </w:r>
      <w:r w:rsidRPr="00F47491">
        <w:t>.</w:t>
      </w:r>
      <w:r>
        <w:t xml:space="preserve"> Children’s role as ‘on</w:t>
      </w:r>
      <w:r w:rsidRPr="00F47491">
        <w:t xml:space="preserve">line consumers’ remains peripheral to both consumer and cyber </w:t>
      </w:r>
      <w:r>
        <w:t>academic discourses. Even i</w:t>
      </w:r>
      <w:r w:rsidRPr="00F47491">
        <w:t xml:space="preserve">nternational responses to </w:t>
      </w:r>
      <w:r>
        <w:t xml:space="preserve">the issue of children’s human rights and business have been surprisingly recent. </w:t>
      </w:r>
    </w:p>
    <w:p w14:paraId="34D2403B" w14:textId="77777777" w:rsidR="00AA3994" w:rsidRDefault="00AA3994" w:rsidP="00354AA1">
      <w:pPr>
        <w:jc w:val="both"/>
      </w:pPr>
      <w:r>
        <w:t>While non-binding in nature, the significance of the Business Principles and General Comment is in sending a clear signal about the relevance of children’s human rights to business. These initiatives also usefully provide a child rights-based framework within which to</w:t>
      </w:r>
      <w:r w:rsidRPr="00F47491">
        <w:t xml:space="preserve"> take stock of how children are treated within the Australian consumer environment</w:t>
      </w:r>
      <w:r>
        <w:t xml:space="preserve"> and in particular, the online consumer environment.</w:t>
      </w:r>
    </w:p>
    <w:p w14:paraId="00F6EDE8" w14:textId="77777777" w:rsidR="00AA3994" w:rsidRDefault="00AA3994" w:rsidP="00354AA1">
      <w:pPr>
        <w:pStyle w:val="Heading3"/>
        <w:jc w:val="both"/>
      </w:pPr>
      <w:bookmarkStart w:id="136" w:name="_Toc430333108"/>
      <w:bookmarkStart w:id="137" w:name="_Toc430702101"/>
      <w:r>
        <w:t>Key concern: privacy and advertising</w:t>
      </w:r>
      <w:bookmarkEnd w:id="136"/>
      <w:bookmarkEnd w:id="137"/>
    </w:p>
    <w:p w14:paraId="1C1181EC" w14:textId="67A9DC50" w:rsidR="00AA3994" w:rsidRDefault="00AA3994" w:rsidP="00354AA1">
      <w:pPr>
        <w:jc w:val="both"/>
      </w:pPr>
      <w:r>
        <w:t>Initial consultations with children showed t</w:t>
      </w:r>
      <w:r w:rsidRPr="00F47491">
        <w:t xml:space="preserve">he importance of </w:t>
      </w:r>
      <w:r>
        <w:t xml:space="preserve">brand </w:t>
      </w:r>
      <w:r w:rsidRPr="00F47491">
        <w:t>advertising</w:t>
      </w:r>
      <w:r>
        <w:t>, particularly</w:t>
      </w:r>
      <w:r w:rsidRPr="00F47491">
        <w:t xml:space="preserve"> </w:t>
      </w:r>
      <w:r>
        <w:t>where the internet was being</w:t>
      </w:r>
      <w:r w:rsidRPr="00F47491">
        <w:t xml:space="preserve"> used to research purchases regardless of whether the actual purchase</w:t>
      </w:r>
      <w:r>
        <w:t xml:space="preserve"> occurred</w:t>
      </w:r>
      <w:r w:rsidRPr="00F47491">
        <w:t xml:space="preserve"> offline.</w:t>
      </w:r>
      <w:r>
        <w:t xml:space="preserve"> </w:t>
      </w:r>
    </w:p>
    <w:p w14:paraId="66B20DC1" w14:textId="35A7EEBD" w:rsidR="00AA3994" w:rsidRDefault="00AA3994" w:rsidP="00354AA1">
      <w:pPr>
        <w:jc w:val="both"/>
      </w:pPr>
      <w:r>
        <w:t xml:space="preserve">Issues exist around the potential use </w:t>
      </w:r>
      <w:r w:rsidRPr="00F47491">
        <w:t>of tracking software and spyware, without the child’s knowledge</w:t>
      </w:r>
      <w:r>
        <w:t xml:space="preserve"> and the concern that </w:t>
      </w:r>
      <w:r w:rsidRPr="00F47491">
        <w:t xml:space="preserve">this ‘research into children’ (or data mining) is occurring by ‘stealth’. </w:t>
      </w:r>
      <w:r>
        <w:t>Other related on</w:t>
      </w:r>
      <w:r w:rsidRPr="00F47491">
        <w:t>line privacy concerns include receiving unsolicited emails; access to pri</w:t>
      </w:r>
      <w:r>
        <w:t>vate files; loss of anonymity on</w:t>
      </w:r>
      <w:r w:rsidRPr="00F47491">
        <w:t>line</w:t>
      </w:r>
      <w:r w:rsidR="008B4819">
        <w:t>;</w:t>
      </w:r>
      <w:r w:rsidRPr="00F47491">
        <w:t xml:space="preserve"> unauthorised sharing or disclosure of information</w:t>
      </w:r>
      <w:r w:rsidR="008B4819">
        <w:t>;</w:t>
      </w:r>
      <w:r w:rsidRPr="00F47491">
        <w:t xml:space="preserve"> and misuse of personal financial details</w:t>
      </w:r>
      <w:r>
        <w:t xml:space="preserve">. </w:t>
      </w:r>
    </w:p>
    <w:p w14:paraId="57C69458" w14:textId="067E9F82" w:rsidR="00AA3994" w:rsidRDefault="00AA3994" w:rsidP="00354AA1">
      <w:pPr>
        <w:pStyle w:val="SubmissionNormal"/>
        <w:numPr>
          <w:ilvl w:val="0"/>
          <w:numId w:val="0"/>
        </w:numPr>
        <w:jc w:val="both"/>
      </w:pPr>
      <w:r w:rsidRPr="00F47491">
        <w:t>While there is research on the influence of television advertising on children of various ages, there is little research on online advertising and its impact on children</w:t>
      </w:r>
      <w:r>
        <w:t>. In terms of b</w:t>
      </w:r>
      <w:r w:rsidRPr="00F47491">
        <w:t>reaches of privacy</w:t>
      </w:r>
      <w:r>
        <w:t xml:space="preserve"> this is an issue of particular significance </w:t>
      </w:r>
      <w:r w:rsidRPr="00F47491">
        <w:t>to th</w:t>
      </w:r>
      <w:r>
        <w:t>e children who avoid using the i</w:t>
      </w:r>
      <w:r w:rsidRPr="00F47491">
        <w:t>nternet as a consumer platform</w:t>
      </w:r>
      <w:r>
        <w:t xml:space="preserve"> altogether</w:t>
      </w:r>
      <w:r w:rsidRPr="00F47491">
        <w:t xml:space="preserve"> (and in doing so deny themselves access to the same opportunities</w:t>
      </w:r>
      <w:r>
        <w:t xml:space="preserve">). </w:t>
      </w:r>
    </w:p>
    <w:p w14:paraId="7835D36D" w14:textId="77777777" w:rsidR="00AA3994" w:rsidRDefault="00AA3994" w:rsidP="00354AA1">
      <w:pPr>
        <w:pStyle w:val="SubmissionNormal"/>
        <w:numPr>
          <w:ilvl w:val="0"/>
          <w:numId w:val="0"/>
        </w:numPr>
        <w:jc w:val="both"/>
      </w:pPr>
      <w:r>
        <w:t>The ALRC considered a number of these privacy issues and made recommendations (detailed earlier) which may need to be reconsidered in light of children actively using the internet as online consumers.</w:t>
      </w:r>
    </w:p>
    <w:p w14:paraId="43FCE62C" w14:textId="77777777" w:rsidR="00AA3994" w:rsidRPr="00F47491" w:rsidRDefault="00AA3994" w:rsidP="00354AA1">
      <w:pPr>
        <w:pStyle w:val="Heading3"/>
        <w:jc w:val="both"/>
      </w:pPr>
      <w:bookmarkStart w:id="138" w:name="_Toc430333109"/>
      <w:bookmarkStart w:id="139" w:name="_Toc430702102"/>
      <w:r>
        <w:t>Key concern: contractual complexity</w:t>
      </w:r>
      <w:bookmarkEnd w:id="138"/>
      <w:bookmarkEnd w:id="139"/>
    </w:p>
    <w:p w14:paraId="5816FD46" w14:textId="0AC7CAA4" w:rsidR="00AA3994" w:rsidRDefault="00AA3994" w:rsidP="00354AA1">
      <w:pPr>
        <w:jc w:val="both"/>
      </w:pPr>
      <w:r>
        <w:t>The issue of c</w:t>
      </w:r>
      <w:r w:rsidRPr="00F47491">
        <w:t>ontractual complexity</w:t>
      </w:r>
      <w:r>
        <w:t xml:space="preserve"> was also raised</w:t>
      </w:r>
      <w:r w:rsidR="006D279E">
        <w:t>,</w:t>
      </w:r>
      <w:r>
        <w:t xml:space="preserve"> with ‘parental consent’ in the on</w:t>
      </w:r>
      <w:r w:rsidRPr="00F47491">
        <w:t xml:space="preserve">line context widely understood </w:t>
      </w:r>
      <w:r>
        <w:t xml:space="preserve">to be a </w:t>
      </w:r>
      <w:r w:rsidRPr="00F47491">
        <w:t>safeguar</w:t>
      </w:r>
      <w:r>
        <w:t>d of children and their rights. Y</w:t>
      </w:r>
      <w:r w:rsidRPr="00F47491">
        <w:t xml:space="preserve">et it </w:t>
      </w:r>
      <w:r w:rsidRPr="00F47491">
        <w:lastRenderedPageBreak/>
        <w:t xml:space="preserve">has emerged in a number of </w:t>
      </w:r>
      <w:r>
        <w:t xml:space="preserve">international </w:t>
      </w:r>
      <w:r w:rsidRPr="00F47491">
        <w:t>studies that the process of securing informed parenta</w:t>
      </w:r>
      <w:r>
        <w:t xml:space="preserve">l consent is largely </w:t>
      </w:r>
      <w:r w:rsidRPr="0004028C">
        <w:t xml:space="preserve">inadequate. </w:t>
      </w:r>
    </w:p>
    <w:p w14:paraId="04FF57BA" w14:textId="77777777" w:rsidR="00AA3994" w:rsidRDefault="00AA3994" w:rsidP="00354AA1">
      <w:pPr>
        <w:jc w:val="both"/>
      </w:pPr>
      <w:r w:rsidRPr="0004028C">
        <w:t>Currently in Australia, an individual assessment of the ability to consent would need to be made of each child on a case by case basis.</w:t>
      </w:r>
      <w:r w:rsidRPr="00F47491">
        <w:t xml:space="preserve"> This would include assessing the child’s ability to fully comprehend the meaning of the decision</w:t>
      </w:r>
      <w:r>
        <w:t xml:space="preserve"> which for</w:t>
      </w:r>
      <w:r w:rsidRPr="00F47491">
        <w:t xml:space="preserve"> business, in a practical sense, </w:t>
      </w:r>
      <w:r>
        <w:t xml:space="preserve">is </w:t>
      </w:r>
      <w:r w:rsidRPr="00F47491">
        <w:t xml:space="preserve">difficult to undertake - particularly in the online </w:t>
      </w:r>
      <w:r>
        <w:t>context</w:t>
      </w:r>
      <w:r w:rsidRPr="00F47491">
        <w:t>.</w:t>
      </w:r>
      <w:r>
        <w:t xml:space="preserve"> </w:t>
      </w:r>
    </w:p>
    <w:p w14:paraId="52D52042" w14:textId="75E973FE" w:rsidR="00AA3994" w:rsidRDefault="00AA3994" w:rsidP="00354AA1">
      <w:pPr>
        <w:jc w:val="both"/>
      </w:pPr>
      <w:r w:rsidRPr="00F47491">
        <w:t>The concept of ‘child appropriate formats’ may need to extend beyond the mere simplification of legal terms to consideration of how to effectively bring such terms and conditions to the attention o</w:t>
      </w:r>
      <w:r>
        <w:t>f child</w:t>
      </w:r>
      <w:r w:rsidR="006D279E">
        <w:t>ren</w:t>
      </w:r>
      <w:r>
        <w:t xml:space="preserve"> and </w:t>
      </w:r>
      <w:r w:rsidR="006D279E">
        <w:t xml:space="preserve">their </w:t>
      </w:r>
      <w:r>
        <w:t xml:space="preserve">guardians. </w:t>
      </w:r>
    </w:p>
    <w:p w14:paraId="55436BD4" w14:textId="4CD68E23" w:rsidR="00AA3994" w:rsidRDefault="00AA3994" w:rsidP="00354AA1">
      <w:pPr>
        <w:jc w:val="both"/>
      </w:pPr>
      <w:r>
        <w:t>Legislative and policy reforms undertaken in other comparable overseas jurisdictions may offer some useful guidance in reviewing the use of the ‘parental consent’ safeguard within the Australian online context (for example the U</w:t>
      </w:r>
      <w:r w:rsidR="006D279E">
        <w:t xml:space="preserve">nited </w:t>
      </w:r>
      <w:r>
        <w:t>S</w:t>
      </w:r>
      <w:r w:rsidR="006D279E">
        <w:t>tates</w:t>
      </w:r>
      <w:r>
        <w:t xml:space="preserve"> model detailed earlier). </w:t>
      </w:r>
    </w:p>
    <w:p w14:paraId="168C746B" w14:textId="77777777" w:rsidR="00AA3994" w:rsidRDefault="00AA3994" w:rsidP="00354AA1">
      <w:pPr>
        <w:pStyle w:val="Heading3"/>
        <w:jc w:val="both"/>
      </w:pPr>
      <w:r>
        <w:t xml:space="preserve"> </w:t>
      </w:r>
      <w:bookmarkStart w:id="140" w:name="_Toc430333110"/>
      <w:bookmarkStart w:id="141" w:name="_Toc430702103"/>
      <w:r>
        <w:t>Key concern: enforcement and redress</w:t>
      </w:r>
      <w:bookmarkEnd w:id="140"/>
      <w:bookmarkEnd w:id="141"/>
    </w:p>
    <w:p w14:paraId="255ADC87" w14:textId="3FC5E5DB" w:rsidR="00AA3994" w:rsidRDefault="00AA3994" w:rsidP="00354AA1">
      <w:pPr>
        <w:jc w:val="both"/>
      </w:pPr>
      <w:r>
        <w:t xml:space="preserve">Consultations revealed that a majority of children </w:t>
      </w:r>
      <w:r w:rsidRPr="00F47491">
        <w:t>were often unsure of how to proceed in situations where online refunds and exchanges had been</w:t>
      </w:r>
      <w:r>
        <w:t xml:space="preserve"> denied</w:t>
      </w:r>
      <w:r w:rsidRPr="00F47491">
        <w:t>.</w:t>
      </w:r>
      <w:r>
        <w:t xml:space="preserve"> Instead a </w:t>
      </w:r>
      <w:r w:rsidRPr="00F47491">
        <w:t xml:space="preserve">tendency </w:t>
      </w:r>
      <w:r>
        <w:t xml:space="preserve">existed </w:t>
      </w:r>
      <w:r w:rsidRPr="00F47491">
        <w:t>to suggest that the onus to fix t</w:t>
      </w:r>
      <w:r>
        <w:t>he problem was with the consumer</w:t>
      </w:r>
      <w:r w:rsidR="006D279E">
        <w:t xml:space="preserve">, </w:t>
      </w:r>
      <w:r>
        <w:t>involving</w:t>
      </w:r>
      <w:r w:rsidRPr="00F47491">
        <w:t xml:space="preserve"> ‘personal culpability’ or ‘luck’</w:t>
      </w:r>
      <w:r>
        <w:t xml:space="preserve">. </w:t>
      </w:r>
      <w:r w:rsidRPr="00F47491">
        <w:t>What this attitude reveals is a vacuum of know</w:t>
      </w:r>
      <w:r>
        <w:t xml:space="preserve">ledge about avenues of redress. </w:t>
      </w:r>
    </w:p>
    <w:p w14:paraId="29CAEE9A" w14:textId="444E4D57" w:rsidR="00AA3994" w:rsidRDefault="00AA3994" w:rsidP="00354AA1">
      <w:pPr>
        <w:jc w:val="both"/>
      </w:pPr>
      <w:r>
        <w:t xml:space="preserve">Similarly using ‘reputational’ tactics to elicit a response from business </w:t>
      </w:r>
      <w:r w:rsidRPr="00F47491">
        <w:t xml:space="preserve">raises questions about whether children are </w:t>
      </w:r>
      <w:r w:rsidR="006D279E">
        <w:t>choosing</w:t>
      </w:r>
      <w:r w:rsidRPr="00F47491">
        <w:t xml:space="preserve"> that option or whether it is seen as the only option available to them.</w:t>
      </w:r>
    </w:p>
    <w:p w14:paraId="69304F54" w14:textId="77777777" w:rsidR="00AA3994" w:rsidRDefault="00AA3994" w:rsidP="00354AA1">
      <w:pPr>
        <w:jc w:val="both"/>
      </w:pPr>
      <w:r>
        <w:t>It seemed that a</w:t>
      </w:r>
      <w:r w:rsidRPr="00F47491">
        <w:t xml:space="preserve"> number of the consumer issu</w:t>
      </w:r>
      <w:r>
        <w:t>es that children experienced on</w:t>
      </w:r>
      <w:r w:rsidRPr="00F47491">
        <w:t xml:space="preserve">line could in part </w:t>
      </w:r>
      <w:r>
        <w:t xml:space="preserve">be </w:t>
      </w:r>
      <w:r w:rsidRPr="00F47491">
        <w:t>addressed by the provision of clear information on their consumer rights</w:t>
      </w:r>
      <w:r>
        <w:t xml:space="preserve"> and who they can contact if they have a problem or issue</w:t>
      </w:r>
      <w:r w:rsidRPr="00F47491">
        <w:t>.</w:t>
      </w:r>
      <w:r>
        <w:t xml:space="preserve"> While children spoke of using</w:t>
      </w:r>
      <w:r w:rsidRPr="00F47491">
        <w:t xml:space="preserve"> internal company processes </w:t>
      </w:r>
      <w:r>
        <w:t>to resolve problems, this</w:t>
      </w:r>
      <w:r w:rsidRPr="00F47491">
        <w:t xml:space="preserve"> confiden</w:t>
      </w:r>
      <w:r>
        <w:t xml:space="preserve">ce </w:t>
      </w:r>
      <w:r w:rsidRPr="00F47491">
        <w:t>did not seem to translate to the online consumer context.</w:t>
      </w:r>
    </w:p>
    <w:p w14:paraId="7D602AFE" w14:textId="0AF9CB70" w:rsidR="00AA3994" w:rsidRDefault="00AA3994" w:rsidP="00354AA1">
      <w:pPr>
        <w:pStyle w:val="SubmissionNormal"/>
        <w:numPr>
          <w:ilvl w:val="0"/>
          <w:numId w:val="0"/>
        </w:numPr>
        <w:jc w:val="both"/>
      </w:pPr>
      <w:r>
        <w:t>Consultations with financial advice services revealed a</w:t>
      </w:r>
      <w:r w:rsidRPr="00F47491">
        <w:t xml:space="preserve">lmost uniformly </w:t>
      </w:r>
      <w:r>
        <w:t xml:space="preserve">that </w:t>
      </w:r>
      <w:r w:rsidRPr="00F47491">
        <w:t>children were either not availing themselves of these services for this purpose</w:t>
      </w:r>
      <w:r w:rsidR="006D279E">
        <w:t>,</w:t>
      </w:r>
      <w:r w:rsidRPr="00F47491">
        <w:t xml:space="preserve"> or were grossly underrepresented. </w:t>
      </w:r>
    </w:p>
    <w:p w14:paraId="6D5E5E89" w14:textId="77777777" w:rsidR="00AA3994" w:rsidRDefault="00AA3994" w:rsidP="00354AA1">
      <w:pPr>
        <w:jc w:val="both"/>
      </w:pPr>
      <w:r>
        <w:t>A further complicating factor was the e</w:t>
      </w:r>
      <w:r w:rsidRPr="00F47491">
        <w:t xml:space="preserve">nforcement </w:t>
      </w:r>
      <w:r>
        <w:t>of contracts within the on</w:t>
      </w:r>
      <w:r w:rsidRPr="00F47491">
        <w:t xml:space="preserve">line environment </w:t>
      </w:r>
      <w:r>
        <w:t>where it</w:t>
      </w:r>
      <w:r w:rsidRPr="00F47491">
        <w:t xml:space="preserve"> is not</w:t>
      </w:r>
      <w:r>
        <w:t xml:space="preserve"> solely determined by</w:t>
      </w:r>
      <w:r w:rsidRPr="00F47491">
        <w:t xml:space="preserve"> </w:t>
      </w:r>
      <w:r>
        <w:t xml:space="preserve">Australian </w:t>
      </w:r>
      <w:r w:rsidRPr="00F47491">
        <w:t>law</w:t>
      </w:r>
      <w:r>
        <w:t xml:space="preserve">. </w:t>
      </w:r>
      <w:r w:rsidRPr="00F47491">
        <w:t>The ability to enforce rights in a transnational context</w:t>
      </w:r>
      <w:r>
        <w:t xml:space="preserve"> remains unclear, not only to children and other consumers, but as a matter of law.</w:t>
      </w:r>
    </w:p>
    <w:p w14:paraId="585DAF2B" w14:textId="77777777" w:rsidR="00AA3994" w:rsidRDefault="00AA3994" w:rsidP="00354AA1">
      <w:pPr>
        <w:pStyle w:val="Heading3"/>
        <w:jc w:val="both"/>
      </w:pPr>
      <w:bookmarkStart w:id="142" w:name="_Toc430333111"/>
      <w:bookmarkStart w:id="143" w:name="_Toc430702104"/>
      <w:r>
        <w:t>Key concern: education and research</w:t>
      </w:r>
      <w:bookmarkEnd w:id="142"/>
      <w:bookmarkEnd w:id="143"/>
    </w:p>
    <w:p w14:paraId="1D15F923" w14:textId="4C4401C4" w:rsidR="00AA3994" w:rsidRDefault="00AA3994" w:rsidP="00354AA1">
      <w:pPr>
        <w:pStyle w:val="SubmissionNormal"/>
        <w:numPr>
          <w:ilvl w:val="0"/>
          <w:numId w:val="0"/>
        </w:numPr>
        <w:jc w:val="both"/>
      </w:pPr>
      <w:r>
        <w:t>Numerous reform options were raised within research and from consultations. These ranged from legislative and policy-based reforms, the adoption of</w:t>
      </w:r>
      <w:r w:rsidRPr="00F47491">
        <w:t xml:space="preserve"> ‘b</w:t>
      </w:r>
      <w:r>
        <w:t>est practice’ industry approaches</w:t>
      </w:r>
      <w:r w:rsidR="00876214">
        <w:t>,</w:t>
      </w:r>
      <w:r>
        <w:t xml:space="preserve"> awareness-raising campaigns in respect of consumer rights</w:t>
      </w:r>
      <w:r w:rsidR="00876214">
        <w:t>,</w:t>
      </w:r>
      <w:r>
        <w:t xml:space="preserve"> as well as the </w:t>
      </w:r>
      <w:r w:rsidRPr="00F47491">
        <w:t>need for an effective complaints system.</w:t>
      </w:r>
      <w:r>
        <w:t xml:space="preserve"> Certainly businesses’ perspective on the effectiveness of different forms of regulation within the online </w:t>
      </w:r>
      <w:r>
        <w:lastRenderedPageBreak/>
        <w:t>context would be instructive, particularly as it relates to children and the issues they experience.</w:t>
      </w:r>
    </w:p>
    <w:p w14:paraId="6F03787F" w14:textId="2B1F4B78" w:rsidR="00AA3994" w:rsidRDefault="00AA3994" w:rsidP="00354AA1">
      <w:pPr>
        <w:pStyle w:val="SubmissionNormal"/>
        <w:numPr>
          <w:ilvl w:val="0"/>
          <w:numId w:val="0"/>
        </w:numPr>
        <w:jc w:val="both"/>
      </w:pPr>
      <w:r>
        <w:t>It is my view that the best approach to these options is to assess them against a child rights</w:t>
      </w:r>
      <w:r w:rsidR="008F6630">
        <w:t>-</w:t>
      </w:r>
      <w:r>
        <w:t xml:space="preserve">based approach. </w:t>
      </w:r>
    </w:p>
    <w:p w14:paraId="73329698" w14:textId="77777777" w:rsidR="00AA3994" w:rsidRDefault="00AA3994" w:rsidP="00354AA1">
      <w:pPr>
        <w:pStyle w:val="SubmissionNormal"/>
        <w:numPr>
          <w:ilvl w:val="0"/>
          <w:numId w:val="0"/>
        </w:numPr>
        <w:jc w:val="both"/>
      </w:pPr>
      <w:r>
        <w:t>What</w:t>
      </w:r>
      <w:r w:rsidRPr="00F47491">
        <w:t xml:space="preserve"> is striking about suggestions</w:t>
      </w:r>
      <w:r>
        <w:t xml:space="preserve"> for improvement made by children themselves </w:t>
      </w:r>
      <w:r w:rsidRPr="00F47491">
        <w:t xml:space="preserve">is how closely they mirror the considerations arising out of the guiding principles </w:t>
      </w:r>
      <w:r>
        <w:t xml:space="preserve">of the Convention on the Rights of the Child </w:t>
      </w:r>
      <w:r w:rsidRPr="00F47491">
        <w:t xml:space="preserve">to be heard, to </w:t>
      </w:r>
      <w:r>
        <w:t xml:space="preserve">healthy </w:t>
      </w:r>
      <w:r w:rsidRPr="00F47491">
        <w:t>develop</w:t>
      </w:r>
      <w:r>
        <w:t>ment</w:t>
      </w:r>
      <w:r w:rsidRPr="00F47491">
        <w:t xml:space="preserve"> and to act in a child’s best interests</w:t>
      </w:r>
      <w:r>
        <w:t>.</w:t>
      </w:r>
    </w:p>
    <w:p w14:paraId="76C84C29" w14:textId="05D30395" w:rsidR="00AA3994" w:rsidRPr="00F47491" w:rsidRDefault="00AA3994" w:rsidP="00354AA1">
      <w:pPr>
        <w:pStyle w:val="SubmissionNormal"/>
        <w:numPr>
          <w:ilvl w:val="0"/>
          <w:numId w:val="0"/>
        </w:numPr>
        <w:jc w:val="both"/>
      </w:pPr>
      <w:r>
        <w:t>Using a child</w:t>
      </w:r>
      <w:r w:rsidR="008F6630">
        <w:t xml:space="preserve"> </w:t>
      </w:r>
      <w:r>
        <w:t>rights</w:t>
      </w:r>
      <w:r w:rsidR="008F6630">
        <w:t>-</w:t>
      </w:r>
      <w:r>
        <w:t>based approach, it is clear that further research is required on children’s experience as online consumers with research deficiencies notable in the online privacy, advertising and e-commerce contexts. Existing data collection practices by financial advice agencies were inconsistent, with data either not disaggregated</w:t>
      </w:r>
      <w:r w:rsidRPr="00F47491">
        <w:t xml:space="preserve"> by</w:t>
      </w:r>
      <w:r w:rsidR="008F6630">
        <w:t xml:space="preserve"> the</w:t>
      </w:r>
      <w:r w:rsidRPr="00F47491">
        <w:t xml:space="preserve"> age of the complainant or where the guardian was named in a contract on the child’s behalf, the record of complaint </w:t>
      </w:r>
      <w:r>
        <w:t>being made</w:t>
      </w:r>
      <w:r w:rsidRPr="00F47491">
        <w:t xml:space="preserve"> in the guardian’s name and recorded age.</w:t>
      </w:r>
    </w:p>
    <w:p w14:paraId="0B3D1F82" w14:textId="77777777" w:rsidR="008F6630" w:rsidRDefault="00AA3994" w:rsidP="00354AA1">
      <w:pPr>
        <w:jc w:val="both"/>
      </w:pPr>
      <w:r>
        <w:t>B</w:t>
      </w:r>
      <w:r w:rsidRPr="00F47491">
        <w:t>oth business and government have key roles to play in raising awareness and in ensuring the accessibility of such processes for children.</w:t>
      </w:r>
      <w:r>
        <w:t xml:space="preserve"> </w:t>
      </w:r>
      <w:r w:rsidRPr="00F47491">
        <w:t>It also provides business with the opportunity to change children’s opinions about how business is viewed and provides government with the opportunity to support business in these actions.</w:t>
      </w:r>
      <w:r>
        <w:t xml:space="preserve"> </w:t>
      </w:r>
    </w:p>
    <w:p w14:paraId="7D1EC657" w14:textId="42EE706E" w:rsidR="00AA3994" w:rsidRPr="004521F0" w:rsidRDefault="00AA3994" w:rsidP="00354AA1">
      <w:pPr>
        <w:jc w:val="both"/>
      </w:pPr>
      <w:r>
        <w:t>This chapter provides a starting point for a national approach to engaging with children and considering their concerns as contemporary consumers and</w:t>
      </w:r>
      <w:r w:rsidRPr="00F47491">
        <w:t xml:space="preserve"> work</w:t>
      </w:r>
      <w:r>
        <w:t>ing</w:t>
      </w:r>
      <w:r w:rsidRPr="00F47491">
        <w:t xml:space="preserve"> </w:t>
      </w:r>
      <w:r>
        <w:t xml:space="preserve">collaboratively </w:t>
      </w:r>
      <w:r w:rsidRPr="00F47491">
        <w:t>with business to improve the</w:t>
      </w:r>
      <w:r>
        <w:t xml:space="preserve"> experiences and safeguards for children in the </w:t>
      </w:r>
      <w:r w:rsidRPr="00F47491">
        <w:t xml:space="preserve">consumer </w:t>
      </w:r>
      <w:r w:rsidRPr="004521F0">
        <w:t>context.</w:t>
      </w:r>
    </w:p>
    <w:p w14:paraId="20ABE4C7" w14:textId="77777777" w:rsidR="00AA3994" w:rsidRPr="004521F0" w:rsidRDefault="00AA3994" w:rsidP="00354AA1">
      <w:pPr>
        <w:jc w:val="both"/>
      </w:pPr>
      <w:r w:rsidRPr="004521F0">
        <w:t>As part of my ongoing focus on business and children’s rights, I will be co-hosting a one-day conference on Universal Children’s Day, 20 November 2015, on the ‘Rights of the Child Consumer’. The aim of this conference is to better understand the contemporary rights issues confronting children as consumers.</w:t>
      </w:r>
    </w:p>
    <w:p w14:paraId="7D7472CB" w14:textId="4B4251EE" w:rsidR="00AA3994" w:rsidRPr="004521F0" w:rsidRDefault="00AA3994" w:rsidP="00354AA1">
      <w:pPr>
        <w:jc w:val="both"/>
      </w:pPr>
      <w:r w:rsidRPr="004521F0">
        <w:t>The conference will seek to identify opportunities for businesses, government and the not-for-profit sector to work together to improve children’s experiences as active consumers, and to highlight areas where better protection for children’s rights may be needed. Of particular focus will be businesses involved in media and entertainment, telecommunications, gaming and online purchasing</w:t>
      </w:r>
      <w:r w:rsidR="007D74F3">
        <w:t xml:space="preserve">, </w:t>
      </w:r>
      <w:r w:rsidRPr="004521F0">
        <w:t>all areas where children are particularly active as consumers.</w:t>
      </w:r>
    </w:p>
    <w:p w14:paraId="7764C10A" w14:textId="77777777" w:rsidR="00AA3994" w:rsidRDefault="00AA3994" w:rsidP="00354AA1">
      <w:pPr>
        <w:jc w:val="both"/>
      </w:pPr>
      <w:r w:rsidRPr="004521F0">
        <w:t>As well as representatives from government and the corporate sector, the conference will also feature children and young people who will share their personal insights and experiences as consumers.</w:t>
      </w:r>
    </w:p>
    <w:p w14:paraId="6F4EA107" w14:textId="6742C51C" w:rsidR="00AA3994" w:rsidRDefault="00B77005" w:rsidP="00354AA1">
      <w:pPr>
        <w:pStyle w:val="Heading2"/>
        <w:jc w:val="both"/>
      </w:pPr>
      <w:bookmarkStart w:id="144" w:name="_Toc430333112"/>
      <w:bookmarkStart w:id="145" w:name="_Toc430702105"/>
      <w:r>
        <w:br w:type="column"/>
      </w:r>
      <w:bookmarkStart w:id="146" w:name="_Toc432577319"/>
      <w:r w:rsidR="00AA3994">
        <w:lastRenderedPageBreak/>
        <w:t>Recommendation</w:t>
      </w:r>
      <w:bookmarkEnd w:id="144"/>
      <w:bookmarkEnd w:id="145"/>
      <w:r w:rsidR="008E691B">
        <w:t>s</w:t>
      </w:r>
      <w:bookmarkEnd w:id="146"/>
    </w:p>
    <w:tbl>
      <w:tblPr>
        <w:tblStyle w:val="TableGrid"/>
        <w:tblW w:w="0" w:type="auto"/>
        <w:shd w:val="clear" w:color="auto" w:fill="F2F2F2" w:themeFill="background1" w:themeFillShade="F2"/>
        <w:tblLook w:val="04A0" w:firstRow="1" w:lastRow="0" w:firstColumn="1" w:lastColumn="0" w:noHBand="0" w:noVBand="1"/>
      </w:tblPr>
      <w:tblGrid>
        <w:gridCol w:w="9060"/>
      </w:tblGrid>
      <w:tr w:rsidR="00B77005" w14:paraId="4CF40B42" w14:textId="77777777" w:rsidTr="00B77005">
        <w:tc>
          <w:tcPr>
            <w:tcW w:w="9060" w:type="dxa"/>
            <w:shd w:val="clear" w:color="auto" w:fill="F2F2F2" w:themeFill="background1" w:themeFillShade="F2"/>
          </w:tcPr>
          <w:p w14:paraId="3957BE28" w14:textId="38DF918D" w:rsidR="00B77005" w:rsidRPr="00096E0A" w:rsidRDefault="00B77005" w:rsidP="00B77005">
            <w:pPr>
              <w:jc w:val="both"/>
              <w:rPr>
                <w:b/>
              </w:rPr>
            </w:pPr>
            <w:r>
              <w:rPr>
                <w:b/>
              </w:rPr>
              <w:t>Recommendation 1:</w:t>
            </w:r>
          </w:p>
          <w:p w14:paraId="7626E38A" w14:textId="24CD1510" w:rsidR="00B77005" w:rsidRDefault="000B0E2A" w:rsidP="00B77005">
            <w:pPr>
              <w:jc w:val="both"/>
            </w:pPr>
            <w:r>
              <w:rPr>
                <w:b/>
              </w:rPr>
              <w:t>T</w:t>
            </w:r>
            <w:r w:rsidR="00B77005" w:rsidRPr="006E1730">
              <w:rPr>
                <w:b/>
              </w:rPr>
              <w:t>he</w:t>
            </w:r>
            <w:r w:rsidR="00B77005">
              <w:rPr>
                <w:b/>
              </w:rPr>
              <w:t xml:space="preserve"> Australian Government provide guidance to business and industry on how it can better respect and support children’s rights.</w:t>
            </w:r>
          </w:p>
        </w:tc>
      </w:tr>
    </w:tbl>
    <w:p w14:paraId="4960D2FE" w14:textId="77777777" w:rsidR="00B77005" w:rsidRDefault="00B77005" w:rsidP="00B77005">
      <w:pPr>
        <w:spacing w:before="0" w:after="0"/>
        <w:jc w:val="both"/>
      </w:pPr>
    </w:p>
    <w:tbl>
      <w:tblPr>
        <w:tblStyle w:val="TableGrid"/>
        <w:tblW w:w="0" w:type="auto"/>
        <w:shd w:val="clear" w:color="auto" w:fill="F2F2F2" w:themeFill="background1" w:themeFillShade="F2"/>
        <w:tblLook w:val="04A0" w:firstRow="1" w:lastRow="0" w:firstColumn="1" w:lastColumn="0" w:noHBand="0" w:noVBand="1"/>
      </w:tblPr>
      <w:tblGrid>
        <w:gridCol w:w="9060"/>
      </w:tblGrid>
      <w:tr w:rsidR="00B77005" w14:paraId="7D9373A3" w14:textId="77777777" w:rsidTr="00B77005">
        <w:tc>
          <w:tcPr>
            <w:tcW w:w="9060" w:type="dxa"/>
            <w:shd w:val="clear" w:color="auto" w:fill="F2F2F2" w:themeFill="background1" w:themeFillShade="F2"/>
          </w:tcPr>
          <w:p w14:paraId="78C3CF7D" w14:textId="496FC918" w:rsidR="00B77005" w:rsidRPr="00096E0A" w:rsidRDefault="00B77005" w:rsidP="00B77005">
            <w:pPr>
              <w:jc w:val="both"/>
              <w:rPr>
                <w:b/>
              </w:rPr>
            </w:pPr>
            <w:r>
              <w:rPr>
                <w:b/>
              </w:rPr>
              <w:t>Recommendation 2:</w:t>
            </w:r>
          </w:p>
          <w:p w14:paraId="0AFBEBD8" w14:textId="6AADC706" w:rsidR="00B77005" w:rsidRDefault="000B0E2A" w:rsidP="00B77005">
            <w:pPr>
              <w:jc w:val="both"/>
            </w:pPr>
            <w:r>
              <w:rPr>
                <w:b/>
              </w:rPr>
              <w:t>T</w:t>
            </w:r>
            <w:r w:rsidR="00B77005" w:rsidRPr="006E1730">
              <w:rPr>
                <w:b/>
              </w:rPr>
              <w:t>he</w:t>
            </w:r>
            <w:r w:rsidR="00B77005">
              <w:rPr>
                <w:b/>
              </w:rPr>
              <w:t xml:space="preserve"> Australian Government resource the Australian Human Rights Commission to undertake research on the relationship between business and children’s rights in the Australian context, particularly in relation to high risk areas such as the online consumer environment.</w:t>
            </w:r>
          </w:p>
        </w:tc>
      </w:tr>
    </w:tbl>
    <w:p w14:paraId="1C796AE8" w14:textId="03426000" w:rsidR="009F70AB" w:rsidRDefault="009F70AB" w:rsidP="009F70AB">
      <w:pPr>
        <w:pStyle w:val="Heading2"/>
      </w:pPr>
      <w:bookmarkStart w:id="147" w:name="_Toc432577320"/>
      <w:r>
        <w:t>Acknowledgments</w:t>
      </w:r>
      <w:bookmarkEnd w:id="147"/>
    </w:p>
    <w:p w14:paraId="0957E0BC" w14:textId="51E4570E" w:rsidR="009F70AB" w:rsidRDefault="009F70AB" w:rsidP="009F70AB">
      <w:pPr>
        <w:jc w:val="both"/>
        <w:rPr>
          <w:bCs/>
        </w:rPr>
      </w:pPr>
      <w:r>
        <w:t xml:space="preserve">I would like to thank </w:t>
      </w:r>
      <w:r>
        <w:rPr>
          <w:bCs/>
        </w:rPr>
        <w:t xml:space="preserve">Ms </w:t>
      </w:r>
      <w:r w:rsidRPr="00D55541">
        <w:t>Jane Farnsworth</w:t>
      </w:r>
      <w:r>
        <w:t xml:space="preserve">, </w:t>
      </w:r>
      <w:r w:rsidRPr="00D55541">
        <w:t>Special Counsel, Pro Bono &amp; Community</w:t>
      </w:r>
      <w:r>
        <w:t xml:space="preserve"> at </w:t>
      </w:r>
      <w:r w:rsidRPr="00D55541">
        <w:t>King &amp; Wood Mallesons</w:t>
      </w:r>
      <w:r>
        <w:t xml:space="preserve"> and Mr </w:t>
      </w:r>
      <w:r w:rsidRPr="000B5E9E">
        <w:rPr>
          <w:bCs/>
        </w:rPr>
        <w:t xml:space="preserve">Charles </w:t>
      </w:r>
      <w:r>
        <w:rPr>
          <w:bCs/>
        </w:rPr>
        <w:t xml:space="preserve">Davies, </w:t>
      </w:r>
      <w:r w:rsidRPr="000B5E9E">
        <w:rPr>
          <w:bCs/>
        </w:rPr>
        <w:t>Solicitor</w:t>
      </w:r>
      <w:r>
        <w:rPr>
          <w:bCs/>
        </w:rPr>
        <w:t xml:space="preserve"> at </w:t>
      </w:r>
      <w:r w:rsidRPr="000B5E9E">
        <w:rPr>
          <w:bCs/>
        </w:rPr>
        <w:t>King &amp; Wood Mallesons</w:t>
      </w:r>
      <w:r>
        <w:rPr>
          <w:bCs/>
        </w:rPr>
        <w:t xml:space="preserve"> for providing pro bono legal assistance.</w:t>
      </w:r>
    </w:p>
    <w:p w14:paraId="6270497B" w14:textId="77777777" w:rsidR="00990761" w:rsidRDefault="009F70AB" w:rsidP="009F70AB">
      <w:pPr>
        <w:jc w:val="both"/>
      </w:pPr>
      <w:r w:rsidRPr="009F70AB">
        <w:t>I sincerely thank the following schools and youth organisations for assisting me with</w:t>
      </w:r>
      <w:r>
        <w:t xml:space="preserve"> consultations about business and children’s rights:</w:t>
      </w:r>
      <w:r w:rsidRPr="009F70AB">
        <w:t xml:space="preserve"> Canterbury Boys High School, HighWater Theatre Program, Holroyd High School, Keilor Heights Primary School, Marrickville West Public School, Wodonga Middle Years College and YMCA Victoria.</w:t>
      </w:r>
    </w:p>
    <w:p w14:paraId="7E2B0FB4" w14:textId="77777777" w:rsidR="000D1D92" w:rsidRDefault="000D1D92" w:rsidP="009F70AB">
      <w:pPr>
        <w:jc w:val="both"/>
        <w:sectPr w:rsidR="000D1D92" w:rsidSect="002F5C2F">
          <w:endnotePr>
            <w:numFmt w:val="decimal"/>
          </w:endnotePr>
          <w:pgSz w:w="11906" w:h="16838" w:code="9"/>
          <w:pgMar w:top="1134" w:right="1418" w:bottom="1134" w:left="1418" w:header="709" w:footer="709" w:gutter="0"/>
          <w:cols w:space="708"/>
          <w:docGrid w:linePitch="360"/>
        </w:sectPr>
      </w:pPr>
    </w:p>
    <w:p w14:paraId="14EA7454" w14:textId="2282A474" w:rsidR="000D1D92" w:rsidRDefault="000D1D92" w:rsidP="000D1D92">
      <w:pPr>
        <w:pStyle w:val="Heading1"/>
      </w:pPr>
      <w:bookmarkStart w:id="148" w:name="_Toc432061254"/>
      <w:bookmarkStart w:id="149" w:name="_Toc432577321"/>
      <w:r>
        <w:lastRenderedPageBreak/>
        <w:t>“A</w:t>
      </w:r>
      <w:r w:rsidRPr="00EC432A">
        <w:t xml:space="preserve">ll I want is a life </w:t>
      </w:r>
      <w:r w:rsidR="00684616">
        <w:t>free from violence</w:t>
      </w:r>
      <w:r>
        <w:t>”</w:t>
      </w:r>
      <w:r w:rsidRPr="007F78F5">
        <w:rPr>
          <w:rStyle w:val="EndnoteReference"/>
          <w:b w:val="0"/>
        </w:rPr>
        <w:endnoteReference w:id="420"/>
      </w:r>
      <w:r>
        <w:t xml:space="preserve"> – the impact of family and domestic violence on children</w:t>
      </w:r>
      <w:bookmarkEnd w:id="148"/>
      <w:bookmarkEnd w:id="149"/>
    </w:p>
    <w:p w14:paraId="017D6F32" w14:textId="77777777" w:rsidR="000D1D92" w:rsidRDefault="000D1D92" w:rsidP="000D1D92">
      <w:pPr>
        <w:pStyle w:val="Heading2"/>
        <w:jc w:val="both"/>
      </w:pPr>
      <w:bookmarkStart w:id="150" w:name="_Toc432061255"/>
      <w:bookmarkStart w:id="151" w:name="_Toc432577322"/>
      <w:r>
        <w:t>Introduction</w:t>
      </w:r>
      <w:bookmarkEnd w:id="150"/>
      <w:bookmarkEnd w:id="151"/>
      <w:r>
        <w:t xml:space="preserve"> </w:t>
      </w:r>
    </w:p>
    <w:p w14:paraId="441F78E0" w14:textId="77777777" w:rsidR="000D1D92" w:rsidRDefault="000D1D92" w:rsidP="000D1D92">
      <w:pPr>
        <w:spacing w:before="0" w:after="0"/>
        <w:jc w:val="both"/>
        <w:rPr>
          <w:rFonts w:cs="Arial"/>
          <w:color w:val="231F20"/>
          <w:spacing w:val="-1"/>
        </w:rPr>
      </w:pPr>
      <w:r>
        <w:rPr>
          <w:rFonts w:cs="Arial"/>
          <w:color w:val="231F20"/>
          <w:spacing w:val="-1"/>
        </w:rPr>
        <w:t>Family and domestic violence is causing significant damage in Australia.</w:t>
      </w:r>
    </w:p>
    <w:p w14:paraId="066D0D8F" w14:textId="77777777" w:rsidR="000D1D92" w:rsidRDefault="000D1D92" w:rsidP="000D1D92">
      <w:pPr>
        <w:spacing w:before="0" w:after="0"/>
        <w:jc w:val="both"/>
        <w:rPr>
          <w:rFonts w:cs="Arial"/>
          <w:color w:val="231F20"/>
          <w:spacing w:val="-1"/>
        </w:rPr>
      </w:pPr>
    </w:p>
    <w:p w14:paraId="20ADE046" w14:textId="77777777" w:rsidR="000D1D92" w:rsidRDefault="000D1D92" w:rsidP="000D1D92">
      <w:pPr>
        <w:spacing w:before="0" w:after="0"/>
        <w:jc w:val="both"/>
        <w:rPr>
          <w:rFonts w:cs="Arial"/>
          <w:color w:val="231F20"/>
          <w:spacing w:val="-1"/>
        </w:rPr>
      </w:pPr>
      <w:r>
        <w:rPr>
          <w:rFonts w:cs="Arial"/>
          <w:color w:val="231F20"/>
          <w:spacing w:val="-1"/>
        </w:rPr>
        <w:t xml:space="preserve">It is widespread and destroying lives and families. </w:t>
      </w:r>
      <w:r>
        <w:rPr>
          <w:rFonts w:cs="Arial"/>
        </w:rPr>
        <w:t>While women are predominately the victims of violence within the family context,</w:t>
      </w:r>
      <w:r w:rsidRPr="00560EC1">
        <w:rPr>
          <w:rStyle w:val="EndnoteReference"/>
          <w:rFonts w:cs="Arial"/>
          <w:szCs w:val="20"/>
        </w:rPr>
        <w:endnoteReference w:id="421"/>
      </w:r>
      <w:r>
        <w:rPr>
          <w:rFonts w:cs="Arial"/>
        </w:rPr>
        <w:t xml:space="preserve"> many of these women have children. It is also the case that children can be victims of violence within the family. </w:t>
      </w:r>
      <w:r>
        <w:rPr>
          <w:rFonts w:cs="Arial"/>
          <w:color w:val="231F20"/>
          <w:spacing w:val="-1"/>
        </w:rPr>
        <w:t xml:space="preserve">Its effect has consequences in the immediate term and cumulatively over many years and through the generations.  </w:t>
      </w:r>
    </w:p>
    <w:p w14:paraId="49818F2F" w14:textId="77777777" w:rsidR="000D1D92" w:rsidRDefault="000D1D92" w:rsidP="000D1D92">
      <w:pPr>
        <w:jc w:val="both"/>
        <w:rPr>
          <w:rFonts w:cs="Arial"/>
        </w:rPr>
      </w:pPr>
      <w:r>
        <w:t>In early 2015, I chose</w:t>
      </w:r>
      <w:r w:rsidRPr="00B153D4">
        <w:t xml:space="preserve"> </w:t>
      </w:r>
      <w:r w:rsidRPr="008A5004">
        <w:t>to</w:t>
      </w:r>
      <w:r w:rsidRPr="00747EF2">
        <w:t xml:space="preserve"> focus this</w:t>
      </w:r>
      <w:r>
        <w:t xml:space="preserve"> year’s Children’s Rights R</w:t>
      </w:r>
      <w:r w:rsidRPr="00747EF2">
        <w:t>eport on</w:t>
      </w:r>
      <w:r>
        <w:rPr>
          <w:b/>
        </w:rPr>
        <w:t xml:space="preserve"> </w:t>
      </w:r>
      <w:r w:rsidRPr="006337B5">
        <w:rPr>
          <w:b/>
        </w:rPr>
        <w:t>how children aged 0</w:t>
      </w:r>
      <w:r>
        <w:rPr>
          <w:b/>
        </w:rPr>
        <w:t xml:space="preserve"> to </w:t>
      </w:r>
      <w:r w:rsidRPr="006337B5">
        <w:rPr>
          <w:b/>
        </w:rPr>
        <w:t>17 years</w:t>
      </w:r>
      <w:r>
        <w:rPr>
          <w:b/>
        </w:rPr>
        <w:t xml:space="preserve"> </w:t>
      </w:r>
      <w:r w:rsidRPr="006337B5">
        <w:rPr>
          <w:b/>
        </w:rPr>
        <w:t>are affected by family and domestic violence.</w:t>
      </w:r>
      <w:r>
        <w:rPr>
          <w:b/>
        </w:rPr>
        <w:t xml:space="preserve"> </w:t>
      </w:r>
      <w:r>
        <w:rPr>
          <w:rFonts w:cs="Arial"/>
        </w:rPr>
        <w:t>Children who live in homes characterised by violence are often the silent, forgotten, unintended, invisible victims.</w:t>
      </w:r>
      <w:r>
        <w:rPr>
          <w:rStyle w:val="EndnoteReference"/>
          <w:rFonts w:cs="Arial"/>
        </w:rPr>
        <w:endnoteReference w:id="422"/>
      </w:r>
    </w:p>
    <w:p w14:paraId="0A5EC8EE" w14:textId="77777777" w:rsidR="000D1D92" w:rsidRDefault="000D1D92" w:rsidP="000D1D92">
      <w:pPr>
        <w:jc w:val="both"/>
        <w:rPr>
          <w:rFonts w:cs="Arial"/>
        </w:rPr>
      </w:pPr>
      <w:r>
        <w:rPr>
          <w:rFonts w:cs="Arial"/>
        </w:rPr>
        <w:t>C</w:t>
      </w:r>
      <w:r w:rsidRPr="007A566F">
        <w:rPr>
          <w:rFonts w:cs="Arial"/>
        </w:rPr>
        <w:t xml:space="preserve">hildren </w:t>
      </w:r>
      <w:r>
        <w:rPr>
          <w:rFonts w:cs="Arial"/>
        </w:rPr>
        <w:t xml:space="preserve">directly raised with me </w:t>
      </w:r>
      <w:r w:rsidRPr="008E0FDD">
        <w:rPr>
          <w:rFonts w:cs="Arial"/>
          <w:b/>
        </w:rPr>
        <w:t>the importance o</w:t>
      </w:r>
      <w:r>
        <w:rPr>
          <w:rFonts w:cs="Arial"/>
          <w:b/>
        </w:rPr>
        <w:t xml:space="preserve">f living free from all forms of </w:t>
      </w:r>
      <w:r w:rsidRPr="008E0FDD">
        <w:rPr>
          <w:rFonts w:cs="Arial"/>
          <w:b/>
        </w:rPr>
        <w:t>violence</w:t>
      </w:r>
      <w:r>
        <w:rPr>
          <w:rFonts w:cs="Arial"/>
        </w:rPr>
        <w:t xml:space="preserve"> during</w:t>
      </w:r>
      <w:r w:rsidRPr="007A566F">
        <w:rPr>
          <w:rFonts w:cs="Arial"/>
        </w:rPr>
        <w:t xml:space="preserve"> </w:t>
      </w:r>
      <w:r>
        <w:rPr>
          <w:rFonts w:cs="Arial"/>
        </w:rPr>
        <w:t>my</w:t>
      </w:r>
      <w:r w:rsidRPr="007A566F">
        <w:rPr>
          <w:rFonts w:cs="Arial"/>
        </w:rPr>
        <w:t xml:space="preserve"> listening tour in 2013</w:t>
      </w:r>
      <w:r>
        <w:rPr>
          <w:rFonts w:cs="Arial"/>
        </w:rPr>
        <w:t xml:space="preserve">. My statutory report in </w:t>
      </w:r>
      <w:r w:rsidRPr="007A566F">
        <w:rPr>
          <w:rFonts w:cs="Arial"/>
        </w:rPr>
        <w:t xml:space="preserve">2013 identified the protection of children from violence as a priority issue for </w:t>
      </w:r>
      <w:r>
        <w:rPr>
          <w:rFonts w:cs="Arial"/>
        </w:rPr>
        <w:t>my term as National Children’s Commissioner</w:t>
      </w:r>
      <w:r w:rsidRPr="007A566F">
        <w:rPr>
          <w:rFonts w:cs="Arial"/>
        </w:rPr>
        <w:t>.</w:t>
      </w:r>
      <w:r w:rsidRPr="007A566F">
        <w:rPr>
          <w:rStyle w:val="EndnoteReference"/>
          <w:rFonts w:cs="Arial"/>
        </w:rPr>
        <w:endnoteReference w:id="423"/>
      </w:r>
      <w:r>
        <w:rPr>
          <w:rFonts w:cs="Arial"/>
        </w:rPr>
        <w:t xml:space="preserve"> </w:t>
      </w:r>
    </w:p>
    <w:p w14:paraId="714F178B" w14:textId="77777777" w:rsidR="000D1D92" w:rsidRDefault="000D1D92" w:rsidP="000D1D92">
      <w:pPr>
        <w:jc w:val="both"/>
        <w:rPr>
          <w:rFonts w:cs="Arial"/>
        </w:rPr>
      </w:pPr>
      <w:r>
        <w:rPr>
          <w:rFonts w:cs="Arial"/>
        </w:rPr>
        <w:t xml:space="preserve">The impact of family and domestic violence was again raised with me in 2014 in my examination of intentional self-harm, with or without suicidal intent, among children aged 0 to 17 years. </w:t>
      </w:r>
    </w:p>
    <w:p w14:paraId="02471B79" w14:textId="77777777" w:rsidR="000D1D92" w:rsidRDefault="000D1D92" w:rsidP="000D1D92">
      <w:pPr>
        <w:jc w:val="both"/>
        <w:rPr>
          <w:rFonts w:cs="Arial"/>
        </w:rPr>
      </w:pPr>
      <w:r>
        <w:rPr>
          <w:rFonts w:cs="Arial"/>
        </w:rPr>
        <w:t>For example, in one jurisdiction, a police representative at a roundtable stated that ‘every child who suicided in the last 12 months came from a domestic violence family’.</w:t>
      </w:r>
      <w:r>
        <w:rPr>
          <w:rStyle w:val="EndnoteReference"/>
          <w:rFonts w:cs="Arial"/>
        </w:rPr>
        <w:endnoteReference w:id="424"/>
      </w:r>
      <w:r>
        <w:rPr>
          <w:rFonts w:cs="Arial"/>
        </w:rPr>
        <w:t xml:space="preserve"> </w:t>
      </w:r>
    </w:p>
    <w:p w14:paraId="7CF59AB0" w14:textId="77777777" w:rsidR="000D1D92" w:rsidRDefault="000D1D92" w:rsidP="000D1D92">
      <w:pPr>
        <w:jc w:val="both"/>
        <w:rPr>
          <w:rFonts w:cs="Arial"/>
        </w:rPr>
      </w:pPr>
      <w:r>
        <w:rPr>
          <w:rFonts w:cs="Arial"/>
        </w:rPr>
        <w:t xml:space="preserve">In June 2014, the Australian Crime Commission concluded its eight year investigation of abuse in Aboriginal and Torres Strait Islander </w:t>
      </w:r>
      <w:r w:rsidRPr="000B2D96">
        <w:rPr>
          <w:rFonts w:cs="Arial"/>
        </w:rPr>
        <w:t xml:space="preserve">communities and </w:t>
      </w:r>
      <w:r>
        <w:rPr>
          <w:rFonts w:cs="Arial"/>
        </w:rPr>
        <w:t xml:space="preserve">similarly </w:t>
      </w:r>
      <w:r w:rsidRPr="000B2D96">
        <w:rPr>
          <w:rFonts w:cs="Arial"/>
        </w:rPr>
        <w:t>reported</w:t>
      </w:r>
      <w:r>
        <w:rPr>
          <w:rFonts w:cs="Arial"/>
        </w:rPr>
        <w:t xml:space="preserve"> that </w:t>
      </w:r>
      <w:r w:rsidRPr="000B2D96">
        <w:rPr>
          <w:rFonts w:cs="Arial"/>
        </w:rPr>
        <w:t>‘there are clear links between suicide and self-harm and domestic violence’.</w:t>
      </w:r>
      <w:r w:rsidRPr="000B2D96">
        <w:rPr>
          <w:rStyle w:val="EndnoteReference"/>
          <w:rFonts w:cs="Arial"/>
          <w:szCs w:val="22"/>
        </w:rPr>
        <w:endnoteReference w:id="425"/>
      </w:r>
      <w:r>
        <w:rPr>
          <w:rFonts w:cs="Arial"/>
        </w:rPr>
        <w:t xml:space="preserve"> </w:t>
      </w:r>
    </w:p>
    <w:p w14:paraId="753C58CF" w14:textId="77777777" w:rsidR="000D1D92" w:rsidRDefault="000D1D92" w:rsidP="000D1D92">
      <w:pPr>
        <w:jc w:val="both"/>
        <w:rPr>
          <w:rFonts w:cs="Arial"/>
        </w:rPr>
      </w:pPr>
      <w:r>
        <w:rPr>
          <w:rFonts w:cs="Arial"/>
        </w:rPr>
        <w:t xml:space="preserve">My statutory report in </w:t>
      </w:r>
      <w:r w:rsidRPr="000B2D96">
        <w:rPr>
          <w:rFonts w:cs="Arial"/>
        </w:rPr>
        <w:t xml:space="preserve">2014 identified the </w:t>
      </w:r>
      <w:r w:rsidRPr="007D63B2">
        <w:rPr>
          <w:rFonts w:cs="Arial"/>
          <w:b/>
        </w:rPr>
        <w:t>intersection of intentional self-harm and family and domestic violence</w:t>
      </w:r>
      <w:r w:rsidRPr="000B2D96">
        <w:rPr>
          <w:rFonts w:cs="Arial"/>
        </w:rPr>
        <w:t xml:space="preserve"> as a research priority.</w:t>
      </w:r>
      <w:r w:rsidRPr="000B2D96">
        <w:rPr>
          <w:rFonts w:cs="Arial"/>
          <w:sz w:val="20"/>
          <w:vertAlign w:val="superscript"/>
        </w:rPr>
        <w:endnoteReference w:id="426"/>
      </w:r>
    </w:p>
    <w:p w14:paraId="2727EC52" w14:textId="77777777" w:rsidR="000D1D92" w:rsidRDefault="000D1D92" w:rsidP="000D1D92">
      <w:pPr>
        <w:jc w:val="both"/>
        <w:rPr>
          <w:rFonts w:cs="Arial"/>
        </w:rPr>
      </w:pPr>
      <w:r>
        <w:rPr>
          <w:rFonts w:cs="Arial"/>
        </w:rPr>
        <w:t xml:space="preserve">Over the last two years the impact of family and domestic violence on women and their children has increasingly been the subject of media attention and policy initiatives. </w:t>
      </w:r>
    </w:p>
    <w:p w14:paraId="41A1C7A7" w14:textId="77777777" w:rsidR="000D1D92" w:rsidRDefault="000D1D92" w:rsidP="000D1D92">
      <w:pPr>
        <w:jc w:val="both"/>
        <w:rPr>
          <w:rFonts w:cs="Arial"/>
        </w:rPr>
      </w:pPr>
      <w:r>
        <w:rPr>
          <w:rFonts w:cs="Arial"/>
        </w:rPr>
        <w:t>Through this research, I am seeking to ensure that the voices and needs of children are an explicit focus in the important national conversation currently underway. Children’s experiences of violence must be central to all measures that we take to prevent violence and to deal with the consequences where it has occurred.</w:t>
      </w:r>
    </w:p>
    <w:p w14:paraId="76751E8B" w14:textId="77777777" w:rsidR="000D1D92" w:rsidRPr="00A04351" w:rsidRDefault="000D1D92" w:rsidP="000D1D92">
      <w:pPr>
        <w:pStyle w:val="Heading3"/>
      </w:pPr>
      <w:bookmarkStart w:id="152" w:name="_Toc432061256"/>
      <w:r w:rsidRPr="00A04351">
        <w:lastRenderedPageBreak/>
        <w:t>Terminology: Family and domestic violence</w:t>
      </w:r>
      <w:bookmarkEnd w:id="152"/>
    </w:p>
    <w:p w14:paraId="0621A247" w14:textId="77777777" w:rsidR="000D1D92" w:rsidRDefault="000D1D92" w:rsidP="000D1D92">
      <w:pPr>
        <w:spacing w:before="0" w:after="0"/>
        <w:jc w:val="both"/>
        <w:rPr>
          <w:rFonts w:cs="Arial"/>
        </w:rPr>
      </w:pPr>
      <w:r>
        <w:rPr>
          <w:rFonts w:cs="Arial"/>
        </w:rPr>
        <w:t xml:space="preserve">I use the term ‘family and domestic violence’ throughout my report. </w:t>
      </w:r>
    </w:p>
    <w:p w14:paraId="535B20EF" w14:textId="77777777" w:rsidR="000D1D92" w:rsidRDefault="000D1D92" w:rsidP="000D1D92">
      <w:pPr>
        <w:spacing w:before="0" w:after="0"/>
        <w:jc w:val="both"/>
        <w:rPr>
          <w:rFonts w:cs="Arial"/>
        </w:rPr>
      </w:pPr>
    </w:p>
    <w:p w14:paraId="6A0B51EE" w14:textId="77777777" w:rsidR="000D1D92" w:rsidRDefault="000D1D92" w:rsidP="000D1D92">
      <w:pPr>
        <w:spacing w:before="0" w:after="0"/>
        <w:jc w:val="both"/>
        <w:rPr>
          <w:rFonts w:cs="Arial"/>
        </w:rPr>
      </w:pPr>
      <w:r>
        <w:rPr>
          <w:rFonts w:cs="Arial"/>
        </w:rPr>
        <w:t>The use of the term ‘family and domestic violence’ is more inclusive of all those who are affected by it, including children.</w:t>
      </w:r>
    </w:p>
    <w:p w14:paraId="4F5300E2" w14:textId="77777777" w:rsidR="000D1D92" w:rsidRDefault="000D1D92" w:rsidP="000D1D92">
      <w:pPr>
        <w:spacing w:before="0" w:after="0"/>
        <w:jc w:val="both"/>
        <w:rPr>
          <w:rFonts w:cs="Arial"/>
        </w:rPr>
      </w:pPr>
    </w:p>
    <w:p w14:paraId="3E55CDBF" w14:textId="77777777" w:rsidR="000D1D92" w:rsidRDefault="000D1D92" w:rsidP="000D1D92">
      <w:pPr>
        <w:spacing w:before="0" w:after="0"/>
        <w:jc w:val="both"/>
        <w:rPr>
          <w:rFonts w:cs="Arial"/>
        </w:rPr>
      </w:pPr>
      <w:r>
        <w:rPr>
          <w:rFonts w:cs="Arial"/>
        </w:rPr>
        <w:t>The Australian Bureau of Statistics (ABS) also uses the term ‘family and domestic violence’ because it:</w:t>
      </w:r>
    </w:p>
    <w:p w14:paraId="7CC2E496" w14:textId="77777777" w:rsidR="000D1D92" w:rsidRDefault="000D1D92" w:rsidP="000D1D92">
      <w:pPr>
        <w:spacing w:before="0" w:after="0"/>
        <w:ind w:left="720"/>
        <w:jc w:val="both"/>
        <w:rPr>
          <w:rFonts w:cs="Arial"/>
        </w:rPr>
      </w:pPr>
    </w:p>
    <w:p w14:paraId="5BC84447" w14:textId="77777777" w:rsidR="000D1D92" w:rsidRDefault="000D1D92" w:rsidP="000D1D92">
      <w:pPr>
        <w:spacing w:before="0" w:after="0"/>
        <w:ind w:left="720"/>
        <w:jc w:val="both"/>
        <w:rPr>
          <w:rFonts w:cs="Arial"/>
        </w:rPr>
      </w:pPr>
      <w:r>
        <w:rPr>
          <w:rFonts w:cs="Arial"/>
          <w:sz w:val="22"/>
          <w:szCs w:val="22"/>
        </w:rPr>
        <w:t>r</w:t>
      </w:r>
      <w:r w:rsidRPr="000F0C87">
        <w:rPr>
          <w:rFonts w:cs="Arial"/>
          <w:sz w:val="22"/>
          <w:szCs w:val="22"/>
        </w:rPr>
        <w:t>eflect</w:t>
      </w:r>
      <w:r>
        <w:rPr>
          <w:rFonts w:cs="Arial"/>
          <w:sz w:val="22"/>
          <w:szCs w:val="22"/>
        </w:rPr>
        <w:t>[s]</w:t>
      </w:r>
      <w:r w:rsidRPr="000F0C87">
        <w:rPr>
          <w:rFonts w:cs="Arial"/>
          <w:sz w:val="22"/>
          <w:szCs w:val="22"/>
        </w:rPr>
        <w:t xml:space="preserve"> the mixed use of the terms 'Family Violence' and 'Domestic Violence' and is a combination of the various contextual elements implicit in these individual terms, including relationships, location of offences, and/or domestic arrangements</w:t>
      </w:r>
      <w:r w:rsidRPr="00EA66C1">
        <w:rPr>
          <w:rFonts w:cs="Arial"/>
        </w:rPr>
        <w:t>.</w:t>
      </w:r>
      <w:r w:rsidRPr="00560EC1">
        <w:rPr>
          <w:rStyle w:val="EndnoteReference"/>
          <w:rFonts w:cs="Arial"/>
          <w:szCs w:val="20"/>
        </w:rPr>
        <w:endnoteReference w:id="427"/>
      </w:r>
    </w:p>
    <w:p w14:paraId="2CF04650" w14:textId="77777777" w:rsidR="000D1D92" w:rsidRDefault="000D1D92" w:rsidP="000D1D92">
      <w:pPr>
        <w:spacing w:before="0" w:after="0"/>
        <w:jc w:val="both"/>
        <w:rPr>
          <w:rFonts w:cs="Arial"/>
        </w:rPr>
      </w:pPr>
    </w:p>
    <w:p w14:paraId="18C641D5" w14:textId="77777777" w:rsidR="000D1D92" w:rsidRDefault="000D1D92" w:rsidP="000D1D92">
      <w:pPr>
        <w:spacing w:before="0" w:after="0"/>
        <w:jc w:val="both"/>
        <w:rPr>
          <w:rFonts w:cs="Arial"/>
        </w:rPr>
      </w:pPr>
      <w:r>
        <w:rPr>
          <w:rFonts w:cs="Arial"/>
        </w:rPr>
        <w:t>I acknowledge, however, that i</w:t>
      </w:r>
      <w:r w:rsidRPr="00A76549">
        <w:rPr>
          <w:rFonts w:cs="Arial"/>
        </w:rPr>
        <w:t>n Aboriginal and Torres Strait Islander communities</w:t>
      </w:r>
      <w:r>
        <w:rPr>
          <w:rFonts w:cs="Arial"/>
        </w:rPr>
        <w:t xml:space="preserve"> </w:t>
      </w:r>
      <w:r w:rsidRPr="00A76549">
        <w:rPr>
          <w:rFonts w:cs="Arial"/>
        </w:rPr>
        <w:t xml:space="preserve">the term ‘family violence’ is </w:t>
      </w:r>
      <w:r>
        <w:rPr>
          <w:rFonts w:cs="Arial"/>
        </w:rPr>
        <w:t xml:space="preserve">more commonly </w:t>
      </w:r>
      <w:r w:rsidRPr="00A76549">
        <w:rPr>
          <w:rFonts w:cs="Arial"/>
        </w:rPr>
        <w:t>used.</w:t>
      </w:r>
      <w:r>
        <w:rPr>
          <w:rFonts w:cs="Arial"/>
        </w:rPr>
        <w:t xml:space="preserve"> This reflects the lateral nature of violence in many of these communities.</w:t>
      </w:r>
    </w:p>
    <w:p w14:paraId="08D848E5" w14:textId="77777777" w:rsidR="000D1D92" w:rsidRDefault="000D1D92" w:rsidP="000D1D92">
      <w:pPr>
        <w:spacing w:before="0" w:after="0"/>
        <w:jc w:val="both"/>
        <w:rPr>
          <w:rFonts w:cs="Arial"/>
        </w:rPr>
      </w:pPr>
    </w:p>
    <w:p w14:paraId="6C713BBA" w14:textId="77777777" w:rsidR="000D1D92" w:rsidRDefault="000D1D92" w:rsidP="000D1D92">
      <w:pPr>
        <w:spacing w:before="0" w:after="0"/>
        <w:jc w:val="both"/>
        <w:rPr>
          <w:rFonts w:cs="Arial"/>
          <w:sz w:val="20"/>
          <w:szCs w:val="20"/>
        </w:rPr>
      </w:pPr>
      <w:r>
        <w:rPr>
          <w:rFonts w:cs="Arial"/>
        </w:rPr>
        <w:t xml:space="preserve">Consistent with the ABS, I use the term ‘family and domestic violence’ to describe: </w:t>
      </w:r>
      <w:r w:rsidRPr="009E4FC9">
        <w:rPr>
          <w:rFonts w:cs="Arial"/>
        </w:rPr>
        <w:t>physical violence, sexual abuse, emotional abuse, verbal abuse and intimidation, economic and social deprivation, damage of personal property, and abuse of power which can occur within spouse and de-facto relationships, ex-spouse and ex-de-facto relationships, cultural and kinship relationship</w:t>
      </w:r>
      <w:r w:rsidRPr="00BE079D">
        <w:rPr>
          <w:rFonts w:cs="Arial"/>
        </w:rPr>
        <w:t xml:space="preserve">s, parent-child relationships, sibling relationships, </w:t>
      </w:r>
      <w:r w:rsidRPr="00B66249">
        <w:rPr>
          <w:rFonts w:cs="Arial"/>
        </w:rPr>
        <w:t>and foster and guardian relationships.</w:t>
      </w:r>
      <w:r w:rsidRPr="00560EC1">
        <w:rPr>
          <w:rStyle w:val="EndnoteReference"/>
          <w:rFonts w:cs="Arial"/>
          <w:szCs w:val="20"/>
        </w:rPr>
        <w:endnoteReference w:id="428"/>
      </w:r>
    </w:p>
    <w:p w14:paraId="4F0D33CC" w14:textId="77777777" w:rsidR="000D1D92" w:rsidRDefault="000D1D92" w:rsidP="000D1D92">
      <w:pPr>
        <w:pStyle w:val="Heading3"/>
      </w:pPr>
      <w:bookmarkStart w:id="153" w:name="_Toc432061257"/>
      <w:r>
        <w:t>Current measures to address family and domestic violence</w:t>
      </w:r>
      <w:bookmarkEnd w:id="153"/>
    </w:p>
    <w:p w14:paraId="4889023C" w14:textId="77777777" w:rsidR="000D1D92" w:rsidRDefault="000D1D92" w:rsidP="000D1D92">
      <w:pPr>
        <w:autoSpaceDE w:val="0"/>
        <w:autoSpaceDN w:val="0"/>
        <w:adjustRightInd w:val="0"/>
        <w:spacing w:before="0" w:after="0"/>
        <w:jc w:val="both"/>
        <w:rPr>
          <w:rFonts w:cs="Arial"/>
        </w:rPr>
      </w:pPr>
      <w:r w:rsidRPr="00591168">
        <w:rPr>
          <w:rFonts w:cs="Arial"/>
        </w:rPr>
        <w:t>There are two significant national policy measures in Australia to prote</w:t>
      </w:r>
      <w:r>
        <w:rPr>
          <w:rFonts w:cs="Arial"/>
        </w:rPr>
        <w:t>ct children and reduce violence:</w:t>
      </w:r>
      <w:r w:rsidRPr="00591168">
        <w:rPr>
          <w:rFonts w:cs="Arial"/>
        </w:rPr>
        <w:t xml:space="preserve"> the </w:t>
      </w:r>
      <w:r w:rsidRPr="00591168">
        <w:rPr>
          <w:rFonts w:cs="Arial"/>
          <w:b/>
        </w:rPr>
        <w:t>National Framework for Protecting Australia’s Children 2009-2020</w:t>
      </w:r>
      <w:r w:rsidRPr="00591168">
        <w:rPr>
          <w:rFonts w:cs="Arial"/>
        </w:rPr>
        <w:t xml:space="preserve"> (the National Framework) and the </w:t>
      </w:r>
      <w:r w:rsidRPr="00591168">
        <w:rPr>
          <w:rFonts w:cs="Arial"/>
          <w:b/>
        </w:rPr>
        <w:t>National Plan to Reduce Violence against Women and their Children 2010-2022</w:t>
      </w:r>
      <w:r w:rsidRPr="00591168">
        <w:rPr>
          <w:rFonts w:cs="Arial"/>
        </w:rPr>
        <w:t xml:space="preserve"> (the National Plan).</w:t>
      </w:r>
    </w:p>
    <w:p w14:paraId="4B278B91" w14:textId="77777777" w:rsidR="000D1D92" w:rsidRDefault="000D1D92" w:rsidP="000D1D92">
      <w:pPr>
        <w:autoSpaceDE w:val="0"/>
        <w:autoSpaceDN w:val="0"/>
        <w:adjustRightInd w:val="0"/>
        <w:spacing w:before="0" w:after="0"/>
        <w:jc w:val="both"/>
        <w:rPr>
          <w:rFonts w:cs="Arial"/>
        </w:rPr>
      </w:pPr>
    </w:p>
    <w:p w14:paraId="4722165D" w14:textId="77777777" w:rsidR="000D1D92" w:rsidRDefault="000D1D92" w:rsidP="000D1D92">
      <w:pPr>
        <w:autoSpaceDE w:val="0"/>
        <w:autoSpaceDN w:val="0"/>
        <w:adjustRightInd w:val="0"/>
        <w:spacing w:before="0" w:after="0"/>
        <w:jc w:val="both"/>
        <w:rPr>
          <w:rFonts w:cs="Arial"/>
        </w:rPr>
      </w:pPr>
      <w:r w:rsidRPr="00591168">
        <w:rPr>
          <w:rFonts w:cs="Arial"/>
        </w:rPr>
        <w:t xml:space="preserve">The gendered nature of family </w:t>
      </w:r>
      <w:r>
        <w:rPr>
          <w:rFonts w:cs="Arial"/>
        </w:rPr>
        <w:t xml:space="preserve">and domestic </w:t>
      </w:r>
      <w:r w:rsidRPr="00591168">
        <w:rPr>
          <w:rFonts w:cs="Arial"/>
        </w:rPr>
        <w:t xml:space="preserve">violence is recognised in the National Framework and the National Plan. Both </w:t>
      </w:r>
      <w:r>
        <w:rPr>
          <w:rFonts w:cs="Arial"/>
        </w:rPr>
        <w:t xml:space="preserve">also </w:t>
      </w:r>
      <w:r w:rsidRPr="00591168">
        <w:rPr>
          <w:rFonts w:cs="Arial"/>
        </w:rPr>
        <w:t>identify family and domestic violence as a major risk factor associated with child abuse and neglect</w:t>
      </w:r>
      <w:r w:rsidRPr="00203857">
        <w:rPr>
          <w:rStyle w:val="EndnoteReference"/>
          <w:rFonts w:cs="Arial"/>
          <w:szCs w:val="20"/>
        </w:rPr>
        <w:endnoteReference w:id="429"/>
      </w:r>
      <w:r>
        <w:rPr>
          <w:rFonts w:cs="Arial"/>
        </w:rPr>
        <w:t xml:space="preserve"> and </w:t>
      </w:r>
      <w:r w:rsidRPr="00591168">
        <w:rPr>
          <w:rFonts w:cs="Arial"/>
        </w:rPr>
        <w:t>commit to reducing family and domestic violence and its impact on children.</w:t>
      </w:r>
      <w:r w:rsidRPr="00203857">
        <w:rPr>
          <w:rStyle w:val="EndnoteReference"/>
          <w:rFonts w:cs="Arial"/>
          <w:szCs w:val="20"/>
        </w:rPr>
        <w:endnoteReference w:id="430"/>
      </w:r>
    </w:p>
    <w:p w14:paraId="01C0BBB7" w14:textId="77777777" w:rsidR="000D1D92" w:rsidRPr="00FE1824" w:rsidRDefault="000D1D92" w:rsidP="000D1D92">
      <w:pPr>
        <w:jc w:val="both"/>
        <w:rPr>
          <w:rFonts w:cs="Arial"/>
        </w:rPr>
      </w:pPr>
      <w:r w:rsidRPr="00FE1824">
        <w:rPr>
          <w:rFonts w:cs="Arial"/>
        </w:rPr>
        <w:t>The</w:t>
      </w:r>
      <w:r w:rsidRPr="00FE1824">
        <w:rPr>
          <w:rFonts w:cs="Arial"/>
          <w:b/>
        </w:rPr>
        <w:t xml:space="preserve"> National Framework</w:t>
      </w:r>
      <w:r w:rsidRPr="00FE1824">
        <w:rPr>
          <w:rFonts w:cs="Arial"/>
        </w:rPr>
        <w:t xml:space="preserve"> is Australia’s long-term plan to promote and enhance the safety and wellbeing of Australia’s children. It is being implemented through a series of three year </w:t>
      </w:r>
      <w:r>
        <w:rPr>
          <w:rFonts w:cs="Arial"/>
        </w:rPr>
        <w:t>A</w:t>
      </w:r>
      <w:r w:rsidRPr="00FE1824">
        <w:rPr>
          <w:rFonts w:cs="Arial"/>
        </w:rPr>
        <w:t xml:space="preserve">ction </w:t>
      </w:r>
      <w:r>
        <w:rPr>
          <w:rFonts w:cs="Arial"/>
        </w:rPr>
        <w:t>P</w:t>
      </w:r>
      <w:r w:rsidRPr="00FE1824">
        <w:rPr>
          <w:rFonts w:cs="Arial"/>
        </w:rPr>
        <w:t>lans.</w:t>
      </w:r>
    </w:p>
    <w:p w14:paraId="59EE0B5C" w14:textId="77777777" w:rsidR="000D1D92" w:rsidRPr="00FE1824" w:rsidRDefault="000D1D92" w:rsidP="000D1D92">
      <w:pPr>
        <w:jc w:val="both"/>
        <w:rPr>
          <w:rFonts w:cs="Arial"/>
        </w:rPr>
      </w:pPr>
      <w:r w:rsidRPr="00FE1824">
        <w:rPr>
          <w:rFonts w:cs="Arial"/>
        </w:rPr>
        <w:t xml:space="preserve">The Third Action Plan </w:t>
      </w:r>
      <w:r>
        <w:rPr>
          <w:rFonts w:cs="Arial"/>
        </w:rPr>
        <w:t>is due to be released in late</w:t>
      </w:r>
      <w:r w:rsidRPr="00FE1824">
        <w:rPr>
          <w:rFonts w:cs="Arial"/>
        </w:rPr>
        <w:t xml:space="preserve"> 2015. Three overarching strategies and two cross-cutting focus areas form the basis of the Third Action Plan.  Strategy 1:  Early Intervention with a focus on the early years, particularly the first 1000 days for a child includes specific reference to family and domestic violence as does the cross-cutting focus area, Aboriginal and Torres Strait Islander Children and Families.</w:t>
      </w:r>
    </w:p>
    <w:p w14:paraId="1C36A4E3" w14:textId="77777777" w:rsidR="000D1D92" w:rsidRDefault="000D1D92" w:rsidP="000D1D92">
      <w:pPr>
        <w:jc w:val="both"/>
        <w:rPr>
          <w:rFonts w:cs="Arial"/>
        </w:rPr>
      </w:pPr>
      <w:r w:rsidRPr="00FE1824">
        <w:rPr>
          <w:rFonts w:cs="Arial"/>
        </w:rPr>
        <w:t xml:space="preserve">Progress under the Third Action Plan will be monitored through </w:t>
      </w:r>
      <w:r>
        <w:rPr>
          <w:rFonts w:cs="Arial"/>
        </w:rPr>
        <w:t xml:space="preserve">a governance arrangement comprising state, territory and federal governments and the non-government sector, as well as </w:t>
      </w:r>
      <w:r w:rsidRPr="00FE1824">
        <w:rPr>
          <w:rFonts w:cs="Arial"/>
        </w:rPr>
        <w:t>annual reports.</w:t>
      </w:r>
    </w:p>
    <w:p w14:paraId="7760687C" w14:textId="77777777" w:rsidR="000D1D92" w:rsidRDefault="000D1D92" w:rsidP="000D1D92">
      <w:pPr>
        <w:jc w:val="both"/>
        <w:rPr>
          <w:rFonts w:cs="Arial"/>
        </w:rPr>
      </w:pPr>
      <w:r>
        <w:rPr>
          <w:rFonts w:cs="Arial"/>
        </w:rPr>
        <w:lastRenderedPageBreak/>
        <w:t xml:space="preserve">The </w:t>
      </w:r>
      <w:r w:rsidRPr="004068C7">
        <w:rPr>
          <w:rFonts w:cs="Arial"/>
          <w:b/>
        </w:rPr>
        <w:t xml:space="preserve">National Plan </w:t>
      </w:r>
      <w:r>
        <w:rPr>
          <w:rFonts w:cs="Arial"/>
        </w:rPr>
        <w:t>is being implemented through four successive three-year Action Plans up to 2022.</w:t>
      </w:r>
      <w:r>
        <w:rPr>
          <w:rStyle w:val="EndnoteReference"/>
          <w:rFonts w:cs="Arial"/>
        </w:rPr>
        <w:endnoteReference w:id="431"/>
      </w:r>
      <w:r>
        <w:rPr>
          <w:rFonts w:cs="Arial"/>
        </w:rPr>
        <w:t xml:space="preserve"> It</w:t>
      </w:r>
      <w:r w:rsidRPr="00591168">
        <w:rPr>
          <w:rFonts w:cs="Arial"/>
        </w:rPr>
        <w:t xml:space="preserve"> specifically identifies reducing the proportion of children exposed</w:t>
      </w:r>
      <w:r>
        <w:rPr>
          <w:rFonts w:cs="Arial"/>
        </w:rPr>
        <w:t xml:space="preserve"> to their mothers’ or carers’ experiences of domestic violence as a national priority.</w:t>
      </w:r>
      <w:r>
        <w:rPr>
          <w:rStyle w:val="EndnoteReference"/>
          <w:rFonts w:cs="Arial"/>
        </w:rPr>
        <w:endnoteReference w:id="432"/>
      </w:r>
    </w:p>
    <w:p w14:paraId="48955CF3" w14:textId="77777777" w:rsidR="000D1D92" w:rsidRPr="00D13BD8" w:rsidRDefault="000D1D92" w:rsidP="000D1D92">
      <w:pPr>
        <w:rPr>
          <w:b/>
        </w:rPr>
      </w:pPr>
      <w:r w:rsidRPr="00D13BD8">
        <w:rPr>
          <w:b/>
        </w:rPr>
        <w:t>National Plan to Reduce Violence against Wome</w:t>
      </w:r>
      <w:r>
        <w:rPr>
          <w:b/>
        </w:rPr>
        <w:t>n and their Children 2010-2022</w:t>
      </w:r>
    </w:p>
    <w:p w14:paraId="251BB284" w14:textId="77777777" w:rsidR="000D1D92" w:rsidRDefault="000D1D92" w:rsidP="000D1D92">
      <w:pPr>
        <w:jc w:val="both"/>
        <w:rPr>
          <w:rFonts w:cs="Arial"/>
        </w:rPr>
      </w:pPr>
      <w:r>
        <w:rPr>
          <w:rFonts w:cs="Arial"/>
          <w:noProof/>
        </w:rPr>
        <w:drawing>
          <wp:inline distT="0" distB="0" distL="0" distR="0" wp14:anchorId="2347452C" wp14:editId="00357604">
            <wp:extent cx="5759450" cy="24530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tional plan diagram.png"/>
                    <pic:cNvPicPr/>
                  </pic:nvPicPr>
                  <pic:blipFill>
                    <a:blip r:embed="rId40">
                      <a:extLst>
                        <a:ext uri="{28A0092B-C50C-407E-A947-70E740481C1C}">
                          <a14:useLocalDpi xmlns:a14="http://schemas.microsoft.com/office/drawing/2010/main" val="0"/>
                        </a:ext>
                      </a:extLst>
                    </a:blip>
                    <a:stretch>
                      <a:fillRect/>
                    </a:stretch>
                  </pic:blipFill>
                  <pic:spPr>
                    <a:xfrm>
                      <a:off x="0" y="0"/>
                      <a:ext cx="5759450" cy="2453005"/>
                    </a:xfrm>
                    <a:prstGeom prst="rect">
                      <a:avLst/>
                    </a:prstGeom>
                  </pic:spPr>
                </pic:pic>
              </a:graphicData>
            </a:graphic>
          </wp:inline>
        </w:drawing>
      </w:r>
    </w:p>
    <w:p w14:paraId="329C3C6F" w14:textId="77777777" w:rsidR="000D1D92" w:rsidRPr="000C4120" w:rsidRDefault="000D1D92" w:rsidP="000D1D92">
      <w:pPr>
        <w:autoSpaceDE w:val="0"/>
        <w:autoSpaceDN w:val="0"/>
        <w:adjustRightInd w:val="0"/>
        <w:spacing w:before="0" w:after="0"/>
        <w:jc w:val="both"/>
        <w:rPr>
          <w:rFonts w:ascii="TT60o00" w:hAnsi="TT60o00" w:cs="TT60o00"/>
        </w:rPr>
      </w:pPr>
      <w:r>
        <w:rPr>
          <w:rFonts w:cs="Arial"/>
        </w:rPr>
        <w:t xml:space="preserve">As National Children’s Commissioner, </w:t>
      </w:r>
      <w:r>
        <w:rPr>
          <w:rFonts w:cs="Arial"/>
          <w:color w:val="231F20"/>
          <w:spacing w:val="-1"/>
        </w:rPr>
        <w:t>I have welcomed these important initiatives and have personally participated in the development of the Action Plans attached to each of them.</w:t>
      </w:r>
    </w:p>
    <w:p w14:paraId="2EC736EE" w14:textId="77777777" w:rsidR="000D1D92" w:rsidRPr="00CA2B17" w:rsidRDefault="000D1D92" w:rsidP="000D1D92">
      <w:pPr>
        <w:jc w:val="both"/>
        <w:rPr>
          <w:rFonts w:cs="Arial"/>
        </w:rPr>
      </w:pPr>
      <w:r w:rsidRPr="00EA27AA">
        <w:rPr>
          <w:rFonts w:cs="Arial"/>
        </w:rPr>
        <w:t xml:space="preserve">The </w:t>
      </w:r>
      <w:r>
        <w:rPr>
          <w:rFonts w:cs="Arial"/>
        </w:rPr>
        <w:t xml:space="preserve">then </w:t>
      </w:r>
      <w:r w:rsidRPr="00EA27AA">
        <w:rPr>
          <w:rFonts w:cs="Arial"/>
        </w:rPr>
        <w:t xml:space="preserve">Prime Minister, the Hon Tony Abbott MP, </w:t>
      </w:r>
      <w:r>
        <w:rPr>
          <w:rFonts w:cs="Arial"/>
        </w:rPr>
        <w:t>launched the Second Action Plan of the National Plan to Reduce Violence against Women and their Children</w:t>
      </w:r>
      <w:r w:rsidRPr="00EA27AA">
        <w:rPr>
          <w:rFonts w:cs="Arial"/>
        </w:rPr>
        <w:t xml:space="preserve"> in June 2014.</w:t>
      </w:r>
      <w:r>
        <w:rPr>
          <w:rFonts w:cs="Arial"/>
        </w:rPr>
        <w:t xml:space="preserve"> New i</w:t>
      </w:r>
      <w:r w:rsidRPr="00CA2B17">
        <w:rPr>
          <w:rFonts w:cs="Arial"/>
        </w:rPr>
        <w:t xml:space="preserve">nitiatives </w:t>
      </w:r>
      <w:r>
        <w:rPr>
          <w:rFonts w:cs="Arial"/>
        </w:rPr>
        <w:t xml:space="preserve">in </w:t>
      </w:r>
      <w:r w:rsidRPr="00CA2B17">
        <w:rPr>
          <w:rFonts w:cs="Arial"/>
        </w:rPr>
        <w:t>the Second Action Plan include</w:t>
      </w:r>
      <w:r>
        <w:rPr>
          <w:rFonts w:cs="Arial"/>
        </w:rPr>
        <w:t>d</w:t>
      </w:r>
      <w:r w:rsidRPr="00CA2B17">
        <w:rPr>
          <w:rFonts w:cs="Arial"/>
        </w:rPr>
        <w:t>:</w:t>
      </w:r>
      <w:r>
        <w:rPr>
          <w:rStyle w:val="EndnoteReference"/>
          <w:rFonts w:cs="Arial"/>
        </w:rPr>
        <w:endnoteReference w:id="433"/>
      </w:r>
    </w:p>
    <w:p w14:paraId="2B9322AD" w14:textId="77777777" w:rsidR="000D1D92" w:rsidRDefault="000D1D92" w:rsidP="000D1D92">
      <w:pPr>
        <w:pStyle w:val="ListParagraph"/>
        <w:numPr>
          <w:ilvl w:val="0"/>
          <w:numId w:val="25"/>
        </w:numPr>
        <w:jc w:val="both"/>
        <w:rPr>
          <w:rFonts w:cs="Arial"/>
        </w:rPr>
      </w:pPr>
      <w:r w:rsidRPr="00CA2B17">
        <w:rPr>
          <w:rFonts w:cs="Arial"/>
        </w:rPr>
        <w:t xml:space="preserve">$3.3 million for CrimTrac to </w:t>
      </w:r>
      <w:r w:rsidRPr="0021669F">
        <w:rPr>
          <w:rFonts w:cs="Arial"/>
          <w:b/>
        </w:rPr>
        <w:t>develop and test a prototype for a National Domestic Violence Order (DVO) Scheme</w:t>
      </w:r>
      <w:r w:rsidRPr="00CA2B17">
        <w:rPr>
          <w:rFonts w:cs="Arial"/>
        </w:rPr>
        <w:t>, to strengthen the identification and enforcement of DVOs across state and territory borders.</w:t>
      </w:r>
    </w:p>
    <w:p w14:paraId="46A614FF" w14:textId="77777777" w:rsidR="000D1D92" w:rsidRDefault="000D1D92" w:rsidP="000D1D92">
      <w:pPr>
        <w:pStyle w:val="ListParagraph"/>
        <w:jc w:val="both"/>
        <w:rPr>
          <w:rFonts w:cs="Arial"/>
        </w:rPr>
      </w:pPr>
    </w:p>
    <w:p w14:paraId="6C8065C8" w14:textId="77777777" w:rsidR="000D1D92" w:rsidRDefault="000D1D92" w:rsidP="000D1D92">
      <w:pPr>
        <w:pStyle w:val="ListParagraph"/>
        <w:numPr>
          <w:ilvl w:val="0"/>
          <w:numId w:val="25"/>
        </w:numPr>
        <w:jc w:val="both"/>
        <w:rPr>
          <w:rFonts w:cs="Arial"/>
        </w:rPr>
      </w:pPr>
      <w:r w:rsidRPr="00CA2B17">
        <w:rPr>
          <w:rFonts w:cs="Arial"/>
        </w:rPr>
        <w:t xml:space="preserve">$1.7 million to take the next steps in </w:t>
      </w:r>
      <w:r w:rsidRPr="0021669F">
        <w:rPr>
          <w:rFonts w:cs="Arial"/>
          <w:b/>
        </w:rPr>
        <w:t>developing a national data collection and reporting framework</w:t>
      </w:r>
      <w:r>
        <w:rPr>
          <w:rFonts w:cs="Arial"/>
        </w:rPr>
        <w:t xml:space="preserve"> </w:t>
      </w:r>
      <w:r w:rsidRPr="00CA2B17">
        <w:rPr>
          <w:rFonts w:cs="Arial"/>
        </w:rPr>
        <w:t>by building a more consistent basis from which to gather, analyse and use data on all aspects of violence against women and their children. This includes $300,000 for the Australian Bureau of Statistics to augment data sets on victims and offenders.</w:t>
      </w:r>
    </w:p>
    <w:p w14:paraId="14CDA01F" w14:textId="77777777" w:rsidR="000D1D92" w:rsidRDefault="000D1D92" w:rsidP="000D1D92">
      <w:pPr>
        <w:pStyle w:val="ListParagraph"/>
        <w:jc w:val="both"/>
        <w:rPr>
          <w:rFonts w:cs="Arial"/>
        </w:rPr>
      </w:pPr>
    </w:p>
    <w:p w14:paraId="2F847F7B" w14:textId="77777777" w:rsidR="000D1D92" w:rsidRDefault="000D1D92" w:rsidP="000D1D92">
      <w:pPr>
        <w:pStyle w:val="ListParagraph"/>
        <w:numPr>
          <w:ilvl w:val="0"/>
          <w:numId w:val="25"/>
        </w:numPr>
        <w:jc w:val="both"/>
        <w:rPr>
          <w:rFonts w:cs="Arial"/>
        </w:rPr>
      </w:pPr>
      <w:r w:rsidRPr="00CA2B17">
        <w:rPr>
          <w:rFonts w:cs="Arial"/>
        </w:rPr>
        <w:t>More than $1 million for 1800RESPECT, Australia’s first national professional telephone and online counselling service</w:t>
      </w:r>
      <w:r>
        <w:rPr>
          <w:rFonts w:cs="Arial"/>
        </w:rPr>
        <w:t xml:space="preserve"> for people experiencing the effects of sexual assault, domestic or family violence</w:t>
      </w:r>
      <w:r w:rsidRPr="00CA2B17">
        <w:rPr>
          <w:rFonts w:cs="Arial"/>
        </w:rPr>
        <w:t xml:space="preserve">, to expand its service. The </w:t>
      </w:r>
      <w:r w:rsidRPr="0021669F">
        <w:rPr>
          <w:rFonts w:cs="Arial"/>
          <w:b/>
        </w:rPr>
        <w:t>new funding for 1800RESPECT</w:t>
      </w:r>
      <w:r w:rsidRPr="00CA2B17">
        <w:rPr>
          <w:rFonts w:cs="Arial"/>
        </w:rPr>
        <w:t xml:space="preserve"> is in addition to </w:t>
      </w:r>
      <w:r>
        <w:rPr>
          <w:rFonts w:cs="Arial"/>
        </w:rPr>
        <w:t>government</w:t>
      </w:r>
      <w:r w:rsidRPr="00CA2B17">
        <w:rPr>
          <w:rFonts w:cs="Arial"/>
        </w:rPr>
        <w:t xml:space="preserve"> investment of $28 million over the next four years to support existing services.</w:t>
      </w:r>
    </w:p>
    <w:p w14:paraId="091B70B2" w14:textId="77777777" w:rsidR="000D1D92" w:rsidRDefault="000D1D92" w:rsidP="000D1D92">
      <w:pPr>
        <w:jc w:val="both"/>
        <w:rPr>
          <w:rFonts w:cs="Arial"/>
          <w:lang w:val="en"/>
        </w:rPr>
      </w:pPr>
      <w:r>
        <w:rPr>
          <w:rFonts w:cs="Arial"/>
          <w:lang w:val="en"/>
        </w:rPr>
        <w:t>Other work is also underway. For example:</w:t>
      </w:r>
    </w:p>
    <w:p w14:paraId="7CBF1C6D" w14:textId="77777777" w:rsidR="000D1D92" w:rsidRDefault="000D1D92" w:rsidP="000D1D92">
      <w:pPr>
        <w:pStyle w:val="ListParagraph"/>
        <w:numPr>
          <w:ilvl w:val="0"/>
          <w:numId w:val="27"/>
        </w:numPr>
        <w:jc w:val="both"/>
        <w:rPr>
          <w:rFonts w:cs="Arial"/>
          <w:lang w:val="en"/>
        </w:rPr>
      </w:pPr>
      <w:r w:rsidRPr="00EF0205">
        <w:rPr>
          <w:rFonts w:cs="Arial"/>
          <w:lang w:val="en"/>
        </w:rPr>
        <w:t xml:space="preserve">On 26 June 2014, </w:t>
      </w:r>
      <w:r w:rsidRPr="00EF0205">
        <w:rPr>
          <w:rFonts w:cs="Arial"/>
          <w:b/>
          <w:lang w:val="en"/>
        </w:rPr>
        <w:t>the issue of domestic violence in Australia was referred by the Australian Government to the</w:t>
      </w:r>
      <w:r>
        <w:rPr>
          <w:rFonts w:cs="Arial"/>
          <w:b/>
          <w:lang w:val="en"/>
        </w:rPr>
        <w:t xml:space="preserve"> Senate</w:t>
      </w:r>
      <w:r w:rsidRPr="00EF0205">
        <w:rPr>
          <w:rFonts w:cs="Arial"/>
          <w:b/>
          <w:lang w:val="en"/>
        </w:rPr>
        <w:t xml:space="preserve"> Finance and Public Administration References Committee</w:t>
      </w:r>
      <w:r w:rsidRPr="00EF0205">
        <w:rPr>
          <w:rFonts w:cs="Arial"/>
          <w:lang w:val="en"/>
        </w:rPr>
        <w:t xml:space="preserve"> for inquiry and report.</w:t>
      </w:r>
      <w:r>
        <w:rPr>
          <w:rFonts w:cs="Arial"/>
          <w:lang w:val="en"/>
        </w:rPr>
        <w:t xml:space="preserve"> The Senate Committee’s final</w:t>
      </w:r>
      <w:r w:rsidRPr="00EF0205">
        <w:rPr>
          <w:rFonts w:cs="Arial"/>
          <w:lang w:val="en-US"/>
        </w:rPr>
        <w:t xml:space="preserve"> report was released on </w:t>
      </w:r>
      <w:r w:rsidRPr="00EF0205">
        <w:rPr>
          <w:rFonts w:cs="Arial"/>
          <w:bCs/>
          <w:lang w:val="en-US"/>
        </w:rPr>
        <w:t>20 August 2015</w:t>
      </w:r>
      <w:r w:rsidRPr="00EF0205">
        <w:rPr>
          <w:rFonts w:cs="Arial"/>
          <w:lang w:val="en-US"/>
        </w:rPr>
        <w:t>.</w:t>
      </w:r>
      <w:r w:rsidRPr="00EF0205">
        <w:rPr>
          <w:rFonts w:cs="Arial"/>
          <w:lang w:val="en"/>
        </w:rPr>
        <w:t xml:space="preserve"> </w:t>
      </w:r>
    </w:p>
    <w:p w14:paraId="4AB2718A" w14:textId="77777777" w:rsidR="000D1D92" w:rsidRDefault="000D1D92" w:rsidP="000D1D92">
      <w:pPr>
        <w:pStyle w:val="ListParagraph"/>
        <w:jc w:val="both"/>
        <w:rPr>
          <w:rFonts w:cs="Arial"/>
          <w:lang w:val="en"/>
        </w:rPr>
      </w:pPr>
    </w:p>
    <w:p w14:paraId="3ABAA35C" w14:textId="77777777" w:rsidR="000D1D92" w:rsidRPr="00196847" w:rsidRDefault="000D1D92" w:rsidP="000D1D92">
      <w:pPr>
        <w:pStyle w:val="ListParagraph"/>
        <w:numPr>
          <w:ilvl w:val="0"/>
          <w:numId w:val="27"/>
        </w:numPr>
        <w:spacing w:after="200"/>
        <w:jc w:val="both"/>
        <w:rPr>
          <w:rFonts w:cs="Arial"/>
        </w:rPr>
      </w:pPr>
      <w:r w:rsidRPr="00DC2C92">
        <w:rPr>
          <w:rFonts w:cs="Arial"/>
        </w:rPr>
        <w:t xml:space="preserve">In January 2015, retiring Victoria Police Chief Commissioner Ken Ley and 2015 Australian of the Year, Rosie Batty were appointed as founding members of an </w:t>
      </w:r>
      <w:r w:rsidRPr="00DC2C92">
        <w:rPr>
          <w:rFonts w:cs="Arial"/>
          <w:b/>
        </w:rPr>
        <w:t>advisory panel</w:t>
      </w:r>
      <w:r w:rsidRPr="00DC2C92">
        <w:rPr>
          <w:rFonts w:cs="Arial"/>
        </w:rPr>
        <w:t xml:space="preserve"> to guide the Council of Australian Governments (COAG) in its work </w:t>
      </w:r>
      <w:r>
        <w:rPr>
          <w:rFonts w:cs="Arial"/>
        </w:rPr>
        <w:t>to address</w:t>
      </w:r>
      <w:r w:rsidRPr="00DC2C92">
        <w:rPr>
          <w:rFonts w:cs="Arial"/>
        </w:rPr>
        <w:t xml:space="preserve"> family and domestic violence.</w:t>
      </w:r>
    </w:p>
    <w:p w14:paraId="2519CD4D" w14:textId="77777777" w:rsidR="000D1D92" w:rsidRDefault="000D1D92" w:rsidP="000D1D92">
      <w:pPr>
        <w:pStyle w:val="ListParagraph"/>
        <w:jc w:val="both"/>
        <w:rPr>
          <w:rFonts w:cs="Arial"/>
          <w:lang w:val="en"/>
        </w:rPr>
      </w:pPr>
    </w:p>
    <w:p w14:paraId="69E5C462" w14:textId="77777777" w:rsidR="000D1D92" w:rsidRPr="00B1506A" w:rsidRDefault="000D1D92" w:rsidP="000D1D92">
      <w:pPr>
        <w:pStyle w:val="ListParagraph"/>
        <w:numPr>
          <w:ilvl w:val="0"/>
          <w:numId w:val="27"/>
        </w:numPr>
        <w:jc w:val="both"/>
        <w:rPr>
          <w:rFonts w:ascii="Helvetica" w:hAnsi="Helvetica"/>
        </w:rPr>
      </w:pPr>
      <w:r>
        <w:rPr>
          <w:rFonts w:ascii="Helvetica" w:hAnsi="Helvetica"/>
        </w:rPr>
        <w:t xml:space="preserve">On 28 February 2015, the report and recommendations of </w:t>
      </w:r>
      <w:r w:rsidRPr="00303A8D">
        <w:rPr>
          <w:rFonts w:ascii="Helvetica" w:hAnsi="Helvetica"/>
          <w:b/>
        </w:rPr>
        <w:t>‘Not Now, Not Ever’ – Putting an End to Domestic and Family Violence in Queensland</w:t>
      </w:r>
      <w:r>
        <w:rPr>
          <w:rFonts w:ascii="Helvetica" w:hAnsi="Helvetica"/>
        </w:rPr>
        <w:t xml:space="preserve"> was released. </w:t>
      </w:r>
      <w:r w:rsidRPr="00B1506A">
        <w:rPr>
          <w:rFonts w:ascii="Helvetica" w:hAnsi="Helvetica"/>
        </w:rPr>
        <w:t xml:space="preserve">Dame Quentin Bryce </w:t>
      </w:r>
      <w:r>
        <w:rPr>
          <w:rFonts w:ascii="Helvetica" w:hAnsi="Helvetica"/>
        </w:rPr>
        <w:t xml:space="preserve">led the investigative taskforce, </w:t>
      </w:r>
      <w:r w:rsidRPr="00B1506A">
        <w:rPr>
          <w:rFonts w:ascii="Helvetica" w:hAnsi="Helvetica"/>
        </w:rPr>
        <w:t xml:space="preserve">which examined how soaring rates of domestic violence in Queensland should be tackled. </w:t>
      </w:r>
      <w:r>
        <w:rPr>
          <w:rFonts w:ascii="Helvetica" w:hAnsi="Helvetica"/>
        </w:rPr>
        <w:t xml:space="preserve">Queensland </w:t>
      </w:r>
      <w:r w:rsidRPr="00B1506A">
        <w:rPr>
          <w:rFonts w:ascii="Helvetica" w:hAnsi="Helvetica"/>
        </w:rPr>
        <w:t xml:space="preserve">Premier Annastacia Palaszczuk </w:t>
      </w:r>
      <w:r>
        <w:rPr>
          <w:rFonts w:ascii="Helvetica" w:hAnsi="Helvetica"/>
        </w:rPr>
        <w:t xml:space="preserve">announced that the Queensland Government will implement </w:t>
      </w:r>
      <w:r w:rsidRPr="00B1506A">
        <w:rPr>
          <w:rFonts w:ascii="Helvetica" w:hAnsi="Helvetica"/>
        </w:rPr>
        <w:t>all 140 recommendations made in the report</w:t>
      </w:r>
      <w:r>
        <w:rPr>
          <w:rFonts w:ascii="Helvetica" w:hAnsi="Helvetica"/>
        </w:rPr>
        <w:t>. In September 2015,</w:t>
      </w:r>
      <w:r w:rsidRPr="00B1506A">
        <w:rPr>
          <w:rFonts w:ascii="Helvetica" w:hAnsi="Helvetica"/>
        </w:rPr>
        <w:t xml:space="preserve"> </w:t>
      </w:r>
      <w:r>
        <w:rPr>
          <w:rFonts w:ascii="Helvetica" w:hAnsi="Helvetica"/>
        </w:rPr>
        <w:t xml:space="preserve">Premier </w:t>
      </w:r>
      <w:r w:rsidRPr="00B1506A">
        <w:rPr>
          <w:rFonts w:ascii="Helvetica" w:hAnsi="Helvetica"/>
        </w:rPr>
        <w:t>Palaszczuk</w:t>
      </w:r>
      <w:r>
        <w:rPr>
          <w:rFonts w:ascii="Helvetica" w:hAnsi="Helvetica"/>
        </w:rPr>
        <w:t xml:space="preserve"> announced that </w:t>
      </w:r>
      <w:r w:rsidRPr="00B1506A">
        <w:rPr>
          <w:rFonts w:ascii="Helvetica" w:hAnsi="Helvetica"/>
        </w:rPr>
        <w:t>Dame Quentin Bryce would lead the committee implement</w:t>
      </w:r>
      <w:r>
        <w:rPr>
          <w:rFonts w:ascii="Helvetica" w:hAnsi="Helvetica"/>
        </w:rPr>
        <w:t>ing the recommendations</w:t>
      </w:r>
      <w:r w:rsidRPr="00B1506A">
        <w:rPr>
          <w:rFonts w:ascii="Helvetica" w:hAnsi="Helvetica"/>
        </w:rPr>
        <w:t>.</w:t>
      </w:r>
    </w:p>
    <w:p w14:paraId="2EABD365" w14:textId="77777777" w:rsidR="000D1D92" w:rsidRPr="00EF0205" w:rsidRDefault="000D1D92" w:rsidP="000D1D92">
      <w:pPr>
        <w:pStyle w:val="ListParagraph"/>
        <w:jc w:val="both"/>
        <w:rPr>
          <w:rFonts w:cs="Arial"/>
          <w:lang w:val="en"/>
        </w:rPr>
      </w:pPr>
    </w:p>
    <w:p w14:paraId="10D9A3D5" w14:textId="77777777" w:rsidR="000D1D92" w:rsidRDefault="000D1D92" w:rsidP="000D1D92">
      <w:pPr>
        <w:pStyle w:val="ListParagraph"/>
        <w:numPr>
          <w:ilvl w:val="0"/>
          <w:numId w:val="27"/>
        </w:numPr>
        <w:jc w:val="both"/>
        <w:rPr>
          <w:rFonts w:cs="Arial"/>
          <w:lang w:val="en"/>
        </w:rPr>
      </w:pPr>
      <w:r w:rsidRPr="00EF0205">
        <w:rPr>
          <w:rFonts w:cs="Arial"/>
          <w:lang w:val="en"/>
        </w:rPr>
        <w:t xml:space="preserve">The </w:t>
      </w:r>
      <w:r w:rsidRPr="00EF0205">
        <w:rPr>
          <w:rFonts w:cs="Arial"/>
          <w:b/>
          <w:lang w:val="en"/>
        </w:rPr>
        <w:t>Victorian Royal Commission into Family Violence</w:t>
      </w:r>
      <w:r w:rsidRPr="00EF0205">
        <w:rPr>
          <w:rFonts w:cs="Arial"/>
          <w:lang w:val="en"/>
        </w:rPr>
        <w:t xml:space="preserve"> was announced in February 2015 and is due to report by 29 February 2016. </w:t>
      </w:r>
    </w:p>
    <w:p w14:paraId="086EE991" w14:textId="77777777" w:rsidR="000D1D92" w:rsidRPr="00EF0205" w:rsidRDefault="000D1D92" w:rsidP="000D1D92">
      <w:pPr>
        <w:pStyle w:val="ListParagraph"/>
        <w:jc w:val="both"/>
        <w:rPr>
          <w:rFonts w:cs="Arial"/>
          <w:lang w:val="en"/>
        </w:rPr>
      </w:pPr>
    </w:p>
    <w:p w14:paraId="22030238" w14:textId="77777777" w:rsidR="000D1D92" w:rsidRPr="001A64B2" w:rsidRDefault="000D1D92" w:rsidP="000D1D92">
      <w:pPr>
        <w:pStyle w:val="ListParagraph"/>
        <w:numPr>
          <w:ilvl w:val="0"/>
          <w:numId w:val="27"/>
        </w:numPr>
        <w:jc w:val="both"/>
        <w:rPr>
          <w:rFonts w:cs="Arial"/>
          <w:lang w:val="en"/>
        </w:rPr>
      </w:pPr>
      <w:r w:rsidRPr="001A64B2">
        <w:rPr>
          <w:rFonts w:cs="Arial"/>
          <w:lang w:val="en"/>
        </w:rPr>
        <w:t xml:space="preserve">On 10 August 2015, the </w:t>
      </w:r>
      <w:r w:rsidRPr="001A64B2">
        <w:rPr>
          <w:rFonts w:cs="Arial"/>
          <w:b/>
          <w:lang w:val="en"/>
        </w:rPr>
        <w:t>NSW Government announced a review of the sentencing of domestic violence offenders</w:t>
      </w:r>
      <w:r w:rsidRPr="001A64B2">
        <w:rPr>
          <w:rFonts w:cs="Arial"/>
          <w:lang w:val="en"/>
        </w:rPr>
        <w:t xml:space="preserve">. The NSW Sentencing Council will analyse the sentences handed down for domestic violence offences and compare them to other states. It will also examine whether domestic violence offenders are more likely to re-offend than people convicted of other types of assault. The </w:t>
      </w:r>
      <w:r>
        <w:rPr>
          <w:rFonts w:cs="Arial"/>
          <w:lang w:val="en"/>
        </w:rPr>
        <w:t xml:space="preserve">NSW </w:t>
      </w:r>
      <w:r w:rsidRPr="001A64B2">
        <w:rPr>
          <w:rFonts w:cs="Arial"/>
          <w:lang w:val="en"/>
        </w:rPr>
        <w:t xml:space="preserve">Sentencing Council will report back to the </w:t>
      </w:r>
      <w:r>
        <w:rPr>
          <w:rFonts w:cs="Arial"/>
          <w:lang w:val="en"/>
        </w:rPr>
        <w:t>NSW</w:t>
      </w:r>
      <w:r w:rsidRPr="001A64B2">
        <w:rPr>
          <w:rFonts w:cs="Arial"/>
          <w:lang w:val="en"/>
        </w:rPr>
        <w:t xml:space="preserve"> Government by the end of 2015.</w:t>
      </w:r>
    </w:p>
    <w:p w14:paraId="6878EE11" w14:textId="77777777" w:rsidR="000D1D92" w:rsidRDefault="000D1D92" w:rsidP="000D1D92">
      <w:pPr>
        <w:spacing w:after="200"/>
        <w:jc w:val="both"/>
        <w:rPr>
          <w:rFonts w:cstheme="minorHAnsi"/>
        </w:rPr>
      </w:pPr>
      <w:r>
        <w:rPr>
          <w:rFonts w:cs="Arial"/>
        </w:rPr>
        <w:t xml:space="preserve">In April 2015, </w:t>
      </w:r>
      <w:r>
        <w:rPr>
          <w:rFonts w:cs="Arial"/>
          <w:b/>
        </w:rPr>
        <w:t xml:space="preserve">COAG </w:t>
      </w:r>
      <w:r w:rsidRPr="004068C7">
        <w:rPr>
          <w:rFonts w:cs="Arial"/>
          <w:b/>
        </w:rPr>
        <w:t>agreed to a national, cooperative effort to reduce family violence</w:t>
      </w:r>
      <w:r>
        <w:rPr>
          <w:rFonts w:cs="Arial"/>
        </w:rPr>
        <w:t xml:space="preserve"> and identified it as an issue of major public concern impacting on communities across Australia.</w:t>
      </w:r>
      <w:r>
        <w:rPr>
          <w:rStyle w:val="EndnoteReference"/>
          <w:rFonts w:cs="Arial"/>
        </w:rPr>
        <w:endnoteReference w:id="434"/>
      </w:r>
      <w:r>
        <w:rPr>
          <w:rFonts w:cs="Arial"/>
        </w:rPr>
        <w:t xml:space="preserve"> </w:t>
      </w:r>
      <w:r>
        <w:rPr>
          <w:rFonts w:cstheme="minorHAnsi"/>
        </w:rPr>
        <w:t>By the end of 2015, COAG has committed to:</w:t>
      </w:r>
    </w:p>
    <w:p w14:paraId="0251E636" w14:textId="77777777" w:rsidR="000D1D92" w:rsidRDefault="000D1D92" w:rsidP="000D1D92">
      <w:pPr>
        <w:pStyle w:val="ListParagraph"/>
        <w:numPr>
          <w:ilvl w:val="0"/>
          <w:numId w:val="26"/>
        </w:numPr>
        <w:spacing w:before="0" w:after="200"/>
        <w:ind w:left="714" w:hanging="357"/>
        <w:contextualSpacing w:val="0"/>
        <w:jc w:val="both"/>
        <w:rPr>
          <w:rFonts w:cstheme="minorHAnsi"/>
        </w:rPr>
      </w:pPr>
      <w:r>
        <w:rPr>
          <w:rFonts w:cstheme="minorHAnsi"/>
        </w:rPr>
        <w:t xml:space="preserve">Agreeing on </w:t>
      </w:r>
      <w:r w:rsidRPr="00F54319">
        <w:rPr>
          <w:rFonts w:cstheme="minorHAnsi"/>
        </w:rPr>
        <w:t xml:space="preserve">a national domestic violence order (DVO) scheme, where DVOs </w:t>
      </w:r>
      <w:r>
        <w:rPr>
          <w:rFonts w:cstheme="minorHAnsi"/>
        </w:rPr>
        <w:t>will be</w:t>
      </w:r>
      <w:r w:rsidRPr="00F54319">
        <w:rPr>
          <w:rFonts w:cstheme="minorHAnsi"/>
        </w:rPr>
        <w:t xml:space="preserve"> automatically recognised and enforce</w:t>
      </w:r>
      <w:r>
        <w:rPr>
          <w:rFonts w:cstheme="minorHAnsi"/>
        </w:rPr>
        <w:t>able</w:t>
      </w:r>
      <w:r w:rsidRPr="00F54319">
        <w:rPr>
          <w:rFonts w:cstheme="minorHAnsi"/>
        </w:rPr>
        <w:t xml:space="preserve"> in any state or territory of Australia</w:t>
      </w:r>
      <w:r>
        <w:rPr>
          <w:rFonts w:cstheme="minorHAnsi"/>
        </w:rPr>
        <w:t>.</w:t>
      </w:r>
    </w:p>
    <w:p w14:paraId="1AF9458A" w14:textId="77777777" w:rsidR="000D1D92" w:rsidRDefault="000D1D92" w:rsidP="000D1D92">
      <w:pPr>
        <w:pStyle w:val="ListParagraph"/>
        <w:numPr>
          <w:ilvl w:val="0"/>
          <w:numId w:val="26"/>
        </w:numPr>
        <w:spacing w:before="0" w:after="200"/>
        <w:ind w:left="714" w:hanging="357"/>
        <w:contextualSpacing w:val="0"/>
        <w:jc w:val="both"/>
        <w:rPr>
          <w:rFonts w:cstheme="minorHAnsi"/>
        </w:rPr>
      </w:pPr>
      <w:r>
        <w:rPr>
          <w:rFonts w:cstheme="minorHAnsi"/>
        </w:rPr>
        <w:t>Reporting on the progress made on the development of a national information system that will enable courts and police in different states and territories to share information on active DVOs. New South Wales, Queensland and Tasmania will trial the system.</w:t>
      </w:r>
    </w:p>
    <w:p w14:paraId="67ED8125" w14:textId="77777777" w:rsidR="000D1D92" w:rsidRPr="00BB4865" w:rsidRDefault="000D1D92" w:rsidP="000D1D92">
      <w:pPr>
        <w:pStyle w:val="ListParagraph"/>
        <w:numPr>
          <w:ilvl w:val="0"/>
          <w:numId w:val="26"/>
        </w:numPr>
        <w:spacing w:before="0" w:after="200"/>
        <w:ind w:left="714" w:hanging="357"/>
        <w:contextualSpacing w:val="0"/>
        <w:jc w:val="both"/>
        <w:rPr>
          <w:rFonts w:cstheme="minorHAnsi"/>
        </w:rPr>
      </w:pPr>
      <w:r>
        <w:rPr>
          <w:rFonts w:cstheme="minorHAnsi"/>
        </w:rPr>
        <w:t>C</w:t>
      </w:r>
      <w:r w:rsidRPr="00BB4865">
        <w:rPr>
          <w:rFonts w:cstheme="minorHAnsi"/>
        </w:rPr>
        <w:t>onsider</w:t>
      </w:r>
      <w:r>
        <w:rPr>
          <w:rFonts w:cstheme="minorHAnsi"/>
        </w:rPr>
        <w:t>ing</w:t>
      </w:r>
      <w:r w:rsidRPr="00BB4865">
        <w:rPr>
          <w:rFonts w:cstheme="minorHAnsi"/>
        </w:rPr>
        <w:t xml:space="preserve"> national standards to ensure perpetrators of violence against women are held to account at the same standard across Australia, for implementation in 2016</w:t>
      </w:r>
      <w:r>
        <w:rPr>
          <w:rFonts w:cstheme="minorHAnsi"/>
        </w:rPr>
        <w:t>.</w:t>
      </w:r>
    </w:p>
    <w:p w14:paraId="1D805A43" w14:textId="77777777" w:rsidR="000D1D92" w:rsidRDefault="000D1D92" w:rsidP="000D1D92">
      <w:pPr>
        <w:pStyle w:val="ListParagraph"/>
        <w:numPr>
          <w:ilvl w:val="0"/>
          <w:numId w:val="26"/>
        </w:numPr>
        <w:spacing w:before="0" w:after="200"/>
        <w:ind w:left="714" w:hanging="357"/>
        <w:contextualSpacing w:val="0"/>
        <w:jc w:val="both"/>
        <w:rPr>
          <w:rFonts w:cstheme="minorHAnsi"/>
        </w:rPr>
      </w:pPr>
      <w:r>
        <w:rPr>
          <w:rFonts w:cstheme="minorHAnsi"/>
        </w:rPr>
        <w:t>C</w:t>
      </w:r>
      <w:r w:rsidRPr="00385246">
        <w:rPr>
          <w:rFonts w:cstheme="minorHAnsi"/>
        </w:rPr>
        <w:t>onsider</w:t>
      </w:r>
      <w:r>
        <w:rPr>
          <w:rFonts w:cstheme="minorHAnsi"/>
        </w:rPr>
        <w:t>ing</w:t>
      </w:r>
      <w:r w:rsidRPr="00385246">
        <w:rPr>
          <w:rFonts w:cstheme="minorHAnsi"/>
        </w:rPr>
        <w:t xml:space="preserve"> strategies to tackle the</w:t>
      </w:r>
      <w:r w:rsidRPr="00385246" w:rsidDel="008628F1">
        <w:rPr>
          <w:rFonts w:cstheme="minorHAnsi"/>
        </w:rPr>
        <w:t xml:space="preserve"> </w:t>
      </w:r>
      <w:r w:rsidRPr="00385246">
        <w:rPr>
          <w:rFonts w:cstheme="minorHAnsi"/>
        </w:rPr>
        <w:t>increas</w:t>
      </w:r>
      <w:r>
        <w:rPr>
          <w:rFonts w:cstheme="minorHAnsi"/>
        </w:rPr>
        <w:t>ed</w:t>
      </w:r>
      <w:r w:rsidRPr="00385246">
        <w:rPr>
          <w:rFonts w:cstheme="minorHAnsi"/>
        </w:rPr>
        <w:t xml:space="preserve"> use</w:t>
      </w:r>
      <w:r>
        <w:rPr>
          <w:rFonts w:cstheme="minorHAnsi"/>
        </w:rPr>
        <w:t xml:space="preserve"> of technology</w:t>
      </w:r>
      <w:r w:rsidRPr="00385246">
        <w:rPr>
          <w:rFonts w:cstheme="minorHAnsi"/>
        </w:rPr>
        <w:t xml:space="preserve"> to facilitate abuse against women</w:t>
      </w:r>
      <w:r>
        <w:rPr>
          <w:rFonts w:cstheme="minorHAnsi"/>
        </w:rPr>
        <w:t>, and to ensure women have adequate legal protections against this form of abuse.</w:t>
      </w:r>
    </w:p>
    <w:p w14:paraId="60136C71" w14:textId="77777777" w:rsidR="000D1D92" w:rsidRDefault="000D1D92" w:rsidP="000D1D92">
      <w:pPr>
        <w:pStyle w:val="ListParagraph"/>
        <w:numPr>
          <w:ilvl w:val="0"/>
          <w:numId w:val="26"/>
        </w:numPr>
        <w:spacing w:before="0" w:after="200"/>
        <w:ind w:left="714" w:hanging="357"/>
        <w:contextualSpacing w:val="0"/>
        <w:jc w:val="both"/>
        <w:rPr>
          <w:rFonts w:cstheme="minorHAnsi"/>
        </w:rPr>
      </w:pPr>
      <w:r>
        <w:rPr>
          <w:rFonts w:cstheme="minorHAnsi"/>
        </w:rPr>
        <w:t>J</w:t>
      </w:r>
      <w:r w:rsidRPr="003F43D7">
        <w:rPr>
          <w:rFonts w:cstheme="minorHAnsi"/>
        </w:rPr>
        <w:t xml:space="preserve">ointly </w:t>
      </w:r>
      <w:r>
        <w:rPr>
          <w:rFonts w:cstheme="minorHAnsi"/>
        </w:rPr>
        <w:t>contributing</w:t>
      </w:r>
      <w:r w:rsidRPr="003F43D7">
        <w:rPr>
          <w:rFonts w:cstheme="minorHAnsi"/>
        </w:rPr>
        <w:t xml:space="preserve"> $30 million for a national campaign to reduce violence against women and their children and potentially for </w:t>
      </w:r>
      <w:r>
        <w:rPr>
          <w:rFonts w:cstheme="minorHAnsi"/>
        </w:rPr>
        <w:t>the associated increase of</w:t>
      </w:r>
      <w:r w:rsidRPr="003F43D7">
        <w:rPr>
          <w:rFonts w:cstheme="minorHAnsi"/>
        </w:rPr>
        <w:t xml:space="preserve"> services to support women seeking assistance. </w:t>
      </w:r>
      <w:r>
        <w:rPr>
          <w:rFonts w:cstheme="minorHAnsi"/>
        </w:rPr>
        <w:t xml:space="preserve">The campaign aims to be </w:t>
      </w:r>
      <w:r w:rsidRPr="00BB62F6">
        <w:rPr>
          <w:rFonts w:cstheme="minorHAnsi"/>
        </w:rPr>
        <w:t xml:space="preserve">based on research, with a focus on high-risk groups, including </w:t>
      </w:r>
      <w:r>
        <w:rPr>
          <w:rFonts w:cstheme="minorHAnsi"/>
        </w:rPr>
        <w:t>Aboriginal and Torres Strait Islander</w:t>
      </w:r>
      <w:r w:rsidRPr="00BB62F6">
        <w:rPr>
          <w:rFonts w:cstheme="minorHAnsi"/>
        </w:rPr>
        <w:t xml:space="preserve"> women. </w:t>
      </w:r>
    </w:p>
    <w:p w14:paraId="64341C6A" w14:textId="77777777" w:rsidR="000D1D92" w:rsidRDefault="000D1D92" w:rsidP="000D1D92">
      <w:pPr>
        <w:spacing w:before="0" w:after="200"/>
        <w:jc w:val="both"/>
        <w:rPr>
          <w:sz w:val="23"/>
          <w:szCs w:val="23"/>
        </w:rPr>
      </w:pPr>
      <w:r>
        <w:rPr>
          <w:rFonts w:cstheme="minorHAnsi"/>
        </w:rPr>
        <w:lastRenderedPageBreak/>
        <w:t xml:space="preserve">At the </w:t>
      </w:r>
      <w:r w:rsidRPr="00E6600A">
        <w:rPr>
          <w:rFonts w:cstheme="minorHAnsi"/>
          <w:b/>
        </w:rPr>
        <w:t>Sixth Education Council Meeting</w:t>
      </w:r>
      <w:r>
        <w:rPr>
          <w:rFonts w:cstheme="minorHAnsi"/>
        </w:rPr>
        <w:t xml:space="preserve"> in September 2015</w:t>
      </w:r>
      <w:r>
        <w:rPr>
          <w:sz w:val="23"/>
          <w:szCs w:val="23"/>
        </w:rPr>
        <w:t xml:space="preserve"> the request from COAG regarding initiatives to help reduce violence against women and children was discussed.</w:t>
      </w:r>
    </w:p>
    <w:p w14:paraId="3E3307E4" w14:textId="77777777" w:rsidR="000D1D92" w:rsidRDefault="000D1D92" w:rsidP="000D1D92">
      <w:pPr>
        <w:spacing w:before="0" w:after="200"/>
        <w:jc w:val="both"/>
        <w:rPr>
          <w:sz w:val="23"/>
          <w:szCs w:val="23"/>
        </w:rPr>
      </w:pPr>
      <w:r>
        <w:rPr>
          <w:sz w:val="23"/>
          <w:szCs w:val="23"/>
        </w:rPr>
        <w:t>Recognising the importance of this issue and the role that education can play in influencing the attitudes of young people to violence, Ministers requested that officials provide advice on linking learning areas of the Australian Curriculum to anti-violence programs, and the delivery of such programs to students at key stages of their schooling and development. Ministers will provide an update to COAG on this matter later in 2015.</w:t>
      </w:r>
      <w:r>
        <w:rPr>
          <w:rStyle w:val="EndnoteReference"/>
          <w:szCs w:val="23"/>
        </w:rPr>
        <w:endnoteReference w:id="435"/>
      </w:r>
    </w:p>
    <w:p w14:paraId="46C2998F" w14:textId="77777777" w:rsidR="000D1D92" w:rsidRDefault="000D1D92" w:rsidP="000D1D92">
      <w:pPr>
        <w:jc w:val="both"/>
        <w:rPr>
          <w:rFonts w:cs="Arial"/>
          <w:lang w:val="en"/>
        </w:rPr>
      </w:pPr>
      <w:r>
        <w:rPr>
          <w:rFonts w:cs="Arial"/>
          <w:lang w:val="en"/>
        </w:rPr>
        <w:t xml:space="preserve">Clearly there is significant work being undertaken in the area of family and domestic violence in Australia. </w:t>
      </w:r>
      <w:r w:rsidRPr="004068C7">
        <w:rPr>
          <w:rFonts w:cs="Arial"/>
          <w:b/>
          <w:lang w:val="en"/>
        </w:rPr>
        <w:t xml:space="preserve">My contribution </w:t>
      </w:r>
      <w:r w:rsidRPr="004E65CC">
        <w:rPr>
          <w:rFonts w:cs="Arial"/>
          <w:b/>
          <w:lang w:val="en"/>
        </w:rPr>
        <w:t>lies</w:t>
      </w:r>
      <w:r w:rsidRPr="004068C7">
        <w:rPr>
          <w:rFonts w:cs="Arial"/>
          <w:b/>
          <w:lang w:val="en"/>
        </w:rPr>
        <w:t xml:space="preserve"> in making </w:t>
      </w:r>
      <w:r>
        <w:rPr>
          <w:rFonts w:cs="Arial"/>
          <w:b/>
          <w:lang w:val="en"/>
        </w:rPr>
        <w:t xml:space="preserve">the unique experiences and needs of </w:t>
      </w:r>
      <w:r w:rsidRPr="004068C7">
        <w:rPr>
          <w:rFonts w:cs="Arial"/>
          <w:b/>
          <w:lang w:val="en"/>
        </w:rPr>
        <w:t xml:space="preserve">children </w:t>
      </w:r>
      <w:r>
        <w:rPr>
          <w:rFonts w:cs="Arial"/>
          <w:b/>
          <w:lang w:val="en"/>
        </w:rPr>
        <w:t>a critical focus</w:t>
      </w:r>
      <w:r>
        <w:rPr>
          <w:rFonts w:cs="Arial"/>
          <w:lang w:val="en"/>
        </w:rPr>
        <w:t>.</w:t>
      </w:r>
    </w:p>
    <w:p w14:paraId="3289D3B9" w14:textId="77777777" w:rsidR="000D1D92" w:rsidRDefault="000D1D92" w:rsidP="000D1D92">
      <w:pPr>
        <w:pStyle w:val="Heading2"/>
        <w:jc w:val="both"/>
      </w:pPr>
      <w:bookmarkStart w:id="154" w:name="_Toc430945567"/>
      <w:bookmarkStart w:id="155" w:name="_Toc430950900"/>
      <w:bookmarkStart w:id="156" w:name="_Toc432061258"/>
      <w:bookmarkStart w:id="157" w:name="_Toc432577323"/>
      <w:r w:rsidRPr="0049472D">
        <w:t xml:space="preserve">What </w:t>
      </w:r>
      <w:r>
        <w:t>did we know</w:t>
      </w:r>
      <w:r w:rsidRPr="0049472D">
        <w:t xml:space="preserve"> about children and family and domestic violence</w:t>
      </w:r>
      <w:bookmarkEnd w:id="154"/>
      <w:bookmarkEnd w:id="155"/>
      <w:r>
        <w:t xml:space="preserve"> before starting this examination?</w:t>
      </w:r>
      <w:bookmarkEnd w:id="156"/>
      <w:bookmarkEnd w:id="157"/>
    </w:p>
    <w:p w14:paraId="6C8C32B3" w14:textId="77777777" w:rsidR="000D1D92" w:rsidRDefault="000D1D92" w:rsidP="000D1D92">
      <w:pPr>
        <w:jc w:val="both"/>
        <w:rPr>
          <w:rFonts w:cs="Arial"/>
        </w:rPr>
      </w:pPr>
      <w:r w:rsidRPr="007A566F">
        <w:rPr>
          <w:rFonts w:cs="Arial"/>
        </w:rPr>
        <w:t>The impact of family and domestic violence on children generally has been identified as an emerging issue in research.</w:t>
      </w:r>
      <w:r w:rsidRPr="007A566F">
        <w:rPr>
          <w:rFonts w:cs="Arial"/>
          <w:sz w:val="20"/>
          <w:vertAlign w:val="superscript"/>
        </w:rPr>
        <w:endnoteReference w:id="436"/>
      </w:r>
    </w:p>
    <w:p w14:paraId="5981FCB4" w14:textId="77777777" w:rsidR="000D1D92" w:rsidRDefault="000D1D92" w:rsidP="000D1D92">
      <w:pPr>
        <w:jc w:val="both"/>
      </w:pPr>
      <w:r w:rsidRPr="00E82CBB">
        <w:t xml:space="preserve">The 2012 </w:t>
      </w:r>
      <w:r>
        <w:t>Personal Safety Survey (PSS) by the ABS</w:t>
      </w:r>
      <w:r w:rsidRPr="00E82CBB">
        <w:t xml:space="preserve"> estimates that 17% of women and 5% of men in Australia </w:t>
      </w:r>
      <w:r>
        <w:t xml:space="preserve">over 15 years of age have </w:t>
      </w:r>
      <w:r w:rsidRPr="00E82CBB">
        <w:t>experience</w:t>
      </w:r>
      <w:r>
        <w:t>d</w:t>
      </w:r>
      <w:r w:rsidRPr="00E82CBB">
        <w:t xml:space="preserve"> violence by a partner.</w:t>
      </w:r>
      <w:r w:rsidRPr="00E82CBB">
        <w:rPr>
          <w:rStyle w:val="EndnoteReference"/>
        </w:rPr>
        <w:endnoteReference w:id="437"/>
      </w:r>
      <w:r w:rsidRPr="00E82CBB">
        <w:t xml:space="preserve"> </w:t>
      </w:r>
      <w:r w:rsidRPr="004A1C6F">
        <w:rPr>
          <w:b/>
        </w:rPr>
        <w:t xml:space="preserve">The </w:t>
      </w:r>
      <w:r>
        <w:rPr>
          <w:b/>
        </w:rPr>
        <w:t>2012 PSS reveals</w:t>
      </w:r>
      <w:r w:rsidRPr="004A1C6F">
        <w:rPr>
          <w:b/>
        </w:rPr>
        <w:t xml:space="preserve"> that much of the partner violence reported by women and men is seen or heard by children in their care</w:t>
      </w:r>
      <w:r w:rsidRPr="00E82CBB">
        <w:t>.</w:t>
      </w:r>
      <w:r w:rsidRPr="00E82CBB">
        <w:rPr>
          <w:rStyle w:val="EndnoteReference"/>
        </w:rPr>
        <w:endnoteReference w:id="438"/>
      </w:r>
      <w:r>
        <w:t xml:space="preserve"> </w:t>
      </w:r>
    </w:p>
    <w:p w14:paraId="6AC87302" w14:textId="77777777" w:rsidR="000D1D92" w:rsidRDefault="000D1D92" w:rsidP="000D1D92">
      <w:pPr>
        <w:jc w:val="both"/>
        <w:rPr>
          <w:rFonts w:cs="Arial"/>
        </w:rPr>
      </w:pPr>
      <w:r>
        <w:t xml:space="preserve">The 2006 World Report on Violence against Children for the United Nations Secretary-General </w:t>
      </w:r>
      <w:r w:rsidRPr="007A566F">
        <w:rPr>
          <w:rFonts w:cs="Arial"/>
        </w:rPr>
        <w:t>found that violence against women in the home is often linked with violence against children.</w:t>
      </w:r>
      <w:r w:rsidRPr="007A566F">
        <w:rPr>
          <w:rStyle w:val="EndnoteReference"/>
          <w:rFonts w:cs="Arial"/>
        </w:rPr>
        <w:endnoteReference w:id="439"/>
      </w:r>
      <w:r>
        <w:rPr>
          <w:rFonts w:cs="Arial"/>
        </w:rPr>
        <w:t xml:space="preserve"> </w:t>
      </w:r>
    </w:p>
    <w:p w14:paraId="26F109F7" w14:textId="77777777" w:rsidR="000D1D92" w:rsidRDefault="000D1D92" w:rsidP="000D1D92">
      <w:pPr>
        <w:jc w:val="both"/>
        <w:rPr>
          <w:rFonts w:cs="Arial"/>
        </w:rPr>
      </w:pPr>
      <w:r>
        <w:rPr>
          <w:rFonts w:cs="Arial"/>
        </w:rPr>
        <w:t xml:space="preserve">Children are witnesses, bystanders and direct victims of violence in the home. The physical and emotional injuries children sustain are both immediate and far-reaching, and </w:t>
      </w:r>
      <w:r>
        <w:rPr>
          <w:rFonts w:cs="Arial"/>
          <w:b/>
        </w:rPr>
        <w:t>t</w:t>
      </w:r>
      <w:r w:rsidRPr="004A1C6F">
        <w:rPr>
          <w:rFonts w:cs="Arial"/>
          <w:b/>
        </w:rPr>
        <w:t>he experience of children witnessing or being exposed to family and domestic violence has been increasingly recognised as a form of child abuse</w:t>
      </w:r>
      <w:r>
        <w:rPr>
          <w:rFonts w:cs="Arial"/>
        </w:rPr>
        <w:t>.</w:t>
      </w:r>
      <w:r w:rsidRPr="00FB17B2">
        <w:rPr>
          <w:rFonts w:cs="Arial"/>
          <w:sz w:val="20"/>
          <w:vertAlign w:val="superscript"/>
        </w:rPr>
        <w:endnoteReference w:id="440"/>
      </w:r>
      <w:r w:rsidRPr="00BD24E1">
        <w:rPr>
          <w:rFonts w:cs="Arial"/>
        </w:rPr>
        <w:t xml:space="preserve"> </w:t>
      </w:r>
    </w:p>
    <w:p w14:paraId="0818147D" w14:textId="77777777" w:rsidR="000D1D92" w:rsidRDefault="000D1D92" w:rsidP="000D1D92">
      <w:pPr>
        <w:jc w:val="both"/>
        <w:rPr>
          <w:rFonts w:cs="Arial"/>
        </w:rPr>
      </w:pPr>
      <w:r w:rsidRPr="00E70B00">
        <w:rPr>
          <w:rFonts w:cs="Arial"/>
          <w:b/>
        </w:rPr>
        <w:t>Children living with family and domestic violence are also at an increased risk of experiencing emotional, physical and sexual abuse</w:t>
      </w:r>
      <w:r w:rsidRPr="00FB17B2">
        <w:rPr>
          <w:rFonts w:cs="Arial"/>
        </w:rPr>
        <w:t>.</w:t>
      </w:r>
      <w:r w:rsidRPr="00FB17B2">
        <w:rPr>
          <w:rFonts w:cs="Arial"/>
          <w:sz w:val="20"/>
          <w:vertAlign w:val="superscript"/>
        </w:rPr>
        <w:endnoteReference w:id="441"/>
      </w:r>
      <w:r>
        <w:rPr>
          <w:rFonts w:cs="Arial"/>
        </w:rPr>
        <w:t xml:space="preserve"> In Australia there is no national data on the proportion of child protection notifications that relate to family and domestic violence.</w:t>
      </w:r>
      <w:r>
        <w:rPr>
          <w:rStyle w:val="EndnoteReference"/>
          <w:rFonts w:cs="Arial"/>
        </w:rPr>
        <w:endnoteReference w:id="442"/>
      </w:r>
      <w:r>
        <w:rPr>
          <w:rFonts w:cs="Arial"/>
        </w:rPr>
        <w:t xml:space="preserve"> It is estimated, however, that family and domestic violence is present in 55% of physical abuses and 40% of sexual abuses against children.</w:t>
      </w:r>
      <w:r>
        <w:rPr>
          <w:rStyle w:val="EndnoteReference"/>
          <w:rFonts w:cs="Arial"/>
        </w:rPr>
        <w:endnoteReference w:id="443"/>
      </w:r>
      <w:r>
        <w:rPr>
          <w:rFonts w:cs="Arial"/>
        </w:rPr>
        <w:t xml:space="preserve"> </w:t>
      </w:r>
    </w:p>
    <w:p w14:paraId="1ED6A507" w14:textId="77777777" w:rsidR="000D1D92" w:rsidRDefault="000D1D92" w:rsidP="000D1D92">
      <w:pPr>
        <w:jc w:val="both"/>
        <w:rPr>
          <w:rFonts w:cs="Arial"/>
        </w:rPr>
      </w:pPr>
      <w:r>
        <w:rPr>
          <w:rFonts w:cs="Arial"/>
        </w:rPr>
        <w:t xml:space="preserve">During 2013-14, </w:t>
      </w:r>
      <w:r w:rsidRPr="00CF21AE">
        <w:rPr>
          <w:rFonts w:cs="Arial"/>
        </w:rPr>
        <w:t xml:space="preserve">40,844 </w:t>
      </w:r>
      <w:r>
        <w:rPr>
          <w:rFonts w:cs="Arial"/>
        </w:rPr>
        <w:t>children were the subjects of substantiated child protection notifications in Australia, with 40% for emotional abuse, 19% for physical abuse and 14% for sexual abuse.</w:t>
      </w:r>
      <w:r>
        <w:rPr>
          <w:rStyle w:val="EndnoteReference"/>
          <w:rFonts w:cs="Arial"/>
        </w:rPr>
        <w:endnoteReference w:id="444"/>
      </w:r>
      <w:r>
        <w:rPr>
          <w:rFonts w:cs="Arial"/>
        </w:rPr>
        <w:t xml:space="preserve"> </w:t>
      </w:r>
    </w:p>
    <w:p w14:paraId="2B85B810" w14:textId="77777777" w:rsidR="000D1D92" w:rsidRDefault="000D1D92" w:rsidP="000D1D92">
      <w:pPr>
        <w:jc w:val="both"/>
        <w:rPr>
          <w:rFonts w:cs="Arial"/>
        </w:rPr>
      </w:pPr>
      <w:r w:rsidRPr="00C21DB9">
        <w:rPr>
          <w:rFonts w:cs="Arial"/>
        </w:rPr>
        <w:t xml:space="preserve">Data made available by the Tasmanian Government has indicated </w:t>
      </w:r>
      <w:r>
        <w:rPr>
          <w:rFonts w:cs="Arial"/>
        </w:rPr>
        <w:t xml:space="preserve">that </w:t>
      </w:r>
      <w:r w:rsidRPr="00C21DB9">
        <w:rPr>
          <w:rFonts w:cs="Arial"/>
        </w:rPr>
        <w:t>from July 2014 to March 2015, 1</w:t>
      </w:r>
      <w:r>
        <w:rPr>
          <w:rFonts w:cs="Arial"/>
        </w:rPr>
        <w:t>,</w:t>
      </w:r>
      <w:r w:rsidRPr="00C21DB9">
        <w:rPr>
          <w:rFonts w:cs="Arial"/>
        </w:rPr>
        <w:t>036 children were present at family violence incidents where there was police intervention. For the same period, Tasmanian Police resp</w:t>
      </w:r>
      <w:r>
        <w:rPr>
          <w:rFonts w:cs="Arial"/>
        </w:rPr>
        <w:t>onded to 1,929 family violence incidents.</w:t>
      </w:r>
      <w:r>
        <w:rPr>
          <w:rStyle w:val="EndnoteReference"/>
          <w:rFonts w:cs="Arial"/>
        </w:rPr>
        <w:endnoteReference w:id="445"/>
      </w:r>
    </w:p>
    <w:p w14:paraId="43F31255" w14:textId="77777777" w:rsidR="000D1D92" w:rsidRDefault="000D1D92" w:rsidP="000D1D92">
      <w:pPr>
        <w:jc w:val="both"/>
        <w:rPr>
          <w:rFonts w:cs="Arial"/>
        </w:rPr>
      </w:pPr>
      <w:r>
        <w:rPr>
          <w:rFonts w:cs="Arial"/>
        </w:rPr>
        <w:lastRenderedPageBreak/>
        <w:t xml:space="preserve">The ABS Crime Victimisation </w:t>
      </w:r>
      <w:r w:rsidRPr="00475CB5">
        <w:rPr>
          <w:rFonts w:cs="Arial"/>
        </w:rPr>
        <w:t>publication</w:t>
      </w:r>
      <w:r>
        <w:rPr>
          <w:rFonts w:cs="Arial"/>
        </w:rPr>
        <w:t xml:space="preserve"> (</w:t>
      </w:r>
      <w:r w:rsidRPr="00475CB5">
        <w:rPr>
          <w:rFonts w:cs="Arial"/>
        </w:rPr>
        <w:t>2013-14</w:t>
      </w:r>
      <w:r>
        <w:rPr>
          <w:rFonts w:cs="Arial"/>
        </w:rPr>
        <w:t>)</w:t>
      </w:r>
      <w:r w:rsidRPr="00475CB5">
        <w:rPr>
          <w:rFonts w:cs="Arial"/>
        </w:rPr>
        <w:t xml:space="preserve"> shows that </w:t>
      </w:r>
      <w:r>
        <w:rPr>
          <w:rFonts w:cs="Arial"/>
        </w:rPr>
        <w:t xml:space="preserve">significant numbers of </w:t>
      </w:r>
      <w:r w:rsidRPr="00475CB5">
        <w:rPr>
          <w:rFonts w:cs="Arial"/>
        </w:rPr>
        <w:t>children and young</w:t>
      </w:r>
      <w:r>
        <w:rPr>
          <w:rFonts w:cs="Arial"/>
        </w:rPr>
        <w:t xml:space="preserve"> people are victims of physical assault. For example, young </w:t>
      </w:r>
      <w:r w:rsidRPr="00475CB5">
        <w:rPr>
          <w:rFonts w:cs="Arial"/>
        </w:rPr>
        <w:t>people aged 15</w:t>
      </w:r>
      <w:r>
        <w:rPr>
          <w:rFonts w:cs="Arial"/>
        </w:rPr>
        <w:t xml:space="preserve"> to </w:t>
      </w:r>
      <w:r w:rsidRPr="00475CB5">
        <w:rPr>
          <w:rFonts w:cs="Arial"/>
        </w:rPr>
        <w:t>19</w:t>
      </w:r>
      <w:r>
        <w:rPr>
          <w:rFonts w:cs="Arial"/>
        </w:rPr>
        <w:t xml:space="preserve"> years </w:t>
      </w:r>
      <w:r w:rsidRPr="00475CB5">
        <w:rPr>
          <w:rFonts w:cs="Arial"/>
        </w:rPr>
        <w:t>experienced the third highest physical assault victimisation rate (3%), after persons aged 20</w:t>
      </w:r>
      <w:r>
        <w:rPr>
          <w:rFonts w:cs="Arial"/>
        </w:rPr>
        <w:t xml:space="preserve"> to 2</w:t>
      </w:r>
      <w:r w:rsidRPr="00475CB5">
        <w:rPr>
          <w:rFonts w:cs="Arial"/>
        </w:rPr>
        <w:t>4</w:t>
      </w:r>
      <w:r>
        <w:rPr>
          <w:rFonts w:cs="Arial"/>
        </w:rPr>
        <w:t xml:space="preserve"> years</w:t>
      </w:r>
      <w:r w:rsidRPr="00475CB5">
        <w:rPr>
          <w:rFonts w:cs="Arial"/>
        </w:rPr>
        <w:t xml:space="preserve"> (4%) and persons aged 25</w:t>
      </w:r>
      <w:r>
        <w:rPr>
          <w:rFonts w:cs="Arial"/>
        </w:rPr>
        <w:t xml:space="preserve"> to </w:t>
      </w:r>
      <w:r w:rsidRPr="00475CB5">
        <w:rPr>
          <w:rFonts w:cs="Arial"/>
        </w:rPr>
        <w:t>29</w:t>
      </w:r>
      <w:r>
        <w:rPr>
          <w:rFonts w:cs="Arial"/>
        </w:rPr>
        <w:t xml:space="preserve"> years</w:t>
      </w:r>
      <w:r w:rsidRPr="00475CB5">
        <w:rPr>
          <w:rFonts w:cs="Arial"/>
        </w:rPr>
        <w:t xml:space="preserve"> (3.7%)</w:t>
      </w:r>
      <w:r>
        <w:rPr>
          <w:rFonts w:cs="Arial"/>
        </w:rPr>
        <w:t>.</w:t>
      </w:r>
      <w:r>
        <w:rPr>
          <w:rStyle w:val="EndnoteReference"/>
          <w:rFonts w:cs="Arial"/>
        </w:rPr>
        <w:endnoteReference w:id="446"/>
      </w:r>
      <w:r>
        <w:rPr>
          <w:rFonts w:cs="Arial"/>
        </w:rPr>
        <w:t xml:space="preserve"> Data from the year earlier (2012-13) showed that </w:t>
      </w:r>
      <w:r w:rsidRPr="00475CB5">
        <w:rPr>
          <w:rFonts w:cs="Arial"/>
        </w:rPr>
        <w:t>children and young people aged 15</w:t>
      </w:r>
      <w:r>
        <w:rPr>
          <w:rFonts w:cs="Arial"/>
        </w:rPr>
        <w:t xml:space="preserve"> to </w:t>
      </w:r>
      <w:r w:rsidRPr="00475CB5">
        <w:rPr>
          <w:rFonts w:cs="Arial"/>
        </w:rPr>
        <w:t>19</w:t>
      </w:r>
      <w:r>
        <w:rPr>
          <w:rFonts w:cs="Arial"/>
        </w:rPr>
        <w:t xml:space="preserve"> years</w:t>
      </w:r>
      <w:r w:rsidRPr="00475CB5">
        <w:rPr>
          <w:rFonts w:cs="Arial"/>
        </w:rPr>
        <w:t xml:space="preserve"> experience</w:t>
      </w:r>
      <w:r>
        <w:rPr>
          <w:rFonts w:cs="Arial"/>
        </w:rPr>
        <w:t>d</w:t>
      </w:r>
      <w:r w:rsidRPr="00475CB5">
        <w:rPr>
          <w:rFonts w:cs="Arial"/>
        </w:rPr>
        <w:t xml:space="preserve"> the highest physical assault victimisation rate (5.1%).</w:t>
      </w:r>
      <w:r>
        <w:rPr>
          <w:rStyle w:val="EndnoteReference"/>
          <w:rFonts w:cs="Arial"/>
        </w:rPr>
        <w:endnoteReference w:id="447"/>
      </w:r>
    </w:p>
    <w:p w14:paraId="5F131C85" w14:textId="77777777" w:rsidR="000D1D92" w:rsidRDefault="000D1D92" w:rsidP="000D1D92">
      <w:pPr>
        <w:jc w:val="both"/>
        <w:rPr>
          <w:rFonts w:cs="Arial"/>
        </w:rPr>
      </w:pPr>
      <w:r>
        <w:rPr>
          <w:rFonts w:cs="Arial"/>
        </w:rPr>
        <w:t>The Western Australian Police: Office of Assistant Commissioner Judicial Services has reported that a 2014 study of 100 Aboriginal children in custody showed that 81 of these children had experienced family violence and half of these children had either been witness to or a victim of child abuse/sexual offences.</w:t>
      </w:r>
      <w:r>
        <w:rPr>
          <w:rStyle w:val="EndnoteReference"/>
          <w:rFonts w:cs="Arial"/>
        </w:rPr>
        <w:endnoteReference w:id="448"/>
      </w:r>
    </w:p>
    <w:p w14:paraId="7B3A0BC1" w14:textId="77777777" w:rsidR="000D1D92" w:rsidRDefault="000D1D92" w:rsidP="000D1D92">
      <w:pPr>
        <w:jc w:val="both"/>
        <w:rPr>
          <w:rFonts w:cs="Arial"/>
        </w:rPr>
      </w:pPr>
      <w:r>
        <w:rPr>
          <w:rFonts w:cs="Arial"/>
        </w:rPr>
        <w:t>Homelessness is a common experience of children affected by family violence. Data from the Australian Institute of Health and Welfare shows that of the 254,001 clients who were assisted by specialist homelessness services in 2013-14, 59% were female, and more than a quarter (just under 70,000) were children. 16% were under ten years of age. 24% of these clients reported family and domestic violence as the main reason for seeking assistance.</w:t>
      </w:r>
      <w:r>
        <w:rPr>
          <w:rStyle w:val="EndnoteReference"/>
          <w:rFonts w:cs="Arial"/>
        </w:rPr>
        <w:endnoteReference w:id="449"/>
      </w:r>
    </w:p>
    <w:p w14:paraId="7CE1EB76" w14:textId="77777777" w:rsidR="000D1D92" w:rsidRDefault="000D1D92" w:rsidP="000D1D92">
      <w:pPr>
        <w:pStyle w:val="Heading3"/>
        <w:jc w:val="both"/>
      </w:pPr>
      <w:bookmarkStart w:id="158" w:name="_Toc432061259"/>
      <w:r w:rsidRPr="00FA2408">
        <w:t>Aboriginal and Torres Strait Islander children</w:t>
      </w:r>
      <w:bookmarkEnd w:id="158"/>
    </w:p>
    <w:p w14:paraId="021313EB" w14:textId="77777777" w:rsidR="000D1D92" w:rsidRPr="00BB2B2A" w:rsidRDefault="000D1D92" w:rsidP="000D1D92">
      <w:pPr>
        <w:jc w:val="both"/>
        <w:rPr>
          <w:rFonts w:cs="Arial"/>
          <w:color w:val="000000"/>
        </w:rPr>
      </w:pPr>
      <w:r w:rsidRPr="00C64214">
        <w:rPr>
          <w:rFonts w:cs="Arial"/>
          <w:color w:val="000000"/>
        </w:rPr>
        <w:t xml:space="preserve">Family and domestic violence disproportionately affects Aboriginal and Torres Strait Islander children. </w:t>
      </w:r>
      <w:r w:rsidRPr="00BB2B2A">
        <w:rPr>
          <w:rFonts w:cs="Arial"/>
        </w:rPr>
        <w:t xml:space="preserve">As far back as 2002, </w:t>
      </w:r>
      <w:r w:rsidRPr="00BB2B2A">
        <w:rPr>
          <w:rFonts w:cs="Arial"/>
          <w:i/>
        </w:rPr>
        <w:t>Putting the Picture Together</w:t>
      </w:r>
      <w:r w:rsidRPr="00BB2B2A">
        <w:rPr>
          <w:rFonts w:cs="Arial"/>
        </w:rPr>
        <w:t xml:space="preserve">, </w:t>
      </w:r>
      <w:r>
        <w:rPr>
          <w:rFonts w:cs="Arial"/>
        </w:rPr>
        <w:t xml:space="preserve">also </w:t>
      </w:r>
      <w:r w:rsidRPr="00BB2B2A">
        <w:rPr>
          <w:rFonts w:cs="Arial"/>
        </w:rPr>
        <w:t xml:space="preserve">known as the </w:t>
      </w:r>
      <w:r>
        <w:rPr>
          <w:rFonts w:cs="Arial"/>
        </w:rPr>
        <w:t>‘</w:t>
      </w:r>
      <w:r w:rsidRPr="00BB2B2A">
        <w:rPr>
          <w:rFonts w:cs="Arial"/>
        </w:rPr>
        <w:t>Gordon</w:t>
      </w:r>
      <w:r>
        <w:rPr>
          <w:rFonts w:cs="Arial"/>
        </w:rPr>
        <w:t xml:space="preserve"> Report’ stated</w:t>
      </w:r>
      <w:r w:rsidRPr="00BB2B2A">
        <w:rPr>
          <w:rFonts w:cs="Arial"/>
        </w:rPr>
        <w:t xml:space="preserve"> that: </w:t>
      </w:r>
    </w:p>
    <w:p w14:paraId="30EFD033" w14:textId="77777777" w:rsidR="000D1D92" w:rsidRPr="00154B2A" w:rsidRDefault="000D1D92" w:rsidP="000D1D92">
      <w:pPr>
        <w:pStyle w:val="Default"/>
        <w:ind w:left="720"/>
        <w:jc w:val="both"/>
        <w:rPr>
          <w:rFonts w:ascii="Arial" w:hAnsi="Arial" w:cs="Arial"/>
        </w:rPr>
      </w:pPr>
      <w:r w:rsidRPr="000F0C87">
        <w:rPr>
          <w:rFonts w:ascii="Arial" w:hAnsi="Arial" w:cs="Arial"/>
          <w:sz w:val="22"/>
          <w:szCs w:val="22"/>
        </w:rPr>
        <w:t>The true prevalence of Aboriginal family violence is unknown. What is known is that the violence is endemic and presents an extremely troubling picture of the situation in many Aboriginal communities</w:t>
      </w:r>
      <w:r w:rsidRPr="00154B2A">
        <w:rPr>
          <w:rFonts w:ascii="Arial" w:hAnsi="Arial" w:cs="Arial"/>
        </w:rPr>
        <w:t>.</w:t>
      </w:r>
      <w:r w:rsidRPr="00825E46">
        <w:rPr>
          <w:rStyle w:val="EndnoteReference"/>
          <w:rFonts w:cs="Arial"/>
          <w:szCs w:val="20"/>
        </w:rPr>
        <w:endnoteReference w:id="450"/>
      </w:r>
    </w:p>
    <w:p w14:paraId="7B130659" w14:textId="77777777" w:rsidR="000D1D92" w:rsidRDefault="000D1D92" w:rsidP="000D1D92">
      <w:pPr>
        <w:pStyle w:val="Default"/>
        <w:jc w:val="both"/>
        <w:rPr>
          <w:rFonts w:ascii="Arial" w:hAnsi="Arial" w:cs="Arial"/>
          <w:sz w:val="22"/>
          <w:szCs w:val="22"/>
        </w:rPr>
      </w:pPr>
    </w:p>
    <w:p w14:paraId="23E782AA" w14:textId="77777777" w:rsidR="000D1D92" w:rsidRDefault="000D1D92" w:rsidP="000D1D92">
      <w:pPr>
        <w:pStyle w:val="Default"/>
        <w:jc w:val="both"/>
        <w:rPr>
          <w:rFonts w:ascii="Arial" w:hAnsi="Arial" w:cs="Arial"/>
        </w:rPr>
      </w:pPr>
      <w:r>
        <w:rPr>
          <w:rFonts w:ascii="Arial" w:hAnsi="Arial" w:cs="Arial"/>
        </w:rPr>
        <w:t xml:space="preserve">Thirteen years later, the problem remains. </w:t>
      </w:r>
      <w:r w:rsidRPr="00F3588F">
        <w:rPr>
          <w:rFonts w:ascii="Arial" w:hAnsi="Arial" w:cs="Arial"/>
        </w:rPr>
        <w:t>Nationally</w:t>
      </w:r>
      <w:r>
        <w:rPr>
          <w:rFonts w:ascii="Arial" w:hAnsi="Arial" w:cs="Arial"/>
        </w:rPr>
        <w:t>,</w:t>
      </w:r>
      <w:r w:rsidRPr="00F3588F">
        <w:rPr>
          <w:rFonts w:ascii="Arial" w:hAnsi="Arial" w:cs="Arial"/>
        </w:rPr>
        <w:t xml:space="preserve"> in 2012-13</w:t>
      </w:r>
      <w:r w:rsidRPr="00F3588F">
        <w:rPr>
          <w:rFonts w:ascii="Arial" w:hAnsi="Arial" w:cs="Arial"/>
          <w:b/>
        </w:rPr>
        <w:t>,</w:t>
      </w:r>
      <w:r>
        <w:rPr>
          <w:rFonts w:ascii="Arial" w:hAnsi="Arial" w:cs="Arial"/>
          <w:b/>
        </w:rPr>
        <w:t xml:space="preserve"> </w:t>
      </w:r>
      <w:r w:rsidRPr="008342D4">
        <w:rPr>
          <w:rFonts w:ascii="Arial" w:hAnsi="Arial" w:cs="Arial"/>
        </w:rPr>
        <w:t>Aboriginal and Torres Strait Islander women</w:t>
      </w:r>
      <w:r w:rsidRPr="00F3588F">
        <w:rPr>
          <w:rFonts w:ascii="Arial" w:hAnsi="Arial" w:cs="Arial"/>
          <w:b/>
        </w:rPr>
        <w:t xml:space="preserve"> </w:t>
      </w:r>
      <w:r w:rsidRPr="00F3588F">
        <w:rPr>
          <w:rFonts w:ascii="Arial" w:hAnsi="Arial" w:cs="Arial"/>
        </w:rPr>
        <w:t>were 34.2 times more likely</w:t>
      </w:r>
      <w:r>
        <w:rPr>
          <w:rFonts w:ascii="Arial" w:hAnsi="Arial" w:cs="Arial"/>
        </w:rPr>
        <w:t xml:space="preserve"> and men 28.3 times more likely</w:t>
      </w:r>
      <w:r w:rsidRPr="00F3588F">
        <w:rPr>
          <w:rFonts w:ascii="Arial" w:hAnsi="Arial" w:cs="Arial"/>
        </w:rPr>
        <w:t xml:space="preserve"> to be hospitalised for non-fatal family violence-related assaults</w:t>
      </w:r>
      <w:r w:rsidRPr="00F3588F">
        <w:rPr>
          <w:rFonts w:ascii="Arial" w:hAnsi="Arial" w:cs="Arial"/>
          <w:b/>
        </w:rPr>
        <w:t xml:space="preserve"> </w:t>
      </w:r>
      <w:r w:rsidRPr="00F3588F">
        <w:rPr>
          <w:rFonts w:ascii="Arial" w:hAnsi="Arial" w:cs="Arial"/>
        </w:rPr>
        <w:t>than non-</w:t>
      </w:r>
      <w:r>
        <w:rPr>
          <w:rFonts w:ascii="Arial" w:hAnsi="Arial" w:cs="Arial"/>
        </w:rPr>
        <w:t>Indigenous females and males.</w:t>
      </w:r>
      <w:r w:rsidRPr="00825E46">
        <w:rPr>
          <w:rStyle w:val="EndnoteReference"/>
          <w:rFonts w:cs="Arial"/>
          <w:szCs w:val="20"/>
        </w:rPr>
        <w:endnoteReference w:id="451"/>
      </w:r>
    </w:p>
    <w:p w14:paraId="038C70D4" w14:textId="77777777" w:rsidR="000D1D92" w:rsidRDefault="000D1D92" w:rsidP="000D1D92">
      <w:pPr>
        <w:pStyle w:val="Default"/>
        <w:jc w:val="both"/>
        <w:rPr>
          <w:rFonts w:ascii="Arial" w:hAnsi="Arial" w:cs="Arial"/>
        </w:rPr>
      </w:pPr>
    </w:p>
    <w:p w14:paraId="3DD129EA" w14:textId="77777777" w:rsidR="000D1D92" w:rsidRDefault="000D1D92" w:rsidP="000D1D92">
      <w:pPr>
        <w:pStyle w:val="Default"/>
        <w:jc w:val="both"/>
        <w:rPr>
          <w:rFonts w:ascii="Arial" w:hAnsi="Arial" w:cs="Arial"/>
        </w:rPr>
      </w:pPr>
      <w:r>
        <w:rPr>
          <w:rFonts w:ascii="Arial" w:hAnsi="Arial" w:cs="Arial"/>
        </w:rPr>
        <w:t xml:space="preserve">In 2012-13, </w:t>
      </w:r>
      <w:r w:rsidRPr="00924799">
        <w:rPr>
          <w:rFonts w:ascii="Arial" w:hAnsi="Arial" w:cs="Arial"/>
        </w:rPr>
        <w:t>family</w:t>
      </w:r>
      <w:r>
        <w:rPr>
          <w:rFonts w:ascii="Arial" w:hAnsi="Arial" w:cs="Arial"/>
        </w:rPr>
        <w:t xml:space="preserve"> and domestic</w:t>
      </w:r>
      <w:r w:rsidRPr="00924799">
        <w:rPr>
          <w:rFonts w:ascii="Arial" w:hAnsi="Arial" w:cs="Arial"/>
        </w:rPr>
        <w:t xml:space="preserve"> violence was the second most common main reason both Aboriginal and Torres Strait Islander and </w:t>
      </w:r>
      <w:r>
        <w:rPr>
          <w:rFonts w:ascii="Arial" w:hAnsi="Arial" w:cs="Arial"/>
        </w:rPr>
        <w:t xml:space="preserve">non-Indigenous people sought </w:t>
      </w:r>
      <w:r w:rsidRPr="00924799">
        <w:rPr>
          <w:rFonts w:ascii="Arial" w:hAnsi="Arial" w:cs="Arial"/>
        </w:rPr>
        <w:t>Specialist Home</w:t>
      </w:r>
      <w:r>
        <w:rPr>
          <w:rFonts w:ascii="Arial" w:hAnsi="Arial" w:cs="Arial"/>
        </w:rPr>
        <w:t xml:space="preserve">lessness Services (24.0% and 22.4% </w:t>
      </w:r>
      <w:r w:rsidRPr="00924799">
        <w:rPr>
          <w:rFonts w:ascii="Arial" w:hAnsi="Arial" w:cs="Arial"/>
        </w:rPr>
        <w:t>respectively)</w:t>
      </w:r>
      <w:r>
        <w:rPr>
          <w:rFonts w:ascii="Arial" w:hAnsi="Arial" w:cs="Arial"/>
        </w:rPr>
        <w:t>, after accommodation difficulties (30.6% and 30.1% respectively).</w:t>
      </w:r>
      <w:r>
        <w:rPr>
          <w:rStyle w:val="EndnoteReference"/>
          <w:rFonts w:cs="Arial"/>
        </w:rPr>
        <w:endnoteReference w:id="452"/>
      </w:r>
      <w:r>
        <w:rPr>
          <w:rFonts w:ascii="Arial" w:hAnsi="Arial" w:cs="Arial"/>
        </w:rPr>
        <w:t xml:space="preserve"> The proportion where </w:t>
      </w:r>
      <w:r w:rsidRPr="004E3379">
        <w:rPr>
          <w:rFonts w:ascii="Arial" w:hAnsi="Arial" w:cs="Arial"/>
        </w:rPr>
        <w:t>family</w:t>
      </w:r>
      <w:r>
        <w:rPr>
          <w:rFonts w:ascii="Arial" w:hAnsi="Arial" w:cs="Arial"/>
        </w:rPr>
        <w:t xml:space="preserve"> and domestic</w:t>
      </w:r>
      <w:r w:rsidRPr="004E3379">
        <w:rPr>
          <w:rFonts w:ascii="Arial" w:hAnsi="Arial" w:cs="Arial"/>
        </w:rPr>
        <w:t xml:space="preserve"> violence was the main reason for seeking assistance increased as remoteness increased</w:t>
      </w:r>
      <w:r>
        <w:rPr>
          <w:rFonts w:ascii="Arial" w:hAnsi="Arial" w:cs="Arial"/>
        </w:rPr>
        <w:t>.</w:t>
      </w:r>
      <w:r>
        <w:rPr>
          <w:rStyle w:val="EndnoteReference"/>
          <w:rFonts w:cs="Arial"/>
        </w:rPr>
        <w:endnoteReference w:id="453"/>
      </w:r>
    </w:p>
    <w:p w14:paraId="1C41D8FE" w14:textId="77777777" w:rsidR="000D1D92" w:rsidRDefault="000D1D92" w:rsidP="000D1D92">
      <w:pPr>
        <w:pStyle w:val="Default"/>
        <w:jc w:val="both"/>
        <w:rPr>
          <w:rFonts w:ascii="Arial" w:hAnsi="Arial" w:cs="Arial"/>
        </w:rPr>
      </w:pPr>
    </w:p>
    <w:p w14:paraId="252E39BA" w14:textId="77777777" w:rsidR="000D1D92" w:rsidRDefault="000D1D92" w:rsidP="000D1D92">
      <w:pPr>
        <w:pStyle w:val="Default"/>
        <w:jc w:val="both"/>
        <w:rPr>
          <w:rFonts w:ascii="Arial" w:hAnsi="Arial" w:cs="Arial"/>
        </w:rPr>
      </w:pPr>
      <w:r w:rsidRPr="00234252">
        <w:rPr>
          <w:rFonts w:ascii="Arial" w:hAnsi="Arial" w:cs="Arial"/>
        </w:rPr>
        <w:t xml:space="preserve">Aboriginal and Torres Strait Islander children </w:t>
      </w:r>
      <w:r>
        <w:rPr>
          <w:rFonts w:ascii="Arial" w:hAnsi="Arial" w:cs="Arial"/>
        </w:rPr>
        <w:t xml:space="preserve">aged 0 to 17 years accompanying clients of </w:t>
      </w:r>
      <w:r w:rsidRPr="00924799">
        <w:rPr>
          <w:rFonts w:ascii="Arial" w:hAnsi="Arial" w:cs="Arial"/>
        </w:rPr>
        <w:t>Specialist Homelessness Services</w:t>
      </w:r>
      <w:r w:rsidRPr="00234252">
        <w:rPr>
          <w:rFonts w:ascii="Arial" w:hAnsi="Arial" w:cs="Arial"/>
        </w:rPr>
        <w:t xml:space="preserve"> </w:t>
      </w:r>
      <w:r>
        <w:rPr>
          <w:rFonts w:ascii="Arial" w:hAnsi="Arial" w:cs="Arial"/>
        </w:rPr>
        <w:t xml:space="preserve">who were </w:t>
      </w:r>
      <w:r w:rsidRPr="00234252">
        <w:rPr>
          <w:rFonts w:ascii="Arial" w:hAnsi="Arial" w:cs="Arial"/>
        </w:rPr>
        <w:t xml:space="preserve">escaping family </w:t>
      </w:r>
      <w:r>
        <w:rPr>
          <w:rFonts w:ascii="Arial" w:hAnsi="Arial" w:cs="Arial"/>
        </w:rPr>
        <w:t xml:space="preserve">and domestic violence attended a </w:t>
      </w:r>
      <w:r w:rsidRPr="00924799">
        <w:rPr>
          <w:rFonts w:ascii="Arial" w:hAnsi="Arial" w:cs="Arial"/>
        </w:rPr>
        <w:t>Specialist Homelessness Services</w:t>
      </w:r>
      <w:r>
        <w:rPr>
          <w:rFonts w:ascii="Arial" w:hAnsi="Arial" w:cs="Arial"/>
        </w:rPr>
        <w:t xml:space="preserve"> agency at a rate of 443 per 10,</w:t>
      </w:r>
      <w:r w:rsidRPr="00234252">
        <w:rPr>
          <w:rFonts w:ascii="Arial" w:hAnsi="Arial" w:cs="Arial"/>
        </w:rPr>
        <w:t>000 population, more than 30 times the rate for non</w:t>
      </w:r>
      <w:r>
        <w:rPr>
          <w:rFonts w:ascii="Arial" w:hAnsi="Arial" w:cs="Arial"/>
        </w:rPr>
        <w:t>-Indigenous children (14 per 10,</w:t>
      </w:r>
      <w:r w:rsidRPr="00234252">
        <w:rPr>
          <w:rFonts w:ascii="Arial" w:hAnsi="Arial" w:cs="Arial"/>
        </w:rPr>
        <w:t>000 population)</w:t>
      </w:r>
      <w:r>
        <w:rPr>
          <w:rFonts w:ascii="Arial" w:hAnsi="Arial" w:cs="Arial"/>
        </w:rPr>
        <w:t>.</w:t>
      </w:r>
      <w:r>
        <w:rPr>
          <w:rStyle w:val="EndnoteReference"/>
          <w:rFonts w:cs="Arial"/>
        </w:rPr>
        <w:endnoteReference w:id="454"/>
      </w:r>
    </w:p>
    <w:p w14:paraId="796969E9" w14:textId="77777777" w:rsidR="000D1D92" w:rsidRDefault="000D1D92" w:rsidP="000D1D92">
      <w:pPr>
        <w:pStyle w:val="Default"/>
        <w:jc w:val="both"/>
        <w:rPr>
          <w:rFonts w:ascii="Arial" w:hAnsi="Arial" w:cs="Arial"/>
        </w:rPr>
      </w:pPr>
    </w:p>
    <w:p w14:paraId="5C110B93" w14:textId="77777777" w:rsidR="000D1D92" w:rsidRPr="00CD41E2" w:rsidRDefault="000D1D92" w:rsidP="000D1D92">
      <w:pPr>
        <w:pStyle w:val="Default"/>
        <w:jc w:val="both"/>
        <w:rPr>
          <w:rFonts w:ascii="Arial" w:hAnsi="Arial" w:cs="Arial"/>
        </w:rPr>
      </w:pPr>
      <w:r w:rsidRPr="0063793A">
        <w:rPr>
          <w:rFonts w:ascii="Arial" w:hAnsi="Arial" w:cs="Arial"/>
        </w:rPr>
        <w:t>In 2012-13, the rate of female Aborigina</w:t>
      </w:r>
      <w:r>
        <w:rPr>
          <w:rFonts w:ascii="Arial" w:hAnsi="Arial" w:cs="Arial"/>
        </w:rPr>
        <w:t xml:space="preserve">l and Torres Strait Islander clients of </w:t>
      </w:r>
      <w:r w:rsidRPr="00924799">
        <w:rPr>
          <w:rFonts w:ascii="Arial" w:hAnsi="Arial" w:cs="Arial"/>
        </w:rPr>
        <w:t>Specialist Homelessness Services</w:t>
      </w:r>
      <w:r w:rsidRPr="0063793A">
        <w:rPr>
          <w:rFonts w:ascii="Arial" w:hAnsi="Arial" w:cs="Arial"/>
        </w:rPr>
        <w:t xml:space="preserve"> aged 10 years and over escaping family violence (359 cl</w:t>
      </w:r>
      <w:r>
        <w:rPr>
          <w:rFonts w:ascii="Arial" w:hAnsi="Arial" w:cs="Arial"/>
        </w:rPr>
        <w:t>ients per 10,</w:t>
      </w:r>
      <w:r w:rsidRPr="0063793A">
        <w:rPr>
          <w:rFonts w:ascii="Arial" w:hAnsi="Arial" w:cs="Arial"/>
        </w:rPr>
        <w:t>000 population) was 10 times the rate for female non-Indige</w:t>
      </w:r>
      <w:r>
        <w:rPr>
          <w:rFonts w:ascii="Arial" w:hAnsi="Arial" w:cs="Arial"/>
        </w:rPr>
        <w:t>nous clients (34 clients per 10,</w:t>
      </w:r>
      <w:r w:rsidRPr="0063793A">
        <w:rPr>
          <w:rFonts w:ascii="Arial" w:hAnsi="Arial" w:cs="Arial"/>
        </w:rPr>
        <w:t>000 population)</w:t>
      </w:r>
      <w:r>
        <w:rPr>
          <w:rFonts w:ascii="Arial" w:hAnsi="Arial" w:cs="Arial"/>
        </w:rPr>
        <w:t>.</w:t>
      </w:r>
      <w:r>
        <w:rPr>
          <w:rStyle w:val="EndnoteReference"/>
          <w:rFonts w:cs="Arial"/>
        </w:rPr>
        <w:endnoteReference w:id="455"/>
      </w:r>
      <w:r>
        <w:rPr>
          <w:rFonts w:ascii="Arial" w:hAnsi="Arial" w:cs="Arial"/>
        </w:rPr>
        <w:t xml:space="preserve"> </w:t>
      </w:r>
    </w:p>
    <w:p w14:paraId="14F5F107" w14:textId="77777777" w:rsidR="000D1D92" w:rsidRDefault="000D1D92" w:rsidP="000D1D92">
      <w:pPr>
        <w:spacing w:before="0" w:after="0"/>
        <w:jc w:val="both"/>
        <w:rPr>
          <w:rFonts w:cs="Arial"/>
          <w:color w:val="000000"/>
          <w:sz w:val="22"/>
          <w:szCs w:val="22"/>
        </w:rPr>
      </w:pPr>
    </w:p>
    <w:p w14:paraId="3A2C5F3A" w14:textId="77777777" w:rsidR="000D1D92" w:rsidRDefault="000D1D92" w:rsidP="000D1D92">
      <w:pPr>
        <w:spacing w:before="0" w:after="0"/>
        <w:jc w:val="both"/>
        <w:rPr>
          <w:rFonts w:eastAsia="Calibri" w:cs="Arial"/>
        </w:rPr>
      </w:pPr>
      <w:r w:rsidRPr="00BB2B2A">
        <w:rPr>
          <w:rFonts w:eastAsia="Calibri" w:cs="Arial"/>
        </w:rPr>
        <w:t xml:space="preserve">In 2013–14, Aboriginal and Torres Strait Islander children </w:t>
      </w:r>
      <w:r>
        <w:rPr>
          <w:rFonts w:eastAsia="Calibri" w:cs="Arial"/>
        </w:rPr>
        <w:t>were seven</w:t>
      </w:r>
      <w:r w:rsidRPr="00BB2B2A">
        <w:rPr>
          <w:rFonts w:eastAsia="Calibri" w:cs="Arial"/>
        </w:rPr>
        <w:t xml:space="preserve"> times as likely as non-Indigenous children and young people to be receiving child protection services (136.6 per 1,000 children compared with 19.0</w:t>
      </w:r>
      <w:r>
        <w:rPr>
          <w:rFonts w:eastAsia="Calibri" w:cs="Arial"/>
        </w:rPr>
        <w:t xml:space="preserve"> per 1,000</w:t>
      </w:r>
      <w:r w:rsidRPr="00BB2B2A">
        <w:rPr>
          <w:rFonts w:eastAsia="Calibri" w:cs="Arial"/>
        </w:rPr>
        <w:t xml:space="preserve"> for non-Indigenous children).</w:t>
      </w:r>
      <w:r w:rsidRPr="00381FCF">
        <w:rPr>
          <w:rStyle w:val="EndnoteReference"/>
          <w:rFonts w:eastAsia="Calibri" w:cs="Arial"/>
          <w:szCs w:val="20"/>
        </w:rPr>
        <w:endnoteReference w:id="456"/>
      </w:r>
      <w:r w:rsidRPr="00BB2B2A">
        <w:rPr>
          <w:rFonts w:eastAsia="Calibri" w:cs="Arial"/>
        </w:rPr>
        <w:t xml:space="preserve"> </w:t>
      </w:r>
    </w:p>
    <w:p w14:paraId="534E0B10" w14:textId="77777777" w:rsidR="000D1D92" w:rsidRDefault="000D1D92" w:rsidP="000D1D92">
      <w:pPr>
        <w:pStyle w:val="Heading3"/>
        <w:jc w:val="both"/>
      </w:pPr>
      <w:bookmarkStart w:id="159" w:name="_Toc432061260"/>
      <w:r>
        <w:t>Other vulnerable groups of children</w:t>
      </w:r>
      <w:bookmarkEnd w:id="159"/>
    </w:p>
    <w:p w14:paraId="740B3A3A" w14:textId="77777777" w:rsidR="000D1D92" w:rsidRDefault="000D1D92" w:rsidP="000D1D92">
      <w:pPr>
        <w:spacing w:before="0" w:after="0"/>
        <w:jc w:val="both"/>
        <w:rPr>
          <w:rFonts w:cs="Arial"/>
        </w:rPr>
      </w:pPr>
      <w:r w:rsidRPr="00BB2B2A">
        <w:rPr>
          <w:rFonts w:eastAsia="Calibri" w:cs="Arial"/>
        </w:rPr>
        <w:t>Other groups of children</w:t>
      </w:r>
      <w:r>
        <w:rPr>
          <w:rFonts w:eastAsia="Calibri" w:cs="Arial"/>
        </w:rPr>
        <w:t xml:space="preserve">, such as those from </w:t>
      </w:r>
      <w:r w:rsidRPr="008D18A6">
        <w:rPr>
          <w:rFonts w:eastAsia="Calibri" w:cs="Arial"/>
        </w:rPr>
        <w:t xml:space="preserve">culturally and linguistically diverse backgrounds, children with disability, </w:t>
      </w:r>
      <w:r w:rsidRPr="008D18A6">
        <w:rPr>
          <w:rFonts w:cs="Arial"/>
          <w:color w:val="000000"/>
        </w:rPr>
        <w:t xml:space="preserve">children who </w:t>
      </w:r>
      <w:r>
        <w:rPr>
          <w:rFonts w:cs="Arial"/>
          <w:color w:val="000000"/>
        </w:rPr>
        <w:t>are l</w:t>
      </w:r>
      <w:r w:rsidRPr="001F08BC">
        <w:rPr>
          <w:rFonts w:cs="Arial"/>
          <w:color w:val="000000"/>
        </w:rPr>
        <w:t xml:space="preserve">esbian, </w:t>
      </w:r>
      <w:r>
        <w:rPr>
          <w:rFonts w:cs="Arial"/>
          <w:color w:val="000000"/>
        </w:rPr>
        <w:t>g</w:t>
      </w:r>
      <w:r w:rsidRPr="001F08BC">
        <w:rPr>
          <w:rFonts w:cs="Arial"/>
          <w:color w:val="000000"/>
        </w:rPr>
        <w:t xml:space="preserve">ay, </w:t>
      </w:r>
      <w:r>
        <w:rPr>
          <w:rFonts w:cs="Arial"/>
          <w:color w:val="000000"/>
        </w:rPr>
        <w:t>b</w:t>
      </w:r>
      <w:r w:rsidRPr="001F08BC">
        <w:rPr>
          <w:rFonts w:cs="Arial"/>
          <w:color w:val="000000"/>
        </w:rPr>
        <w:t xml:space="preserve">isexual, </w:t>
      </w:r>
      <w:r>
        <w:rPr>
          <w:rFonts w:cs="Arial"/>
          <w:color w:val="000000"/>
        </w:rPr>
        <w:t>t</w:t>
      </w:r>
      <w:r w:rsidRPr="001F08BC">
        <w:rPr>
          <w:rFonts w:cs="Arial"/>
          <w:color w:val="000000"/>
        </w:rPr>
        <w:t xml:space="preserve">ransgender and </w:t>
      </w:r>
      <w:r>
        <w:rPr>
          <w:rFonts w:cs="Arial"/>
          <w:color w:val="000000"/>
        </w:rPr>
        <w:t>i</w:t>
      </w:r>
      <w:r w:rsidRPr="001F08BC">
        <w:rPr>
          <w:rFonts w:cs="Arial"/>
          <w:color w:val="000000"/>
        </w:rPr>
        <w:t>ntersex</w:t>
      </w:r>
      <w:r w:rsidRPr="008D18A6">
        <w:rPr>
          <w:rFonts w:cs="Arial"/>
          <w:color w:val="000000"/>
        </w:rPr>
        <w:t xml:space="preserve">, and </w:t>
      </w:r>
      <w:r w:rsidRPr="008D18A6">
        <w:rPr>
          <w:rFonts w:cs="Arial"/>
        </w:rPr>
        <w:t>children living in rural and remote areas of Australia</w:t>
      </w:r>
      <w:r w:rsidRPr="00E70B00">
        <w:rPr>
          <w:rFonts w:cs="Arial"/>
          <w:b/>
        </w:rPr>
        <w:t xml:space="preserve"> </w:t>
      </w:r>
      <w:r w:rsidRPr="00404193">
        <w:rPr>
          <w:rFonts w:eastAsia="Calibri" w:cs="Arial"/>
        </w:rPr>
        <w:t xml:space="preserve">may also be </w:t>
      </w:r>
      <w:r w:rsidRPr="00404193">
        <w:rPr>
          <w:rFonts w:cs="Arial"/>
        </w:rPr>
        <w:t>disproportionately represented</w:t>
      </w:r>
      <w:r>
        <w:rPr>
          <w:rFonts w:cs="Arial"/>
        </w:rPr>
        <w:t xml:space="preserve">. However, </w:t>
      </w:r>
      <w:r w:rsidRPr="00404193">
        <w:rPr>
          <w:rFonts w:cs="Arial"/>
        </w:rPr>
        <w:t>data sets for these children are either not collected or not publically available</w:t>
      </w:r>
      <w:r w:rsidRPr="00BB2B2A">
        <w:rPr>
          <w:rFonts w:cs="Arial"/>
        </w:rPr>
        <w:t>.</w:t>
      </w:r>
      <w:r>
        <w:rPr>
          <w:rFonts w:cs="Arial"/>
        </w:rPr>
        <w:t xml:space="preserve"> As pointed out by the Australian Institute of Family Studies:</w:t>
      </w:r>
    </w:p>
    <w:p w14:paraId="6DC5C5F8" w14:textId="77777777" w:rsidR="000D1D92" w:rsidRDefault="000D1D92" w:rsidP="000D1D92">
      <w:pPr>
        <w:spacing w:before="0" w:after="0"/>
        <w:jc w:val="both"/>
        <w:rPr>
          <w:rFonts w:cs="Arial"/>
        </w:rPr>
      </w:pPr>
    </w:p>
    <w:p w14:paraId="5748A185" w14:textId="77777777" w:rsidR="000D1D92" w:rsidRPr="00E06568" w:rsidRDefault="000D1D92" w:rsidP="000D1D92">
      <w:pPr>
        <w:spacing w:before="0" w:after="0"/>
        <w:ind w:left="720"/>
        <w:jc w:val="both"/>
        <w:rPr>
          <w:rFonts w:cs="Arial"/>
          <w:sz w:val="22"/>
          <w:szCs w:val="22"/>
        </w:rPr>
      </w:pPr>
      <w:r w:rsidRPr="00E06568">
        <w:rPr>
          <w:rFonts w:cs="Arial"/>
          <w:sz w:val="22"/>
          <w:szCs w:val="22"/>
        </w:rPr>
        <w:t>‘Lack of knowledge about the specific circumstances of these groups is particularly striking’.</w:t>
      </w:r>
      <w:r w:rsidRPr="00E06568">
        <w:rPr>
          <w:rStyle w:val="EndnoteReference"/>
          <w:rFonts w:cs="Arial"/>
          <w:sz w:val="22"/>
          <w:szCs w:val="22"/>
        </w:rPr>
        <w:endnoteReference w:id="457"/>
      </w:r>
    </w:p>
    <w:p w14:paraId="186950D9" w14:textId="77777777" w:rsidR="000D1D92" w:rsidRPr="00FA2408" w:rsidRDefault="000D1D92" w:rsidP="000D1D92">
      <w:pPr>
        <w:pStyle w:val="Heading3"/>
        <w:jc w:val="both"/>
      </w:pPr>
      <w:bookmarkStart w:id="160" w:name="_Toc432061261"/>
      <w:r w:rsidRPr="00FA2408">
        <w:t>Children as homicide victims of family and domestic violence</w:t>
      </w:r>
      <w:bookmarkEnd w:id="160"/>
    </w:p>
    <w:p w14:paraId="1B4F4D08" w14:textId="77777777" w:rsidR="000D1D92" w:rsidRDefault="000D1D92" w:rsidP="000D1D92">
      <w:pPr>
        <w:spacing w:before="0" w:after="0"/>
        <w:jc w:val="both"/>
        <w:rPr>
          <w:lang w:val="en"/>
        </w:rPr>
      </w:pPr>
      <w:r>
        <w:rPr>
          <w:lang w:val="en"/>
        </w:rPr>
        <w:t xml:space="preserve">The Australian Institute of Criminology (AIC) released a report earlier this year on characteristics of family and domestic homicides for the 10-year period 2002-2012. </w:t>
      </w:r>
    </w:p>
    <w:p w14:paraId="4C4AE839" w14:textId="77777777" w:rsidR="000D1D92" w:rsidRDefault="000D1D92" w:rsidP="000D1D92">
      <w:pPr>
        <w:spacing w:before="0" w:after="0"/>
        <w:jc w:val="both"/>
        <w:rPr>
          <w:lang w:val="en"/>
        </w:rPr>
      </w:pPr>
    </w:p>
    <w:p w14:paraId="70BBB503" w14:textId="77777777" w:rsidR="000D1D92" w:rsidRDefault="000D1D92" w:rsidP="000D1D92">
      <w:pPr>
        <w:spacing w:before="0" w:after="0"/>
        <w:jc w:val="both"/>
        <w:rPr>
          <w:lang w:val="en"/>
        </w:rPr>
      </w:pPr>
      <w:r>
        <w:rPr>
          <w:lang w:val="en"/>
        </w:rPr>
        <w:t xml:space="preserve">Its data showed that </w:t>
      </w:r>
      <w:r w:rsidRPr="00E70B00">
        <w:rPr>
          <w:b/>
          <w:lang w:val="en"/>
        </w:rPr>
        <w:t xml:space="preserve">children </w:t>
      </w:r>
      <w:r w:rsidRPr="00A07D9F">
        <w:rPr>
          <w:b/>
          <w:lang w:val="en"/>
        </w:rPr>
        <w:t>comprised the second most frequent group of victims</w:t>
      </w:r>
      <w:r>
        <w:rPr>
          <w:b/>
          <w:lang w:val="en"/>
        </w:rPr>
        <w:t xml:space="preserve"> </w:t>
      </w:r>
      <w:r w:rsidRPr="00A07D9F">
        <w:rPr>
          <w:b/>
          <w:lang w:val="en"/>
        </w:rPr>
        <w:t xml:space="preserve">of </w:t>
      </w:r>
      <w:r>
        <w:rPr>
          <w:b/>
          <w:lang w:val="en"/>
        </w:rPr>
        <w:t>family and domestic</w:t>
      </w:r>
      <w:r w:rsidRPr="00A07D9F">
        <w:rPr>
          <w:b/>
          <w:lang w:val="en"/>
        </w:rPr>
        <w:t xml:space="preserve"> homicides </w:t>
      </w:r>
      <w:r>
        <w:rPr>
          <w:lang w:val="en"/>
        </w:rPr>
        <w:t>(21%) after intimate partner homicides (56%).</w:t>
      </w:r>
      <w:r>
        <w:rPr>
          <w:rStyle w:val="EndnoteReference"/>
          <w:lang w:val="en"/>
        </w:rPr>
        <w:endnoteReference w:id="458"/>
      </w:r>
    </w:p>
    <w:p w14:paraId="6C1C19EA" w14:textId="77777777" w:rsidR="000D1D92" w:rsidRDefault="000D1D92" w:rsidP="000D1D92">
      <w:pPr>
        <w:spacing w:before="0" w:after="0"/>
        <w:jc w:val="both"/>
        <w:rPr>
          <w:lang w:val="en"/>
        </w:rPr>
      </w:pPr>
    </w:p>
    <w:p w14:paraId="0D1B2085" w14:textId="77777777" w:rsidR="000D1D92" w:rsidRDefault="000D1D92" w:rsidP="000D1D92">
      <w:pPr>
        <w:spacing w:before="0" w:after="0"/>
        <w:jc w:val="both"/>
        <w:rPr>
          <w:lang w:val="en"/>
        </w:rPr>
      </w:pPr>
      <w:r>
        <w:rPr>
          <w:lang w:val="en"/>
        </w:rPr>
        <w:t xml:space="preserve">Of the 238 filicide cases (homicides where the </w:t>
      </w:r>
      <w:r w:rsidRPr="006346C2">
        <w:rPr>
          <w:lang w:val="en"/>
        </w:rPr>
        <w:t>victim is the child of the offender</w:t>
      </w:r>
      <w:r>
        <w:rPr>
          <w:lang w:val="en"/>
        </w:rPr>
        <w:t xml:space="preserve">), 229 of these were children under 18 (96%). </w:t>
      </w:r>
    </w:p>
    <w:p w14:paraId="64BB4131" w14:textId="77777777" w:rsidR="000D1D92" w:rsidRDefault="000D1D92" w:rsidP="000D1D92">
      <w:pPr>
        <w:spacing w:before="0" w:after="0"/>
        <w:jc w:val="both"/>
        <w:rPr>
          <w:lang w:val="en"/>
        </w:rPr>
      </w:pPr>
    </w:p>
    <w:p w14:paraId="7EC0DB73" w14:textId="77777777" w:rsidR="000D1D92" w:rsidRDefault="000D1D92" w:rsidP="000D1D92">
      <w:pPr>
        <w:spacing w:before="0" w:after="0"/>
        <w:jc w:val="both"/>
        <w:rPr>
          <w:lang w:val="en"/>
        </w:rPr>
      </w:pPr>
      <w:r>
        <w:rPr>
          <w:lang w:val="en"/>
        </w:rPr>
        <w:t>51% of all filicide cases were attributed to children aged between 1 to 9 years, 32% for children under the age of one; 11% for children aged 10 to 14 years; and 2% for children aged 15 to 17 years.</w:t>
      </w:r>
    </w:p>
    <w:p w14:paraId="47AFC523" w14:textId="77777777" w:rsidR="000D1D92" w:rsidRDefault="000D1D92" w:rsidP="000D1D92">
      <w:pPr>
        <w:spacing w:before="0" w:after="0"/>
        <w:jc w:val="both"/>
        <w:rPr>
          <w:lang w:val="en"/>
        </w:rPr>
      </w:pPr>
    </w:p>
    <w:p w14:paraId="3D2A9B05" w14:textId="77777777" w:rsidR="000D1D92" w:rsidRDefault="000D1D92" w:rsidP="000D1D92">
      <w:pPr>
        <w:spacing w:before="0" w:after="0"/>
        <w:jc w:val="both"/>
        <w:rPr>
          <w:vertAlign w:val="superscript"/>
          <w:lang w:val="en"/>
        </w:rPr>
      </w:pPr>
      <w:r>
        <w:rPr>
          <w:lang w:val="en"/>
        </w:rPr>
        <w:t>In all age categories for children under 18 (under 1, 1-9, 10-14, 15-17) filicide was the most common form of family and domestic homicide, except for 15 to 17 year olds where intimate partner homicide was more common.</w:t>
      </w:r>
      <w:r w:rsidRPr="00F82D4C">
        <w:rPr>
          <w:sz w:val="20"/>
          <w:szCs w:val="20"/>
          <w:vertAlign w:val="superscript"/>
          <w:lang w:val="en"/>
        </w:rPr>
        <w:endnoteReference w:id="459"/>
      </w:r>
    </w:p>
    <w:p w14:paraId="2689D759" w14:textId="77777777" w:rsidR="000D1D92" w:rsidRDefault="000D1D92" w:rsidP="000D1D92">
      <w:pPr>
        <w:spacing w:before="0" w:after="0"/>
        <w:jc w:val="both"/>
        <w:rPr>
          <w:vertAlign w:val="superscript"/>
          <w:lang w:val="en"/>
        </w:rPr>
      </w:pPr>
    </w:p>
    <w:p w14:paraId="11174495" w14:textId="77777777" w:rsidR="000D1D92" w:rsidRDefault="000D1D92" w:rsidP="000D1D92">
      <w:pPr>
        <w:spacing w:before="0" w:after="0"/>
        <w:jc w:val="both"/>
        <w:rPr>
          <w:vertAlign w:val="superscript"/>
          <w:lang w:val="en"/>
        </w:rPr>
      </w:pPr>
      <w:r>
        <w:rPr>
          <w:lang w:val="en"/>
        </w:rPr>
        <w:t>Victims of filicide were slightly more likely to be male (56%) than female (44%).</w:t>
      </w:r>
      <w:r w:rsidRPr="00F82D4C">
        <w:rPr>
          <w:sz w:val="20"/>
          <w:szCs w:val="20"/>
          <w:vertAlign w:val="superscript"/>
          <w:lang w:val="en"/>
        </w:rPr>
        <w:endnoteReference w:id="460"/>
      </w:r>
    </w:p>
    <w:p w14:paraId="44AEB409" w14:textId="77777777" w:rsidR="000D1D92" w:rsidRDefault="000D1D92" w:rsidP="000D1D92">
      <w:pPr>
        <w:spacing w:before="0" w:after="0"/>
        <w:jc w:val="both"/>
      </w:pPr>
    </w:p>
    <w:p w14:paraId="7D3DA80A" w14:textId="77777777" w:rsidR="000D1D92" w:rsidRPr="00D8051A" w:rsidRDefault="000D1D92" w:rsidP="000D1D92">
      <w:pPr>
        <w:spacing w:before="0" w:after="0"/>
        <w:jc w:val="both"/>
      </w:pPr>
      <w:r>
        <w:t>The report also found that while m</w:t>
      </w:r>
      <w:r w:rsidRPr="00654278">
        <w:t>ales accounted for the majority of offenders in domestic/family</w:t>
      </w:r>
      <w:r>
        <w:t xml:space="preserve"> homicides, in cases of filicides, offenders were slightly more likely to be female </w:t>
      </w:r>
      <w:r w:rsidRPr="00654278">
        <w:t>(52%</w:t>
      </w:r>
      <w:r>
        <w:t>) than male (48%</w:t>
      </w:r>
      <w:r w:rsidRPr="00654278">
        <w:t>)</w:t>
      </w:r>
      <w:r>
        <w:t>.</w:t>
      </w:r>
      <w:r w:rsidRPr="00780FE5">
        <w:rPr>
          <w:vertAlign w:val="superscript"/>
          <w:lang w:val="en"/>
        </w:rPr>
        <w:endnoteReference w:id="461"/>
      </w:r>
      <w:r>
        <w:t xml:space="preserve"> Relatively little is known about the precipitating factors behind filicide for the different genders.</w:t>
      </w:r>
    </w:p>
    <w:p w14:paraId="4164819E" w14:textId="77777777" w:rsidR="000D1D92" w:rsidRPr="00780FE5" w:rsidRDefault="000D1D92" w:rsidP="000D1D92">
      <w:pPr>
        <w:spacing w:before="0" w:after="0"/>
        <w:jc w:val="both"/>
        <w:rPr>
          <w:lang w:val="en"/>
        </w:rPr>
      </w:pPr>
    </w:p>
    <w:p w14:paraId="47CD5926" w14:textId="77777777" w:rsidR="000D1D92" w:rsidRPr="00780FE5" w:rsidRDefault="000D1D92" w:rsidP="000D1D92">
      <w:pPr>
        <w:spacing w:before="0" w:after="0"/>
        <w:jc w:val="both"/>
        <w:rPr>
          <w:lang w:val="en"/>
        </w:rPr>
      </w:pPr>
      <w:r>
        <w:rPr>
          <w:lang w:val="en"/>
        </w:rPr>
        <w:t>In addition to this, the report</w:t>
      </w:r>
      <w:r w:rsidRPr="00780FE5">
        <w:rPr>
          <w:lang w:val="en"/>
        </w:rPr>
        <w:t xml:space="preserve"> shows that </w:t>
      </w:r>
      <w:r>
        <w:rPr>
          <w:lang w:val="en"/>
        </w:rPr>
        <w:t xml:space="preserve">85% </w:t>
      </w:r>
      <w:r w:rsidRPr="00780FE5">
        <w:rPr>
          <w:lang w:val="en"/>
        </w:rPr>
        <w:t xml:space="preserve">of the 27 intimate partner homicides which involved multiple victims, </w:t>
      </w:r>
      <w:r>
        <w:rPr>
          <w:lang w:val="en"/>
        </w:rPr>
        <w:t xml:space="preserve">also involved </w:t>
      </w:r>
      <w:r w:rsidRPr="00780FE5">
        <w:rPr>
          <w:lang w:val="en"/>
        </w:rPr>
        <w:t>the</w:t>
      </w:r>
      <w:r>
        <w:rPr>
          <w:lang w:val="en"/>
        </w:rPr>
        <w:t xml:space="preserve"> death of one or more children. </w:t>
      </w:r>
      <w:r w:rsidRPr="00780FE5">
        <w:rPr>
          <w:lang w:val="en"/>
        </w:rPr>
        <w:t xml:space="preserve">Of the 17 filicide incidents that involved one child and multiple offenders, </w:t>
      </w:r>
      <w:r>
        <w:rPr>
          <w:lang w:val="en"/>
        </w:rPr>
        <w:t xml:space="preserve">in all but one of the cases </w:t>
      </w:r>
      <w:r w:rsidRPr="00780FE5">
        <w:rPr>
          <w:lang w:val="en"/>
        </w:rPr>
        <w:t xml:space="preserve">both </w:t>
      </w:r>
      <w:r>
        <w:rPr>
          <w:lang w:val="en"/>
        </w:rPr>
        <w:t xml:space="preserve">offenders were the </w:t>
      </w:r>
      <w:r w:rsidRPr="00780FE5">
        <w:rPr>
          <w:lang w:val="en"/>
        </w:rPr>
        <w:t>parents of the child involved.</w:t>
      </w:r>
      <w:r w:rsidRPr="00780FE5">
        <w:rPr>
          <w:vertAlign w:val="superscript"/>
          <w:lang w:val="en"/>
        </w:rPr>
        <w:endnoteReference w:id="462"/>
      </w:r>
    </w:p>
    <w:p w14:paraId="2BE1DCF9" w14:textId="77777777" w:rsidR="000D1D92" w:rsidRPr="00780FE5" w:rsidRDefault="000D1D92" w:rsidP="000D1D92">
      <w:pPr>
        <w:spacing w:before="0" w:after="0"/>
        <w:jc w:val="both"/>
        <w:rPr>
          <w:lang w:val="en"/>
        </w:rPr>
      </w:pPr>
    </w:p>
    <w:p w14:paraId="12E711F4" w14:textId="77777777" w:rsidR="000D1D92" w:rsidRPr="00780FE5" w:rsidRDefault="000D1D92" w:rsidP="000D1D92">
      <w:pPr>
        <w:spacing w:before="0" w:after="0"/>
        <w:jc w:val="both"/>
        <w:rPr>
          <w:lang w:val="en"/>
        </w:rPr>
      </w:pPr>
      <w:r>
        <w:rPr>
          <w:lang w:val="en"/>
        </w:rPr>
        <w:lastRenderedPageBreak/>
        <w:t>The AIC</w:t>
      </w:r>
      <w:r w:rsidRPr="00780FE5">
        <w:rPr>
          <w:lang w:val="en"/>
        </w:rPr>
        <w:t xml:space="preserve"> report provides valuable information in terms of building an accurate picture about children under 18 years experiencing family and domestic violence which can be used to guide policy development and service provision. </w:t>
      </w:r>
    </w:p>
    <w:p w14:paraId="45A87AC8" w14:textId="77777777" w:rsidR="000D1D92" w:rsidRPr="00780FE5" w:rsidRDefault="000D1D92" w:rsidP="000D1D92">
      <w:pPr>
        <w:spacing w:before="0" w:after="0"/>
        <w:jc w:val="both"/>
        <w:rPr>
          <w:lang w:val="en"/>
        </w:rPr>
      </w:pPr>
    </w:p>
    <w:p w14:paraId="6B7B2CE3" w14:textId="77777777" w:rsidR="000D1D92" w:rsidRDefault="000D1D92" w:rsidP="000D1D92">
      <w:pPr>
        <w:spacing w:before="0" w:after="0"/>
        <w:jc w:val="both"/>
        <w:rPr>
          <w:lang w:val="en"/>
        </w:rPr>
      </w:pPr>
      <w:r>
        <w:rPr>
          <w:lang w:val="en"/>
        </w:rPr>
        <w:t>F</w:t>
      </w:r>
      <w:r w:rsidRPr="00780FE5">
        <w:rPr>
          <w:lang w:val="en"/>
        </w:rPr>
        <w:t>urther disaggregation of th</w:t>
      </w:r>
      <w:r>
        <w:rPr>
          <w:lang w:val="en"/>
        </w:rPr>
        <w:t>is data is highly desirable</w:t>
      </w:r>
      <w:r w:rsidRPr="00780FE5">
        <w:rPr>
          <w:lang w:val="en"/>
        </w:rPr>
        <w:t xml:space="preserve">. For example, </w:t>
      </w:r>
      <w:r>
        <w:rPr>
          <w:lang w:val="en"/>
        </w:rPr>
        <w:t>Aboriginal and Torres Strait Islander</w:t>
      </w:r>
      <w:r w:rsidRPr="00780FE5">
        <w:rPr>
          <w:lang w:val="en"/>
        </w:rPr>
        <w:t xml:space="preserve"> status, cultural background, disability, and geographical</w:t>
      </w:r>
      <w:r>
        <w:rPr>
          <w:lang w:val="en"/>
        </w:rPr>
        <w:t xml:space="preserve"> location.</w:t>
      </w:r>
    </w:p>
    <w:p w14:paraId="6F75DF52" w14:textId="77777777" w:rsidR="000D1D92" w:rsidRDefault="000D1D92" w:rsidP="000D1D92">
      <w:pPr>
        <w:pStyle w:val="Heading3"/>
        <w:jc w:val="both"/>
      </w:pPr>
      <w:bookmarkStart w:id="161" w:name="_Toc432061262"/>
      <w:r w:rsidRPr="00FA2408">
        <w:t>Intersection between family and domestic violence and the family law system</w:t>
      </w:r>
      <w:bookmarkEnd w:id="161"/>
    </w:p>
    <w:p w14:paraId="18054B7F" w14:textId="77777777" w:rsidR="000D1D92" w:rsidRDefault="000D1D92" w:rsidP="000D1D92">
      <w:pPr>
        <w:spacing w:before="0" w:after="0"/>
        <w:jc w:val="both"/>
        <w:rPr>
          <w:lang w:val="en"/>
        </w:rPr>
      </w:pPr>
      <w:r>
        <w:rPr>
          <w:lang w:val="en"/>
        </w:rPr>
        <w:t xml:space="preserve">Through representations made to me personally, media reporting and academic research papers, I was also aware of the interface between </w:t>
      </w:r>
      <w:r w:rsidRPr="007C146B">
        <w:rPr>
          <w:b/>
          <w:lang w:val="en"/>
        </w:rPr>
        <w:t>family and domestic violen</w:t>
      </w:r>
      <w:r>
        <w:rPr>
          <w:b/>
          <w:lang w:val="en"/>
        </w:rPr>
        <w:t>ce and the family law system</w:t>
      </w:r>
      <w:r>
        <w:rPr>
          <w:lang w:val="en"/>
        </w:rPr>
        <w:t>. The post-separation period, including children’s contact arrangements, were identified as periods of time where there was heightened risk of family and domestic violence.</w:t>
      </w:r>
    </w:p>
    <w:p w14:paraId="1E2E009C" w14:textId="77777777" w:rsidR="000D1D92" w:rsidRDefault="000D1D92" w:rsidP="000D1D92">
      <w:pPr>
        <w:pStyle w:val="Heading2"/>
        <w:jc w:val="both"/>
      </w:pPr>
      <w:bookmarkStart w:id="162" w:name="_Toc430945568"/>
      <w:bookmarkStart w:id="163" w:name="_Toc430950901"/>
      <w:bookmarkStart w:id="164" w:name="_Toc432061263"/>
      <w:bookmarkStart w:id="165" w:name="_Toc432577324"/>
      <w:r>
        <w:t>Why is family and domestic violence a child rights issue?</w:t>
      </w:r>
      <w:bookmarkEnd w:id="162"/>
      <w:bookmarkEnd w:id="163"/>
      <w:bookmarkEnd w:id="164"/>
      <w:bookmarkEnd w:id="165"/>
    </w:p>
    <w:p w14:paraId="65DA205C" w14:textId="77777777" w:rsidR="000D1D92" w:rsidRDefault="000D1D92" w:rsidP="000D1D92">
      <w:pPr>
        <w:spacing w:before="0" w:after="0"/>
        <w:jc w:val="both"/>
      </w:pPr>
      <w:r>
        <w:t>C</w:t>
      </w:r>
      <w:r w:rsidRPr="007A566F">
        <w:t>hildren’s exposure to family and domestic violence</w:t>
      </w:r>
      <w:r>
        <w:t xml:space="preserve"> has clearly been identified as a human rights issue.</w:t>
      </w:r>
      <w:r w:rsidRPr="007A566F">
        <w:rPr>
          <w:rStyle w:val="EndnoteReference"/>
          <w:rFonts w:cs="Arial"/>
        </w:rPr>
        <w:endnoteReference w:id="463"/>
      </w:r>
      <w:r>
        <w:t xml:space="preserve">  </w:t>
      </w:r>
    </w:p>
    <w:p w14:paraId="7C185265" w14:textId="77777777" w:rsidR="000D1D92" w:rsidRDefault="000D1D92" w:rsidP="000D1D92">
      <w:pPr>
        <w:spacing w:before="0" w:after="0"/>
        <w:jc w:val="both"/>
      </w:pPr>
    </w:p>
    <w:p w14:paraId="4C1DD8E3" w14:textId="77777777" w:rsidR="000D1D92" w:rsidRDefault="000D1D92" w:rsidP="000D1D92">
      <w:pPr>
        <w:spacing w:before="0" w:after="0"/>
        <w:jc w:val="both"/>
        <w:rPr>
          <w:rFonts w:cs="Arial"/>
        </w:rPr>
      </w:pPr>
      <w:r w:rsidRPr="002D2A64">
        <w:rPr>
          <w:rFonts w:cs="Arial"/>
        </w:rPr>
        <w:t>The</w:t>
      </w:r>
      <w:r w:rsidRPr="002D2A64">
        <w:rPr>
          <w:rFonts w:cs="Arial"/>
          <w:color w:val="FF0000"/>
        </w:rPr>
        <w:t xml:space="preserve"> </w:t>
      </w:r>
      <w:r w:rsidRPr="002D2A64">
        <w:rPr>
          <w:rFonts w:cs="Arial"/>
        </w:rPr>
        <w:t>United Nations Committee on the Rights of the Child</w:t>
      </w:r>
      <w:r>
        <w:rPr>
          <w:rFonts w:cs="Arial"/>
        </w:rPr>
        <w:t xml:space="preserve"> (UN Committee)</w:t>
      </w:r>
      <w:r w:rsidRPr="002D2A64">
        <w:rPr>
          <w:rFonts w:cs="Arial"/>
        </w:rPr>
        <w:t xml:space="preserve"> last reported on Australia’s implementation of children’s rights in 2012</w:t>
      </w:r>
      <w:r>
        <w:rPr>
          <w:rFonts w:cs="Arial"/>
        </w:rPr>
        <w:t xml:space="preserve">. At this time, </w:t>
      </w:r>
      <w:r w:rsidRPr="008C411F">
        <w:rPr>
          <w:rFonts w:cs="Arial"/>
          <w:b/>
        </w:rPr>
        <w:t>the UN Committee expressed grave concern at Australian children’s exposure to family and domestic violence, the high levels of violence against women and children, and the particular situation of Aboriginal and Torres Strait Islander women and children</w:t>
      </w:r>
      <w:r>
        <w:rPr>
          <w:rFonts w:cs="Arial"/>
        </w:rPr>
        <w:t>.</w:t>
      </w:r>
      <w:r w:rsidRPr="002D2A64">
        <w:rPr>
          <w:rStyle w:val="EndnoteReference"/>
          <w:rFonts w:cs="Arial"/>
          <w:sz w:val="24"/>
        </w:rPr>
        <w:endnoteReference w:id="464"/>
      </w:r>
      <w:r w:rsidRPr="002D2A64">
        <w:rPr>
          <w:rFonts w:cs="Arial"/>
        </w:rPr>
        <w:t xml:space="preserve"> </w:t>
      </w:r>
    </w:p>
    <w:p w14:paraId="30166165" w14:textId="77777777" w:rsidR="000D1D92" w:rsidRPr="002D2A64" w:rsidRDefault="000D1D92" w:rsidP="000D1D92">
      <w:pPr>
        <w:jc w:val="both"/>
        <w:rPr>
          <w:rFonts w:cs="Arial"/>
        </w:rPr>
      </w:pPr>
      <w:r>
        <w:rPr>
          <w:rFonts w:cs="Arial"/>
        </w:rPr>
        <w:t>Australia has taken on obligations under the United Nations Convention on the Rights of the Child (CRC) to prevent f</w:t>
      </w:r>
      <w:r>
        <w:t>amily and domestic violence as follows:</w:t>
      </w:r>
    </w:p>
    <w:p w14:paraId="65A32CDE" w14:textId="77777777" w:rsidR="000D1D92" w:rsidRPr="00293DFF" w:rsidRDefault="000D1D92" w:rsidP="000D1D92">
      <w:pPr>
        <w:ind w:left="2160" w:hanging="1800"/>
        <w:jc w:val="both"/>
      </w:pPr>
      <w:r w:rsidRPr="00293DFF">
        <w:rPr>
          <w:b/>
          <w:bCs/>
          <w:i/>
          <w:iCs/>
        </w:rPr>
        <w:t xml:space="preserve">Article 6(2) </w:t>
      </w:r>
      <w:r>
        <w:rPr>
          <w:b/>
          <w:bCs/>
          <w:i/>
          <w:iCs/>
        </w:rPr>
        <w:tab/>
      </w:r>
      <w:r w:rsidRPr="00293DFF">
        <w:t xml:space="preserve">States Parties shall ensure to the maximum extent possible the survival and development of the child. </w:t>
      </w:r>
    </w:p>
    <w:p w14:paraId="3FFD1DEF" w14:textId="77777777" w:rsidR="000D1D92" w:rsidRPr="00293DFF" w:rsidRDefault="000D1D92" w:rsidP="000D1D92">
      <w:pPr>
        <w:ind w:left="2160" w:hanging="1800"/>
        <w:jc w:val="both"/>
      </w:pPr>
      <w:r w:rsidRPr="00293DFF">
        <w:rPr>
          <w:b/>
          <w:bCs/>
          <w:i/>
          <w:iCs/>
        </w:rPr>
        <w:t xml:space="preserve">Article 19 </w:t>
      </w:r>
      <w:r>
        <w:rPr>
          <w:b/>
          <w:bCs/>
          <w:i/>
          <w:iCs/>
        </w:rPr>
        <w:tab/>
      </w:r>
      <w:r w:rsidRPr="00293DFF">
        <w:t xml:space="preserve">States Parties shall 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 guardian(s) or any other person who has the care of the child. </w:t>
      </w:r>
    </w:p>
    <w:p w14:paraId="6C723921" w14:textId="77777777" w:rsidR="000D1D92" w:rsidRDefault="000D1D92" w:rsidP="000D1D92">
      <w:pPr>
        <w:ind w:left="2160"/>
        <w:jc w:val="both"/>
      </w:pPr>
      <w:r w:rsidRPr="00293DFF">
        <w:t xml:space="preserve">Such protective measures should, as appropriate, include effective procedures for the establishment of social programmes to provide necessary support for the child and for those who have the care of the child, as well as for other forms of prevention and for identification, reporting, referral, investigation, treatment and follow-up of instances of child maltreatment </w:t>
      </w:r>
      <w:r w:rsidRPr="00293DFF">
        <w:lastRenderedPageBreak/>
        <w:t>described heretofore, and, as appropriate, for judicial involvement.</w:t>
      </w:r>
    </w:p>
    <w:p w14:paraId="7506A8FC" w14:textId="77777777" w:rsidR="000D1D92" w:rsidRPr="00B90698" w:rsidRDefault="000D1D92" w:rsidP="000D1D92">
      <w:pPr>
        <w:ind w:left="2160" w:hanging="1800"/>
        <w:jc w:val="both"/>
      </w:pPr>
      <w:r w:rsidRPr="00B90698">
        <w:rPr>
          <w:b/>
          <w:bCs/>
          <w:i/>
          <w:iCs/>
        </w:rPr>
        <w:t xml:space="preserve">Article 23(1) </w:t>
      </w:r>
      <w:r>
        <w:rPr>
          <w:b/>
          <w:bCs/>
          <w:i/>
          <w:iCs/>
        </w:rPr>
        <w:tab/>
      </w:r>
      <w:r w:rsidRPr="00B90698">
        <w:t>States Parties recognise that a mentally or physically disabled child should enjoy a full and decent life, in conditions</w:t>
      </w:r>
      <w:r>
        <w:t>,</w:t>
      </w:r>
      <w:r w:rsidRPr="00B90698">
        <w:t xml:space="preserve"> which ensure dignity, promote self-reliance and facilitate the child's active participation in the community. </w:t>
      </w:r>
    </w:p>
    <w:p w14:paraId="1B8DD172" w14:textId="77777777" w:rsidR="000D1D92" w:rsidRPr="00293DFF" w:rsidRDefault="000D1D92" w:rsidP="000D1D92">
      <w:pPr>
        <w:ind w:left="2160" w:hanging="1800"/>
        <w:jc w:val="both"/>
      </w:pPr>
      <w:r w:rsidRPr="00293DFF">
        <w:rPr>
          <w:b/>
          <w:bCs/>
          <w:i/>
          <w:iCs/>
        </w:rPr>
        <w:t xml:space="preserve">Article 24(1) </w:t>
      </w:r>
      <w:r>
        <w:rPr>
          <w:b/>
          <w:bCs/>
          <w:i/>
          <w:iCs/>
        </w:rPr>
        <w:tab/>
      </w:r>
      <w:r w:rsidRPr="00293DFF">
        <w:t>States Parties recognise the right of the child to the enjoyment of the highest attainable standard of health and to facilities for the treatment of illness and rehabilitation of health. States Parties shall strive to ensure that no child is deprived of his or her right of access</w:t>
      </w:r>
      <w:r>
        <w:t xml:space="preserve"> to such health care services. </w:t>
      </w:r>
      <w:r w:rsidRPr="00293DFF">
        <w:t xml:space="preserve"> </w:t>
      </w:r>
    </w:p>
    <w:p w14:paraId="2AA8CCAB" w14:textId="77777777" w:rsidR="000D1D92" w:rsidRPr="00B90698" w:rsidRDefault="000D1D92" w:rsidP="000D1D92">
      <w:pPr>
        <w:ind w:left="2160" w:hanging="1800"/>
        <w:jc w:val="both"/>
      </w:pPr>
      <w:r w:rsidRPr="00B90698">
        <w:rPr>
          <w:b/>
          <w:bCs/>
          <w:i/>
          <w:iCs/>
        </w:rPr>
        <w:t xml:space="preserve">Article 27(1) </w:t>
      </w:r>
      <w:r>
        <w:rPr>
          <w:b/>
          <w:bCs/>
          <w:i/>
          <w:iCs/>
        </w:rPr>
        <w:tab/>
      </w:r>
      <w:r w:rsidRPr="00B90698">
        <w:t xml:space="preserve">State Parties recognise the right of every child to a standard of living adequate for the child's physical, mental, spiritual, moral and social development. </w:t>
      </w:r>
    </w:p>
    <w:p w14:paraId="28C09630" w14:textId="77777777" w:rsidR="000D1D92" w:rsidRDefault="000D1D92" w:rsidP="000D1D92">
      <w:pPr>
        <w:ind w:left="2160" w:hanging="1800"/>
        <w:jc w:val="both"/>
      </w:pPr>
      <w:r w:rsidRPr="00D06EFC">
        <w:rPr>
          <w:b/>
          <w:bCs/>
          <w:i/>
        </w:rPr>
        <w:t>Article 39</w:t>
      </w:r>
      <w:r w:rsidRPr="00D06EFC">
        <w:rPr>
          <w:b/>
          <w:bCs/>
        </w:rPr>
        <w:t xml:space="preserve"> </w:t>
      </w:r>
      <w:r>
        <w:rPr>
          <w:b/>
          <w:bCs/>
        </w:rPr>
        <w:tab/>
      </w:r>
      <w:r w:rsidRPr="00D06EFC">
        <w:t>States Parties shall take all appropriate measures to promote physical and psychological recovery and social reintegration of a child victim of: any form of neglect, exploitation, or abuse; torture or any other form of cruel, inhuman or degrading treatment or punishment; or armed conflicts. Such recovery and reintegration shall take place in an environment, which fosters the health, self-respect and dignity of the child.</w:t>
      </w:r>
    </w:p>
    <w:p w14:paraId="7F4E6FA6" w14:textId="77777777" w:rsidR="000D1D92" w:rsidRDefault="000D1D92" w:rsidP="000D1D92">
      <w:pPr>
        <w:jc w:val="both"/>
      </w:pPr>
      <w:r>
        <w:t>The CRC requires Australia to use a child rights-based approach to address family and domestic violence</w:t>
      </w:r>
      <w:r>
        <w:rPr>
          <w:rStyle w:val="EndnoteReference"/>
        </w:rPr>
        <w:endnoteReference w:id="465"/>
      </w:r>
      <w:r>
        <w:t xml:space="preserve"> so that: </w:t>
      </w:r>
    </w:p>
    <w:p w14:paraId="7F1E26B1" w14:textId="77777777" w:rsidR="000D1D92" w:rsidRDefault="000D1D92" w:rsidP="000D1D92">
      <w:pPr>
        <w:pStyle w:val="ListParagraph"/>
        <w:numPr>
          <w:ilvl w:val="0"/>
          <w:numId w:val="86"/>
        </w:numPr>
        <w:jc w:val="both"/>
      </w:pPr>
      <w:r>
        <w:t>vulnerable and marginalised groups of children are protected</w:t>
      </w:r>
    </w:p>
    <w:p w14:paraId="42BF4A03" w14:textId="77777777" w:rsidR="000D1D92" w:rsidRDefault="000D1D92" w:rsidP="000D1D92">
      <w:pPr>
        <w:pStyle w:val="ListParagraph"/>
        <w:numPr>
          <w:ilvl w:val="0"/>
          <w:numId w:val="86"/>
        </w:numPr>
        <w:jc w:val="both"/>
      </w:pPr>
      <w:r>
        <w:t>the best interests of children are prioritised</w:t>
      </w:r>
    </w:p>
    <w:p w14:paraId="3F873CB7" w14:textId="77777777" w:rsidR="000D1D92" w:rsidRDefault="000D1D92" w:rsidP="000D1D92">
      <w:pPr>
        <w:pStyle w:val="ListParagraph"/>
        <w:numPr>
          <w:ilvl w:val="0"/>
          <w:numId w:val="86"/>
        </w:numPr>
        <w:jc w:val="both"/>
      </w:pPr>
      <w:r>
        <w:t xml:space="preserve">the views of children are respected, and </w:t>
      </w:r>
    </w:p>
    <w:p w14:paraId="42311A56" w14:textId="77777777" w:rsidR="000D1D92" w:rsidRDefault="000D1D92" w:rsidP="000D1D92">
      <w:pPr>
        <w:pStyle w:val="ListParagraph"/>
        <w:numPr>
          <w:ilvl w:val="0"/>
          <w:numId w:val="86"/>
        </w:numPr>
        <w:jc w:val="both"/>
      </w:pPr>
      <w:r>
        <w:t>measures consider the impact of family and domestic violence in terms of children’s development.</w:t>
      </w:r>
      <w:r>
        <w:rPr>
          <w:rStyle w:val="EndnoteReference"/>
        </w:rPr>
        <w:endnoteReference w:id="466"/>
      </w:r>
      <w:r>
        <w:t xml:space="preserve"> </w:t>
      </w:r>
    </w:p>
    <w:p w14:paraId="70CC379F" w14:textId="77777777" w:rsidR="000D1D92" w:rsidRDefault="000D1D92" w:rsidP="000D1D92">
      <w:pPr>
        <w:jc w:val="both"/>
      </w:pPr>
      <w:r>
        <w:t>The UN Committee calls for comprehensive and integrated protective measures to address family and domestic violence, including measures for prevention, identification, reporting, referral, investigation, treatment, follow-up, judicial involvement and effective procedures to make sure there is enforcement, quality, relevance, accessibility, impact and efficiency.</w:t>
      </w:r>
      <w:r>
        <w:rPr>
          <w:rStyle w:val="EndnoteReference"/>
        </w:rPr>
        <w:endnoteReference w:id="467"/>
      </w:r>
      <w:r w:rsidRPr="007C38E7">
        <w:t xml:space="preserve"> </w:t>
      </w:r>
    </w:p>
    <w:p w14:paraId="657EBB8E" w14:textId="77777777" w:rsidR="000D1D92" w:rsidRDefault="000D1D92" w:rsidP="000D1D92">
      <w:pPr>
        <w:jc w:val="both"/>
      </w:pPr>
      <w:r>
        <w:t>It also</w:t>
      </w:r>
      <w:r w:rsidRPr="00E82CBB">
        <w:t xml:space="preserve"> </w:t>
      </w:r>
      <w:r>
        <w:t>requires educational measures, which consistently promote positive, non-violent relationships to parents, carers, teachers and all others who work with children and families.</w:t>
      </w:r>
      <w:r w:rsidRPr="00347242">
        <w:rPr>
          <w:sz w:val="22"/>
          <w:vertAlign w:val="superscript"/>
        </w:rPr>
        <w:endnoteReference w:id="468"/>
      </w:r>
    </w:p>
    <w:p w14:paraId="49EE2CE6" w14:textId="77777777" w:rsidR="000D1D92" w:rsidRDefault="000D1D92" w:rsidP="000D1D92">
      <w:pPr>
        <w:pStyle w:val="Heading2"/>
        <w:jc w:val="both"/>
      </w:pPr>
      <w:bookmarkStart w:id="166" w:name="_Toc430945569"/>
      <w:bookmarkStart w:id="167" w:name="_Toc430950902"/>
      <w:bookmarkStart w:id="168" w:name="_Toc432061264"/>
      <w:bookmarkStart w:id="169" w:name="_Toc432577325"/>
      <w:r>
        <w:t xml:space="preserve">National </w:t>
      </w:r>
      <w:bookmarkEnd w:id="166"/>
      <w:bookmarkEnd w:id="167"/>
      <w:r>
        <w:t>examination into the impact of family and domestic violence on children</w:t>
      </w:r>
      <w:bookmarkEnd w:id="168"/>
      <w:bookmarkEnd w:id="169"/>
    </w:p>
    <w:p w14:paraId="513D4620" w14:textId="77777777" w:rsidR="000D1D92" w:rsidRDefault="000D1D92" w:rsidP="000D1D92">
      <w:pPr>
        <w:jc w:val="both"/>
      </w:pPr>
      <w:r>
        <w:t xml:space="preserve">During 2015 I conducted a national examination into the impact of family and domestic violence on children. This included a literature review, written submissions, </w:t>
      </w:r>
      <w:r>
        <w:lastRenderedPageBreak/>
        <w:t>roundtables, a webinar, data analysis, and engagement with children and young people through supported processes.</w:t>
      </w:r>
    </w:p>
    <w:tbl>
      <w:tblPr>
        <w:tblStyle w:val="TableGrid"/>
        <w:tblW w:w="0" w:type="auto"/>
        <w:shd w:val="clear" w:color="auto" w:fill="000000" w:themeFill="text1"/>
        <w:tblLook w:val="04A0" w:firstRow="1" w:lastRow="0" w:firstColumn="1" w:lastColumn="0" w:noHBand="0" w:noVBand="1"/>
      </w:tblPr>
      <w:tblGrid>
        <w:gridCol w:w="9060"/>
      </w:tblGrid>
      <w:tr w:rsidR="000D1D92" w:rsidRPr="007407A6" w14:paraId="4FC6C2C8" w14:textId="77777777" w:rsidTr="00684616">
        <w:trPr>
          <w:trHeight w:val="581"/>
        </w:trPr>
        <w:tc>
          <w:tcPr>
            <w:tcW w:w="9060" w:type="dxa"/>
            <w:shd w:val="clear" w:color="auto" w:fill="F2F2F2" w:themeFill="background1" w:themeFillShade="F2"/>
            <w:vAlign w:val="center"/>
          </w:tcPr>
          <w:p w14:paraId="36B819E9" w14:textId="77777777" w:rsidR="000D1D92" w:rsidRPr="007407A6" w:rsidRDefault="000D1D92" w:rsidP="00684616">
            <w:pPr>
              <w:spacing w:before="0" w:after="0"/>
              <w:rPr>
                <w:b/>
              </w:rPr>
            </w:pPr>
            <w:r>
              <w:rPr>
                <w:b/>
              </w:rPr>
              <w:t>Consultation overview</w:t>
            </w:r>
          </w:p>
        </w:tc>
      </w:tr>
      <w:tr w:rsidR="000D1D92" w14:paraId="5D6C0C05" w14:textId="77777777" w:rsidTr="00684616">
        <w:trPr>
          <w:trHeight w:val="1823"/>
        </w:trPr>
        <w:tc>
          <w:tcPr>
            <w:tcW w:w="9060" w:type="dxa"/>
            <w:shd w:val="clear" w:color="auto" w:fill="F2F2F2" w:themeFill="background1" w:themeFillShade="F2"/>
            <w:vAlign w:val="center"/>
          </w:tcPr>
          <w:p w14:paraId="172B42E8" w14:textId="77777777" w:rsidR="000D1D92" w:rsidRDefault="000D1D92" w:rsidP="000D1D92">
            <w:pPr>
              <w:pStyle w:val="ListParagraph"/>
              <w:numPr>
                <w:ilvl w:val="0"/>
                <w:numId w:val="88"/>
              </w:numPr>
              <w:spacing w:before="0" w:after="0"/>
              <w:jc w:val="both"/>
            </w:pPr>
            <w:r>
              <w:t>62 written submissions were received from individuals, government, private, and non-government organisations (see Appendix 5).</w:t>
            </w:r>
          </w:p>
          <w:p w14:paraId="71B2865C" w14:textId="77777777" w:rsidR="000D1D92" w:rsidRDefault="000D1D92" w:rsidP="000D1D92">
            <w:pPr>
              <w:pStyle w:val="ListParagraph"/>
              <w:numPr>
                <w:ilvl w:val="0"/>
                <w:numId w:val="88"/>
              </w:numPr>
              <w:spacing w:before="0" w:after="0"/>
              <w:jc w:val="both"/>
            </w:pPr>
            <w:r>
              <w:t>Eight roundtables were held with 147 people invited (see Appendix 6).</w:t>
            </w:r>
          </w:p>
          <w:p w14:paraId="68D96D95" w14:textId="77777777" w:rsidR="000D1D92" w:rsidRDefault="000D1D92" w:rsidP="000D1D92">
            <w:pPr>
              <w:pStyle w:val="ListParagraph"/>
              <w:numPr>
                <w:ilvl w:val="0"/>
                <w:numId w:val="88"/>
              </w:numPr>
              <w:spacing w:before="0" w:after="0"/>
              <w:jc w:val="both"/>
            </w:pPr>
            <w:r>
              <w:t>One webinar was hosted by 1800RESPECT with 153 participants.</w:t>
            </w:r>
          </w:p>
          <w:p w14:paraId="784DD833" w14:textId="77777777" w:rsidR="000D1D92" w:rsidRDefault="000D1D92" w:rsidP="000D1D92">
            <w:pPr>
              <w:pStyle w:val="ListParagraph"/>
              <w:numPr>
                <w:ilvl w:val="0"/>
                <w:numId w:val="88"/>
              </w:numPr>
              <w:spacing w:before="0" w:after="0"/>
              <w:jc w:val="both"/>
            </w:pPr>
            <w:r>
              <w:t>Seven individual consultations were held (see Appendix 7).</w:t>
            </w:r>
          </w:p>
        </w:tc>
      </w:tr>
    </w:tbl>
    <w:p w14:paraId="15160073" w14:textId="77777777" w:rsidR="000D1D92" w:rsidRPr="00A74E5E" w:rsidRDefault="000D1D92" w:rsidP="000D1D92">
      <w:pPr>
        <w:pStyle w:val="Heading3"/>
        <w:jc w:val="both"/>
      </w:pPr>
      <w:bookmarkStart w:id="170" w:name="_Toc430702110"/>
      <w:bookmarkStart w:id="171" w:name="_Toc432061265"/>
      <w:bookmarkStart w:id="172" w:name="_Toc400449918"/>
      <w:r>
        <w:t>W</w:t>
      </w:r>
      <w:r w:rsidRPr="00A74E5E">
        <w:t>ritten submissions</w:t>
      </w:r>
      <w:bookmarkEnd w:id="170"/>
      <w:bookmarkEnd w:id="171"/>
    </w:p>
    <w:p w14:paraId="081BED15" w14:textId="77777777" w:rsidR="000D1D92" w:rsidRDefault="000D1D92" w:rsidP="000D1D92">
      <w:pPr>
        <w:jc w:val="both"/>
      </w:pPr>
      <w:r>
        <w:t xml:space="preserve">I asked for written submissions from individual experts, government, private and non-government organisations on key issues. </w:t>
      </w:r>
    </w:p>
    <w:p w14:paraId="32630609" w14:textId="77777777" w:rsidR="000D1D92" w:rsidRDefault="000D1D92" w:rsidP="000D1D92">
      <w:pPr>
        <w:jc w:val="both"/>
      </w:pPr>
      <w:r>
        <w:t xml:space="preserve">When hearing about my examination, a number of organisations and individuals approached me about making submissions. These were all accepted. </w:t>
      </w:r>
    </w:p>
    <w:p w14:paraId="1BEB6515" w14:textId="77777777" w:rsidR="000D1D92" w:rsidRDefault="000D1D92" w:rsidP="000D1D92">
      <w:pPr>
        <w:jc w:val="both"/>
      </w:pPr>
      <w:r>
        <w:rPr>
          <w:rFonts w:cs="Arial"/>
        </w:rPr>
        <w:t xml:space="preserve">I used the results from the 2013 work undertaken by ABS, which aligned and distilled over 100 research and policy questions about family and domestic violence, as a foundation to identify </w:t>
      </w:r>
      <w:r w:rsidRPr="00D33642">
        <w:rPr>
          <w:rFonts w:cs="Arial"/>
          <w:b/>
        </w:rPr>
        <w:t>key areas of interest relating to how children are affected by family and domestic violence</w:t>
      </w:r>
      <w:r>
        <w:rPr>
          <w:rFonts w:cs="Arial"/>
        </w:rPr>
        <w:t>.</w:t>
      </w:r>
      <w:r>
        <w:rPr>
          <w:rStyle w:val="EndnoteReference"/>
          <w:rFonts w:cs="Arial"/>
        </w:rPr>
        <w:endnoteReference w:id="469"/>
      </w:r>
      <w:r>
        <w:t xml:space="preserve"> </w:t>
      </w:r>
    </w:p>
    <w:p w14:paraId="309199FE" w14:textId="77777777" w:rsidR="000D1D92" w:rsidRDefault="000D1D92" w:rsidP="000D1D92">
      <w:pPr>
        <w:jc w:val="both"/>
      </w:pPr>
      <w:r>
        <w:t xml:space="preserve">ABS completed this work as an initiative under the National Plan. I used it to guide the nature of submissions, and discussions at my roundtables and the webinar. </w:t>
      </w:r>
      <w:r w:rsidRPr="002A70CB">
        <w:rPr>
          <w:b/>
        </w:rPr>
        <w:t>The</w:t>
      </w:r>
      <w:r>
        <w:rPr>
          <w:b/>
        </w:rPr>
        <w:t>se</w:t>
      </w:r>
      <w:r w:rsidRPr="002A70CB">
        <w:rPr>
          <w:b/>
        </w:rPr>
        <w:t xml:space="preserve"> k</w:t>
      </w:r>
      <w:r w:rsidRPr="00D33642">
        <w:rPr>
          <w:b/>
        </w:rPr>
        <w:t>ey areas of interest</w:t>
      </w:r>
      <w:r>
        <w:t xml:space="preserve"> were: </w:t>
      </w:r>
    </w:p>
    <w:p w14:paraId="5CCD6410" w14:textId="77777777" w:rsidR="000D1D92" w:rsidRDefault="000D1D92" w:rsidP="000D1D92">
      <w:pPr>
        <w:pStyle w:val="ListParagraph"/>
        <w:numPr>
          <w:ilvl w:val="0"/>
          <w:numId w:val="28"/>
        </w:numPr>
        <w:jc w:val="both"/>
      </w:pPr>
      <w:r>
        <w:t>What are the definitional issues in relation to family and domestic violence affecting children?</w:t>
      </w:r>
    </w:p>
    <w:p w14:paraId="4E849BE5" w14:textId="77777777" w:rsidR="000D1D92" w:rsidRDefault="000D1D92" w:rsidP="000D1D92">
      <w:pPr>
        <w:pStyle w:val="ListParagraph"/>
        <w:numPr>
          <w:ilvl w:val="0"/>
          <w:numId w:val="28"/>
        </w:numPr>
        <w:jc w:val="both"/>
      </w:pPr>
      <w:r>
        <w:t>What do we know about the prevalence and incidence of family and domestic violence affecting children, including who is involved in family and domestic violence events?</w:t>
      </w:r>
    </w:p>
    <w:p w14:paraId="505D711D" w14:textId="77777777" w:rsidR="000D1D92" w:rsidRDefault="000D1D92" w:rsidP="000D1D92">
      <w:pPr>
        <w:pStyle w:val="ListParagraph"/>
        <w:numPr>
          <w:ilvl w:val="0"/>
          <w:numId w:val="28"/>
        </w:numPr>
        <w:jc w:val="both"/>
      </w:pPr>
      <w:r>
        <w:t>What are the impacts on children of family and domestic violence?</w:t>
      </w:r>
    </w:p>
    <w:p w14:paraId="2BC945F8" w14:textId="77777777" w:rsidR="000D1D92" w:rsidRDefault="000D1D92" w:rsidP="000D1D92">
      <w:pPr>
        <w:pStyle w:val="ListParagraph"/>
        <w:numPr>
          <w:ilvl w:val="0"/>
          <w:numId w:val="28"/>
        </w:numPr>
        <w:jc w:val="both"/>
      </w:pPr>
      <w:r>
        <w:t>What are the outcomes for children engaging with services, programs and support?</w:t>
      </w:r>
    </w:p>
    <w:p w14:paraId="638E0C2A" w14:textId="77777777" w:rsidR="000D1D92" w:rsidRDefault="000D1D92" w:rsidP="000D1D92">
      <w:pPr>
        <w:pStyle w:val="ListParagraph"/>
        <w:numPr>
          <w:ilvl w:val="0"/>
          <w:numId w:val="28"/>
        </w:numPr>
        <w:jc w:val="both"/>
      </w:pPr>
      <w:r>
        <w:t>What are the outcomes for children of public policy approaches and educational campaigns targeting family and domestic violence?</w:t>
      </w:r>
    </w:p>
    <w:p w14:paraId="5B7595A0" w14:textId="77777777" w:rsidR="000D1D92" w:rsidRDefault="000D1D92" w:rsidP="000D1D92">
      <w:pPr>
        <w:pStyle w:val="ListParagraph"/>
        <w:numPr>
          <w:ilvl w:val="0"/>
          <w:numId w:val="28"/>
        </w:numPr>
        <w:jc w:val="both"/>
      </w:pPr>
      <w:r>
        <w:t>What are the surveillance and data gaps/needs in relation to children affected by family and domestic violence?</w:t>
      </w:r>
    </w:p>
    <w:p w14:paraId="48FA0A52" w14:textId="77777777" w:rsidR="000D1D92" w:rsidRDefault="000D1D92" w:rsidP="000D1D92">
      <w:pPr>
        <w:jc w:val="both"/>
      </w:pPr>
      <w:r>
        <w:t xml:space="preserve">I </w:t>
      </w:r>
      <w:r w:rsidRPr="005C10A1">
        <w:t>received 62</w:t>
      </w:r>
      <w:r>
        <w:t xml:space="preserve"> written submissions, which are listed in Appendix 5. The submissions can be viewed online at </w:t>
      </w:r>
      <w:r w:rsidRPr="00110A9B">
        <w:t>https://www.humanrights.gov.au/publications/childrens-rights-report-2015.</w:t>
      </w:r>
      <w:r>
        <w:t xml:space="preserve"> </w:t>
      </w:r>
    </w:p>
    <w:p w14:paraId="3B6AB48C" w14:textId="77777777" w:rsidR="000D1D92" w:rsidRPr="00A74E5E" w:rsidRDefault="000D1D92" w:rsidP="000D1D92">
      <w:pPr>
        <w:pStyle w:val="Heading3"/>
        <w:jc w:val="both"/>
      </w:pPr>
      <w:bookmarkStart w:id="173" w:name="_Toc430702111"/>
      <w:bookmarkStart w:id="174" w:name="_Toc432061266"/>
      <w:r>
        <w:t xml:space="preserve">Roundtables, </w:t>
      </w:r>
      <w:r w:rsidRPr="00A74E5E">
        <w:t>individual consultations</w:t>
      </w:r>
      <w:r>
        <w:t xml:space="preserve"> and the 1800RESPECT webinar</w:t>
      </w:r>
      <w:bookmarkEnd w:id="173"/>
      <w:bookmarkEnd w:id="174"/>
    </w:p>
    <w:p w14:paraId="079D20A6" w14:textId="77777777" w:rsidR="000D1D92" w:rsidRDefault="000D1D92" w:rsidP="000D1D92">
      <w:pPr>
        <w:jc w:val="both"/>
      </w:pPr>
      <w:r>
        <w:t xml:space="preserve">During 2015 eight </w:t>
      </w:r>
      <w:r w:rsidRPr="00EE7E01">
        <w:rPr>
          <w:b/>
        </w:rPr>
        <w:t>roundtables</w:t>
      </w:r>
      <w:r w:rsidRPr="00B41021">
        <w:t xml:space="preserve"> </w:t>
      </w:r>
      <w:r>
        <w:t>were held with experts</w:t>
      </w:r>
      <w:r w:rsidRPr="00B41021">
        <w:t xml:space="preserve"> </w:t>
      </w:r>
      <w:r>
        <w:t xml:space="preserve">in family and domestic violence and child development </w:t>
      </w:r>
      <w:r w:rsidRPr="00B41021">
        <w:t>in all capital cities across Australi</w:t>
      </w:r>
      <w:r>
        <w:t xml:space="preserve">a. </w:t>
      </w:r>
    </w:p>
    <w:p w14:paraId="31FA4637" w14:textId="77777777" w:rsidR="000D1D92" w:rsidRDefault="000D1D92" w:rsidP="000D1D92">
      <w:pPr>
        <w:jc w:val="both"/>
      </w:pPr>
      <w:r>
        <w:lastRenderedPageBreak/>
        <w:t xml:space="preserve">The Perth roundtable focused specifically on Aboriginal and Torres Strait Islander children. The Aboriginal and Torres Strait Islander Social Justice Commissioner, Mr Mick Gooda, co-chaired this roundtable. </w:t>
      </w:r>
    </w:p>
    <w:p w14:paraId="69647183" w14:textId="77777777" w:rsidR="000D1D92" w:rsidRDefault="000D1D92" w:rsidP="000D1D92">
      <w:pPr>
        <w:jc w:val="both"/>
      </w:pPr>
      <w:r>
        <w:t xml:space="preserve">In order to stimulate discussion, up to two experts presented at each roundtable. Appendix 6 includes a list of the expert presenters and participants who attended the national roundtables. </w:t>
      </w:r>
    </w:p>
    <w:p w14:paraId="4D639E02" w14:textId="77777777" w:rsidR="000D1D92" w:rsidRPr="008D404D" w:rsidRDefault="000D1D92" w:rsidP="000D1D92">
      <w:pPr>
        <w:jc w:val="both"/>
      </w:pPr>
      <w:r>
        <w:t>Seven</w:t>
      </w:r>
      <w:r w:rsidRPr="005C10A1">
        <w:t xml:space="preserve"> consultations</w:t>
      </w:r>
      <w:r w:rsidRPr="008D404D">
        <w:t xml:space="preserve"> with </w:t>
      </w:r>
      <w:r w:rsidRPr="00EE7E01">
        <w:rPr>
          <w:b/>
        </w:rPr>
        <w:t>individuals</w:t>
      </w:r>
      <w:r>
        <w:t xml:space="preserve">, including with 2015 Australian of the Year, Rosie Batty, were held. </w:t>
      </w:r>
      <w:r w:rsidRPr="008D404D">
        <w:t xml:space="preserve">These are included in Appendix </w:t>
      </w:r>
      <w:r>
        <w:t>7</w:t>
      </w:r>
      <w:r w:rsidRPr="008D404D">
        <w:t>.</w:t>
      </w:r>
    </w:p>
    <w:p w14:paraId="01B19064" w14:textId="77777777" w:rsidR="000D1D92" w:rsidRPr="008D404D" w:rsidRDefault="000D1D92" w:rsidP="000D1D92">
      <w:pPr>
        <w:spacing w:before="0" w:after="0"/>
        <w:jc w:val="both"/>
        <w:rPr>
          <w:rFonts w:cs="Arial"/>
        </w:rPr>
      </w:pPr>
      <w:r w:rsidRPr="008D404D">
        <w:t>Ms Kristy McKe</w:t>
      </w:r>
      <w:r>
        <w:t xml:space="preserve">llar provided </w:t>
      </w:r>
      <w:r w:rsidRPr="008D404D">
        <w:t>a personal submission</w:t>
      </w:r>
      <w:r>
        <w:t xml:space="preserve"> and met with me. </w:t>
      </w:r>
      <w:r w:rsidRPr="008D404D">
        <w:t>Ms McKellar</w:t>
      </w:r>
      <w:r>
        <w:t xml:space="preserve"> courageously </w:t>
      </w:r>
      <w:r w:rsidRPr="008D404D">
        <w:t>shared</w:t>
      </w:r>
      <w:r>
        <w:t xml:space="preserve"> </w:t>
      </w:r>
      <w:r w:rsidRPr="008D404D">
        <w:t>her personal experience of family and domestic violence including how it impacted on her daughter.</w:t>
      </w:r>
    </w:p>
    <w:p w14:paraId="13FD01C1" w14:textId="77777777" w:rsidR="000D1D92" w:rsidRDefault="000D1D92" w:rsidP="000D1D92">
      <w:pPr>
        <w:jc w:val="both"/>
        <w:rPr>
          <w:rFonts w:cs="Arial"/>
        </w:rPr>
      </w:pPr>
      <w:r>
        <w:t xml:space="preserve">An </w:t>
      </w:r>
      <w:r w:rsidRPr="00EE7E01">
        <w:rPr>
          <w:b/>
        </w:rPr>
        <w:t xml:space="preserve">interactive webinar hosted by </w:t>
      </w:r>
      <w:r w:rsidRPr="00EE7E01">
        <w:rPr>
          <w:rFonts w:cs="Arial"/>
          <w:b/>
        </w:rPr>
        <w:t>1800RESPECT</w:t>
      </w:r>
      <w:r>
        <w:rPr>
          <w:rFonts w:cs="Arial"/>
        </w:rPr>
        <w:t xml:space="preserve"> was also conducted. </w:t>
      </w:r>
      <w:r w:rsidRPr="009B374D">
        <w:rPr>
          <w:rFonts w:cs="Arial"/>
        </w:rPr>
        <w:t>1800RESPECT hosts free, informative webinars for workers and professionals covering key issues on responding to sexual assault, domestic and family violence.</w:t>
      </w:r>
      <w:r>
        <w:rPr>
          <w:rFonts w:cs="Arial"/>
        </w:rPr>
        <w:t xml:space="preserve"> </w:t>
      </w:r>
    </w:p>
    <w:p w14:paraId="6C391025" w14:textId="77777777" w:rsidR="000D1D92" w:rsidRDefault="000D1D92" w:rsidP="000D1D92">
      <w:pPr>
        <w:jc w:val="both"/>
      </w:pPr>
      <w:r>
        <w:rPr>
          <w:rFonts w:cs="Arial"/>
        </w:rPr>
        <w:t>The webinar provided the</w:t>
      </w:r>
      <w:r w:rsidRPr="009B374D">
        <w:rPr>
          <w:rFonts w:cs="Arial"/>
        </w:rPr>
        <w:t xml:space="preserve"> unique opportunity </w:t>
      </w:r>
      <w:r>
        <w:rPr>
          <w:rFonts w:cs="Arial"/>
        </w:rPr>
        <w:t xml:space="preserve">for </w:t>
      </w:r>
      <w:r w:rsidRPr="00E84413">
        <w:rPr>
          <w:rFonts w:cs="Arial"/>
        </w:rPr>
        <w:t>153</w:t>
      </w:r>
      <w:r>
        <w:rPr>
          <w:rFonts w:cs="Arial"/>
        </w:rPr>
        <w:t xml:space="preserve"> workers and professionals to participate in my national consultation</w:t>
      </w:r>
      <w:r w:rsidRPr="008D5478">
        <w:t>.</w:t>
      </w:r>
      <w:r>
        <w:t xml:space="preserve"> </w:t>
      </w:r>
    </w:p>
    <w:p w14:paraId="642D53C6" w14:textId="77777777" w:rsidR="000D1D92" w:rsidRPr="004730A9" w:rsidRDefault="000D1D92" w:rsidP="000D1D92">
      <w:pPr>
        <w:pStyle w:val="Heading3"/>
        <w:jc w:val="both"/>
      </w:pPr>
      <w:bookmarkStart w:id="175" w:name="_Toc432061267"/>
      <w:bookmarkEnd w:id="172"/>
      <w:r>
        <w:t>Custom data requests from the Australian Bureau of Statistics (ABS)</w:t>
      </w:r>
      <w:bookmarkEnd w:id="175"/>
      <w:r>
        <w:t xml:space="preserve"> </w:t>
      </w:r>
    </w:p>
    <w:p w14:paraId="39F3C858" w14:textId="77777777" w:rsidR="000D1D92" w:rsidRDefault="000D1D92" w:rsidP="000D1D92">
      <w:pPr>
        <w:jc w:val="both"/>
      </w:pPr>
      <w:r w:rsidRPr="00243A50">
        <w:rPr>
          <w:b/>
        </w:rPr>
        <w:t xml:space="preserve">Appendix </w:t>
      </w:r>
      <w:r>
        <w:rPr>
          <w:b/>
        </w:rPr>
        <w:t>8</w:t>
      </w:r>
      <w:r w:rsidRPr="00243A50">
        <w:rPr>
          <w:b/>
        </w:rPr>
        <w:t xml:space="preserve"> presents the custom data based on the ABS Recorded Crime – Victims publication</w:t>
      </w:r>
      <w:r>
        <w:t xml:space="preserve">. </w:t>
      </w:r>
    </w:p>
    <w:p w14:paraId="5859A3A5" w14:textId="77777777" w:rsidR="000D1D92" w:rsidRDefault="000D1D92" w:rsidP="000D1D92">
      <w:pPr>
        <w:jc w:val="both"/>
      </w:pPr>
      <w:r>
        <w:t xml:space="preserve">This appendix presents data about </w:t>
      </w:r>
      <w:r w:rsidRPr="006F6C4D">
        <w:t>children aged 0 to 17 years who were victims of physical assault and sexual assault offences at a residential location that came to the attention of and were recorded by police during the four year period between 2010 and 2013.</w:t>
      </w:r>
    </w:p>
    <w:p w14:paraId="01E7DC51" w14:textId="77777777" w:rsidR="000D1D92" w:rsidRDefault="000D1D92" w:rsidP="000D1D92">
      <w:pPr>
        <w:jc w:val="both"/>
      </w:pPr>
      <w:r>
        <w:t>There are some important caveats to note about this data.</w:t>
      </w:r>
    </w:p>
    <w:p w14:paraId="36FBCE11" w14:textId="77777777" w:rsidR="000D1D92" w:rsidRDefault="000D1D92" w:rsidP="000D1D92">
      <w:pPr>
        <w:jc w:val="both"/>
      </w:pPr>
      <w:r>
        <w:t>The custom data about police</w:t>
      </w:r>
      <w:r w:rsidRPr="00337E2C">
        <w:t xml:space="preserve"> recorded child victims of physi</w:t>
      </w:r>
      <w:r>
        <w:t>cal assault and sexual assault</w:t>
      </w:r>
      <w:r w:rsidRPr="00337E2C">
        <w:t xml:space="preserve"> based on the ABS Recorded Crime – Victims publication does not include</w:t>
      </w:r>
      <w:r>
        <w:t xml:space="preserve"> aggregated national data about child victims of physical assault and sexual assault due to some jurisdictions not complying with the National Crime Recording Standard (NCRS)</w:t>
      </w:r>
      <w:r>
        <w:rPr>
          <w:rStyle w:val="EndnoteReference"/>
        </w:rPr>
        <w:endnoteReference w:id="470"/>
      </w:r>
      <w:r>
        <w:t xml:space="preserve"> and/or the data quality requirements for national reporting of Aboriginal and Torres Strait Islander status.</w:t>
      </w:r>
    </w:p>
    <w:p w14:paraId="751D3652" w14:textId="77777777" w:rsidR="000D1D92" w:rsidRDefault="000D1D92" w:rsidP="000D1D92">
      <w:pPr>
        <w:jc w:val="both"/>
        <w:rPr>
          <w:rFonts w:cs="Arial"/>
        </w:rPr>
      </w:pPr>
      <w:r w:rsidRPr="00337E2C">
        <w:rPr>
          <w:rFonts w:cs="Arial"/>
        </w:rPr>
        <w:t>As a result, police recorded assault data about child victims was provided to me only for those jurisdictions that are deemed to be in compliance with the national crime recording standard</w:t>
      </w:r>
      <w:r>
        <w:rPr>
          <w:rFonts w:cs="Arial"/>
        </w:rPr>
        <w:t>. T</w:t>
      </w:r>
      <w:r w:rsidRPr="00337E2C">
        <w:rPr>
          <w:rFonts w:cs="Arial"/>
        </w:rPr>
        <w:t xml:space="preserve">his currently includes New South Wales, Western Australia, South Australia, </w:t>
      </w:r>
      <w:r>
        <w:rPr>
          <w:rFonts w:cs="Arial"/>
        </w:rPr>
        <w:t>and</w:t>
      </w:r>
      <w:r w:rsidRPr="00337E2C">
        <w:rPr>
          <w:rFonts w:cs="Arial"/>
        </w:rPr>
        <w:t xml:space="preserve"> t</w:t>
      </w:r>
      <w:r>
        <w:rPr>
          <w:rFonts w:cs="Arial"/>
        </w:rPr>
        <w:t xml:space="preserve">he Australian Capital Territory. </w:t>
      </w:r>
    </w:p>
    <w:p w14:paraId="7CB9D7F4" w14:textId="77777777" w:rsidR="000D1D92" w:rsidRDefault="000D1D92" w:rsidP="000D1D92">
      <w:pPr>
        <w:jc w:val="both"/>
        <w:rPr>
          <w:rFonts w:cs="Arial"/>
        </w:rPr>
      </w:pPr>
      <w:r>
        <w:rPr>
          <w:rFonts w:cs="Arial"/>
        </w:rPr>
        <w:t>The</w:t>
      </w:r>
      <w:r w:rsidRPr="00337E2C">
        <w:rPr>
          <w:rFonts w:cs="Arial"/>
        </w:rPr>
        <w:t xml:space="preserve"> relationship of </w:t>
      </w:r>
      <w:r>
        <w:rPr>
          <w:rFonts w:cs="Arial"/>
        </w:rPr>
        <w:t>offender</w:t>
      </w:r>
      <w:r w:rsidRPr="00337E2C">
        <w:rPr>
          <w:rFonts w:cs="Arial"/>
        </w:rPr>
        <w:t xml:space="preserve"> to child victim data is not available for Western Australia, so it is not possible to provide Western Australian physical assault and sexual assault data broken down by family member </w:t>
      </w:r>
      <w:r>
        <w:rPr>
          <w:rFonts w:cs="Arial"/>
        </w:rPr>
        <w:t>offender</w:t>
      </w:r>
      <w:r w:rsidRPr="00337E2C">
        <w:rPr>
          <w:rFonts w:cs="Arial"/>
        </w:rPr>
        <w:t>.</w:t>
      </w:r>
    </w:p>
    <w:p w14:paraId="009EA8B3" w14:textId="77777777" w:rsidR="000D1D92" w:rsidRDefault="000D1D92" w:rsidP="000D1D92">
      <w:pPr>
        <w:spacing w:before="0" w:after="0"/>
        <w:jc w:val="both"/>
      </w:pPr>
      <w:r>
        <w:t xml:space="preserve">Aboriginal and Torres Strait Islander status data based on the ABS Recorded Crime – Victims publication could not be provided about child victims of physical assault in </w:t>
      </w:r>
      <w:r>
        <w:lastRenderedPageBreak/>
        <w:t>the Australian Capital Territory or child victims of sexual assault in Victoria, South Australia, Tasmania, the Northern Territory or the Australian Capital Territory.</w:t>
      </w:r>
    </w:p>
    <w:p w14:paraId="61BA94A5" w14:textId="77777777" w:rsidR="000D1D92" w:rsidRPr="00337E2C" w:rsidRDefault="000D1D92" w:rsidP="000D1D92">
      <w:pPr>
        <w:jc w:val="both"/>
        <w:rPr>
          <w:rFonts w:cs="Arial"/>
        </w:rPr>
      </w:pPr>
      <w:r w:rsidRPr="00337E2C">
        <w:rPr>
          <w:rFonts w:cs="Arial"/>
        </w:rPr>
        <w:t xml:space="preserve">The ABS recommends refraining from describing this data using the language of family and domestic violence. Whilst disaggregating this data by relationship to </w:t>
      </w:r>
      <w:r>
        <w:rPr>
          <w:rFonts w:cs="Arial"/>
        </w:rPr>
        <w:t>offender</w:t>
      </w:r>
      <w:r w:rsidRPr="00337E2C">
        <w:rPr>
          <w:rFonts w:cs="Arial"/>
        </w:rPr>
        <w:t xml:space="preserve"> and location can provide a proxy measure for family and domestic violence incidents, not all occurrences of family and domestic violence are necessarily being represented or captured in this data. </w:t>
      </w:r>
    </w:p>
    <w:p w14:paraId="4DE571EE" w14:textId="77777777" w:rsidR="000D1D92" w:rsidRPr="00337E2C" w:rsidRDefault="000D1D92" w:rsidP="000D1D92">
      <w:pPr>
        <w:jc w:val="both"/>
        <w:rPr>
          <w:rFonts w:cs="Arial"/>
        </w:rPr>
      </w:pPr>
      <w:r w:rsidRPr="00337E2C">
        <w:rPr>
          <w:rFonts w:cs="Arial"/>
        </w:rPr>
        <w:t xml:space="preserve">Descriptions of this data should be framed in terms of child victims of physical assault and sexual assault by a family member in a home location, rather than child victims of family and domestic violence. </w:t>
      </w:r>
    </w:p>
    <w:p w14:paraId="7650A3A8" w14:textId="77777777" w:rsidR="000D1D92" w:rsidRPr="00337E2C" w:rsidRDefault="000D1D92" w:rsidP="000D1D92">
      <w:pPr>
        <w:jc w:val="both"/>
        <w:rPr>
          <w:rFonts w:cs="Arial"/>
        </w:rPr>
      </w:pPr>
      <w:r w:rsidRPr="00337E2C">
        <w:rPr>
          <w:rFonts w:cs="Arial"/>
        </w:rPr>
        <w:t>I note that the ABS is currently working with police jurisdictions to develop and incorporate a family and domestic violence indicator into its recorded crime collections, which will make it possible to more clearly identify all incidents of violence that occur in a family and domestic context</w:t>
      </w:r>
      <w:r w:rsidRPr="00337E2C">
        <w:t>.</w:t>
      </w:r>
      <w:r w:rsidRPr="00337E2C">
        <w:rPr>
          <w:rStyle w:val="EndnoteReference"/>
          <w:sz w:val="24"/>
        </w:rPr>
        <w:endnoteReference w:id="471"/>
      </w:r>
    </w:p>
    <w:p w14:paraId="0EA348F7" w14:textId="77777777" w:rsidR="000D1D92" w:rsidRDefault="000D1D92" w:rsidP="000D1D92">
      <w:pPr>
        <w:jc w:val="both"/>
      </w:pPr>
      <w:r w:rsidRPr="00243A50">
        <w:rPr>
          <w:b/>
        </w:rPr>
        <w:t xml:space="preserve">Appendix </w:t>
      </w:r>
      <w:r>
        <w:rPr>
          <w:b/>
        </w:rPr>
        <w:t>9</w:t>
      </w:r>
      <w:r w:rsidRPr="00243A50">
        <w:rPr>
          <w:b/>
        </w:rPr>
        <w:t xml:space="preserve"> presents the custom data based on the ABS 2012 Personal Safety Survey</w:t>
      </w:r>
      <w:r>
        <w:t xml:space="preserve">. </w:t>
      </w:r>
    </w:p>
    <w:p w14:paraId="2932D29F" w14:textId="77777777" w:rsidR="000D1D92" w:rsidRDefault="000D1D92" w:rsidP="000D1D92">
      <w:pPr>
        <w:jc w:val="both"/>
      </w:pPr>
      <w:r>
        <w:t>This appendix presents prevalence estimates about children’s experience of physical abuse and sexual abuse before the age of 15 in Australia. The estimates in this appendix are based on survey data collected between February and December 2012 from Australian men and women aged 18 years and over who responded to survey questions about their experience of physical abuse and sexual abuse before the age of 15.</w:t>
      </w:r>
      <w:r>
        <w:rPr>
          <w:rStyle w:val="EndnoteReference"/>
        </w:rPr>
        <w:endnoteReference w:id="472"/>
      </w:r>
      <w:r>
        <w:t xml:space="preserve"> </w:t>
      </w:r>
    </w:p>
    <w:p w14:paraId="1DC6DBA8" w14:textId="77777777" w:rsidR="000D1D92" w:rsidRDefault="000D1D92" w:rsidP="000D1D92">
      <w:pPr>
        <w:jc w:val="both"/>
      </w:pPr>
      <w:r>
        <w:t xml:space="preserve">Much of this data has not been published before and provides valuable insights. </w:t>
      </w:r>
    </w:p>
    <w:p w14:paraId="70E570DA" w14:textId="77777777" w:rsidR="000D1D92" w:rsidRDefault="000D1D92" w:rsidP="000D1D92">
      <w:pPr>
        <w:spacing w:before="0" w:after="0"/>
        <w:jc w:val="both"/>
        <w:rPr>
          <w:rFonts w:cs="Arial"/>
        </w:rPr>
      </w:pPr>
      <w:r>
        <w:rPr>
          <w:rFonts w:cs="Arial"/>
        </w:rPr>
        <w:t xml:space="preserve">I also attempted to obtain custom data about children aged 15 to17 years based on the ABS </w:t>
      </w:r>
      <w:r w:rsidRPr="00FD24B1">
        <w:rPr>
          <w:rFonts w:cs="Arial"/>
        </w:rPr>
        <w:t>Crime Victimisation Survey</w:t>
      </w:r>
      <w:r>
        <w:rPr>
          <w:rFonts w:cs="Arial"/>
        </w:rPr>
        <w:t xml:space="preserve">. The ABS advised me that the data set </w:t>
      </w:r>
      <w:r w:rsidRPr="00FD24B1">
        <w:rPr>
          <w:rFonts w:cs="Arial"/>
        </w:rPr>
        <w:t xml:space="preserve">was not robust enough for output when broken down by relationship to </w:t>
      </w:r>
      <w:r>
        <w:rPr>
          <w:rFonts w:cs="Arial"/>
        </w:rPr>
        <w:t xml:space="preserve">family </w:t>
      </w:r>
      <w:r w:rsidRPr="00FD24B1">
        <w:rPr>
          <w:rFonts w:cs="Arial"/>
        </w:rPr>
        <w:t>perpetrator and locatio</w:t>
      </w:r>
      <w:r>
        <w:rPr>
          <w:rFonts w:cs="Arial"/>
        </w:rPr>
        <w:t>n and so was not provided to me. This is a clear opportunity for data improvement which could generate information about children experiencing violence.</w:t>
      </w:r>
    </w:p>
    <w:p w14:paraId="2D275D92" w14:textId="77777777" w:rsidR="000D1D92" w:rsidRDefault="000D1D92" w:rsidP="000D1D92">
      <w:pPr>
        <w:pStyle w:val="Heading3"/>
      </w:pPr>
      <w:bookmarkStart w:id="176" w:name="_Toc432061268"/>
      <w:r>
        <w:t xml:space="preserve">Research summaries provided by the </w:t>
      </w:r>
      <w:r w:rsidRPr="005E7E49">
        <w:t>National Centre for Longitudinal Data</w:t>
      </w:r>
      <w:bookmarkEnd w:id="176"/>
    </w:p>
    <w:p w14:paraId="5A3D85FA" w14:textId="77777777" w:rsidR="000D1D92" w:rsidRDefault="000D1D92" w:rsidP="000D1D92">
      <w:pPr>
        <w:jc w:val="both"/>
        <w:rPr>
          <w:lang w:val="en-US"/>
        </w:rPr>
      </w:pPr>
      <w:r w:rsidRPr="00E509EE">
        <w:t>B</w:t>
      </w:r>
      <w:r>
        <w:t>ot</w:t>
      </w:r>
      <w:r w:rsidRPr="00E509EE">
        <w:t xml:space="preserve">h </w:t>
      </w:r>
      <w:r w:rsidRPr="00E509EE">
        <w:rPr>
          <w:i/>
          <w:iCs/>
          <w:lang w:val="en-US"/>
        </w:rPr>
        <w:t>Growing Up in Australia:</w:t>
      </w:r>
      <w:r w:rsidRPr="00E509EE">
        <w:rPr>
          <w:lang w:val="en-US"/>
        </w:rPr>
        <w:t xml:space="preserve"> </w:t>
      </w:r>
      <w:r w:rsidRPr="00E509EE">
        <w:rPr>
          <w:i/>
          <w:lang w:val="en-US"/>
        </w:rPr>
        <w:t>The Longitudinal Study of Australian Children</w:t>
      </w:r>
      <w:r w:rsidRPr="00E509EE">
        <w:rPr>
          <w:lang w:val="en-US"/>
        </w:rPr>
        <w:t xml:space="preserve"> (LSAC) and </w:t>
      </w:r>
      <w:r w:rsidRPr="00E509EE">
        <w:rPr>
          <w:i/>
          <w:iCs/>
          <w:lang w:val="en-US"/>
        </w:rPr>
        <w:t>Footprints in Time</w:t>
      </w:r>
      <w:r w:rsidRPr="00E509EE">
        <w:rPr>
          <w:iCs/>
          <w:lang w:val="en-US"/>
        </w:rPr>
        <w:t>:</w:t>
      </w:r>
      <w:r w:rsidRPr="00E509EE">
        <w:rPr>
          <w:lang w:val="en-US"/>
        </w:rPr>
        <w:t xml:space="preserve"> </w:t>
      </w:r>
      <w:r w:rsidRPr="00E509EE">
        <w:rPr>
          <w:i/>
          <w:lang w:val="en-US"/>
        </w:rPr>
        <w:t>The Longitudinal Study of Indigenous Children</w:t>
      </w:r>
      <w:r w:rsidRPr="00E509EE">
        <w:rPr>
          <w:lang w:val="en-US"/>
        </w:rPr>
        <w:t xml:space="preserve"> (LSIC) include items (over the waves of each study) that relate to family and domestic violence.</w:t>
      </w:r>
      <w:r>
        <w:rPr>
          <w:lang w:val="en-US"/>
        </w:rPr>
        <w:t xml:space="preserve"> </w:t>
      </w:r>
    </w:p>
    <w:p w14:paraId="05499CCB" w14:textId="77777777" w:rsidR="000D1D92" w:rsidRDefault="000D1D92" w:rsidP="000D1D92">
      <w:pPr>
        <w:jc w:val="both"/>
        <w:rPr>
          <w:lang w:val="en-US"/>
        </w:rPr>
      </w:pPr>
      <w:r>
        <w:rPr>
          <w:lang w:val="en-US"/>
        </w:rPr>
        <w:t>Information captured by LSAC and LSIC about children’s experiences of violence in the home was not made available to me.</w:t>
      </w:r>
    </w:p>
    <w:p w14:paraId="7410CA78" w14:textId="77777777" w:rsidR="000D1D92" w:rsidRDefault="000D1D92" w:rsidP="000D1D92">
      <w:pPr>
        <w:jc w:val="both"/>
        <w:rPr>
          <w:lang w:val="en-US"/>
        </w:rPr>
      </w:pPr>
      <w:r>
        <w:rPr>
          <w:lang w:val="en-US"/>
        </w:rPr>
        <w:t xml:space="preserve">The National Centre for Longitudinal Data provided research summaries on partner violence for my statutory report. </w:t>
      </w:r>
    </w:p>
    <w:p w14:paraId="43345CAC" w14:textId="77777777" w:rsidR="000D1D92" w:rsidRPr="0045590A" w:rsidRDefault="000D1D92" w:rsidP="000D1D92">
      <w:pPr>
        <w:jc w:val="both"/>
        <w:rPr>
          <w:lang w:val="en-US"/>
        </w:rPr>
      </w:pPr>
      <w:r w:rsidRPr="0045590A">
        <w:rPr>
          <w:lang w:val="en-US"/>
        </w:rPr>
        <w:t xml:space="preserve">Results of the LSAC </w:t>
      </w:r>
      <w:r>
        <w:rPr>
          <w:lang w:val="en-US"/>
        </w:rPr>
        <w:t xml:space="preserve">and LSIC </w:t>
      </w:r>
      <w:r w:rsidRPr="0045590A">
        <w:rPr>
          <w:lang w:val="en-US"/>
        </w:rPr>
        <w:t>research summar</w:t>
      </w:r>
      <w:r>
        <w:rPr>
          <w:lang w:val="en-US"/>
        </w:rPr>
        <w:t xml:space="preserve">ies </w:t>
      </w:r>
      <w:r w:rsidRPr="0045590A">
        <w:rPr>
          <w:lang w:val="en-US"/>
        </w:rPr>
        <w:t xml:space="preserve">are provided in </w:t>
      </w:r>
      <w:r w:rsidRPr="00C32AB7">
        <w:rPr>
          <w:b/>
          <w:lang w:val="en-US"/>
        </w:rPr>
        <w:t>Appendix 10</w:t>
      </w:r>
      <w:r>
        <w:rPr>
          <w:lang w:val="en-US"/>
        </w:rPr>
        <w:t>.</w:t>
      </w:r>
    </w:p>
    <w:p w14:paraId="4AD40EB9" w14:textId="77777777" w:rsidR="000D1D92" w:rsidRPr="005E7E49" w:rsidRDefault="000D1D92" w:rsidP="000D1D92">
      <w:pPr>
        <w:pStyle w:val="Heading3"/>
        <w:jc w:val="both"/>
      </w:pPr>
      <w:bookmarkStart w:id="177" w:name="_Toc432061269"/>
      <w:r>
        <w:lastRenderedPageBreak/>
        <w:t>Accessing children’s experiences through BoysTown and Kids Helpline</w:t>
      </w:r>
      <w:bookmarkEnd w:id="177"/>
    </w:p>
    <w:p w14:paraId="444599B0" w14:textId="77777777" w:rsidR="000D1D92" w:rsidRDefault="000D1D92" w:rsidP="000D1D92">
      <w:pPr>
        <w:autoSpaceDE w:val="0"/>
        <w:autoSpaceDN w:val="0"/>
        <w:adjustRightInd w:val="0"/>
        <w:spacing w:before="0" w:after="0"/>
        <w:jc w:val="both"/>
        <w:rPr>
          <w:rFonts w:cs="Arial"/>
        </w:rPr>
      </w:pPr>
      <w:r w:rsidRPr="000E510E">
        <w:rPr>
          <w:rFonts w:cs="Arial"/>
        </w:rPr>
        <w:t>Hearing directly from children about their experiences is critical to my work.</w:t>
      </w:r>
      <w:r>
        <w:rPr>
          <w:rFonts w:cs="Arial"/>
        </w:rPr>
        <w:t xml:space="preserve"> However in terms of family and domestic violence, this presents two main dilemmas:</w:t>
      </w:r>
    </w:p>
    <w:p w14:paraId="3D25BD8B" w14:textId="77777777" w:rsidR="000D1D92" w:rsidRDefault="000D1D92" w:rsidP="000D1D92">
      <w:pPr>
        <w:autoSpaceDE w:val="0"/>
        <w:autoSpaceDN w:val="0"/>
        <w:adjustRightInd w:val="0"/>
        <w:spacing w:before="0" w:after="0"/>
        <w:jc w:val="both"/>
        <w:rPr>
          <w:rFonts w:cs="Arial"/>
        </w:rPr>
      </w:pPr>
    </w:p>
    <w:p w14:paraId="6BE557B5" w14:textId="77777777" w:rsidR="000D1D92" w:rsidRPr="0045590A" w:rsidRDefault="000D1D92" w:rsidP="000D1D92">
      <w:pPr>
        <w:autoSpaceDE w:val="0"/>
        <w:autoSpaceDN w:val="0"/>
        <w:adjustRightInd w:val="0"/>
        <w:spacing w:before="0" w:after="0"/>
        <w:ind w:left="720"/>
        <w:jc w:val="both"/>
        <w:rPr>
          <w:rFonts w:cs="Arial"/>
          <w:sz w:val="22"/>
          <w:szCs w:val="22"/>
        </w:rPr>
      </w:pPr>
      <w:r w:rsidRPr="0045590A">
        <w:rPr>
          <w:rFonts w:cs="Arial"/>
          <w:sz w:val="22"/>
          <w:szCs w:val="22"/>
        </w:rPr>
        <w:t>The dilemma of how to include children and young people’s perceptions of the effects of domestic violence, whilst respecting parents’ rights to consent to their children’s involvement in research. Further to this is the dilemma of asking children about their experiences of domestic violence and then not necessarily being able to provide immediate access to appropriate counselling and support.</w:t>
      </w:r>
      <w:r w:rsidRPr="0045590A">
        <w:rPr>
          <w:rStyle w:val="EndnoteReference"/>
          <w:rFonts w:cs="Arial"/>
          <w:sz w:val="22"/>
          <w:szCs w:val="22"/>
        </w:rPr>
        <w:endnoteReference w:id="473"/>
      </w:r>
    </w:p>
    <w:p w14:paraId="5862AF44" w14:textId="77777777" w:rsidR="000D1D92" w:rsidRDefault="000D1D92" w:rsidP="000D1D92">
      <w:pPr>
        <w:autoSpaceDE w:val="0"/>
        <w:autoSpaceDN w:val="0"/>
        <w:adjustRightInd w:val="0"/>
        <w:spacing w:before="0" w:after="0"/>
        <w:jc w:val="both"/>
        <w:rPr>
          <w:rFonts w:cs="Arial"/>
        </w:rPr>
      </w:pPr>
    </w:p>
    <w:p w14:paraId="5CEAAEED" w14:textId="77777777" w:rsidR="000D1D92" w:rsidRPr="000E510E" w:rsidRDefault="000D1D92" w:rsidP="000D1D92">
      <w:pPr>
        <w:autoSpaceDE w:val="0"/>
        <w:autoSpaceDN w:val="0"/>
        <w:adjustRightInd w:val="0"/>
        <w:spacing w:before="0" w:after="0"/>
        <w:jc w:val="both"/>
        <w:rPr>
          <w:rFonts w:cs="Arial"/>
        </w:rPr>
      </w:pPr>
      <w:r w:rsidRPr="000E510E">
        <w:rPr>
          <w:rFonts w:cs="Arial"/>
        </w:rPr>
        <w:t>In the case of this work, I wanted to hear from children in a way that was safe and supportive. I did not want to place those living in violent households at further risk of harm</w:t>
      </w:r>
      <w:r>
        <w:rPr>
          <w:rFonts w:cs="Arial"/>
        </w:rPr>
        <w:t xml:space="preserve"> or </w:t>
      </w:r>
      <w:r w:rsidRPr="000E510E">
        <w:rPr>
          <w:rFonts w:cs="Arial"/>
        </w:rPr>
        <w:t xml:space="preserve">risk </w:t>
      </w:r>
      <w:r>
        <w:rPr>
          <w:rFonts w:cs="Arial"/>
        </w:rPr>
        <w:t>their re-traumatisation.</w:t>
      </w:r>
    </w:p>
    <w:p w14:paraId="3245912A" w14:textId="77777777" w:rsidR="000D1D92" w:rsidRDefault="000D1D92" w:rsidP="000D1D92">
      <w:pPr>
        <w:jc w:val="both"/>
        <w:rPr>
          <w:rFonts w:cs="Arial"/>
        </w:rPr>
      </w:pPr>
      <w:r w:rsidRPr="000E510E">
        <w:rPr>
          <w:rFonts w:cs="Arial"/>
        </w:rPr>
        <w:t>Given this, I accessed the voices and stories of children through</w:t>
      </w:r>
      <w:r>
        <w:rPr>
          <w:rFonts w:cs="Arial"/>
        </w:rPr>
        <w:t xml:space="preserve"> BoysTown and the Kids Helpline. T</w:t>
      </w:r>
      <w:r w:rsidRPr="000E510E">
        <w:rPr>
          <w:rFonts w:cs="Arial"/>
        </w:rPr>
        <w:t>his was the safest, most confidential and sensitive way of hearing from them.</w:t>
      </w:r>
    </w:p>
    <w:p w14:paraId="31DED4A5" w14:textId="77777777" w:rsidR="000D1D92" w:rsidRDefault="000D1D92" w:rsidP="000D1D92">
      <w:pPr>
        <w:jc w:val="both"/>
      </w:pPr>
      <w:r w:rsidRPr="00DC2789">
        <w:rPr>
          <w:b/>
        </w:rPr>
        <w:t>BoysTown invited me to visit its safe house</w:t>
      </w:r>
      <w:r>
        <w:t>. This provided me with the opportunity to meet with their clients and speak directly with professional staff about the programs that they provide and to hear about the resourcing challenges that they face. While at the safe house, with the consent of the mothers and their children, I joined an informal play session. I thank all those involved for the privilege of this opportunity.</w:t>
      </w:r>
    </w:p>
    <w:p w14:paraId="4C90965B" w14:textId="77777777" w:rsidR="000D1D92" w:rsidRDefault="000D1D92" w:rsidP="000D1D92">
      <w:pPr>
        <w:jc w:val="both"/>
        <w:rPr>
          <w:rFonts w:cs="Arial"/>
          <w:b/>
        </w:rPr>
      </w:pPr>
      <w:r>
        <w:rPr>
          <w:rFonts w:cs="Arial"/>
        </w:rPr>
        <w:t xml:space="preserve">The </w:t>
      </w:r>
      <w:r w:rsidRPr="00A72DDA">
        <w:rPr>
          <w:rFonts w:cs="Arial"/>
        </w:rPr>
        <w:t>Kids Helpline is Australia’s only national 24/7</w:t>
      </w:r>
      <w:r>
        <w:rPr>
          <w:rFonts w:cs="Arial"/>
        </w:rPr>
        <w:t xml:space="preserve">, </w:t>
      </w:r>
      <w:r w:rsidRPr="00A72DDA">
        <w:rPr>
          <w:rFonts w:cs="Arial"/>
        </w:rPr>
        <w:t>confidential support and counselling service specifically for children and young peopl</w:t>
      </w:r>
      <w:r>
        <w:rPr>
          <w:rFonts w:cs="Arial"/>
        </w:rPr>
        <w:t xml:space="preserve">e aged 5 to </w:t>
      </w:r>
      <w:r w:rsidRPr="00A72DDA">
        <w:rPr>
          <w:rFonts w:cs="Arial"/>
        </w:rPr>
        <w:t xml:space="preserve">25 years. It offers counselling support via </w:t>
      </w:r>
      <w:r>
        <w:rPr>
          <w:rFonts w:cs="Arial"/>
        </w:rPr>
        <w:t>phone</w:t>
      </w:r>
      <w:r w:rsidRPr="00A72DDA">
        <w:rPr>
          <w:rFonts w:cs="Arial"/>
        </w:rPr>
        <w:t>, email and a real-time web platform.</w:t>
      </w:r>
      <w:r w:rsidRPr="00A72DDA">
        <w:rPr>
          <w:rFonts w:cs="Arial"/>
          <w:b/>
        </w:rPr>
        <w:t xml:space="preserve"> </w:t>
      </w:r>
    </w:p>
    <w:p w14:paraId="61E507C9" w14:textId="77777777" w:rsidR="000D1D92" w:rsidRDefault="000D1D92" w:rsidP="000D1D92">
      <w:pPr>
        <w:jc w:val="both"/>
      </w:pPr>
      <w:r w:rsidRPr="00DC2789">
        <w:rPr>
          <w:rFonts w:cs="Arial"/>
          <w:b/>
        </w:rPr>
        <w:t xml:space="preserve">The Kids Helpline </w:t>
      </w:r>
      <w:r w:rsidRPr="00DC2789">
        <w:rPr>
          <w:b/>
        </w:rPr>
        <w:t>supplied me with a detailed report of contacts received from c</w:t>
      </w:r>
      <w:r>
        <w:rPr>
          <w:b/>
        </w:rPr>
        <w:t xml:space="preserve">hildren and young people aged 5 to </w:t>
      </w:r>
      <w:r w:rsidRPr="00DC2789">
        <w:rPr>
          <w:b/>
        </w:rPr>
        <w:t>17 years</w:t>
      </w:r>
      <w:r>
        <w:t xml:space="preserve"> between January 2012 and December 2014, who</w:t>
      </w:r>
      <w:r w:rsidRPr="00FC0421">
        <w:t xml:space="preserve"> directly </w:t>
      </w:r>
      <w:r>
        <w:t xml:space="preserve">raised family or domestic violence as their main concern or as their second significant concern. </w:t>
      </w:r>
    </w:p>
    <w:p w14:paraId="2A6884FC" w14:textId="77777777" w:rsidR="000D1D92" w:rsidRDefault="000D1D92" w:rsidP="000D1D92">
      <w:pPr>
        <w:jc w:val="both"/>
      </w:pPr>
      <w:r>
        <w:t>A total of 120,408 contacts were received from children and young people aged 5 to</w:t>
      </w:r>
      <w:r w:rsidRPr="00FC0421">
        <w:t>17 years</w:t>
      </w:r>
      <w:r>
        <w:t>, of these 603 (0.5%) raised family and domestic violence as their main concern and a further 396 (0.3%) raised it as their second significant concern. I</w:t>
      </w:r>
      <w:r w:rsidRPr="006F6C80">
        <w:t xml:space="preserve">n 62% of contacts </w:t>
      </w:r>
      <w:r>
        <w:t xml:space="preserve">where family and domestic violence was </w:t>
      </w:r>
      <w:r w:rsidRPr="006F6C80">
        <w:t>raised as the main concern, no s</w:t>
      </w:r>
      <w:r>
        <w:t>econdary concern was recorded.</w:t>
      </w:r>
      <w:r>
        <w:rPr>
          <w:rStyle w:val="EndnoteReference"/>
        </w:rPr>
        <w:endnoteReference w:id="474"/>
      </w:r>
    </w:p>
    <w:p w14:paraId="06C27EA8" w14:textId="77777777" w:rsidR="000D1D92" w:rsidRDefault="000D1D92" w:rsidP="000D1D92">
      <w:pPr>
        <w:jc w:val="both"/>
      </w:pPr>
      <w:r>
        <w:t>These figures are based on the number of contacts and not individuals.</w:t>
      </w:r>
      <w:r>
        <w:rPr>
          <w:rStyle w:val="EndnoteReference"/>
        </w:rPr>
        <w:endnoteReference w:id="475"/>
      </w:r>
      <w:r>
        <w:t xml:space="preserve">  Between January 2012 and December 2014, there were </w:t>
      </w:r>
      <w:r>
        <w:rPr>
          <w:szCs w:val="20"/>
        </w:rPr>
        <w:t>999 contacts where family and domestic violence was raised as either the main or secondary concern.</w:t>
      </w:r>
      <w:r>
        <w:rPr>
          <w:rStyle w:val="EndnoteReference"/>
          <w:szCs w:val="20"/>
        </w:rPr>
        <w:endnoteReference w:id="476"/>
      </w:r>
    </w:p>
    <w:p w14:paraId="6E81B4F7" w14:textId="77777777" w:rsidR="000D1D92" w:rsidRDefault="000D1D92" w:rsidP="000D1D92">
      <w:pPr>
        <w:jc w:val="both"/>
        <w:rPr>
          <w:szCs w:val="20"/>
        </w:rPr>
      </w:pPr>
      <w:r>
        <w:rPr>
          <w:szCs w:val="20"/>
        </w:rPr>
        <w:t>Less than 1% of all contacts with the Kids Helpline involved concerns about family and domestic violence.</w:t>
      </w:r>
      <w:r>
        <w:rPr>
          <w:rStyle w:val="EndnoteReference"/>
          <w:szCs w:val="20"/>
        </w:rPr>
        <w:endnoteReference w:id="477"/>
      </w:r>
    </w:p>
    <w:p w14:paraId="010861F1" w14:textId="77777777" w:rsidR="000D1D92" w:rsidRDefault="000D1D92" w:rsidP="000D1D92">
      <w:pPr>
        <w:jc w:val="both"/>
        <w:rPr>
          <w:rFonts w:cs="Arial"/>
        </w:rPr>
      </w:pPr>
      <w:r>
        <w:t>The Kids Helpline data is not indicative of prevalence. It only represents those who are actively seeking help.</w:t>
      </w:r>
      <w:r w:rsidRPr="00EE7927">
        <w:t xml:space="preserve"> </w:t>
      </w:r>
      <w:r>
        <w:t>Many children and young people do not seek help. The Kids Helpline pointed out that a low number of contacts may mean that children and young people do not see the Kids Helpline as an appropriate source of help and may be seeking help elsewhere.</w:t>
      </w:r>
      <w:r w:rsidRPr="009E34DE">
        <w:rPr>
          <w:rStyle w:val="EndnoteReference"/>
          <w:rFonts w:cs="Arial"/>
        </w:rPr>
        <w:t xml:space="preserve"> </w:t>
      </w:r>
      <w:r>
        <w:rPr>
          <w:rStyle w:val="EndnoteReference"/>
          <w:rFonts w:cs="Arial"/>
        </w:rPr>
        <w:endnoteReference w:id="478"/>
      </w:r>
    </w:p>
    <w:p w14:paraId="39A217EB" w14:textId="77777777" w:rsidR="000D1D92" w:rsidRDefault="000D1D92" w:rsidP="000D1D92">
      <w:pPr>
        <w:jc w:val="both"/>
      </w:pPr>
      <w:r>
        <w:lastRenderedPageBreak/>
        <w:t>The Kids Helpline states that:</w:t>
      </w:r>
    </w:p>
    <w:p w14:paraId="1A7C6326" w14:textId="77777777" w:rsidR="000D1D92" w:rsidRPr="00CB7783" w:rsidRDefault="000D1D92" w:rsidP="000D1D92">
      <w:pPr>
        <w:ind w:left="720"/>
        <w:jc w:val="both"/>
      </w:pPr>
      <w:r>
        <w:t>These data sets are designed to give the child a voice; hence they provide a snapshot of information that children and young people chose to disclose to counsellors. The number of contacts coded as ‘exposure to family violence’ is a measure of how often young people raise this issue with the Helpline. It is not a measure of how often young people experience this issue, nor of how many young people experience this issue</w:t>
      </w:r>
      <w:r>
        <w:rPr>
          <w:rStyle w:val="EndnoteReference"/>
        </w:rPr>
        <w:endnoteReference w:id="479"/>
      </w:r>
      <w:r>
        <w:t xml:space="preserve">. </w:t>
      </w:r>
    </w:p>
    <w:p w14:paraId="30F46067" w14:textId="77777777" w:rsidR="000D1D92" w:rsidRDefault="000D1D92" w:rsidP="000D1D92">
      <w:pPr>
        <w:jc w:val="both"/>
      </w:pPr>
      <w:r>
        <w:t xml:space="preserve">Data provided in the Kids Helpline submission is based on the experiences and views of children and young people who are actively seeking help. </w:t>
      </w:r>
    </w:p>
    <w:p w14:paraId="2A2320B8" w14:textId="77777777" w:rsidR="000D1D92" w:rsidRDefault="000D1D92" w:rsidP="000D1D92">
      <w:pPr>
        <w:jc w:val="both"/>
      </w:pPr>
      <w:r w:rsidRPr="00D001EF">
        <w:rPr>
          <w:b/>
        </w:rPr>
        <w:t>Appendix 11</w:t>
      </w:r>
      <w:r w:rsidRPr="004C484E">
        <w:t xml:space="preserve"> presents the Kids Helpline data about children’s experiences of family and domestic violence.</w:t>
      </w:r>
    </w:p>
    <w:p w14:paraId="20AAE965" w14:textId="77777777" w:rsidR="000D1D92" w:rsidRDefault="000D1D92" w:rsidP="000D1D92">
      <w:pPr>
        <w:jc w:val="both"/>
      </w:pPr>
      <w:r w:rsidRPr="00F73AE5">
        <w:t xml:space="preserve">Page </w:t>
      </w:r>
      <w:r>
        <w:t>18</w:t>
      </w:r>
      <w:r w:rsidRPr="00F73AE5">
        <w:t xml:space="preserve"> contains a selection of the of the data I obtained from the ABS Recorded - Crime Victims publication, the ABS 2012 Personal Safety Survey, the National Centre for Longitudinal Data and the Kids Helpline.</w:t>
      </w:r>
    </w:p>
    <w:p w14:paraId="57C88428" w14:textId="77777777" w:rsidR="000D1D92" w:rsidRPr="004C484E" w:rsidRDefault="000D1D92" w:rsidP="000D1D92">
      <w:pPr>
        <w:jc w:val="both"/>
      </w:pPr>
    </w:p>
    <w:p w14:paraId="4282E2C6" w14:textId="77777777" w:rsidR="000D1D92" w:rsidRDefault="000D1D92" w:rsidP="000D1D92">
      <w:pPr>
        <w:jc w:val="both"/>
      </w:pPr>
    </w:p>
    <w:p w14:paraId="3242A384" w14:textId="77777777" w:rsidR="000D1D92" w:rsidRDefault="000D1D92" w:rsidP="000D1D92">
      <w:r>
        <w:br w:type="column"/>
      </w:r>
      <w:r w:rsidRPr="00B8405D">
        <w:rPr>
          <w:b/>
          <w:color w:val="FF0000"/>
        </w:rPr>
        <w:lastRenderedPageBreak/>
        <w:t>TO BE PRINTED ON ITS OWN PAGE</w:t>
      </w:r>
    </w:p>
    <w:tbl>
      <w:tblPr>
        <w:tblStyle w:val="TableGrid"/>
        <w:tblW w:w="0" w:type="auto"/>
        <w:shd w:val="clear" w:color="auto" w:fill="F2F2F2" w:themeFill="background1" w:themeFillShade="F2"/>
        <w:tblLook w:val="04A0" w:firstRow="1" w:lastRow="0" w:firstColumn="1" w:lastColumn="0" w:noHBand="0" w:noVBand="1"/>
      </w:tblPr>
      <w:tblGrid>
        <w:gridCol w:w="9286"/>
      </w:tblGrid>
      <w:tr w:rsidR="000D1D92" w14:paraId="61834787" w14:textId="77777777" w:rsidTr="00684616">
        <w:tc>
          <w:tcPr>
            <w:tcW w:w="9286" w:type="dxa"/>
            <w:shd w:val="clear" w:color="auto" w:fill="F2F2F2" w:themeFill="background1" w:themeFillShade="F2"/>
          </w:tcPr>
          <w:p w14:paraId="4187D3C6" w14:textId="77777777" w:rsidR="000D1D92" w:rsidRDefault="000D1D92" w:rsidP="00684616">
            <w:r>
              <w:t>Appendices 8 to 11 present the data I obtained from the ABS Recorded Crime – Victims publication, the ABS 2012 Personal Safety Survey, the National Centre for Longitudinal Data and the Kids Helpline. A selection of the data is presented below.</w:t>
            </w:r>
          </w:p>
          <w:p w14:paraId="12D41E16" w14:textId="77777777" w:rsidR="000D1D92" w:rsidRDefault="000D1D92" w:rsidP="00684616">
            <w:pPr>
              <w:jc w:val="both"/>
            </w:pPr>
            <w:r>
              <w:t xml:space="preserve">The data I obtained makes it clear that children’s experiences of family and domestic violence are widespread and serious. </w:t>
            </w:r>
          </w:p>
          <w:p w14:paraId="6E92EC95" w14:textId="77777777" w:rsidR="000D1D92" w:rsidRPr="00D40952" w:rsidRDefault="000D1D92" w:rsidP="00684616">
            <w:pPr>
              <w:jc w:val="both"/>
              <w:rPr>
                <w:b/>
              </w:rPr>
            </w:pPr>
            <w:r w:rsidRPr="00D40952">
              <w:rPr>
                <w:b/>
              </w:rPr>
              <w:t>ABS Recorded Crime – Victims data between 2010 and 2013 about the number of police recorded child victims of physical assault and sexual assault in a residential location aged 0 to 17 years</w:t>
            </w:r>
            <w:r w:rsidRPr="001940F4">
              <w:t>:</w:t>
            </w:r>
            <w:r w:rsidRPr="00D40952">
              <w:rPr>
                <w:rStyle w:val="EndnoteReference"/>
                <w:sz w:val="24"/>
              </w:rPr>
              <w:endnoteReference w:id="480"/>
            </w:r>
          </w:p>
          <w:p w14:paraId="158B11FC" w14:textId="77777777" w:rsidR="000D1D92" w:rsidRPr="00D40952" w:rsidRDefault="000D1D92" w:rsidP="000D1D92">
            <w:pPr>
              <w:pStyle w:val="ListParagraph"/>
              <w:numPr>
                <w:ilvl w:val="0"/>
                <w:numId w:val="89"/>
              </w:numPr>
              <w:jc w:val="both"/>
              <w:rPr>
                <w:b/>
              </w:rPr>
            </w:pPr>
            <w:r w:rsidRPr="00D40952">
              <w:t>There were 14,048 police recorded child victims of physical assault by a family member in New South Wales, South Australia, the Northern Territory and the Australian Capital Territory.</w:t>
            </w:r>
          </w:p>
          <w:p w14:paraId="133D9BC9" w14:textId="77777777" w:rsidR="000D1D92" w:rsidRPr="00D40952" w:rsidRDefault="000D1D92" w:rsidP="000D1D92">
            <w:pPr>
              <w:pStyle w:val="ListParagraph"/>
              <w:numPr>
                <w:ilvl w:val="0"/>
                <w:numId w:val="89"/>
              </w:numPr>
              <w:jc w:val="both"/>
              <w:rPr>
                <w:b/>
              </w:rPr>
            </w:pPr>
            <w:r w:rsidRPr="00D40952">
              <w:t>There were 12,073 police recorded child victims of sexual assault by a family member in New South Wales, Victoria, Queensland, South Australia, Tasmania, the Northern Territory and the Australian Capital Territory.</w:t>
            </w:r>
          </w:p>
          <w:p w14:paraId="3D8E1A14" w14:textId="77777777" w:rsidR="000D1D92" w:rsidRDefault="000D1D92" w:rsidP="00684616">
            <w:pPr>
              <w:jc w:val="both"/>
              <w:rPr>
                <w:b/>
              </w:rPr>
            </w:pPr>
            <w:r w:rsidRPr="00D40952">
              <w:rPr>
                <w:b/>
              </w:rPr>
              <w:t>ABS 2012 Personal Safety Survey estimated data about the number of adults who first experienced physical abuse and sexual abuse when they were aged 0 to 14 years</w:t>
            </w:r>
            <w:r>
              <w:t>:</w:t>
            </w:r>
            <w:r w:rsidRPr="00D40952">
              <w:rPr>
                <w:rStyle w:val="EndnoteReference"/>
                <w:sz w:val="24"/>
              </w:rPr>
              <w:endnoteReference w:id="481"/>
            </w:r>
          </w:p>
          <w:p w14:paraId="0F8B439D" w14:textId="77777777" w:rsidR="000D1D92" w:rsidRPr="00D40952" w:rsidRDefault="000D1D92" w:rsidP="000D1D92">
            <w:pPr>
              <w:pStyle w:val="ListParagraph"/>
              <w:numPr>
                <w:ilvl w:val="0"/>
                <w:numId w:val="90"/>
              </w:numPr>
              <w:ind w:left="720"/>
              <w:jc w:val="both"/>
              <w:rPr>
                <w:b/>
              </w:rPr>
            </w:pPr>
            <w:r w:rsidRPr="00BE2EA0">
              <w:t>It was estimated there were 839,400 adult women and 596,400 adult men who first experienced physical abuse by a family member as a child aged between 0 to 14 years.</w:t>
            </w:r>
          </w:p>
          <w:p w14:paraId="6CADA969" w14:textId="77777777" w:rsidR="000D1D92" w:rsidRPr="00D40952" w:rsidRDefault="000D1D92" w:rsidP="000D1D92">
            <w:pPr>
              <w:pStyle w:val="ListParagraph"/>
              <w:numPr>
                <w:ilvl w:val="0"/>
                <w:numId w:val="90"/>
              </w:numPr>
              <w:ind w:left="720"/>
              <w:jc w:val="both"/>
              <w:rPr>
                <w:b/>
              </w:rPr>
            </w:pPr>
            <w:r w:rsidRPr="00BE2EA0">
              <w:t>It was estimated there were 515,200 adult women and 97,800 adult men who first experienced sexual abuse by a family member as a child aged between 0 to 14 years.</w:t>
            </w:r>
          </w:p>
          <w:p w14:paraId="5D491701" w14:textId="77777777" w:rsidR="000D1D92" w:rsidRDefault="000D1D92" w:rsidP="00684616">
            <w:pPr>
              <w:jc w:val="both"/>
              <w:rPr>
                <w:b/>
              </w:rPr>
            </w:pPr>
            <w:r w:rsidRPr="00D40952">
              <w:rPr>
                <w:b/>
              </w:rPr>
              <w:t>National Centre for Longitudinal Data research summaries</w:t>
            </w:r>
            <w:r>
              <w:t>:</w:t>
            </w:r>
            <w:r w:rsidRPr="00D40952">
              <w:rPr>
                <w:rStyle w:val="EndnoteReference"/>
                <w:sz w:val="24"/>
              </w:rPr>
              <w:endnoteReference w:id="482"/>
            </w:r>
          </w:p>
          <w:p w14:paraId="580476ED" w14:textId="77777777" w:rsidR="000D1D92" w:rsidRPr="00D40952" w:rsidRDefault="000D1D92" w:rsidP="000D1D92">
            <w:pPr>
              <w:pStyle w:val="ListParagraph"/>
              <w:numPr>
                <w:ilvl w:val="0"/>
                <w:numId w:val="91"/>
              </w:numPr>
              <w:ind w:left="720"/>
              <w:jc w:val="both"/>
              <w:rPr>
                <w:b/>
              </w:rPr>
            </w:pPr>
            <w:r>
              <w:t>Approximately 6% of mothers participating in the Longitudinal Study of Australian Children reported that they had been afraid of their current partners.</w:t>
            </w:r>
          </w:p>
          <w:p w14:paraId="3E533BB6" w14:textId="77777777" w:rsidR="000D1D92" w:rsidRPr="00D40952" w:rsidRDefault="000D1D92" w:rsidP="000D1D92">
            <w:pPr>
              <w:pStyle w:val="ListParagraph"/>
              <w:numPr>
                <w:ilvl w:val="0"/>
                <w:numId w:val="91"/>
              </w:numPr>
              <w:ind w:left="720"/>
              <w:jc w:val="both"/>
              <w:rPr>
                <w:b/>
              </w:rPr>
            </w:pPr>
            <w:r>
              <w:t>Remoteness was the single biggest predictor of partner violence in the Longitudinal Study of Indigenous Children.</w:t>
            </w:r>
          </w:p>
          <w:p w14:paraId="1A269840" w14:textId="77777777" w:rsidR="000D1D92" w:rsidRPr="00D40952" w:rsidRDefault="000D1D92" w:rsidP="00684616">
            <w:pPr>
              <w:jc w:val="both"/>
              <w:rPr>
                <w:b/>
              </w:rPr>
            </w:pPr>
            <w:r w:rsidRPr="00D40952">
              <w:rPr>
                <w:b/>
              </w:rPr>
              <w:t>Kids Helpline data about the number of contacts received from children aged 5 to 17 years between January 2012 and December 2014 where family or domestic violence was raised as the main concern or as a second significant concern</w:t>
            </w:r>
            <w:r>
              <w:t>:</w:t>
            </w:r>
            <w:r w:rsidRPr="00D40952">
              <w:rPr>
                <w:rStyle w:val="EndnoteReference"/>
                <w:b/>
                <w:sz w:val="24"/>
              </w:rPr>
              <w:endnoteReference w:id="483"/>
            </w:r>
          </w:p>
          <w:p w14:paraId="55AB8EA3" w14:textId="77777777" w:rsidR="000D1D92" w:rsidRPr="00C00823" w:rsidRDefault="000D1D92" w:rsidP="000D1D92">
            <w:pPr>
              <w:pStyle w:val="ListParagraph"/>
              <w:numPr>
                <w:ilvl w:val="0"/>
                <w:numId w:val="92"/>
              </w:numPr>
              <w:ind w:left="720"/>
              <w:jc w:val="both"/>
              <w:rPr>
                <w:b/>
              </w:rPr>
            </w:pPr>
            <w:r>
              <w:t>Of the 999 contacts where the main or secondary concern raised was family or domestic violence, 34% were from children aged 10 to 13 years.</w:t>
            </w:r>
          </w:p>
          <w:p w14:paraId="318BF6AE" w14:textId="77777777" w:rsidR="000D1D92" w:rsidRDefault="000D1D92" w:rsidP="000D1D92">
            <w:pPr>
              <w:pStyle w:val="ListParagraph"/>
              <w:numPr>
                <w:ilvl w:val="0"/>
                <w:numId w:val="92"/>
              </w:numPr>
              <w:ind w:left="720"/>
              <w:jc w:val="both"/>
            </w:pPr>
            <w:r>
              <w:t>The largest proportion of the 999 contacts (40%) were in relation to exposure to violence between parents, or between a parent and a partner or ex-partner.</w:t>
            </w:r>
          </w:p>
        </w:tc>
      </w:tr>
    </w:tbl>
    <w:p w14:paraId="5518A238" w14:textId="15BB067C" w:rsidR="000D1D92" w:rsidRPr="00E34AFD" w:rsidRDefault="000D1D92" w:rsidP="001715AD">
      <w:r>
        <w:br w:type="column"/>
      </w:r>
      <w:r w:rsidRPr="00E34AFD">
        <w:rPr>
          <w:rFonts w:cs="Arial"/>
          <w:sz w:val="22"/>
          <w:szCs w:val="22"/>
        </w:rPr>
        <w:lastRenderedPageBreak/>
        <w:t xml:space="preserve">My </w:t>
      </w:r>
      <w:r w:rsidRPr="00E34AFD">
        <w:t xml:space="preserve">examination of the impact of family and domestic violence on children and young people aged between 0-17 years has been welcomed by a cross-section of government and non-government bodies as well as by academics and individuals. </w:t>
      </w:r>
    </w:p>
    <w:p w14:paraId="2D142153" w14:textId="77777777" w:rsidR="000D1D92" w:rsidRPr="004224DD" w:rsidRDefault="000D1D92" w:rsidP="000D1D92">
      <w:pPr>
        <w:jc w:val="both"/>
        <w:rPr>
          <w:b/>
          <w:sz w:val="22"/>
          <w:szCs w:val="22"/>
        </w:rPr>
      </w:pPr>
      <w:r w:rsidRPr="004224DD">
        <w:rPr>
          <w:b/>
          <w:sz w:val="22"/>
          <w:szCs w:val="22"/>
        </w:rPr>
        <w:t xml:space="preserve">Save the Children Australia </w:t>
      </w:r>
      <w:r w:rsidRPr="004224DD">
        <w:rPr>
          <w:sz w:val="22"/>
          <w:szCs w:val="22"/>
        </w:rPr>
        <w:t>thanks the National Children’s Commissioner for facilitating the DFV roundtable last week. It was wonderful to be part of an energetic discussion focused on the impact of DFV on children.</w:t>
      </w:r>
    </w:p>
    <w:p w14:paraId="784F44F7" w14:textId="77777777" w:rsidR="000D1D92" w:rsidRPr="004224DD" w:rsidRDefault="000D1D92" w:rsidP="000D1D92">
      <w:pPr>
        <w:autoSpaceDE w:val="0"/>
        <w:autoSpaceDN w:val="0"/>
        <w:adjustRightInd w:val="0"/>
        <w:spacing w:before="0" w:after="0"/>
        <w:suppressOverlap/>
        <w:jc w:val="both"/>
        <w:rPr>
          <w:rFonts w:cs="Arial"/>
          <w:b/>
          <w:sz w:val="22"/>
          <w:szCs w:val="22"/>
        </w:rPr>
      </w:pPr>
      <w:r w:rsidRPr="004224DD">
        <w:rPr>
          <w:rFonts w:cs="Arial"/>
          <w:b/>
          <w:sz w:val="22"/>
          <w:szCs w:val="22"/>
        </w:rPr>
        <w:t xml:space="preserve">Children with Disability Australia </w:t>
      </w:r>
      <w:r w:rsidRPr="004224DD">
        <w:rPr>
          <w:rFonts w:cs="Arial"/>
          <w:sz w:val="22"/>
          <w:szCs w:val="22"/>
        </w:rPr>
        <w:t xml:space="preserve">applauds the National Children’s Commissioner for her commitment to further investigation in this area. </w:t>
      </w:r>
    </w:p>
    <w:p w14:paraId="1415B371" w14:textId="77777777" w:rsidR="000D1D92" w:rsidRPr="004224DD" w:rsidRDefault="000D1D92" w:rsidP="000D1D92">
      <w:pPr>
        <w:jc w:val="both"/>
        <w:rPr>
          <w:sz w:val="22"/>
          <w:szCs w:val="22"/>
        </w:rPr>
      </w:pPr>
      <w:r w:rsidRPr="004224DD">
        <w:rPr>
          <w:b/>
          <w:sz w:val="22"/>
          <w:szCs w:val="22"/>
        </w:rPr>
        <w:t>The Western Australian Aboriginal Family Law Services</w:t>
      </w:r>
      <w:r w:rsidRPr="004224DD">
        <w:rPr>
          <w:sz w:val="22"/>
          <w:szCs w:val="22"/>
        </w:rPr>
        <w:t xml:space="preserve"> welcomes the opportunity to have input into the Australian Human Rights Commission on the Examination of Children Affected by Family and Domestic Violence.</w:t>
      </w:r>
    </w:p>
    <w:p w14:paraId="1F91A555" w14:textId="77777777" w:rsidR="000D1D92" w:rsidRPr="004224DD" w:rsidRDefault="000D1D92" w:rsidP="000D1D92">
      <w:pPr>
        <w:jc w:val="both"/>
        <w:rPr>
          <w:sz w:val="22"/>
          <w:szCs w:val="22"/>
          <w:lang w:val="en-US"/>
        </w:rPr>
      </w:pPr>
      <w:r w:rsidRPr="004224DD">
        <w:rPr>
          <w:b/>
          <w:sz w:val="22"/>
          <w:szCs w:val="22"/>
          <w:lang w:val="en-US"/>
        </w:rPr>
        <w:t xml:space="preserve">Australian Psychological Society </w:t>
      </w:r>
      <w:r w:rsidRPr="004224DD">
        <w:rPr>
          <w:sz w:val="22"/>
          <w:szCs w:val="22"/>
          <w:lang w:val="en-US"/>
        </w:rPr>
        <w:t>(APS) welcomes the opportunity to make a submission…The APS recognizes every child’s right to safety and wellbeing, and to live free from all forms of violence, and affirms that greater protection of children who are exposed to and witness family and domestic violence is required.</w:t>
      </w:r>
    </w:p>
    <w:p w14:paraId="318078F5" w14:textId="77777777" w:rsidR="000D1D92" w:rsidRPr="004224DD" w:rsidRDefault="000D1D92" w:rsidP="000D1D92">
      <w:pPr>
        <w:jc w:val="both"/>
        <w:rPr>
          <w:b/>
          <w:sz w:val="22"/>
          <w:szCs w:val="22"/>
        </w:rPr>
      </w:pPr>
      <w:r w:rsidRPr="004224DD">
        <w:rPr>
          <w:b/>
          <w:sz w:val="22"/>
          <w:szCs w:val="22"/>
        </w:rPr>
        <w:t xml:space="preserve">The Royal Australian &amp; New Zealand College of Psychiatrists </w:t>
      </w:r>
      <w:r w:rsidRPr="004224DD">
        <w:rPr>
          <w:sz w:val="22"/>
          <w:szCs w:val="22"/>
        </w:rPr>
        <w:t xml:space="preserve">(RANZCP) welcomes the opportunity to provide feedback into the Australian Human Rights Commission’s examination of children affected by domestic and family violence. As the national conversation on family violence grows it is essential that the voices of children are heard and their support needs met….The RANZCP commends the </w:t>
      </w:r>
      <w:r w:rsidRPr="004224DD">
        <w:rPr>
          <w:sz w:val="22"/>
          <w:szCs w:val="22"/>
          <w:lang w:val="en-US"/>
        </w:rPr>
        <w:t>Australian Human Rights Commission for ensuring that the experiences and needs of children &amp; young people are included in the growing national  conversation on family violence.</w:t>
      </w:r>
    </w:p>
    <w:p w14:paraId="28AD28FF" w14:textId="77777777" w:rsidR="000D1D92" w:rsidRPr="004224DD" w:rsidRDefault="000D1D92" w:rsidP="000D1D92">
      <w:pPr>
        <w:autoSpaceDE w:val="0"/>
        <w:autoSpaceDN w:val="0"/>
        <w:adjustRightInd w:val="0"/>
        <w:spacing w:before="0" w:after="0"/>
        <w:jc w:val="both"/>
        <w:rPr>
          <w:rFonts w:cs="Arial"/>
          <w:sz w:val="22"/>
          <w:szCs w:val="22"/>
          <w:lang w:val="en-US"/>
        </w:rPr>
      </w:pPr>
      <w:r w:rsidRPr="004224DD">
        <w:rPr>
          <w:rFonts w:cs="Arial"/>
          <w:b/>
          <w:sz w:val="22"/>
          <w:szCs w:val="22"/>
        </w:rPr>
        <w:t xml:space="preserve">North Australian Aboriginal Family Legal Service </w:t>
      </w:r>
      <w:r w:rsidRPr="004224DD">
        <w:rPr>
          <w:rFonts w:cs="Arial"/>
          <w:sz w:val="22"/>
          <w:szCs w:val="22"/>
        </w:rPr>
        <w:t>(NAAFLS)</w:t>
      </w:r>
      <w:r w:rsidRPr="004224DD">
        <w:rPr>
          <w:rFonts w:cs="Arial"/>
          <w:b/>
          <w:sz w:val="22"/>
          <w:szCs w:val="22"/>
        </w:rPr>
        <w:t xml:space="preserve"> </w:t>
      </w:r>
      <w:r w:rsidRPr="004224DD">
        <w:rPr>
          <w:rFonts w:cs="Arial"/>
          <w:sz w:val="22"/>
          <w:szCs w:val="22"/>
        </w:rPr>
        <w:t>welcomes this invitation to make a submission to the Australian Human Rights Commission to assist in its examination of how children are affected by family and domestic violence. NAAFLS recognises that family and domestic violence, is a significant issue-affecting children, particularly in Indigenous communities.</w:t>
      </w:r>
    </w:p>
    <w:p w14:paraId="160A77E3" w14:textId="77777777" w:rsidR="000D1D92" w:rsidRPr="004224DD" w:rsidRDefault="000D1D92" w:rsidP="000D1D92">
      <w:pPr>
        <w:jc w:val="both"/>
        <w:rPr>
          <w:sz w:val="22"/>
          <w:szCs w:val="22"/>
        </w:rPr>
      </w:pPr>
      <w:r w:rsidRPr="004224DD">
        <w:rPr>
          <w:b/>
          <w:sz w:val="22"/>
          <w:szCs w:val="22"/>
        </w:rPr>
        <w:t>National Aboriginal &amp; Torres Strait Islander Women’s Alliance</w:t>
      </w:r>
      <w:r w:rsidRPr="004224DD">
        <w:rPr>
          <w:sz w:val="22"/>
          <w:szCs w:val="22"/>
        </w:rPr>
        <w:t xml:space="preserve"> thanks the National Children’s Commissioner for the opportunity to provide our submission…we owe it to these children to find a better way of dealing domestic and family violence.</w:t>
      </w:r>
    </w:p>
    <w:p w14:paraId="2AA5EA40" w14:textId="77777777" w:rsidR="000D1D92" w:rsidRDefault="000D1D92" w:rsidP="000D1D92">
      <w:pPr>
        <w:jc w:val="both"/>
        <w:rPr>
          <w:rFonts w:cs="Arial"/>
          <w:sz w:val="22"/>
          <w:szCs w:val="22"/>
        </w:rPr>
      </w:pPr>
      <w:r w:rsidRPr="004224DD">
        <w:rPr>
          <w:b/>
          <w:sz w:val="22"/>
          <w:szCs w:val="22"/>
        </w:rPr>
        <w:t>The NSW Government</w:t>
      </w:r>
      <w:r w:rsidRPr="004224DD">
        <w:rPr>
          <w:sz w:val="22"/>
          <w:szCs w:val="22"/>
        </w:rPr>
        <w:t xml:space="preserve"> </w:t>
      </w:r>
      <w:r w:rsidRPr="004224DD">
        <w:rPr>
          <w:rFonts w:cs="Arial"/>
          <w:sz w:val="22"/>
          <w:szCs w:val="22"/>
        </w:rPr>
        <w:t>welcomes the opportunity to contribute to the Australian Human Rights Commission’s examination into children affected by domestic and family violence… The examination by the Australian Human Rights Commission is an opportunity to harness the momentum of recent media and policy attention on domestic and family violence to ensure that the safety of children remains a key focus of our responses. The NSW Government thanks the Australian Human Rights Commission for engaging in this important piece of work.</w:t>
      </w:r>
    </w:p>
    <w:p w14:paraId="3A18683A" w14:textId="77777777" w:rsidR="000D1D92" w:rsidRDefault="000D1D92" w:rsidP="000D1D92">
      <w:pPr>
        <w:jc w:val="both"/>
        <w:rPr>
          <w:rFonts w:cs="Arial"/>
          <w:sz w:val="22"/>
          <w:szCs w:val="22"/>
        </w:rPr>
      </w:pPr>
    </w:p>
    <w:p w14:paraId="55633DC7" w14:textId="77777777" w:rsidR="000D1D92" w:rsidRDefault="000D1D92" w:rsidP="000D1D92">
      <w:pPr>
        <w:jc w:val="both"/>
        <w:rPr>
          <w:rFonts w:cs="Arial"/>
          <w:sz w:val="22"/>
          <w:szCs w:val="22"/>
        </w:rPr>
      </w:pPr>
    </w:p>
    <w:p w14:paraId="5B45EAC9" w14:textId="77777777" w:rsidR="000D1D92" w:rsidRDefault="000D1D92" w:rsidP="000D1D92">
      <w:pPr>
        <w:jc w:val="both"/>
        <w:rPr>
          <w:rFonts w:cs="Arial"/>
          <w:sz w:val="22"/>
          <w:szCs w:val="22"/>
        </w:rPr>
      </w:pPr>
    </w:p>
    <w:p w14:paraId="244D05A6" w14:textId="77777777" w:rsidR="000D1D92" w:rsidRPr="00B44877" w:rsidRDefault="000D1D92" w:rsidP="000D1D92">
      <w:pPr>
        <w:pStyle w:val="Heading2"/>
        <w:jc w:val="both"/>
      </w:pPr>
      <w:bookmarkStart w:id="178" w:name="_Toc432061270"/>
      <w:bookmarkStart w:id="179" w:name="_Toc432577326"/>
      <w:r>
        <w:lastRenderedPageBreak/>
        <w:t>What did we find out about children’s experiences of family and domestic violence?</w:t>
      </w:r>
      <w:bookmarkEnd w:id="178"/>
      <w:bookmarkEnd w:id="179"/>
    </w:p>
    <w:p w14:paraId="39DE88F9" w14:textId="77777777" w:rsidR="000D1D92" w:rsidRDefault="000D1D92" w:rsidP="000D1D92">
      <w:pPr>
        <w:pStyle w:val="Heading3"/>
        <w:jc w:val="both"/>
      </w:pPr>
      <w:bookmarkStart w:id="180" w:name="_Toc432061271"/>
      <w:r w:rsidRPr="000E5008">
        <w:t>Definitional challenges in relation to children affected by family and domestic violence and how this impacts on the data that is collected about them</w:t>
      </w:r>
      <w:bookmarkEnd w:id="180"/>
    </w:p>
    <w:p w14:paraId="29397FDE" w14:textId="77777777" w:rsidR="000D1D92" w:rsidRDefault="000D1D92" w:rsidP="000D1D92">
      <w:pPr>
        <w:spacing w:before="0" w:after="0"/>
        <w:jc w:val="both"/>
        <w:rPr>
          <w:rFonts w:cs="Arial"/>
        </w:rPr>
      </w:pPr>
      <w:r>
        <w:rPr>
          <w:rFonts w:cs="Arial"/>
        </w:rPr>
        <w:t xml:space="preserve">Family and domestic violence is acknowledged as a national issue in Australia. However across the jurisdictions, there are no consistent definitions, legal frameworks or common methods used to identify it. Combined with this, different terms are used to describe the wide range of behaviours associated with it. </w:t>
      </w:r>
    </w:p>
    <w:p w14:paraId="1DEB1F19" w14:textId="77777777" w:rsidR="000D1D92" w:rsidRDefault="000D1D92" w:rsidP="000D1D92">
      <w:pPr>
        <w:spacing w:before="0" w:after="0"/>
        <w:jc w:val="both"/>
        <w:rPr>
          <w:rFonts w:cs="Arial"/>
        </w:rPr>
      </w:pPr>
    </w:p>
    <w:p w14:paraId="6014C571" w14:textId="77777777" w:rsidR="000D1D92" w:rsidRPr="00E1582E" w:rsidRDefault="000D1D92" w:rsidP="000D1D92">
      <w:pPr>
        <w:spacing w:before="0" w:after="0"/>
        <w:jc w:val="both"/>
        <w:rPr>
          <w:lang w:val="en"/>
        </w:rPr>
      </w:pPr>
      <w:r>
        <w:rPr>
          <w:lang w:val="en"/>
        </w:rPr>
        <w:t>State and Territory governments are responsible for law enforcement in relation to the policing and prosecuting of family and domestic violence.</w:t>
      </w:r>
      <w:r>
        <w:rPr>
          <w:rStyle w:val="EndnoteReference"/>
          <w:lang w:val="en"/>
        </w:rPr>
        <w:endnoteReference w:id="484"/>
      </w:r>
      <w:r>
        <w:rPr>
          <w:lang w:val="en"/>
        </w:rPr>
        <w:t xml:space="preserve"> Each respond within their own legislative and policy contexts, which vary in nature. </w:t>
      </w:r>
      <w:r w:rsidRPr="00A42346">
        <w:rPr>
          <w:lang w:val="en"/>
        </w:rPr>
        <w:t>Family law legislation requires the assessment of safety issues for women and their children in determining family law matters.</w:t>
      </w:r>
    </w:p>
    <w:p w14:paraId="17E76535" w14:textId="77777777" w:rsidR="000D1D92" w:rsidRDefault="000D1D92" w:rsidP="000D1D92">
      <w:pPr>
        <w:spacing w:before="0" w:after="0"/>
        <w:jc w:val="both"/>
        <w:rPr>
          <w:rFonts w:cs="Arial"/>
        </w:rPr>
      </w:pPr>
    </w:p>
    <w:p w14:paraId="23225DF9" w14:textId="77777777" w:rsidR="000D1D92" w:rsidRDefault="000D1D92" w:rsidP="000D1D92">
      <w:pPr>
        <w:spacing w:before="0" w:after="0"/>
        <w:jc w:val="both"/>
      </w:pPr>
      <w:r>
        <w:rPr>
          <w:rFonts w:cs="Arial"/>
        </w:rPr>
        <w:t xml:space="preserve">The </w:t>
      </w:r>
      <w:r w:rsidRPr="008D7D05">
        <w:rPr>
          <w:rFonts w:cs="Arial"/>
        </w:rPr>
        <w:t>2015</w:t>
      </w:r>
      <w:r>
        <w:rPr>
          <w:rFonts w:cs="Arial"/>
        </w:rPr>
        <w:t xml:space="preserve"> report by the </w:t>
      </w:r>
      <w:r>
        <w:t>Queensland Government</w:t>
      </w:r>
      <w:r w:rsidRPr="00BD3D8B">
        <w:rPr>
          <w:i/>
        </w:rPr>
        <w:t>, Not Now, Not Ever – Putting an End to Domestic and Family Violence in Queensland</w:t>
      </w:r>
      <w:r>
        <w:t>, pointed out that:</w:t>
      </w:r>
    </w:p>
    <w:p w14:paraId="787BEA60" w14:textId="77777777" w:rsidR="000D1D92" w:rsidRDefault="000D1D92" w:rsidP="000D1D92">
      <w:pPr>
        <w:spacing w:before="0" w:after="0"/>
        <w:jc w:val="both"/>
      </w:pPr>
    </w:p>
    <w:p w14:paraId="44DB6BAC" w14:textId="77777777" w:rsidR="000D1D92" w:rsidRDefault="000D1D92" w:rsidP="000D1D92">
      <w:pPr>
        <w:spacing w:before="0" w:after="0"/>
        <w:ind w:left="720"/>
        <w:jc w:val="both"/>
        <w:rPr>
          <w:rFonts w:cs="Arial"/>
        </w:rPr>
      </w:pPr>
      <w:r w:rsidRPr="000F0C87">
        <w:rPr>
          <w:rFonts w:cs="Arial"/>
          <w:sz w:val="22"/>
          <w:szCs w:val="22"/>
        </w:rPr>
        <w:t>Many different terms are used to define domestic and family violence. It has become a conceptual problem, which is exemplified by the</w:t>
      </w:r>
      <w:r>
        <w:rPr>
          <w:rFonts w:cs="Arial"/>
          <w:sz w:val="22"/>
          <w:szCs w:val="22"/>
        </w:rPr>
        <w:t xml:space="preserve"> different definitions in each j</w:t>
      </w:r>
      <w:r w:rsidRPr="000F0C87">
        <w:rPr>
          <w:rFonts w:cs="Arial"/>
          <w:sz w:val="22"/>
          <w:szCs w:val="22"/>
        </w:rPr>
        <w:t>urisdiction in Australia. Defining domestic and family violence has significant implications for how the criminal justice system, as well as the human services sector, and the broader community, recognise, understand, and respond to this issue</w:t>
      </w:r>
      <w:r w:rsidRPr="00EA66C1">
        <w:rPr>
          <w:rFonts w:cs="Arial"/>
        </w:rPr>
        <w:t>.</w:t>
      </w:r>
      <w:r w:rsidRPr="004A4792">
        <w:rPr>
          <w:rStyle w:val="EndnoteReference"/>
          <w:rFonts w:cs="Arial"/>
          <w:szCs w:val="20"/>
        </w:rPr>
        <w:endnoteReference w:id="485"/>
      </w:r>
      <w:r w:rsidRPr="004A4792">
        <w:rPr>
          <w:rFonts w:cs="Arial"/>
          <w:sz w:val="20"/>
          <w:szCs w:val="20"/>
        </w:rPr>
        <w:t xml:space="preserve"> </w:t>
      </w:r>
    </w:p>
    <w:p w14:paraId="30BE76A2" w14:textId="77777777" w:rsidR="000D1D92" w:rsidRDefault="000D1D92" w:rsidP="000D1D92">
      <w:pPr>
        <w:spacing w:before="0" w:after="0"/>
        <w:ind w:left="720"/>
        <w:jc w:val="both"/>
        <w:rPr>
          <w:rFonts w:cs="Arial"/>
        </w:rPr>
      </w:pPr>
    </w:p>
    <w:p w14:paraId="15D9F3D4" w14:textId="77777777" w:rsidR="000D1D92" w:rsidRDefault="000D1D92" w:rsidP="000D1D92">
      <w:pPr>
        <w:spacing w:before="0" w:after="0"/>
        <w:jc w:val="both"/>
        <w:rPr>
          <w:rFonts w:cs="Arial"/>
        </w:rPr>
      </w:pPr>
      <w:r>
        <w:rPr>
          <w:rFonts w:cs="Arial"/>
        </w:rPr>
        <w:t>The ABS further points out that:</w:t>
      </w:r>
    </w:p>
    <w:p w14:paraId="656BD0B9" w14:textId="77777777" w:rsidR="000D1D92" w:rsidRDefault="000D1D92" w:rsidP="000D1D92">
      <w:pPr>
        <w:spacing w:before="0" w:after="0"/>
        <w:jc w:val="both"/>
        <w:rPr>
          <w:rFonts w:cs="Arial"/>
        </w:rPr>
      </w:pPr>
    </w:p>
    <w:p w14:paraId="743338B3" w14:textId="77777777" w:rsidR="000D1D92" w:rsidRDefault="000D1D92" w:rsidP="000D1D92">
      <w:pPr>
        <w:spacing w:before="0" w:after="0"/>
        <w:ind w:left="720"/>
        <w:jc w:val="both"/>
        <w:rPr>
          <w:rFonts w:cs="Arial"/>
        </w:rPr>
      </w:pPr>
      <w:r w:rsidRPr="000F0C87">
        <w:rPr>
          <w:rFonts w:cs="Arial"/>
          <w:sz w:val="22"/>
          <w:szCs w:val="22"/>
        </w:rPr>
        <w:t>The multi-dimensional nature of family, domestic and sexual violence, and the development of legal and service responses to the problem over time, have led to a variety of definitions and a lack of comprehensive quality data to support effective evidence-based policy, services and responses for victims and perpetrators</w:t>
      </w:r>
      <w:r>
        <w:rPr>
          <w:rFonts w:cs="Arial"/>
        </w:rPr>
        <w:t>.</w:t>
      </w:r>
      <w:r w:rsidRPr="004A4792">
        <w:rPr>
          <w:rStyle w:val="EndnoteReference"/>
          <w:rFonts w:cs="Arial"/>
          <w:szCs w:val="20"/>
        </w:rPr>
        <w:endnoteReference w:id="486"/>
      </w:r>
    </w:p>
    <w:p w14:paraId="6C130FA7" w14:textId="77777777" w:rsidR="000D1D92" w:rsidRDefault="000D1D92" w:rsidP="000D1D92">
      <w:pPr>
        <w:jc w:val="both"/>
        <w:rPr>
          <w:rFonts w:cs="Arial"/>
        </w:rPr>
      </w:pPr>
      <w:r>
        <w:rPr>
          <w:rFonts w:cs="Arial"/>
        </w:rPr>
        <w:t xml:space="preserve">Participants at my roundtables and those who made written submissions used varying terms, including domestic violence, family violence, family and domestic violence and intimate partner violence. They also used different definitions. </w:t>
      </w:r>
    </w:p>
    <w:p w14:paraId="324C77C6" w14:textId="77777777" w:rsidR="000D1D92" w:rsidRPr="00F7766C" w:rsidRDefault="000D1D92" w:rsidP="000D1D92">
      <w:pPr>
        <w:jc w:val="both"/>
        <w:rPr>
          <w:rFonts w:cs="Arial"/>
          <w:b/>
        </w:rPr>
      </w:pPr>
      <w:r w:rsidRPr="00F7766C">
        <w:rPr>
          <w:rFonts w:cs="Arial"/>
          <w:b/>
        </w:rPr>
        <w:t xml:space="preserve">The use of varied terms, different definitions and the </w:t>
      </w:r>
      <w:r w:rsidRPr="00F7766C">
        <w:rPr>
          <w:b/>
        </w:rPr>
        <w:t>disparate</w:t>
      </w:r>
      <w:r w:rsidRPr="00F7766C">
        <w:rPr>
          <w:rFonts w:cs="Arial"/>
          <w:b/>
        </w:rPr>
        <w:t xml:space="preserve"> means of identifying family and domestic violence was raised as problematic in terms of establishing prevalence at the national level and challenging for those working in the field. </w:t>
      </w:r>
    </w:p>
    <w:p w14:paraId="3A9BB561" w14:textId="77777777" w:rsidR="000D1D92" w:rsidRDefault="000D1D92" w:rsidP="000D1D92">
      <w:pPr>
        <w:spacing w:before="0" w:after="0"/>
        <w:jc w:val="both"/>
        <w:rPr>
          <w:rFonts w:cs="Arial"/>
        </w:rPr>
      </w:pPr>
      <w:r>
        <w:rPr>
          <w:rFonts w:cs="Arial"/>
        </w:rPr>
        <w:t xml:space="preserve">The </w:t>
      </w:r>
      <w:r w:rsidRPr="00EA66C1">
        <w:rPr>
          <w:rFonts w:cs="Arial"/>
        </w:rPr>
        <w:t xml:space="preserve">submission </w:t>
      </w:r>
      <w:r>
        <w:rPr>
          <w:rFonts w:cs="Arial"/>
        </w:rPr>
        <w:t xml:space="preserve">made </w:t>
      </w:r>
      <w:r w:rsidRPr="00EA66C1">
        <w:rPr>
          <w:rFonts w:cs="Arial"/>
        </w:rPr>
        <w:t xml:space="preserve">by </w:t>
      </w:r>
      <w:r>
        <w:rPr>
          <w:rFonts w:cs="Arial"/>
        </w:rPr>
        <w:t xml:space="preserve">the </w:t>
      </w:r>
      <w:r w:rsidRPr="00EA66C1">
        <w:rPr>
          <w:rFonts w:cs="Arial"/>
        </w:rPr>
        <w:t>National Aboriginal an</w:t>
      </w:r>
      <w:r>
        <w:rPr>
          <w:rFonts w:cs="Arial"/>
        </w:rPr>
        <w:t>d Torres Strait Islander Legal Services (NATSILS) suggests that:</w:t>
      </w:r>
    </w:p>
    <w:p w14:paraId="028A2AE6" w14:textId="77777777" w:rsidR="000D1D92" w:rsidRDefault="000D1D92" w:rsidP="000D1D92">
      <w:pPr>
        <w:spacing w:before="0" w:after="0"/>
        <w:jc w:val="both"/>
        <w:rPr>
          <w:rFonts w:cs="Arial"/>
        </w:rPr>
      </w:pPr>
    </w:p>
    <w:p w14:paraId="099C792C" w14:textId="77777777" w:rsidR="000D1D92" w:rsidRDefault="000D1D92" w:rsidP="000D1D92">
      <w:pPr>
        <w:spacing w:before="0" w:after="0"/>
        <w:ind w:left="720"/>
        <w:jc w:val="both"/>
        <w:rPr>
          <w:rFonts w:cs="Arial"/>
        </w:rPr>
      </w:pPr>
      <w:r w:rsidRPr="000F0C87">
        <w:rPr>
          <w:rFonts w:cs="Arial"/>
          <w:sz w:val="22"/>
          <w:szCs w:val="22"/>
        </w:rPr>
        <w:t>In order to get a more accurate picture of the prevalence of family and domestic violence and its impact on children better data is required, which will need to be predicated on common understandings or definitions of family and domestic violence and related terms</w:t>
      </w:r>
      <w:r w:rsidRPr="000F0C87">
        <w:rPr>
          <w:rStyle w:val="EndnoteReference"/>
          <w:rFonts w:cs="Arial"/>
          <w:sz w:val="22"/>
          <w:szCs w:val="22"/>
        </w:rPr>
        <w:endnoteReference w:id="487"/>
      </w:r>
      <w:r w:rsidRPr="000F0C87">
        <w:rPr>
          <w:rFonts w:cs="Arial"/>
          <w:sz w:val="22"/>
          <w:szCs w:val="22"/>
        </w:rPr>
        <w:t xml:space="preserve">…Standardised national definitions for family and domestic </w:t>
      </w:r>
      <w:r w:rsidRPr="000F0C87">
        <w:rPr>
          <w:rFonts w:cs="Arial"/>
          <w:sz w:val="22"/>
          <w:szCs w:val="22"/>
        </w:rPr>
        <w:lastRenderedPageBreak/>
        <w:t>violence, and national standard definitions for the relevant variables, are needed for reporting on these issues</w:t>
      </w:r>
      <w:r>
        <w:rPr>
          <w:rFonts w:cs="Arial"/>
        </w:rPr>
        <w:t>.</w:t>
      </w:r>
      <w:r>
        <w:rPr>
          <w:rStyle w:val="EndnoteReference"/>
          <w:rFonts w:cs="Arial"/>
        </w:rPr>
        <w:endnoteReference w:id="488"/>
      </w:r>
    </w:p>
    <w:p w14:paraId="52E148A1" w14:textId="77777777" w:rsidR="000D1D92" w:rsidRDefault="000D1D92" w:rsidP="000D1D92">
      <w:pPr>
        <w:jc w:val="both"/>
        <w:rPr>
          <w:rFonts w:cs="Arial"/>
        </w:rPr>
      </w:pPr>
      <w:r>
        <w:rPr>
          <w:rFonts w:cs="Arial"/>
        </w:rPr>
        <w:t>The submission by Relationships Australia (NSW) advises that:</w:t>
      </w:r>
    </w:p>
    <w:p w14:paraId="27AC2970" w14:textId="77777777" w:rsidR="000D1D92" w:rsidRDefault="000D1D92" w:rsidP="000D1D92">
      <w:pPr>
        <w:ind w:left="720"/>
        <w:jc w:val="both"/>
        <w:rPr>
          <w:rFonts w:cs="Arial"/>
        </w:rPr>
      </w:pPr>
      <w:r w:rsidRPr="000F0C87">
        <w:rPr>
          <w:rFonts w:cs="Arial"/>
          <w:sz w:val="22"/>
          <w:szCs w:val="22"/>
        </w:rPr>
        <w:t>Definitional differences, or inconsistencies, tend to negatively affect the collaborative practice of professionals working across agencies and services. They also impact the client’s access to targeted programs</w:t>
      </w:r>
      <w:r w:rsidRPr="00B07A37">
        <w:rPr>
          <w:rFonts w:cs="Arial"/>
        </w:rPr>
        <w:t>.</w:t>
      </w:r>
      <w:r>
        <w:rPr>
          <w:rStyle w:val="EndnoteReference"/>
          <w:rFonts w:cs="Arial"/>
        </w:rPr>
        <w:endnoteReference w:id="489"/>
      </w:r>
      <w:r w:rsidRPr="00B07A37">
        <w:rPr>
          <w:rFonts w:cs="Arial"/>
        </w:rPr>
        <w:t xml:space="preserve"> </w:t>
      </w:r>
    </w:p>
    <w:p w14:paraId="12BE79E5" w14:textId="77777777" w:rsidR="000D1D92" w:rsidRDefault="000D1D92" w:rsidP="000D1D92">
      <w:pPr>
        <w:spacing w:before="0" w:after="0"/>
        <w:jc w:val="both"/>
      </w:pPr>
      <w:r w:rsidRPr="00930D66">
        <w:rPr>
          <w:b/>
        </w:rPr>
        <w:t>The lack of national demographic data about</w:t>
      </w:r>
      <w:r>
        <w:rPr>
          <w:b/>
        </w:rPr>
        <w:t xml:space="preserve"> certain groups of</w:t>
      </w:r>
      <w:r w:rsidRPr="00930D66">
        <w:rPr>
          <w:b/>
        </w:rPr>
        <w:t xml:space="preserve"> children affected by family and domestic violence was consistently raised</w:t>
      </w:r>
      <w:r>
        <w:t xml:space="preserve"> in written submissions and by roundtable participants.</w:t>
      </w:r>
    </w:p>
    <w:p w14:paraId="3056EF41" w14:textId="77777777" w:rsidR="000D1D92" w:rsidRDefault="000D1D92" w:rsidP="000D1D92">
      <w:pPr>
        <w:spacing w:before="0" w:after="0"/>
      </w:pPr>
    </w:p>
    <w:p w14:paraId="122558C6" w14:textId="77777777" w:rsidR="000D1D92" w:rsidRDefault="000D1D92" w:rsidP="000D1D92">
      <w:pPr>
        <w:spacing w:before="0" w:after="0"/>
        <w:jc w:val="both"/>
      </w:pPr>
      <w:r>
        <w:t>In its submission, Children with Disability Australia pointed out that:</w:t>
      </w:r>
    </w:p>
    <w:p w14:paraId="3DCB5455" w14:textId="77777777" w:rsidR="000D1D92" w:rsidRDefault="000D1D92" w:rsidP="000D1D92">
      <w:pPr>
        <w:spacing w:before="0" w:after="0"/>
        <w:ind w:left="720"/>
        <w:jc w:val="both"/>
      </w:pPr>
    </w:p>
    <w:p w14:paraId="3C6F27C2" w14:textId="77777777" w:rsidR="000D1D92" w:rsidRPr="005F0649" w:rsidRDefault="000D1D92" w:rsidP="000D1D92">
      <w:pPr>
        <w:spacing w:before="0" w:after="0"/>
        <w:ind w:left="720"/>
        <w:jc w:val="both"/>
        <w:rPr>
          <w:sz w:val="22"/>
          <w:szCs w:val="22"/>
        </w:rPr>
      </w:pPr>
      <w:r>
        <w:rPr>
          <w:sz w:val="22"/>
          <w:szCs w:val="22"/>
        </w:rPr>
        <w:t>There is a great p</w:t>
      </w:r>
      <w:r w:rsidRPr="005F0649">
        <w:rPr>
          <w:sz w:val="22"/>
          <w:szCs w:val="22"/>
        </w:rPr>
        <w:t>aucity in local data as to the prevalence and impact of family and domestic violence upon children with disability in Australia. International research indicates that children with disability are 3.4 times more likely to experience maltreatment than children without disability, however this data is not specific as to the location of the abuse (i</w:t>
      </w:r>
      <w:r>
        <w:rPr>
          <w:sz w:val="22"/>
          <w:szCs w:val="22"/>
        </w:rPr>
        <w:t>.</w:t>
      </w:r>
      <w:r w:rsidRPr="005F0649">
        <w:rPr>
          <w:sz w:val="22"/>
          <w:szCs w:val="22"/>
        </w:rPr>
        <w:t>e</w:t>
      </w:r>
      <w:r>
        <w:rPr>
          <w:sz w:val="22"/>
          <w:szCs w:val="22"/>
        </w:rPr>
        <w:t>.</w:t>
      </w:r>
      <w:r w:rsidRPr="005F0649">
        <w:rPr>
          <w:sz w:val="22"/>
          <w:szCs w:val="22"/>
        </w:rPr>
        <w:t>: in the family home or an institutional setting). Research to determine the number of children and young people with disability impacted by family and domestic violence in Australia is essential.</w:t>
      </w:r>
      <w:r w:rsidRPr="005F0649">
        <w:rPr>
          <w:rStyle w:val="EndnoteReference"/>
          <w:rFonts w:cs="Arial"/>
          <w:sz w:val="22"/>
          <w:szCs w:val="22"/>
        </w:rPr>
        <w:t xml:space="preserve"> </w:t>
      </w:r>
      <w:r w:rsidRPr="00AE40E4">
        <w:rPr>
          <w:rStyle w:val="EndnoteReference"/>
          <w:rFonts w:cs="Arial"/>
          <w:sz w:val="22"/>
          <w:szCs w:val="22"/>
        </w:rPr>
        <w:endnoteReference w:id="490"/>
      </w:r>
    </w:p>
    <w:p w14:paraId="0F550004" w14:textId="77777777" w:rsidR="000D1D92" w:rsidRPr="00296DFA" w:rsidRDefault="000D1D92" w:rsidP="000D1D92">
      <w:pPr>
        <w:jc w:val="both"/>
        <w:rPr>
          <w:szCs w:val="22"/>
        </w:rPr>
      </w:pPr>
      <w:r>
        <w:t xml:space="preserve">Mr </w:t>
      </w:r>
      <w:r w:rsidRPr="00872F87">
        <w:t>Andrew Jackomos</w:t>
      </w:r>
      <w:r>
        <w:t xml:space="preserve"> PSM</w:t>
      </w:r>
      <w:r w:rsidRPr="00872F87">
        <w:t xml:space="preserve">, </w:t>
      </w:r>
      <w:r>
        <w:t xml:space="preserve">the Victorian </w:t>
      </w:r>
      <w:r w:rsidRPr="00872F87">
        <w:t>Commissioner for Aboriginal Childre</w:t>
      </w:r>
      <w:r>
        <w:t>n and Young People</w:t>
      </w:r>
      <w:r>
        <w:rPr>
          <w:szCs w:val="22"/>
        </w:rPr>
        <w:t xml:space="preserve"> stated in his submission to me that</w:t>
      </w:r>
      <w:r w:rsidRPr="00296DFA">
        <w:rPr>
          <w:szCs w:val="22"/>
        </w:rPr>
        <w:t>:</w:t>
      </w:r>
    </w:p>
    <w:p w14:paraId="4AEE5851" w14:textId="77777777" w:rsidR="000D1D92" w:rsidRDefault="000D1D92" w:rsidP="000D1D92">
      <w:pPr>
        <w:ind w:left="720"/>
        <w:jc w:val="both"/>
      </w:pPr>
      <w:r w:rsidRPr="000D0035">
        <w:rPr>
          <w:sz w:val="22"/>
          <w:szCs w:val="22"/>
        </w:rPr>
        <w:t>Overrepresentation of Aboriginal children is known in homelessness, poor educational outcomes, health and mental health issues, school suspensions and expulsions and youth justice; however connecting these to family violence is generally anecdotal. We need to have better data and systems across portfolios that talk to each other to understand family violence impacts in a holistic way</w:t>
      </w:r>
      <w:r w:rsidRPr="00872F87">
        <w:t>.</w:t>
      </w:r>
      <w:r>
        <w:rPr>
          <w:rStyle w:val="EndnoteReference"/>
        </w:rPr>
        <w:endnoteReference w:id="491"/>
      </w:r>
    </w:p>
    <w:p w14:paraId="34BF047A" w14:textId="77777777" w:rsidR="000D1D92" w:rsidRDefault="000D1D92" w:rsidP="000D1D92">
      <w:pPr>
        <w:jc w:val="both"/>
        <w:rPr>
          <w:highlight w:val="yellow"/>
        </w:rPr>
      </w:pPr>
      <w:r>
        <w:t xml:space="preserve">The </w:t>
      </w:r>
      <w:r w:rsidRPr="008C7DF3">
        <w:t>National Aboriginal and Torres Strait Islander Women’s Alliance</w:t>
      </w:r>
      <w:r>
        <w:t xml:space="preserve"> told me that:</w:t>
      </w:r>
    </w:p>
    <w:p w14:paraId="1F1B8920" w14:textId="77777777" w:rsidR="000D1D92" w:rsidRDefault="000D1D92" w:rsidP="000D1D92">
      <w:pPr>
        <w:ind w:left="720"/>
        <w:jc w:val="both"/>
        <w:rPr>
          <w:highlight w:val="yellow"/>
        </w:rPr>
      </w:pPr>
      <w:r w:rsidRPr="008753BA">
        <w:rPr>
          <w:sz w:val="22"/>
          <w:szCs w:val="22"/>
        </w:rPr>
        <w:t>The data we collect must be disaggregated, and a matrix must be developed whereby we can be sure that the data we are collecting identifies key elements, similarities, gaps and strengths…A well-developed Matrix data collection will assist in identifying the impacts of Domestic/Family Violence on individual children thus identifying the gamut of resources and/or specialists that must be implemented to assist these children in reaching their full potential. Disaggregated data will also indicate the workforce and training required to address this issue. The data we have available to us at the moment at its best is piecemeal and already out-dated</w:t>
      </w:r>
      <w:r>
        <w:t>.</w:t>
      </w:r>
      <w:r>
        <w:rPr>
          <w:rStyle w:val="EndnoteReference"/>
        </w:rPr>
        <w:endnoteReference w:id="492"/>
      </w:r>
    </w:p>
    <w:p w14:paraId="7E684B11" w14:textId="77777777" w:rsidR="000D1D92" w:rsidRDefault="000D1D92" w:rsidP="000D1D92">
      <w:pPr>
        <w:jc w:val="both"/>
        <w:rPr>
          <w:highlight w:val="yellow"/>
        </w:rPr>
      </w:pPr>
      <w:r>
        <w:t xml:space="preserve">The Western Australia </w:t>
      </w:r>
      <w:r w:rsidRPr="00F170F0">
        <w:t>Aboriginal Family Law Services</w:t>
      </w:r>
      <w:r>
        <w:t xml:space="preserve"> argued that:</w:t>
      </w:r>
    </w:p>
    <w:p w14:paraId="0214BF18" w14:textId="77777777" w:rsidR="000D1D92" w:rsidRDefault="000D1D92" w:rsidP="000D1D92">
      <w:pPr>
        <w:ind w:left="720"/>
        <w:jc w:val="both"/>
        <w:rPr>
          <w:sz w:val="22"/>
          <w:szCs w:val="22"/>
        </w:rPr>
      </w:pPr>
      <w:r w:rsidRPr="008B48CE">
        <w:rPr>
          <w:sz w:val="22"/>
          <w:szCs w:val="22"/>
        </w:rPr>
        <w:t xml:space="preserve">Data related to the prevalence and impact of any policy related to Aboriginal people in Western Australia to date tends to be piecemeal and is not evidence based. This has resulted in unreliable data that does not clearly state the issues that impact Aboriginal communities… Aboriginality needs to be recorded by all services if we are to monitor, evaluate and improve policies and services to Aboriginal people. We currently understand there are some major government and non-government agencies who choose not to ask their clients for this information, as they believe that it may not be relevant to the service they deliver. While this may be the case on the face of it, if we do not understand the use of services – whether under or over use – by Aboriginal people we may not be providing the most appropriate or accessible services possible. </w:t>
      </w:r>
      <w:r w:rsidRPr="008B48CE">
        <w:rPr>
          <w:sz w:val="22"/>
          <w:szCs w:val="22"/>
        </w:rPr>
        <w:lastRenderedPageBreak/>
        <w:t>Therefore, data collection needs to be standardised and disaggregated in order for it to be of most use.</w:t>
      </w:r>
      <w:r>
        <w:rPr>
          <w:rStyle w:val="EndnoteReference"/>
          <w:szCs w:val="22"/>
        </w:rPr>
        <w:endnoteReference w:id="493"/>
      </w:r>
    </w:p>
    <w:p w14:paraId="70F3AF31" w14:textId="77777777" w:rsidR="000D1D92" w:rsidRDefault="000D1D92" w:rsidP="000D1D92">
      <w:pPr>
        <w:jc w:val="both"/>
      </w:pPr>
      <w:r>
        <w:t xml:space="preserve">The </w:t>
      </w:r>
      <w:r w:rsidRPr="00AE41C4">
        <w:t>National Aboriginal and Torres Strait Islander Services</w:t>
      </w:r>
      <w:r>
        <w:t xml:space="preserve"> informed me that:</w:t>
      </w:r>
    </w:p>
    <w:p w14:paraId="4F94E2D6" w14:textId="77777777" w:rsidR="000D1D92" w:rsidRDefault="000D1D92" w:rsidP="000D1D92">
      <w:pPr>
        <w:spacing w:before="0" w:after="0"/>
        <w:ind w:left="720"/>
        <w:jc w:val="both"/>
        <w:rPr>
          <w:sz w:val="22"/>
          <w:szCs w:val="22"/>
        </w:rPr>
      </w:pPr>
      <w:r w:rsidRPr="00FE544C">
        <w:rPr>
          <w:sz w:val="22"/>
          <w:szCs w:val="22"/>
        </w:rPr>
        <w:t>There is a vast divergence in the way that ethnicity of offenders and victims is recorded between states and territories. It is noted that a number of states’ and territories data in this regard is of insufficient quality to be included in national data. This makes obtaining an accurate national picture of how these issues relate to Aboriginal and Torres Strait Islander peoples as a distinct sub-set of the population difficult, and an accurate picture in these states impossible. In this respect, the data of Western Australia, Victoria, Tasmania and the Australian Capital Territory is heavily compromised or non-existent and therefore not included in data provided by the Australian Bureau of Statistics.</w:t>
      </w:r>
      <w:r>
        <w:rPr>
          <w:rStyle w:val="EndnoteReference"/>
          <w:szCs w:val="22"/>
        </w:rPr>
        <w:endnoteReference w:id="494"/>
      </w:r>
      <w:r w:rsidRPr="00FE544C">
        <w:rPr>
          <w:sz w:val="22"/>
          <w:szCs w:val="22"/>
        </w:rPr>
        <w:t xml:space="preserve"> </w:t>
      </w:r>
    </w:p>
    <w:p w14:paraId="1DCF1C36" w14:textId="77777777" w:rsidR="000D1D92" w:rsidRDefault="000D1D92" w:rsidP="000D1D92">
      <w:pPr>
        <w:spacing w:before="0" w:after="0"/>
        <w:ind w:left="720"/>
        <w:jc w:val="both"/>
        <w:rPr>
          <w:sz w:val="22"/>
          <w:szCs w:val="22"/>
        </w:rPr>
      </w:pPr>
    </w:p>
    <w:p w14:paraId="2D7A0FBF" w14:textId="77777777" w:rsidR="000D1D92" w:rsidRPr="00930D66" w:rsidRDefault="000D1D92" w:rsidP="000D1D92">
      <w:pPr>
        <w:spacing w:before="0" w:after="0"/>
        <w:jc w:val="both"/>
      </w:pPr>
      <w:r w:rsidRPr="00930D66">
        <w:t xml:space="preserve">The submission by the National LGBTI Health Alliance </w:t>
      </w:r>
      <w:r>
        <w:t xml:space="preserve">pointed out </w:t>
      </w:r>
      <w:r w:rsidRPr="00930D66">
        <w:t>that:</w:t>
      </w:r>
    </w:p>
    <w:p w14:paraId="3EBADAD8" w14:textId="77777777" w:rsidR="000D1D92" w:rsidRDefault="000D1D92" w:rsidP="000D1D92">
      <w:pPr>
        <w:spacing w:before="0" w:after="0"/>
        <w:jc w:val="both"/>
      </w:pPr>
    </w:p>
    <w:p w14:paraId="216A5CBF" w14:textId="77777777" w:rsidR="000D1D92" w:rsidRPr="00F16B66" w:rsidRDefault="000D1D92" w:rsidP="000D1D92">
      <w:pPr>
        <w:spacing w:before="0" w:after="0"/>
        <w:ind w:left="720"/>
        <w:jc w:val="both"/>
      </w:pPr>
      <w:r w:rsidRPr="00AE40E4">
        <w:rPr>
          <w:sz w:val="22"/>
          <w:szCs w:val="22"/>
        </w:rPr>
        <w:t>In Australia, we have limited to non-existent reliable, nationally representative data on the prevalence, incidence, and factors involved in family and interpersonal violence affecting LGBTI young people…’family and domestic violence’ events experienced by LGBTI young people typically involve additional people beyond parents, biological relatives, and those who cohabit with young people. Some of the many flaws that limit the utility of Australian data are the categorical exclusion of people with intersex characteristics and people of non-binary experience; the treatment of trans as an identity when many people of trans experience identify simply as girls/women or boys/men; the conflation of sexuality, genders, and bodies to item phrasing</w:t>
      </w:r>
      <w:r>
        <w:t>.</w:t>
      </w:r>
      <w:r>
        <w:rPr>
          <w:rStyle w:val="EndnoteReference"/>
        </w:rPr>
        <w:endnoteReference w:id="495"/>
      </w:r>
    </w:p>
    <w:p w14:paraId="0874E1C8" w14:textId="77777777" w:rsidR="000D1D92" w:rsidRDefault="000D1D92" w:rsidP="000D1D92">
      <w:pPr>
        <w:spacing w:before="0" w:after="0"/>
        <w:jc w:val="both"/>
      </w:pPr>
    </w:p>
    <w:p w14:paraId="070679B2" w14:textId="77777777" w:rsidR="000D1D92" w:rsidRDefault="000D1D92" w:rsidP="000D1D92">
      <w:pPr>
        <w:spacing w:before="0" w:after="0"/>
        <w:jc w:val="both"/>
        <w:rPr>
          <w:rFonts w:cs="Arial"/>
        </w:rPr>
      </w:pPr>
      <w:r>
        <w:rPr>
          <w:rFonts w:cs="Arial"/>
        </w:rPr>
        <w:t xml:space="preserve">The ABS, which has been tasked with developing a </w:t>
      </w:r>
      <w:r w:rsidRPr="00FB16BC">
        <w:rPr>
          <w:rFonts w:cs="Arial"/>
          <w:b/>
        </w:rPr>
        <w:t>national data collection and reporting framework</w:t>
      </w:r>
      <w:r>
        <w:rPr>
          <w:rFonts w:cs="Arial"/>
        </w:rPr>
        <w:t xml:space="preserve"> (</w:t>
      </w:r>
      <w:r>
        <w:t>DCRF)</w:t>
      </w:r>
      <w:r>
        <w:rPr>
          <w:rFonts w:cs="Arial"/>
        </w:rPr>
        <w:t xml:space="preserve"> as part of the Second Action Plan in the National Plan, suggests that:</w:t>
      </w:r>
    </w:p>
    <w:p w14:paraId="1E775272" w14:textId="77777777" w:rsidR="000D1D92" w:rsidRDefault="000D1D92" w:rsidP="000D1D92">
      <w:pPr>
        <w:spacing w:before="0" w:after="0"/>
        <w:jc w:val="both"/>
        <w:rPr>
          <w:rFonts w:cs="Arial"/>
        </w:rPr>
      </w:pPr>
    </w:p>
    <w:p w14:paraId="62A29C67" w14:textId="77777777" w:rsidR="000D1D92" w:rsidRPr="00A325ED" w:rsidRDefault="000D1D92" w:rsidP="000D1D92">
      <w:pPr>
        <w:spacing w:before="0" w:after="0"/>
        <w:ind w:left="720"/>
        <w:jc w:val="both"/>
        <w:rPr>
          <w:rFonts w:cs="Arial"/>
        </w:rPr>
      </w:pPr>
      <w:r w:rsidRPr="000F0C87">
        <w:rPr>
          <w:rFonts w:cs="Arial"/>
          <w:sz w:val="22"/>
          <w:szCs w:val="22"/>
        </w:rPr>
        <w:t>Behaviour-based definitions of family, domestic or sexual violence can be used to bridge the gap between objective and subjective definitions. They can also provide the basis for comparability by enabling definitions to be derived from behavioural descriptions, rather than legal definitions that can vary across states and territories</w:t>
      </w:r>
      <w:r>
        <w:rPr>
          <w:rFonts w:cs="Arial"/>
        </w:rPr>
        <w:t>.</w:t>
      </w:r>
      <w:r w:rsidRPr="00A325ED">
        <w:rPr>
          <w:rStyle w:val="EndnoteReference"/>
          <w:rFonts w:cs="Arial"/>
          <w:sz w:val="24"/>
        </w:rPr>
        <w:t xml:space="preserve"> </w:t>
      </w:r>
      <w:r w:rsidRPr="00100D3F">
        <w:rPr>
          <w:rStyle w:val="EndnoteReference"/>
          <w:rFonts w:cs="Arial"/>
          <w:sz w:val="22"/>
        </w:rPr>
        <w:endnoteReference w:id="496"/>
      </w:r>
    </w:p>
    <w:p w14:paraId="13571614" w14:textId="77777777" w:rsidR="000D1D92" w:rsidRDefault="000D1D92" w:rsidP="000D1D92">
      <w:pPr>
        <w:spacing w:before="0" w:after="0"/>
        <w:jc w:val="both"/>
        <w:rPr>
          <w:rFonts w:cs="Arial"/>
        </w:rPr>
      </w:pPr>
    </w:p>
    <w:p w14:paraId="0EF6BE02" w14:textId="77777777" w:rsidR="000D1D92" w:rsidRPr="002A1428" w:rsidRDefault="000D1D92" w:rsidP="000D1D92">
      <w:pPr>
        <w:spacing w:before="0" w:after="0"/>
        <w:jc w:val="both"/>
      </w:pPr>
      <w:r>
        <w:t>Mr William Milne, ABS Director of the National Centre for Crime and Justice Statistics predicts that:</w:t>
      </w:r>
    </w:p>
    <w:p w14:paraId="2AE403CE" w14:textId="77777777" w:rsidR="000D1D92" w:rsidRDefault="000D1D92" w:rsidP="000D1D92">
      <w:pPr>
        <w:spacing w:before="0" w:after="0"/>
        <w:jc w:val="both"/>
      </w:pPr>
    </w:p>
    <w:p w14:paraId="0872CEB4" w14:textId="77777777" w:rsidR="000D1D92" w:rsidRDefault="000D1D92" w:rsidP="000D1D92">
      <w:pPr>
        <w:spacing w:before="0" w:after="0"/>
        <w:ind w:left="720"/>
        <w:jc w:val="both"/>
        <w:rPr>
          <w:sz w:val="22"/>
          <w:szCs w:val="22"/>
        </w:rPr>
      </w:pPr>
      <w:r w:rsidRPr="000F0C87">
        <w:rPr>
          <w:sz w:val="22"/>
          <w:szCs w:val="22"/>
        </w:rPr>
        <w:t>When the national data collection and reporting framework is in place, researchers will be able to better identify common characteristics of family and domestic violence incidents…</w:t>
      </w:r>
    </w:p>
    <w:p w14:paraId="37709334" w14:textId="77777777" w:rsidR="000D1D92" w:rsidRDefault="000D1D92" w:rsidP="000D1D92">
      <w:pPr>
        <w:spacing w:before="0" w:after="0"/>
        <w:ind w:left="720"/>
        <w:jc w:val="both"/>
        <w:rPr>
          <w:sz w:val="22"/>
          <w:szCs w:val="22"/>
        </w:rPr>
      </w:pPr>
    </w:p>
    <w:p w14:paraId="74CBF420" w14:textId="77777777" w:rsidR="000D1D92" w:rsidRDefault="000D1D92" w:rsidP="000D1D92">
      <w:pPr>
        <w:spacing w:before="0" w:after="0"/>
        <w:ind w:left="720"/>
        <w:jc w:val="both"/>
      </w:pPr>
      <w:r w:rsidRPr="000F0C87">
        <w:rPr>
          <w:sz w:val="22"/>
          <w:szCs w:val="22"/>
        </w:rPr>
        <w:t>They'll be able to create demographic and economic profiles, see family relationships, the types of violence and frequency of events, as well as look at resulting outcomes such as court proceedings, need for medical treatment or use of services such as housing assistance or counselling at the local, jurisdictional and national levels</w:t>
      </w:r>
      <w:r>
        <w:t>.</w:t>
      </w:r>
      <w:r w:rsidRPr="003904AD">
        <w:rPr>
          <w:rStyle w:val="EndnoteReference"/>
        </w:rPr>
        <w:t xml:space="preserve"> </w:t>
      </w:r>
      <w:r>
        <w:rPr>
          <w:rStyle w:val="EndnoteReference"/>
        </w:rPr>
        <w:endnoteReference w:id="497"/>
      </w:r>
    </w:p>
    <w:p w14:paraId="4F615F58" w14:textId="77777777" w:rsidR="000D1D92" w:rsidRDefault="000D1D92" w:rsidP="000D1D92">
      <w:pPr>
        <w:spacing w:before="0" w:after="0"/>
        <w:jc w:val="both"/>
        <w:rPr>
          <w:rFonts w:cs="Arial"/>
        </w:rPr>
      </w:pPr>
    </w:p>
    <w:p w14:paraId="65938636" w14:textId="77777777" w:rsidR="000D1D92" w:rsidRDefault="000D1D92" w:rsidP="000D1D92">
      <w:pPr>
        <w:spacing w:before="0" w:after="0"/>
        <w:jc w:val="both"/>
        <w:rPr>
          <w:rFonts w:cs="Arial"/>
        </w:rPr>
      </w:pPr>
      <w:r>
        <w:rPr>
          <w:rFonts w:cs="Arial"/>
        </w:rPr>
        <w:t>ABS provides a foundation to support a common language which can be used to measure family, domestic and sexual violence. The purpose of a definition in this context is to assist in the collection of data.</w:t>
      </w:r>
      <w:r>
        <w:rPr>
          <w:rStyle w:val="EndnoteReference"/>
          <w:rFonts w:cs="Arial"/>
        </w:rPr>
        <w:endnoteReference w:id="498"/>
      </w:r>
      <w:r>
        <w:rPr>
          <w:rFonts w:cs="Arial"/>
        </w:rPr>
        <w:t xml:space="preserve"> </w:t>
      </w:r>
    </w:p>
    <w:p w14:paraId="6790BE40" w14:textId="77777777" w:rsidR="000D1D92" w:rsidRDefault="000D1D92" w:rsidP="000D1D92">
      <w:pPr>
        <w:spacing w:before="0" w:after="0"/>
        <w:jc w:val="both"/>
      </w:pPr>
    </w:p>
    <w:p w14:paraId="36DF8806" w14:textId="77777777" w:rsidR="000D1D92" w:rsidRDefault="000D1D92" w:rsidP="000D1D92">
      <w:pPr>
        <w:spacing w:before="0" w:after="0"/>
        <w:jc w:val="both"/>
      </w:pPr>
      <w:r>
        <w:rPr>
          <w:rFonts w:cs="Arial"/>
        </w:rPr>
        <w:lastRenderedPageBreak/>
        <w:t>The DCRF focuses on improving the quality and consistency of the inputs (data collection) in an effort to lay the basis for answering research and policy questions (reporting).</w:t>
      </w:r>
      <w:r>
        <w:rPr>
          <w:rStyle w:val="EndnoteReference"/>
          <w:rFonts w:cs="Arial"/>
        </w:rPr>
        <w:endnoteReference w:id="499"/>
      </w:r>
      <w:r>
        <w:rPr>
          <w:rFonts w:cs="Arial"/>
        </w:rPr>
        <w:t xml:space="preserve"> A diagram describing the DCRF is included on page 23.</w:t>
      </w:r>
    </w:p>
    <w:p w14:paraId="0D87843A" w14:textId="77777777" w:rsidR="000D1D92" w:rsidRDefault="000D1D92" w:rsidP="000D1D92">
      <w:pPr>
        <w:rPr>
          <w:b/>
        </w:rPr>
      </w:pPr>
      <w:r w:rsidRPr="00D13BD8">
        <w:rPr>
          <w:b/>
        </w:rPr>
        <w:t>Foundations for a National Data Collection and Reporting Framework (DCRF)</w:t>
      </w:r>
      <w:r w:rsidRPr="00D13BD8">
        <w:rPr>
          <w:rStyle w:val="EndnoteReference"/>
          <w:b/>
        </w:rPr>
        <w:endnoteReference w:id="500"/>
      </w:r>
    </w:p>
    <w:p w14:paraId="22E854E0" w14:textId="77777777" w:rsidR="000D1D92" w:rsidRPr="00D13BD8" w:rsidRDefault="000D1D92" w:rsidP="000D1D92">
      <w:pPr>
        <w:rPr>
          <w:b/>
        </w:rPr>
      </w:pPr>
      <w:r>
        <w:rPr>
          <w:b/>
          <w:noProof/>
        </w:rPr>
        <w:drawing>
          <wp:inline distT="0" distB="0" distL="0" distR="0" wp14:anchorId="1DFD2071" wp14:editId="12D2503E">
            <wp:extent cx="5759450" cy="39223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F4DF0C.tmp"/>
                    <pic:cNvPicPr/>
                  </pic:nvPicPr>
                  <pic:blipFill>
                    <a:blip r:embed="rId41">
                      <a:extLst>
                        <a:ext uri="{28A0092B-C50C-407E-A947-70E740481C1C}">
                          <a14:useLocalDpi xmlns:a14="http://schemas.microsoft.com/office/drawing/2010/main" val="0"/>
                        </a:ext>
                      </a:extLst>
                    </a:blip>
                    <a:stretch>
                      <a:fillRect/>
                    </a:stretch>
                  </pic:blipFill>
                  <pic:spPr>
                    <a:xfrm>
                      <a:off x="0" y="0"/>
                      <a:ext cx="5759450" cy="3922395"/>
                    </a:xfrm>
                    <a:prstGeom prst="rect">
                      <a:avLst/>
                    </a:prstGeom>
                  </pic:spPr>
                </pic:pic>
              </a:graphicData>
            </a:graphic>
          </wp:inline>
        </w:drawing>
      </w:r>
    </w:p>
    <w:p w14:paraId="460CEADE" w14:textId="77777777" w:rsidR="000D1D92" w:rsidRDefault="000D1D92" w:rsidP="000D1D92">
      <w:pPr>
        <w:spacing w:before="0" w:after="0"/>
        <w:jc w:val="both"/>
      </w:pPr>
      <w:r>
        <w:t>The DCRF will capture information and data through three ‘information units’: person, event and transaction. This breakdown helps create an understanding of individual experiences of family, domestic and sexual violence, as well as a broader picture of trends and at risk groups that can be targeted for intervention and prevention measures.</w:t>
      </w:r>
    </w:p>
    <w:p w14:paraId="789B2A26" w14:textId="77777777" w:rsidR="000D1D92" w:rsidRDefault="000D1D92" w:rsidP="000D1D92">
      <w:pPr>
        <w:spacing w:before="0" w:after="0"/>
        <w:jc w:val="both"/>
      </w:pPr>
    </w:p>
    <w:p w14:paraId="73ACFC65" w14:textId="77777777" w:rsidR="000D1D92" w:rsidRDefault="000D1D92" w:rsidP="000D1D92">
      <w:pPr>
        <w:spacing w:before="0" w:after="0"/>
        <w:jc w:val="both"/>
      </w:pPr>
      <w:r>
        <w:t>The ‘person’ unit collects information about the individual experiencing the violence, for example; their age, sex, location, Indigenous status, CALD background, relationship, and economic status. This data will help create a greater understanding of who experiences or is exposed to family, domestic and sexual violence, the prevalence of it and common risk factors. It also allows for assessment of barriers that stand between individuals and their access to support services, such as language, finances, and proximity.</w:t>
      </w:r>
    </w:p>
    <w:p w14:paraId="4E5BB3FD" w14:textId="77777777" w:rsidR="000D1D92" w:rsidRDefault="000D1D92" w:rsidP="000D1D92">
      <w:pPr>
        <w:spacing w:before="0" w:after="0"/>
        <w:jc w:val="both"/>
      </w:pPr>
    </w:p>
    <w:p w14:paraId="2F14D025" w14:textId="77777777" w:rsidR="000D1D92" w:rsidRDefault="000D1D92" w:rsidP="000D1D92">
      <w:pPr>
        <w:spacing w:before="0" w:after="0"/>
        <w:jc w:val="both"/>
      </w:pPr>
      <w:r>
        <w:t>The ‘event’ unit provides information on how, when and where family, domestic and sexual violence occurs. It identifies the types of relationships and situations in which family, domestic and sexual violence is more likely to occur, assisting in improving the delivery and operations of support services. Understanding the environment where family, domestic and sexual violence occurs can also help to develop more accurate and targeted education and prevention initiatives.</w:t>
      </w:r>
    </w:p>
    <w:p w14:paraId="4C81F01C" w14:textId="77777777" w:rsidR="000D1D92" w:rsidRDefault="000D1D92" w:rsidP="000D1D92">
      <w:pPr>
        <w:spacing w:before="0" w:after="0"/>
        <w:jc w:val="both"/>
      </w:pPr>
    </w:p>
    <w:p w14:paraId="2FE545C1" w14:textId="77777777" w:rsidR="000D1D92" w:rsidRDefault="000D1D92" w:rsidP="000D1D92">
      <w:pPr>
        <w:spacing w:before="0" w:after="0"/>
        <w:jc w:val="both"/>
      </w:pPr>
      <w:r>
        <w:lastRenderedPageBreak/>
        <w:t>Finally, the ‘transaction’ unit comprises two sets of data – the types of services sought by individuals experiencing violence and the outcome of the interactions with the services. This data can help in assessing demand for services and those services which are best placed to deal with experiences of violence. Combined with the first two information units, it can also inform on the issues surrounding service delivery, such as the proximity of the individual to support services, including areas where there are insufficient services or resources to respond to the demand and needs of individuals experiencing violence.</w:t>
      </w:r>
    </w:p>
    <w:p w14:paraId="09B1BFF4" w14:textId="77777777" w:rsidR="000D1D92" w:rsidRDefault="000D1D92" w:rsidP="000D1D92">
      <w:pPr>
        <w:spacing w:before="0" w:after="0"/>
        <w:jc w:val="both"/>
        <w:rPr>
          <w:b/>
        </w:rPr>
      </w:pPr>
    </w:p>
    <w:p w14:paraId="031DA805" w14:textId="77777777" w:rsidR="000D1D92" w:rsidRDefault="000D1D92" w:rsidP="000D1D92">
      <w:pPr>
        <w:spacing w:before="0" w:after="0"/>
        <w:jc w:val="both"/>
      </w:pPr>
      <w:r>
        <w:t xml:space="preserve">This foundation work by ABS was developed in consultation with </w:t>
      </w:r>
      <w:r w:rsidRPr="005904B8">
        <w:t>researchers, frontline contacts such as state and territory justice agencies, and supporting organisations like hospitals and accommodation providers</w:t>
      </w:r>
      <w:r>
        <w:t>.</w:t>
      </w:r>
      <w:r>
        <w:rPr>
          <w:rStyle w:val="EndnoteReference"/>
        </w:rPr>
        <w:endnoteReference w:id="501"/>
      </w:r>
    </w:p>
    <w:p w14:paraId="23C37A05" w14:textId="77777777" w:rsidR="000D1D92" w:rsidRDefault="000D1D92" w:rsidP="000D1D92">
      <w:pPr>
        <w:spacing w:before="0" w:after="0"/>
        <w:jc w:val="both"/>
      </w:pPr>
    </w:p>
    <w:p w14:paraId="1D2CE01F" w14:textId="77777777" w:rsidR="000D1D92" w:rsidRDefault="000D1D92" w:rsidP="000D1D92">
      <w:pPr>
        <w:spacing w:before="0" w:after="0"/>
        <w:jc w:val="both"/>
      </w:pPr>
      <w:r>
        <w:t>The ABS asserts that:</w:t>
      </w:r>
    </w:p>
    <w:p w14:paraId="5D9EC89F" w14:textId="77777777" w:rsidR="000D1D92" w:rsidRDefault="000D1D92" w:rsidP="000D1D92">
      <w:pPr>
        <w:spacing w:before="0" w:after="0"/>
        <w:jc w:val="both"/>
      </w:pPr>
    </w:p>
    <w:p w14:paraId="2F8360EB" w14:textId="77777777" w:rsidR="000D1D92" w:rsidRDefault="000D1D92" w:rsidP="000D1D92">
      <w:pPr>
        <w:spacing w:before="0" w:after="0"/>
        <w:ind w:left="720"/>
        <w:jc w:val="both"/>
      </w:pPr>
      <w:r w:rsidRPr="00590835">
        <w:rPr>
          <w:sz w:val="22"/>
          <w:szCs w:val="22"/>
        </w:rPr>
        <w:t>Adoption of the key data items outlined in the DCRF will provide the foundations for the creation of strong reporting frameworks, at the local, jurisdictional and national levels</w:t>
      </w:r>
      <w:r>
        <w:t>.</w:t>
      </w:r>
      <w:r>
        <w:rPr>
          <w:rStyle w:val="EndnoteReference"/>
          <w:b/>
        </w:rPr>
        <w:endnoteReference w:id="502"/>
      </w:r>
    </w:p>
    <w:p w14:paraId="5E29D316" w14:textId="77777777" w:rsidR="000D1D92" w:rsidRDefault="000D1D92" w:rsidP="000D1D92">
      <w:pPr>
        <w:spacing w:before="0" w:after="0"/>
        <w:jc w:val="both"/>
      </w:pPr>
    </w:p>
    <w:p w14:paraId="0593EA48" w14:textId="77777777" w:rsidR="000D1D92" w:rsidRDefault="000D1D92" w:rsidP="000D1D92">
      <w:pPr>
        <w:spacing w:before="0" w:after="0"/>
        <w:jc w:val="both"/>
        <w:rPr>
          <w:b/>
        </w:rPr>
      </w:pPr>
      <w:r>
        <w:t>The challenge now is for all those working across the jurisdictions to adopt the foundations of the ABS National Data Collection and Reporting Framework.</w:t>
      </w:r>
      <w:r>
        <w:rPr>
          <w:b/>
        </w:rPr>
        <w:t xml:space="preserve"> </w:t>
      </w:r>
    </w:p>
    <w:p w14:paraId="168F863B" w14:textId="77777777" w:rsidR="000D1D92" w:rsidRDefault="000D1D92" w:rsidP="000D1D92">
      <w:pPr>
        <w:spacing w:before="0" w:after="0"/>
        <w:jc w:val="both"/>
      </w:pPr>
    </w:p>
    <w:p w14:paraId="1B1D3025" w14:textId="77777777" w:rsidR="000D1D92" w:rsidRDefault="000D1D92" w:rsidP="000D1D92">
      <w:pPr>
        <w:spacing w:before="0" w:after="0"/>
        <w:jc w:val="both"/>
      </w:pPr>
      <w:r>
        <w:t>The ABS is currently working with agencies and jurisdictions towards adopting the foundations of its framework.</w:t>
      </w:r>
      <w:r>
        <w:rPr>
          <w:rStyle w:val="EndnoteReference"/>
        </w:rPr>
        <w:endnoteReference w:id="503"/>
      </w:r>
      <w:r>
        <w:t xml:space="preserve"> </w:t>
      </w:r>
    </w:p>
    <w:p w14:paraId="49CCC372" w14:textId="77777777" w:rsidR="000D1D92" w:rsidRDefault="000D1D92" w:rsidP="000D1D92">
      <w:pPr>
        <w:spacing w:before="0" w:after="0"/>
        <w:jc w:val="both"/>
      </w:pPr>
    </w:p>
    <w:p w14:paraId="4F72DB9B" w14:textId="77777777" w:rsidR="000D1D92" w:rsidRDefault="000D1D92" w:rsidP="000D1D92">
      <w:pPr>
        <w:spacing w:before="0" w:after="0"/>
        <w:jc w:val="both"/>
      </w:pPr>
      <w:r>
        <w:t>COAG has endorsed having the ABS National Data Collection and Reporting Framework operational by 2022 under the National Plan to Reduce Violence against Women and their Children.</w:t>
      </w:r>
      <w:r w:rsidRPr="00BD56A7">
        <w:rPr>
          <w:rStyle w:val="EndnoteReference"/>
        </w:rPr>
        <w:t xml:space="preserve"> </w:t>
      </w:r>
      <w:r>
        <w:rPr>
          <w:rStyle w:val="EndnoteReference"/>
        </w:rPr>
        <w:endnoteReference w:id="504"/>
      </w:r>
    </w:p>
    <w:p w14:paraId="045FB86E" w14:textId="77777777" w:rsidR="000D1D92" w:rsidRDefault="000D1D92" w:rsidP="000D1D92">
      <w:pPr>
        <w:spacing w:before="0" w:after="0"/>
        <w:jc w:val="both"/>
      </w:pPr>
    </w:p>
    <w:tbl>
      <w:tblPr>
        <w:tblStyle w:val="TableGrid"/>
        <w:tblW w:w="0" w:type="auto"/>
        <w:shd w:val="clear" w:color="auto" w:fill="F2F2F2" w:themeFill="background1" w:themeFillShade="F2"/>
        <w:tblLook w:val="04A0" w:firstRow="1" w:lastRow="0" w:firstColumn="1" w:lastColumn="0" w:noHBand="0" w:noVBand="1"/>
      </w:tblPr>
      <w:tblGrid>
        <w:gridCol w:w="9286"/>
      </w:tblGrid>
      <w:tr w:rsidR="000D1D92" w14:paraId="637C02D2" w14:textId="77777777" w:rsidTr="00684616">
        <w:tc>
          <w:tcPr>
            <w:tcW w:w="9286" w:type="dxa"/>
            <w:shd w:val="clear" w:color="auto" w:fill="F2F2F2" w:themeFill="background1" w:themeFillShade="F2"/>
          </w:tcPr>
          <w:p w14:paraId="673315BF" w14:textId="77777777" w:rsidR="000D1D92" w:rsidRDefault="000D1D92" w:rsidP="00684616">
            <w:pPr>
              <w:spacing w:before="0" w:after="0"/>
              <w:jc w:val="both"/>
              <w:rPr>
                <w:b/>
              </w:rPr>
            </w:pPr>
          </w:p>
          <w:p w14:paraId="2DD62CA9" w14:textId="77777777" w:rsidR="000D1D92" w:rsidRDefault="000D1D92" w:rsidP="00684616">
            <w:pPr>
              <w:spacing w:before="0" w:after="0"/>
              <w:jc w:val="both"/>
              <w:rPr>
                <w:b/>
              </w:rPr>
            </w:pPr>
            <w:r>
              <w:rPr>
                <w:b/>
              </w:rPr>
              <w:t>Recommendation 3:</w:t>
            </w:r>
          </w:p>
          <w:p w14:paraId="0C7C14EE" w14:textId="77777777" w:rsidR="000D1D92" w:rsidRDefault="000D1D92" w:rsidP="00684616">
            <w:pPr>
              <w:spacing w:before="0" w:after="0"/>
              <w:jc w:val="both"/>
              <w:rPr>
                <w:b/>
              </w:rPr>
            </w:pPr>
          </w:p>
          <w:p w14:paraId="0F3BB785" w14:textId="77777777" w:rsidR="000D1D92" w:rsidRDefault="000D1D92" w:rsidP="00684616">
            <w:pPr>
              <w:spacing w:before="0" w:after="0"/>
              <w:jc w:val="both"/>
              <w:rPr>
                <w:b/>
              </w:rPr>
            </w:pPr>
            <w:r>
              <w:rPr>
                <w:b/>
              </w:rPr>
              <w:t xml:space="preserve">The Annual Progress Reports of the National Plan to Reduce Violence against Women and their Children should detail how all jurisdictions are working towards implementing the Australian </w:t>
            </w:r>
            <w:r w:rsidRPr="0095244B">
              <w:rPr>
                <w:b/>
              </w:rPr>
              <w:t>Bureau of Statistics National Data Collection and Reporting Framework.</w:t>
            </w:r>
          </w:p>
          <w:p w14:paraId="00FC209E" w14:textId="77777777" w:rsidR="000D1D92" w:rsidRDefault="000D1D92" w:rsidP="00684616">
            <w:pPr>
              <w:spacing w:before="0" w:after="0"/>
              <w:jc w:val="both"/>
            </w:pPr>
          </w:p>
        </w:tc>
      </w:tr>
    </w:tbl>
    <w:p w14:paraId="27851FB0" w14:textId="77777777" w:rsidR="000D1D92" w:rsidRDefault="000D1D92" w:rsidP="000D1D92">
      <w:pPr>
        <w:spacing w:before="0" w:after="0"/>
        <w:jc w:val="both"/>
      </w:pPr>
    </w:p>
    <w:p w14:paraId="391D695F" w14:textId="77777777" w:rsidR="000D1D92" w:rsidRDefault="000D1D92" w:rsidP="000D1D92">
      <w:pPr>
        <w:spacing w:before="0" w:after="0"/>
        <w:jc w:val="both"/>
      </w:pPr>
      <w:r>
        <w:t xml:space="preserve">While I strongly support the work of the ABS, it is imperative that the DCRF and its users record a child’s experience </w:t>
      </w:r>
      <w:r w:rsidRPr="002A403B">
        <w:t>of family and domestic violence as a separate entry in the Australian Bureau of Statistics National Data Collection and Reporting Framework, and not just part of an adult entry.</w:t>
      </w:r>
    </w:p>
    <w:p w14:paraId="38603176" w14:textId="77777777" w:rsidR="000D1D92" w:rsidRDefault="000D1D92" w:rsidP="000D1D92">
      <w:pPr>
        <w:spacing w:before="0" w:after="0"/>
        <w:jc w:val="both"/>
      </w:pPr>
    </w:p>
    <w:p w14:paraId="5D564E70" w14:textId="77777777" w:rsidR="000D1D92" w:rsidRDefault="000D1D92" w:rsidP="000D1D92">
      <w:pPr>
        <w:spacing w:before="0" w:after="0"/>
        <w:jc w:val="both"/>
      </w:pPr>
      <w:r>
        <w:t>The need to separately record data about children’s experiences of family and domestic violence was raised by the NSW Government in its submission:</w:t>
      </w:r>
    </w:p>
    <w:p w14:paraId="530BFEF8" w14:textId="77777777" w:rsidR="000D1D92" w:rsidRDefault="000D1D92" w:rsidP="000D1D92">
      <w:pPr>
        <w:spacing w:before="0" w:after="0"/>
        <w:jc w:val="both"/>
      </w:pPr>
    </w:p>
    <w:p w14:paraId="0E415999" w14:textId="77777777" w:rsidR="000D1D92" w:rsidRPr="00AE40E4" w:rsidRDefault="000D1D92" w:rsidP="000D1D92">
      <w:pPr>
        <w:spacing w:before="0" w:after="0"/>
        <w:ind w:left="720"/>
        <w:jc w:val="both"/>
        <w:rPr>
          <w:rFonts w:cs="Arial"/>
          <w:sz w:val="22"/>
          <w:szCs w:val="22"/>
          <w:lang w:val="en-US"/>
        </w:rPr>
      </w:pPr>
      <w:r w:rsidRPr="00AE40E4">
        <w:rPr>
          <w:rFonts w:cs="Arial"/>
          <w:sz w:val="22"/>
          <w:szCs w:val="22"/>
          <w:lang w:val="en-US"/>
        </w:rPr>
        <w:t>Given the extent of the impact of domestic and family violence on children, it is important that they are considered victims in their own right so that policy and operations are reflective.</w:t>
      </w:r>
      <w:r w:rsidRPr="00AE40E4">
        <w:rPr>
          <w:rStyle w:val="EndnoteReference"/>
          <w:rFonts w:cs="Arial"/>
          <w:sz w:val="22"/>
          <w:szCs w:val="22"/>
          <w:lang w:val="en-US"/>
        </w:rPr>
        <w:endnoteReference w:id="505"/>
      </w:r>
    </w:p>
    <w:p w14:paraId="7C16EC77" w14:textId="77777777" w:rsidR="000D1D92" w:rsidRPr="00AE40E4" w:rsidRDefault="000D1D92" w:rsidP="000D1D92">
      <w:pPr>
        <w:spacing w:before="0" w:after="0"/>
        <w:ind w:left="360"/>
        <w:jc w:val="both"/>
        <w:rPr>
          <w:rFonts w:cs="Arial"/>
          <w:sz w:val="22"/>
          <w:szCs w:val="22"/>
          <w:lang w:val="en-US"/>
        </w:rPr>
      </w:pPr>
    </w:p>
    <w:p w14:paraId="167A7FAD" w14:textId="77777777" w:rsidR="000D1D92" w:rsidRDefault="000D1D92" w:rsidP="000D1D92">
      <w:pPr>
        <w:spacing w:before="0" w:after="0"/>
        <w:ind w:left="720"/>
        <w:jc w:val="both"/>
        <w:rPr>
          <w:rFonts w:cs="Arial"/>
        </w:rPr>
      </w:pPr>
      <w:r w:rsidRPr="00AE40E4">
        <w:rPr>
          <w:rFonts w:cs="Arial"/>
          <w:sz w:val="22"/>
          <w:szCs w:val="22"/>
        </w:rPr>
        <w:t xml:space="preserve">Improvements are needed in how domestic and family violence is identified and flagged in relevant data sets across the areas of child protection, health, housing, and </w:t>
      </w:r>
      <w:r w:rsidRPr="00AE40E4">
        <w:rPr>
          <w:rFonts w:cs="Arial"/>
          <w:sz w:val="22"/>
          <w:szCs w:val="22"/>
        </w:rPr>
        <w:lastRenderedPageBreak/>
        <w:t>police and justice systems. This is a particular challenge in terms of capturing information about children affected by violence, as they are often not recorded as a victim or the recipient of services or service referrals. Better and wider flagging of domestic and family violence at a program level across the service system (for example, as a vulnerability where children and families are accessing or affected by services) would build our understanding of how children are affected by domestic and family violence</w:t>
      </w:r>
      <w:r w:rsidRPr="002F7093">
        <w:rPr>
          <w:rFonts w:cs="Arial"/>
        </w:rPr>
        <w:t>.</w:t>
      </w:r>
      <w:r>
        <w:rPr>
          <w:rStyle w:val="EndnoteReference"/>
          <w:rFonts w:cs="Arial"/>
        </w:rPr>
        <w:endnoteReference w:id="506"/>
      </w:r>
    </w:p>
    <w:p w14:paraId="7480DFCB" w14:textId="77777777" w:rsidR="000D1D92" w:rsidRDefault="000D1D92" w:rsidP="000D1D92">
      <w:pPr>
        <w:spacing w:before="0" w:after="0"/>
        <w:jc w:val="both"/>
      </w:pPr>
    </w:p>
    <w:p w14:paraId="0F1667AF" w14:textId="77777777" w:rsidR="000D1D92" w:rsidRDefault="000D1D92" w:rsidP="000D1D92">
      <w:pPr>
        <w:spacing w:before="0" w:after="0"/>
        <w:jc w:val="both"/>
        <w:rPr>
          <w:rFonts w:cs="Arial"/>
        </w:rPr>
      </w:pPr>
      <w:r>
        <w:rPr>
          <w:rFonts w:cs="Arial"/>
        </w:rPr>
        <w:t>The submission by the NSW Advocate for Children and Young People reinforces this point:</w:t>
      </w:r>
    </w:p>
    <w:p w14:paraId="69945EA4" w14:textId="77777777" w:rsidR="000D1D92" w:rsidRDefault="000D1D92" w:rsidP="000D1D92">
      <w:pPr>
        <w:spacing w:before="0" w:after="0"/>
        <w:jc w:val="both"/>
        <w:rPr>
          <w:rFonts w:cs="Arial"/>
        </w:rPr>
      </w:pPr>
    </w:p>
    <w:p w14:paraId="7BFFB103" w14:textId="77777777" w:rsidR="000D1D92" w:rsidRDefault="000D1D92" w:rsidP="000D1D92">
      <w:pPr>
        <w:spacing w:before="0" w:after="0"/>
        <w:ind w:left="720"/>
        <w:jc w:val="both"/>
        <w:rPr>
          <w:rFonts w:cs="Arial"/>
        </w:rPr>
      </w:pPr>
      <w:r w:rsidRPr="00AE40E4">
        <w:rPr>
          <w:rFonts w:cs="Arial"/>
          <w:sz w:val="22"/>
          <w:szCs w:val="22"/>
        </w:rPr>
        <w:t>It may be helpful to consider children’s experience of violence in the home in its own right and not only as it relates to witnessing or being part of domestic and family violence/ intimate partner violence experienced by adults in the home</w:t>
      </w:r>
      <w:r>
        <w:rPr>
          <w:rFonts w:cs="Arial"/>
        </w:rPr>
        <w:t>.</w:t>
      </w:r>
      <w:r>
        <w:rPr>
          <w:rStyle w:val="EndnoteReference"/>
          <w:rFonts w:cs="Arial"/>
        </w:rPr>
        <w:endnoteReference w:id="507"/>
      </w:r>
      <w:r>
        <w:rPr>
          <w:rFonts w:cs="Arial"/>
        </w:rPr>
        <w:t xml:space="preserve"> </w:t>
      </w:r>
    </w:p>
    <w:p w14:paraId="1B36AE76" w14:textId="77777777" w:rsidR="000D1D92" w:rsidRDefault="000D1D92" w:rsidP="000D1D92">
      <w:pPr>
        <w:spacing w:before="0" w:after="0"/>
        <w:ind w:left="720"/>
        <w:jc w:val="both"/>
        <w:rPr>
          <w:rFonts w:cs="Arial"/>
        </w:rPr>
      </w:pPr>
    </w:p>
    <w:p w14:paraId="1BCFADC6" w14:textId="77777777" w:rsidR="000D1D92" w:rsidRPr="008C76DD" w:rsidRDefault="000D1D92" w:rsidP="000D1D92">
      <w:pPr>
        <w:autoSpaceDE w:val="0"/>
        <w:autoSpaceDN w:val="0"/>
        <w:adjustRightInd w:val="0"/>
        <w:spacing w:before="0" w:after="0"/>
        <w:jc w:val="both"/>
        <w:rPr>
          <w:rFonts w:cs="Arial"/>
        </w:rPr>
      </w:pPr>
      <w:r w:rsidRPr="008C76DD">
        <w:rPr>
          <w:rFonts w:cs="Arial"/>
        </w:rPr>
        <w:t>Aca</w:t>
      </w:r>
      <w:r>
        <w:rPr>
          <w:rFonts w:cs="Arial"/>
        </w:rPr>
        <w:t>demic, Nick</w:t>
      </w:r>
      <w:r w:rsidRPr="008C76DD">
        <w:rPr>
          <w:rFonts w:cs="Arial"/>
        </w:rPr>
        <w:t>y Stanley</w:t>
      </w:r>
      <w:r>
        <w:rPr>
          <w:rFonts w:cs="Arial"/>
        </w:rPr>
        <w:t>,</w:t>
      </w:r>
      <w:r w:rsidRPr="008C76DD">
        <w:rPr>
          <w:rFonts w:cs="Arial"/>
        </w:rPr>
        <w:t xml:space="preserve"> </w:t>
      </w:r>
      <w:r>
        <w:rPr>
          <w:rFonts w:cs="Arial"/>
        </w:rPr>
        <w:t>maintains that</w:t>
      </w:r>
      <w:r w:rsidRPr="008C76DD">
        <w:rPr>
          <w:rFonts w:cs="Arial"/>
        </w:rPr>
        <w:t>:</w:t>
      </w:r>
    </w:p>
    <w:p w14:paraId="094A54A8" w14:textId="77777777" w:rsidR="000D1D92" w:rsidRPr="008C76DD" w:rsidRDefault="000D1D92" w:rsidP="000D1D92">
      <w:pPr>
        <w:autoSpaceDE w:val="0"/>
        <w:autoSpaceDN w:val="0"/>
        <w:adjustRightInd w:val="0"/>
        <w:spacing w:before="0" w:after="0"/>
        <w:jc w:val="both"/>
        <w:rPr>
          <w:rFonts w:cs="Arial"/>
        </w:rPr>
      </w:pPr>
    </w:p>
    <w:p w14:paraId="039E6EB4" w14:textId="77777777" w:rsidR="000D1D92" w:rsidRDefault="000D1D92" w:rsidP="000D1D92">
      <w:pPr>
        <w:autoSpaceDE w:val="0"/>
        <w:autoSpaceDN w:val="0"/>
        <w:adjustRightInd w:val="0"/>
        <w:spacing w:before="0" w:after="0"/>
        <w:ind w:left="720"/>
        <w:jc w:val="both"/>
        <w:rPr>
          <w:rFonts w:cs="Arial"/>
        </w:rPr>
      </w:pPr>
      <w:r w:rsidRPr="00AE40E4">
        <w:rPr>
          <w:rFonts w:cs="Arial"/>
          <w:sz w:val="22"/>
          <w:szCs w:val="22"/>
        </w:rPr>
        <w:t>Children’s involvement in domestic violence is intimate and central rather than peripheral</w:t>
      </w:r>
      <w:r w:rsidRPr="008C76DD">
        <w:rPr>
          <w:rFonts w:cs="Arial"/>
        </w:rPr>
        <w:t>.</w:t>
      </w:r>
      <w:r>
        <w:rPr>
          <w:rStyle w:val="EndnoteReference"/>
          <w:rFonts w:cs="Arial"/>
        </w:rPr>
        <w:endnoteReference w:id="508"/>
      </w:r>
    </w:p>
    <w:p w14:paraId="70098F4F" w14:textId="77777777" w:rsidR="000D1D92" w:rsidRDefault="000D1D92" w:rsidP="000D1D92">
      <w:pPr>
        <w:spacing w:before="0" w:after="0"/>
        <w:jc w:val="both"/>
        <w:rPr>
          <w:rFonts w:cs="Arial"/>
        </w:rPr>
      </w:pPr>
    </w:p>
    <w:p w14:paraId="39CBB213" w14:textId="77777777" w:rsidR="000D1D92" w:rsidRDefault="000D1D92" w:rsidP="000D1D92">
      <w:pPr>
        <w:spacing w:before="0" w:after="0"/>
        <w:jc w:val="both"/>
        <w:rPr>
          <w:rFonts w:cs="Arial"/>
        </w:rPr>
      </w:pPr>
      <w:r>
        <w:rPr>
          <w:rFonts w:cs="Arial"/>
        </w:rPr>
        <w:t xml:space="preserve">The submission by the </w:t>
      </w:r>
      <w:r w:rsidRPr="00FC4B2C">
        <w:rPr>
          <w:rFonts w:cs="Arial"/>
        </w:rPr>
        <w:t xml:space="preserve">Melbourne Research Alliance to End Violence </w:t>
      </w:r>
      <w:r>
        <w:rPr>
          <w:rFonts w:cs="Arial"/>
        </w:rPr>
        <w:t>a</w:t>
      </w:r>
      <w:r w:rsidRPr="00FC4B2C">
        <w:rPr>
          <w:rFonts w:cs="Arial"/>
        </w:rPr>
        <w:t>gainst Women and their Children</w:t>
      </w:r>
      <w:r>
        <w:rPr>
          <w:rFonts w:cs="Arial"/>
        </w:rPr>
        <w:t xml:space="preserve"> argues:</w:t>
      </w:r>
    </w:p>
    <w:p w14:paraId="567B5DCA" w14:textId="77777777" w:rsidR="000D1D92" w:rsidRDefault="000D1D92" w:rsidP="000D1D92">
      <w:pPr>
        <w:spacing w:before="0" w:after="0"/>
        <w:jc w:val="both"/>
        <w:rPr>
          <w:rFonts w:cs="Arial"/>
        </w:rPr>
      </w:pPr>
    </w:p>
    <w:p w14:paraId="55C9F4E2" w14:textId="77777777" w:rsidR="000D1D92" w:rsidRDefault="000D1D92" w:rsidP="000D1D92">
      <w:pPr>
        <w:spacing w:before="0" w:after="0"/>
        <w:ind w:left="720"/>
        <w:jc w:val="both"/>
        <w:rPr>
          <w:rFonts w:cs="Arial"/>
        </w:rPr>
      </w:pPr>
      <w:r w:rsidRPr="007C25F4">
        <w:rPr>
          <w:sz w:val="22"/>
          <w:szCs w:val="22"/>
        </w:rPr>
        <w:t>The issues for children living with DFV are critical but frequently marginalised in our current response</w:t>
      </w:r>
      <w:r w:rsidRPr="00A519F4">
        <w:t>.</w:t>
      </w:r>
      <w:r w:rsidRPr="007C281C">
        <w:rPr>
          <w:rStyle w:val="EndnoteReference"/>
          <w:rFonts w:cs="Arial"/>
        </w:rPr>
        <w:t xml:space="preserve"> </w:t>
      </w:r>
      <w:r>
        <w:rPr>
          <w:rStyle w:val="EndnoteReference"/>
          <w:rFonts w:cs="Arial"/>
        </w:rPr>
        <w:endnoteReference w:id="509"/>
      </w:r>
    </w:p>
    <w:p w14:paraId="3FC46E86" w14:textId="77777777" w:rsidR="000D1D92" w:rsidRDefault="000D1D92" w:rsidP="000D1D92">
      <w:pPr>
        <w:spacing w:before="0" w:after="0"/>
        <w:jc w:val="both"/>
        <w:rPr>
          <w:rFonts w:cs="Arial"/>
        </w:rPr>
      </w:pPr>
    </w:p>
    <w:p w14:paraId="6DD0DE26" w14:textId="77777777" w:rsidR="000D1D92" w:rsidRPr="00163CCE" w:rsidRDefault="000D1D92" w:rsidP="000D1D92">
      <w:pPr>
        <w:spacing w:before="0" w:after="0"/>
        <w:jc w:val="both"/>
      </w:pPr>
      <w:r w:rsidRPr="00163CCE">
        <w:t>During the course of my examination, I met with Ms Kristy McKellar. Ms McKellar shared with me her personal experience of family and domestic violence including how it impacted on her daughter.</w:t>
      </w:r>
    </w:p>
    <w:p w14:paraId="00E73EFC" w14:textId="77777777" w:rsidR="000D1D92" w:rsidRDefault="000D1D92" w:rsidP="000D1D92">
      <w:pPr>
        <w:spacing w:before="0" w:after="0"/>
        <w:jc w:val="both"/>
        <w:rPr>
          <w:sz w:val="22"/>
          <w:szCs w:val="22"/>
        </w:rPr>
      </w:pPr>
    </w:p>
    <w:tbl>
      <w:tblPr>
        <w:tblStyle w:val="TableGrid"/>
        <w:tblW w:w="0" w:type="auto"/>
        <w:shd w:val="clear" w:color="auto" w:fill="F2F2F2" w:themeFill="background1" w:themeFillShade="F2"/>
        <w:tblLook w:val="04A0" w:firstRow="1" w:lastRow="0" w:firstColumn="1" w:lastColumn="0" w:noHBand="0" w:noVBand="1"/>
      </w:tblPr>
      <w:tblGrid>
        <w:gridCol w:w="9286"/>
      </w:tblGrid>
      <w:tr w:rsidR="000D1D92" w:rsidRPr="00605DD9" w14:paraId="52E91F1D" w14:textId="77777777" w:rsidTr="00684616">
        <w:tc>
          <w:tcPr>
            <w:tcW w:w="9286" w:type="dxa"/>
            <w:shd w:val="clear" w:color="auto" w:fill="F2F2F2" w:themeFill="background1" w:themeFillShade="F2"/>
          </w:tcPr>
          <w:p w14:paraId="426801AB" w14:textId="77777777" w:rsidR="000D1D92" w:rsidRDefault="000D1D92" w:rsidP="00684616">
            <w:pPr>
              <w:spacing w:before="0" w:after="0"/>
              <w:jc w:val="both"/>
              <w:rPr>
                <w:b/>
              </w:rPr>
            </w:pPr>
          </w:p>
          <w:p w14:paraId="2B14D8D6" w14:textId="77777777" w:rsidR="000D1D92" w:rsidRPr="00605DD9" w:rsidRDefault="000D1D92" w:rsidP="00684616">
            <w:pPr>
              <w:spacing w:before="0" w:after="0"/>
              <w:jc w:val="both"/>
              <w:rPr>
                <w:b/>
              </w:rPr>
            </w:pPr>
            <w:r w:rsidRPr="00605DD9">
              <w:rPr>
                <w:b/>
              </w:rPr>
              <w:t>Extract from Ms McKellar’s written submission</w:t>
            </w:r>
            <w:r w:rsidRPr="00605DD9">
              <w:rPr>
                <w:rStyle w:val="EndnoteReference"/>
                <w:b/>
                <w:sz w:val="24"/>
              </w:rPr>
              <w:endnoteReference w:id="510"/>
            </w:r>
          </w:p>
          <w:p w14:paraId="59CF5545" w14:textId="77777777" w:rsidR="000D1D92" w:rsidRPr="00605DD9" w:rsidRDefault="000D1D92" w:rsidP="00684616">
            <w:pPr>
              <w:spacing w:before="0" w:after="0"/>
              <w:jc w:val="both"/>
            </w:pPr>
          </w:p>
          <w:p w14:paraId="02071582" w14:textId="77777777" w:rsidR="000D1D92" w:rsidRPr="00605DD9" w:rsidRDefault="000D1D92" w:rsidP="00684616">
            <w:pPr>
              <w:spacing w:before="0" w:after="0"/>
              <w:jc w:val="both"/>
            </w:pPr>
            <w:r w:rsidRPr="00605DD9">
              <w:t>We must remain dedicated and advocate for children exposed to family violence, ensuring their experiences are validated and that they are acknowledged to be victims of these violent crimes, even if they are not at a developmental age to articulate their experiences</w:t>
            </w:r>
          </w:p>
          <w:p w14:paraId="64D0BCBE" w14:textId="77777777" w:rsidR="000D1D92" w:rsidRPr="00605DD9" w:rsidRDefault="000D1D92" w:rsidP="00684616">
            <w:pPr>
              <w:spacing w:before="0" w:after="0"/>
              <w:jc w:val="both"/>
            </w:pPr>
          </w:p>
          <w:p w14:paraId="36E5BEC9" w14:textId="77777777" w:rsidR="000D1D92" w:rsidRDefault="000D1D92" w:rsidP="00684616">
            <w:pPr>
              <w:spacing w:before="0" w:after="0"/>
              <w:jc w:val="both"/>
            </w:pPr>
            <w:r w:rsidRPr="00605DD9">
              <w:t>Initially I was the only one deemed as a primary victim of the crime. The system failed to view or recognise my daughter and her suffering. It took one year of fighting for her rights and being her voice for the Victims of Crime Assistance Tribunal to acknowledge that she too was also a primary victim of the crime and the tribunal then officially deemed her as so.</w:t>
            </w:r>
          </w:p>
          <w:p w14:paraId="26D4F5DE" w14:textId="77777777" w:rsidR="000D1D92" w:rsidRPr="00605DD9" w:rsidRDefault="000D1D92" w:rsidP="00684616">
            <w:pPr>
              <w:spacing w:before="0" w:after="0"/>
              <w:jc w:val="both"/>
            </w:pPr>
          </w:p>
        </w:tc>
      </w:tr>
    </w:tbl>
    <w:p w14:paraId="545B70BA" w14:textId="77777777" w:rsidR="000D1D92" w:rsidRDefault="000D1D92" w:rsidP="000D1D92">
      <w:pPr>
        <w:spacing w:before="0" w:after="0"/>
        <w:jc w:val="both"/>
        <w:rPr>
          <w:rFonts w:cs="Arial"/>
        </w:rPr>
      </w:pPr>
    </w:p>
    <w:p w14:paraId="53007D90" w14:textId="77777777" w:rsidR="000D1D92" w:rsidRDefault="000D1D92" w:rsidP="000D1D92">
      <w:pPr>
        <w:spacing w:before="0" w:after="0"/>
        <w:jc w:val="both"/>
      </w:pPr>
      <w:r>
        <w:t>If the DCRF</w:t>
      </w:r>
      <w:r w:rsidRPr="0015025C">
        <w:t xml:space="preserve"> </w:t>
      </w:r>
      <w:r>
        <w:t>is to be inclusive of children, some changes to the proposed guidelines will be required. For example, the data item ‘educational attainment’ where people self-report their highest level of educational attainment should include categories such as ‘currently participating in early childhood education’, ‘currently participating in primary school education’ and ‘currently participating in secondary school education’ as part of its choice list.</w:t>
      </w:r>
    </w:p>
    <w:p w14:paraId="54DDF007" w14:textId="77777777" w:rsidR="000D1D92" w:rsidRDefault="000D1D92" w:rsidP="000D1D92">
      <w:pPr>
        <w:spacing w:before="0" w:after="0"/>
        <w:jc w:val="both"/>
      </w:pPr>
    </w:p>
    <w:tbl>
      <w:tblPr>
        <w:tblStyle w:val="TableGrid"/>
        <w:tblW w:w="0" w:type="auto"/>
        <w:shd w:val="clear" w:color="auto" w:fill="F2F2F2" w:themeFill="background1" w:themeFillShade="F2"/>
        <w:tblLook w:val="04A0" w:firstRow="1" w:lastRow="0" w:firstColumn="1" w:lastColumn="0" w:noHBand="0" w:noVBand="1"/>
      </w:tblPr>
      <w:tblGrid>
        <w:gridCol w:w="9286"/>
      </w:tblGrid>
      <w:tr w:rsidR="000D1D92" w14:paraId="3EB5EAAE" w14:textId="77777777" w:rsidTr="00684616">
        <w:tc>
          <w:tcPr>
            <w:tcW w:w="9286" w:type="dxa"/>
            <w:shd w:val="clear" w:color="auto" w:fill="F2F2F2" w:themeFill="background1" w:themeFillShade="F2"/>
          </w:tcPr>
          <w:p w14:paraId="614E19E7" w14:textId="77777777" w:rsidR="000D1D92" w:rsidRDefault="000D1D92" w:rsidP="00684616">
            <w:pPr>
              <w:jc w:val="both"/>
              <w:rPr>
                <w:rFonts w:cs="Arial"/>
                <w:b/>
              </w:rPr>
            </w:pPr>
            <w:r>
              <w:rPr>
                <w:rFonts w:cs="Arial"/>
                <w:b/>
              </w:rPr>
              <w:lastRenderedPageBreak/>
              <w:t>Recommendation 4:</w:t>
            </w:r>
          </w:p>
          <w:p w14:paraId="0C449933" w14:textId="77777777" w:rsidR="000D1D92" w:rsidRDefault="000D1D92" w:rsidP="00684616">
            <w:pPr>
              <w:jc w:val="both"/>
              <w:rPr>
                <w:rFonts w:cs="Arial"/>
                <w:b/>
              </w:rPr>
            </w:pPr>
            <w:r>
              <w:rPr>
                <w:rFonts w:cs="Arial"/>
                <w:b/>
              </w:rPr>
              <w:t xml:space="preserve">Data about a child’s experience as a victim of family and domestic violence should be recorded as a separate entry in the </w:t>
            </w:r>
            <w:r w:rsidRPr="0095244B">
              <w:rPr>
                <w:rFonts w:cs="Arial"/>
                <w:b/>
              </w:rPr>
              <w:t>Australian Bureau of Statistics National Data Collection and Reporting Framework</w:t>
            </w:r>
            <w:r>
              <w:rPr>
                <w:rFonts w:cs="Arial"/>
                <w:b/>
              </w:rPr>
              <w:t>, and not just part of an adult entry.</w:t>
            </w:r>
          </w:p>
        </w:tc>
      </w:tr>
    </w:tbl>
    <w:p w14:paraId="63F8F50B" w14:textId="77777777" w:rsidR="000D1D92" w:rsidRDefault="000D1D92" w:rsidP="000D1D92">
      <w:pPr>
        <w:autoSpaceDE w:val="0"/>
        <w:autoSpaceDN w:val="0"/>
        <w:adjustRightInd w:val="0"/>
        <w:spacing w:before="0" w:after="0"/>
        <w:ind w:left="360"/>
        <w:jc w:val="both"/>
        <w:rPr>
          <w:rFonts w:cs="Arial"/>
        </w:rPr>
      </w:pPr>
    </w:p>
    <w:p w14:paraId="60DD8D0C" w14:textId="77777777" w:rsidR="000D1D92" w:rsidRDefault="000D1D92" w:rsidP="000D1D92">
      <w:pPr>
        <w:spacing w:before="0" w:after="0"/>
        <w:jc w:val="both"/>
      </w:pPr>
      <w:r>
        <w:t xml:space="preserve">It is also important to recognise that the </w:t>
      </w:r>
      <w:r w:rsidRPr="00F818D5">
        <w:t>ABS currently excludes LGBTI status</w:t>
      </w:r>
      <w:r>
        <w:t xml:space="preserve"> in the DCRF</w:t>
      </w:r>
      <w:r w:rsidRPr="00F818D5">
        <w:t xml:space="preserve"> on the basis that there is no current agreed standard for measurement.</w:t>
      </w:r>
      <w:r w:rsidRPr="00F818D5">
        <w:rPr>
          <w:rStyle w:val="EndnoteReference"/>
        </w:rPr>
        <w:endnoteReference w:id="511"/>
      </w:r>
      <w:r>
        <w:t xml:space="preserve"> The ABS acknowledges this identification as a priority.</w:t>
      </w:r>
      <w:r w:rsidRPr="00EC3AC7">
        <w:rPr>
          <w:rStyle w:val="EndnoteReference"/>
          <w:b/>
        </w:rPr>
        <w:t xml:space="preserve"> </w:t>
      </w:r>
      <w:r>
        <w:rPr>
          <w:rStyle w:val="EndnoteReference"/>
          <w:b/>
        </w:rPr>
        <w:endnoteReference w:id="512"/>
      </w:r>
      <w:r>
        <w:t xml:space="preserve"> </w:t>
      </w:r>
    </w:p>
    <w:p w14:paraId="2E78EE56" w14:textId="77777777" w:rsidR="000D1D92" w:rsidRDefault="000D1D92" w:rsidP="000D1D92">
      <w:pPr>
        <w:spacing w:before="0" w:after="0"/>
        <w:jc w:val="both"/>
      </w:pPr>
    </w:p>
    <w:tbl>
      <w:tblPr>
        <w:tblStyle w:val="TableGrid"/>
        <w:tblW w:w="0" w:type="auto"/>
        <w:tblInd w:w="-5" w:type="dxa"/>
        <w:shd w:val="clear" w:color="auto" w:fill="F2F2F2" w:themeFill="background1" w:themeFillShade="F2"/>
        <w:tblLook w:val="04A0" w:firstRow="1" w:lastRow="0" w:firstColumn="1" w:lastColumn="0" w:noHBand="0" w:noVBand="1"/>
      </w:tblPr>
      <w:tblGrid>
        <w:gridCol w:w="9065"/>
      </w:tblGrid>
      <w:tr w:rsidR="000D1D92" w14:paraId="262533A2" w14:textId="77777777" w:rsidTr="00684616">
        <w:tc>
          <w:tcPr>
            <w:tcW w:w="9065" w:type="dxa"/>
            <w:shd w:val="clear" w:color="auto" w:fill="F2F2F2" w:themeFill="background1" w:themeFillShade="F2"/>
          </w:tcPr>
          <w:p w14:paraId="705C1F13" w14:textId="77777777" w:rsidR="000D1D92" w:rsidRDefault="000D1D92" w:rsidP="00684616">
            <w:pPr>
              <w:spacing w:before="0" w:after="0"/>
              <w:jc w:val="both"/>
              <w:rPr>
                <w:b/>
              </w:rPr>
            </w:pPr>
          </w:p>
          <w:p w14:paraId="192100D5" w14:textId="77777777" w:rsidR="000D1D92" w:rsidRDefault="000D1D92" w:rsidP="00684616">
            <w:pPr>
              <w:spacing w:before="0" w:after="0"/>
              <w:jc w:val="both"/>
              <w:rPr>
                <w:b/>
              </w:rPr>
            </w:pPr>
            <w:r>
              <w:rPr>
                <w:b/>
              </w:rPr>
              <w:t>Recommendation 5:</w:t>
            </w:r>
          </w:p>
          <w:p w14:paraId="2229B8A2" w14:textId="77777777" w:rsidR="000D1D92" w:rsidRDefault="000D1D92" w:rsidP="00684616">
            <w:pPr>
              <w:spacing w:before="0" w:after="0"/>
              <w:jc w:val="both"/>
              <w:rPr>
                <w:b/>
              </w:rPr>
            </w:pPr>
          </w:p>
          <w:p w14:paraId="359CDCBE" w14:textId="77777777" w:rsidR="000D1D92" w:rsidRDefault="000D1D92" w:rsidP="00684616">
            <w:pPr>
              <w:spacing w:before="0" w:after="0"/>
              <w:jc w:val="both"/>
              <w:rPr>
                <w:b/>
              </w:rPr>
            </w:pPr>
            <w:r>
              <w:rPr>
                <w:b/>
              </w:rPr>
              <w:t xml:space="preserve">Data about lesbian, gay, bisexual, transgender and intersex status should be recorded in the </w:t>
            </w:r>
            <w:r w:rsidRPr="0095244B">
              <w:rPr>
                <w:rFonts w:cs="Arial"/>
                <w:b/>
              </w:rPr>
              <w:t>Australian Bureau of Statistics National Data Co</w:t>
            </w:r>
            <w:r>
              <w:rPr>
                <w:rFonts w:cs="Arial"/>
                <w:b/>
              </w:rPr>
              <w:t>llection and Reporting Framework.</w:t>
            </w:r>
          </w:p>
          <w:p w14:paraId="5DCD4036" w14:textId="77777777" w:rsidR="000D1D92" w:rsidRDefault="000D1D92" w:rsidP="00684616">
            <w:pPr>
              <w:spacing w:before="0" w:after="0"/>
              <w:jc w:val="both"/>
            </w:pPr>
          </w:p>
        </w:tc>
      </w:tr>
    </w:tbl>
    <w:p w14:paraId="7C3A836C" w14:textId="77777777" w:rsidR="000D1D92" w:rsidRDefault="000D1D92" w:rsidP="000D1D92">
      <w:pPr>
        <w:spacing w:before="0" w:after="0"/>
        <w:jc w:val="both"/>
      </w:pPr>
    </w:p>
    <w:p w14:paraId="6BD0C190" w14:textId="77777777" w:rsidR="000D1D92" w:rsidRDefault="000D1D92" w:rsidP="000D1D92">
      <w:pPr>
        <w:spacing w:before="0" w:after="0"/>
        <w:jc w:val="both"/>
      </w:pPr>
      <w:r>
        <w:t xml:space="preserve">I also note that </w:t>
      </w:r>
      <w:r w:rsidRPr="006F2CBA">
        <w:t>the</w:t>
      </w:r>
      <w:r>
        <w:rPr>
          <w:b/>
        </w:rPr>
        <w:t xml:space="preserve"> ABS 2012 Personal Safety Survey does not provide prevalence estimates of physical abuse and sexual abuse experienced by vulnerable groups of children</w:t>
      </w:r>
      <w:r>
        <w:t xml:space="preserve">, including </w:t>
      </w:r>
      <w:r w:rsidRPr="00842167">
        <w:t>Aboriginal and Torres Strait Islander children, children living with disabilities, children from culturally and linguistically diverse backgrounds</w:t>
      </w:r>
      <w:r>
        <w:t>,</w:t>
      </w:r>
      <w:r w:rsidRPr="00842167">
        <w:t xml:space="preserve"> </w:t>
      </w:r>
      <w:r>
        <w:t>asylum seeking or refugee children, children with a past or current involvement with child protection services, children living in regional, rural and remote areas,</w:t>
      </w:r>
      <w:r w:rsidRPr="00842167">
        <w:t xml:space="preserve"> and lesbian, gay, bisexual, transgender and intersex children.</w:t>
      </w:r>
    </w:p>
    <w:p w14:paraId="429EB0EA" w14:textId="77777777" w:rsidR="000D1D92" w:rsidRDefault="000D1D92" w:rsidP="000D1D92">
      <w:pPr>
        <w:spacing w:before="0" w:after="0"/>
        <w:jc w:val="both"/>
      </w:pPr>
    </w:p>
    <w:p w14:paraId="5CF5E7BC" w14:textId="77777777" w:rsidR="000D1D92" w:rsidRDefault="000D1D92" w:rsidP="000D1D92">
      <w:pPr>
        <w:spacing w:before="0" w:after="0"/>
        <w:jc w:val="both"/>
        <w:rPr>
          <w:rFonts w:cs="Arial"/>
          <w:bCs/>
        </w:rPr>
      </w:pPr>
      <w:r>
        <w:t>The Senate Finance and Public</w:t>
      </w:r>
      <w:r w:rsidRPr="00A62146">
        <w:rPr>
          <w:rFonts w:cs="Arial"/>
          <w:bCs/>
        </w:rPr>
        <w:t xml:space="preserve"> </w:t>
      </w:r>
      <w:r>
        <w:rPr>
          <w:rFonts w:cs="Arial"/>
          <w:bCs/>
        </w:rPr>
        <w:t>Administration References Committee released its report about domestic violence in Australia mid-way through my national examination.</w:t>
      </w:r>
      <w:r>
        <w:rPr>
          <w:rStyle w:val="EndnoteReference"/>
          <w:rFonts w:cs="Arial"/>
          <w:bCs/>
          <w:szCs w:val="22"/>
        </w:rPr>
        <w:endnoteReference w:id="513"/>
      </w:r>
    </w:p>
    <w:p w14:paraId="60C7F242" w14:textId="77777777" w:rsidR="000D1D92" w:rsidRDefault="000D1D92" w:rsidP="000D1D92">
      <w:pPr>
        <w:spacing w:before="0" w:after="0"/>
        <w:jc w:val="both"/>
        <w:rPr>
          <w:rFonts w:cs="Arial"/>
          <w:bCs/>
        </w:rPr>
      </w:pPr>
    </w:p>
    <w:p w14:paraId="71A5BB72" w14:textId="77777777" w:rsidR="000D1D92" w:rsidRDefault="000D1D92" w:rsidP="000D1D92">
      <w:pPr>
        <w:spacing w:before="0" w:after="0"/>
        <w:jc w:val="both"/>
        <w:rPr>
          <w:rFonts w:cs="Arial"/>
          <w:bCs/>
        </w:rPr>
      </w:pPr>
      <w:r>
        <w:rPr>
          <w:rFonts w:cs="Arial"/>
          <w:bCs/>
        </w:rPr>
        <w:t>The Senate Committee’s report specifically recommended that vulnerable groups be included in the next ABS Public Safety Survey:</w:t>
      </w:r>
    </w:p>
    <w:p w14:paraId="7E14ECB6" w14:textId="77777777" w:rsidR="000D1D92" w:rsidRPr="0066368D" w:rsidRDefault="000D1D92" w:rsidP="000D1D92">
      <w:pPr>
        <w:autoSpaceDE w:val="0"/>
        <w:autoSpaceDN w:val="0"/>
        <w:adjustRightInd w:val="0"/>
        <w:spacing w:before="0" w:after="0"/>
        <w:jc w:val="both"/>
        <w:rPr>
          <w:rFonts w:cs="Arial"/>
          <w:bCs/>
        </w:rPr>
      </w:pPr>
    </w:p>
    <w:p w14:paraId="03C9FC54" w14:textId="77777777" w:rsidR="000D1D92" w:rsidRDefault="000D1D92" w:rsidP="000D1D92">
      <w:pPr>
        <w:autoSpaceDE w:val="0"/>
        <w:autoSpaceDN w:val="0"/>
        <w:adjustRightInd w:val="0"/>
        <w:spacing w:before="0" w:after="0"/>
        <w:ind w:left="720"/>
        <w:jc w:val="both"/>
        <w:rPr>
          <w:rFonts w:cs="Arial"/>
          <w:bCs/>
          <w:sz w:val="22"/>
          <w:szCs w:val="22"/>
        </w:rPr>
      </w:pPr>
      <w:r w:rsidRPr="0066368D">
        <w:rPr>
          <w:rFonts w:cs="Arial"/>
          <w:bCs/>
          <w:sz w:val="22"/>
          <w:szCs w:val="22"/>
        </w:rPr>
        <w:t>The Australian Bureau of Statistics, along with Commonwealth, state and territory bodies involved in the development of the Personal Safety Survey consider the concerns raised during this inquiry about the adequacy of sampling sizes of particular subgroups within the community, such as women with a disability, women from culturally and linguistically diverse backgrounds, immigrant and refugee women, and Indigenous communities and endeavour to address these issues prior to the conduct of the next PSS.</w:t>
      </w:r>
      <w:r>
        <w:rPr>
          <w:rStyle w:val="EndnoteReference"/>
          <w:rFonts w:cs="Arial"/>
          <w:bCs/>
          <w:szCs w:val="22"/>
        </w:rPr>
        <w:endnoteReference w:id="514"/>
      </w:r>
    </w:p>
    <w:p w14:paraId="76E1DFE1" w14:textId="77777777" w:rsidR="000D1D92" w:rsidRDefault="000D1D92" w:rsidP="000D1D92">
      <w:pPr>
        <w:spacing w:before="0" w:after="0"/>
        <w:jc w:val="both"/>
      </w:pPr>
    </w:p>
    <w:tbl>
      <w:tblPr>
        <w:tblStyle w:val="TableGrid"/>
        <w:tblW w:w="0" w:type="auto"/>
        <w:shd w:val="clear" w:color="auto" w:fill="F2F2F2" w:themeFill="background1" w:themeFillShade="F2"/>
        <w:tblLook w:val="04A0" w:firstRow="1" w:lastRow="0" w:firstColumn="1" w:lastColumn="0" w:noHBand="0" w:noVBand="1"/>
      </w:tblPr>
      <w:tblGrid>
        <w:gridCol w:w="9286"/>
      </w:tblGrid>
      <w:tr w:rsidR="000D1D92" w14:paraId="5EAA112D" w14:textId="77777777" w:rsidTr="00684616">
        <w:tc>
          <w:tcPr>
            <w:tcW w:w="9286" w:type="dxa"/>
            <w:shd w:val="clear" w:color="auto" w:fill="F2F2F2" w:themeFill="background1" w:themeFillShade="F2"/>
          </w:tcPr>
          <w:p w14:paraId="5256B1E0" w14:textId="77777777" w:rsidR="000D1D92" w:rsidRDefault="000D1D92" w:rsidP="00684616">
            <w:pPr>
              <w:spacing w:before="0" w:after="0"/>
              <w:jc w:val="both"/>
              <w:rPr>
                <w:b/>
              </w:rPr>
            </w:pPr>
          </w:p>
          <w:p w14:paraId="62F2B105" w14:textId="77777777" w:rsidR="000D1D92" w:rsidRDefault="000D1D92" w:rsidP="00684616">
            <w:pPr>
              <w:spacing w:before="0" w:after="0"/>
              <w:jc w:val="both"/>
              <w:rPr>
                <w:b/>
              </w:rPr>
            </w:pPr>
            <w:r>
              <w:rPr>
                <w:b/>
              </w:rPr>
              <w:t>Recommendation 6:</w:t>
            </w:r>
          </w:p>
          <w:p w14:paraId="137DF412" w14:textId="77777777" w:rsidR="000D1D92" w:rsidRDefault="000D1D92" w:rsidP="00684616">
            <w:pPr>
              <w:spacing w:before="0" w:after="0"/>
              <w:jc w:val="both"/>
              <w:rPr>
                <w:b/>
              </w:rPr>
            </w:pPr>
          </w:p>
          <w:p w14:paraId="6209158D" w14:textId="77777777" w:rsidR="000D1D92" w:rsidRDefault="000D1D92" w:rsidP="00684616">
            <w:pPr>
              <w:spacing w:before="0" w:after="0"/>
              <w:jc w:val="both"/>
              <w:rPr>
                <w:b/>
              </w:rPr>
            </w:pPr>
            <w:r>
              <w:rPr>
                <w:b/>
              </w:rPr>
              <w:t>The A</w:t>
            </w:r>
            <w:r w:rsidRPr="0095244B">
              <w:rPr>
                <w:b/>
              </w:rPr>
              <w:t xml:space="preserve">nnual </w:t>
            </w:r>
            <w:r>
              <w:rPr>
                <w:b/>
              </w:rPr>
              <w:t xml:space="preserve">Progress Reports of the </w:t>
            </w:r>
            <w:r w:rsidRPr="0095244B">
              <w:rPr>
                <w:b/>
              </w:rPr>
              <w:t xml:space="preserve">National Plan to Reduce Violence </w:t>
            </w:r>
            <w:r>
              <w:rPr>
                <w:b/>
              </w:rPr>
              <w:t>a</w:t>
            </w:r>
            <w:r w:rsidRPr="0095244B">
              <w:rPr>
                <w:b/>
              </w:rPr>
              <w:t>gainst Women and their Children</w:t>
            </w:r>
            <w:r>
              <w:rPr>
                <w:b/>
              </w:rPr>
              <w:t xml:space="preserve"> should detail how the Australian Bureau of Statistics Personal Safety Survey is working towards </w:t>
            </w:r>
            <w:r w:rsidRPr="0095244B">
              <w:rPr>
                <w:b/>
              </w:rPr>
              <w:t>surveying adequate sampling sizes across vulnerable groups.</w:t>
            </w:r>
          </w:p>
          <w:p w14:paraId="118CB936" w14:textId="77777777" w:rsidR="000D1D92" w:rsidRDefault="000D1D92" w:rsidP="00684616">
            <w:pPr>
              <w:spacing w:before="0" w:after="0"/>
              <w:jc w:val="both"/>
            </w:pPr>
          </w:p>
        </w:tc>
      </w:tr>
    </w:tbl>
    <w:p w14:paraId="3D61CCE8" w14:textId="77777777" w:rsidR="000D1D92" w:rsidRDefault="000D1D92" w:rsidP="000D1D92">
      <w:pPr>
        <w:spacing w:before="0" w:after="0"/>
        <w:jc w:val="both"/>
      </w:pPr>
    </w:p>
    <w:p w14:paraId="6BFEA6C9" w14:textId="77777777" w:rsidR="000D1D92" w:rsidRDefault="000D1D92" w:rsidP="000D1D92">
      <w:pPr>
        <w:spacing w:before="0" w:after="0"/>
        <w:jc w:val="both"/>
      </w:pPr>
    </w:p>
    <w:tbl>
      <w:tblPr>
        <w:tblStyle w:val="TableGrid"/>
        <w:tblW w:w="0" w:type="auto"/>
        <w:shd w:val="clear" w:color="auto" w:fill="000000" w:themeFill="text1"/>
        <w:tblLook w:val="04A0" w:firstRow="1" w:lastRow="0" w:firstColumn="1" w:lastColumn="0" w:noHBand="0" w:noVBand="1"/>
      </w:tblPr>
      <w:tblGrid>
        <w:gridCol w:w="9060"/>
      </w:tblGrid>
      <w:tr w:rsidR="000D1D92" w:rsidRPr="007407A6" w14:paraId="58680A71" w14:textId="77777777" w:rsidTr="00684616">
        <w:trPr>
          <w:trHeight w:val="1294"/>
        </w:trPr>
        <w:tc>
          <w:tcPr>
            <w:tcW w:w="9060" w:type="dxa"/>
            <w:shd w:val="clear" w:color="auto" w:fill="F2F2F2" w:themeFill="background1" w:themeFillShade="F2"/>
            <w:vAlign w:val="center"/>
          </w:tcPr>
          <w:p w14:paraId="23516A4D" w14:textId="77777777" w:rsidR="000D1D92" w:rsidRDefault="000D1D92" w:rsidP="00684616">
            <w:pPr>
              <w:spacing w:before="0" w:after="0"/>
              <w:rPr>
                <w:b/>
              </w:rPr>
            </w:pPr>
          </w:p>
          <w:p w14:paraId="0567DA6D" w14:textId="77777777" w:rsidR="000D1D92" w:rsidRDefault="000D1D92" w:rsidP="00684616">
            <w:pPr>
              <w:spacing w:before="0" w:after="0"/>
              <w:rPr>
                <w:b/>
              </w:rPr>
            </w:pPr>
            <w:r>
              <w:rPr>
                <w:b/>
              </w:rPr>
              <w:t>Summary</w:t>
            </w:r>
          </w:p>
          <w:p w14:paraId="7C3341E3" w14:textId="77777777" w:rsidR="000D1D92" w:rsidRPr="007407A6" w:rsidRDefault="000D1D92" w:rsidP="00684616">
            <w:pPr>
              <w:spacing w:before="0" w:after="0"/>
              <w:jc w:val="both"/>
              <w:rPr>
                <w:b/>
              </w:rPr>
            </w:pPr>
          </w:p>
          <w:p w14:paraId="5573ADCE" w14:textId="77777777" w:rsidR="000D1D92" w:rsidRDefault="000D1D92" w:rsidP="00684616">
            <w:pPr>
              <w:spacing w:before="0" w:after="0"/>
              <w:jc w:val="both"/>
              <w:rPr>
                <w:b/>
              </w:rPr>
            </w:pPr>
            <w:r w:rsidRPr="007407A6">
              <w:rPr>
                <w:b/>
              </w:rPr>
              <w:t>Definitional challenges in relation to children affected by family and domestic violence and how this impacts on the data that is collected about them</w:t>
            </w:r>
          </w:p>
          <w:p w14:paraId="51DF99EB" w14:textId="77777777" w:rsidR="000D1D92" w:rsidRDefault="000D1D92" w:rsidP="00684616">
            <w:pPr>
              <w:spacing w:before="0" w:after="0"/>
              <w:jc w:val="both"/>
              <w:rPr>
                <w:b/>
              </w:rPr>
            </w:pPr>
          </w:p>
          <w:p w14:paraId="0A209D4C" w14:textId="77777777" w:rsidR="000D1D92" w:rsidRDefault="000D1D92" w:rsidP="00684616">
            <w:pPr>
              <w:spacing w:before="0" w:after="0"/>
              <w:jc w:val="both"/>
            </w:pPr>
            <w:r>
              <w:t>A key challenge in addressing family and domestic violence and its impact on children and young people is the lack of consistent terms and definitions used across the state and territory jurisdictions.</w:t>
            </w:r>
          </w:p>
          <w:p w14:paraId="203F26AE" w14:textId="77777777" w:rsidR="000D1D92" w:rsidRDefault="000D1D92" w:rsidP="00684616">
            <w:pPr>
              <w:spacing w:before="0" w:after="0"/>
              <w:jc w:val="both"/>
            </w:pPr>
          </w:p>
          <w:p w14:paraId="31BBB249" w14:textId="77777777" w:rsidR="000D1D92" w:rsidRDefault="000D1D92" w:rsidP="00684616">
            <w:pPr>
              <w:spacing w:before="0" w:after="0"/>
              <w:jc w:val="both"/>
            </w:pPr>
            <w:r>
              <w:t>Under the National Plan to Reduce Violence against Women and their Children, work is being done by the ABS to implement a national data collection and reporting framework (DCRF). This framework uses behaviour-based definitions of family, domestic or sexual violence to capture cohesive national data about family and domestic violence.</w:t>
            </w:r>
          </w:p>
          <w:p w14:paraId="08B36288" w14:textId="77777777" w:rsidR="000D1D92" w:rsidRDefault="000D1D92" w:rsidP="00684616">
            <w:pPr>
              <w:spacing w:before="0" w:after="0"/>
              <w:jc w:val="both"/>
            </w:pPr>
          </w:p>
          <w:p w14:paraId="64D79DDF" w14:textId="77777777" w:rsidR="000D1D92" w:rsidRDefault="000D1D92" w:rsidP="00684616">
            <w:pPr>
              <w:spacing w:before="0" w:after="0"/>
              <w:jc w:val="both"/>
            </w:pPr>
            <w:r>
              <w:t>Invariably, the definitional issues are complex and while the approach of the ABS in terms of the potential of behaviour-based definitions offers promise, much work remains to be done to achieve behaviour-based definitions that are fully inclusive of children.</w:t>
            </w:r>
          </w:p>
          <w:p w14:paraId="3ED06321" w14:textId="77777777" w:rsidR="000D1D92" w:rsidRDefault="000D1D92" w:rsidP="00684616">
            <w:pPr>
              <w:spacing w:before="0" w:after="0"/>
              <w:jc w:val="both"/>
            </w:pPr>
          </w:p>
          <w:p w14:paraId="5B77D123" w14:textId="77777777" w:rsidR="000D1D92" w:rsidRDefault="000D1D92" w:rsidP="00684616">
            <w:pPr>
              <w:spacing w:before="0" w:after="0"/>
              <w:jc w:val="both"/>
            </w:pPr>
            <w:r>
              <w:t>As a nation, we must be able to consistently identify those children affected by family and domestic violence. Where children are identified, more information must be recorded and collected to inform our evidence-base.</w:t>
            </w:r>
          </w:p>
          <w:p w14:paraId="1E9F17FD" w14:textId="77777777" w:rsidR="000D1D92" w:rsidRPr="007407A6" w:rsidRDefault="000D1D92" w:rsidP="00684616">
            <w:pPr>
              <w:spacing w:before="0" w:after="0"/>
              <w:jc w:val="both"/>
              <w:rPr>
                <w:b/>
              </w:rPr>
            </w:pPr>
          </w:p>
        </w:tc>
      </w:tr>
    </w:tbl>
    <w:p w14:paraId="2A658079" w14:textId="77777777" w:rsidR="000D1D92" w:rsidRPr="005244AF" w:rsidRDefault="000D1D92" w:rsidP="000D1D92">
      <w:pPr>
        <w:pStyle w:val="Heading3"/>
        <w:jc w:val="both"/>
      </w:pPr>
      <w:bookmarkStart w:id="181" w:name="_Toc430702116"/>
      <w:bookmarkStart w:id="182" w:name="_Toc432061272"/>
      <w:r w:rsidRPr="005244AF">
        <w:t>How do children experience family and domestic violence?</w:t>
      </w:r>
      <w:bookmarkEnd w:id="181"/>
      <w:bookmarkEnd w:id="182"/>
    </w:p>
    <w:p w14:paraId="12FE5942" w14:textId="77777777" w:rsidR="000D1D92" w:rsidRDefault="000D1D92" w:rsidP="000D1D92">
      <w:pPr>
        <w:autoSpaceDE w:val="0"/>
        <w:autoSpaceDN w:val="0"/>
        <w:adjustRightInd w:val="0"/>
        <w:spacing w:before="0" w:after="0"/>
        <w:jc w:val="both"/>
        <w:rPr>
          <w:rFonts w:cs="Arial"/>
        </w:rPr>
      </w:pPr>
      <w:r>
        <w:rPr>
          <w:rFonts w:cs="Arial"/>
        </w:rPr>
        <w:t>Children’s experiences of family and domestic violence are typically described as ‘</w:t>
      </w:r>
      <w:r w:rsidRPr="00EA66C1">
        <w:rPr>
          <w:rFonts w:cs="Arial"/>
        </w:rPr>
        <w:t>witnessing</w:t>
      </w:r>
      <w:r>
        <w:rPr>
          <w:rFonts w:cs="Arial"/>
        </w:rPr>
        <w:t xml:space="preserve"> violence’</w:t>
      </w:r>
      <w:r w:rsidRPr="00EA66C1">
        <w:rPr>
          <w:rFonts w:cs="Arial"/>
        </w:rPr>
        <w:t xml:space="preserve">, </w:t>
      </w:r>
      <w:r>
        <w:rPr>
          <w:rFonts w:cs="Arial"/>
        </w:rPr>
        <w:t>‘being exposed to violence’</w:t>
      </w:r>
      <w:r w:rsidRPr="00EA66C1">
        <w:rPr>
          <w:rFonts w:cs="Arial"/>
        </w:rPr>
        <w:t xml:space="preserve">, </w:t>
      </w:r>
      <w:r>
        <w:rPr>
          <w:rFonts w:cs="Arial"/>
        </w:rPr>
        <w:t xml:space="preserve">and ‘being </w:t>
      </w:r>
      <w:r w:rsidRPr="00EA66C1">
        <w:rPr>
          <w:rFonts w:cs="Arial"/>
        </w:rPr>
        <w:t>direct</w:t>
      </w:r>
      <w:r>
        <w:rPr>
          <w:rFonts w:cs="Arial"/>
        </w:rPr>
        <w:t>ly</w:t>
      </w:r>
      <w:r w:rsidRPr="00EA66C1">
        <w:rPr>
          <w:rFonts w:cs="Arial"/>
        </w:rPr>
        <w:t xml:space="preserve"> abuse</w:t>
      </w:r>
      <w:r>
        <w:rPr>
          <w:rFonts w:cs="Arial"/>
        </w:rPr>
        <w:t>d in the context of family and domestic violence’.</w:t>
      </w:r>
      <w:r w:rsidRPr="00187CF0">
        <w:rPr>
          <w:rStyle w:val="EndnoteReference"/>
          <w:rFonts w:cs="Arial"/>
          <w:szCs w:val="20"/>
        </w:rPr>
        <w:endnoteReference w:id="515"/>
      </w:r>
      <w:r w:rsidRPr="00EA66C1">
        <w:rPr>
          <w:rFonts w:cs="Arial"/>
        </w:rPr>
        <w:t xml:space="preserve"> </w:t>
      </w:r>
    </w:p>
    <w:p w14:paraId="42B2EE67" w14:textId="77777777" w:rsidR="000D1D92" w:rsidRDefault="000D1D92" w:rsidP="000D1D92">
      <w:pPr>
        <w:autoSpaceDE w:val="0"/>
        <w:autoSpaceDN w:val="0"/>
        <w:adjustRightInd w:val="0"/>
        <w:spacing w:before="0" w:after="0"/>
        <w:jc w:val="both"/>
        <w:rPr>
          <w:rFonts w:cs="Arial"/>
        </w:rPr>
      </w:pPr>
    </w:p>
    <w:p w14:paraId="6570AC73" w14:textId="77777777" w:rsidR="000D1D92" w:rsidRDefault="000D1D92" w:rsidP="000D1D92">
      <w:pPr>
        <w:autoSpaceDE w:val="0"/>
        <w:autoSpaceDN w:val="0"/>
        <w:adjustRightInd w:val="0"/>
        <w:spacing w:before="0" w:after="0"/>
        <w:jc w:val="both"/>
        <w:rPr>
          <w:rFonts w:cs="Arial"/>
        </w:rPr>
      </w:pPr>
      <w:r>
        <w:rPr>
          <w:rFonts w:cs="Arial"/>
        </w:rPr>
        <w:t xml:space="preserve">The experiences of children </w:t>
      </w:r>
      <w:r w:rsidRPr="00933E37">
        <w:rPr>
          <w:rFonts w:cs="Arial"/>
          <w:b/>
        </w:rPr>
        <w:t>witnessing violence</w:t>
      </w:r>
      <w:r>
        <w:rPr>
          <w:rFonts w:cs="Arial"/>
        </w:rPr>
        <w:t xml:space="preserve"> are said to include:</w:t>
      </w:r>
    </w:p>
    <w:p w14:paraId="2E94991C" w14:textId="77777777" w:rsidR="000D1D92" w:rsidRDefault="000D1D92" w:rsidP="000D1D92">
      <w:pPr>
        <w:autoSpaceDE w:val="0"/>
        <w:autoSpaceDN w:val="0"/>
        <w:adjustRightInd w:val="0"/>
        <w:spacing w:before="0" w:after="0"/>
        <w:jc w:val="both"/>
        <w:rPr>
          <w:rFonts w:cs="Arial"/>
        </w:rPr>
      </w:pPr>
    </w:p>
    <w:p w14:paraId="15C29F24" w14:textId="77777777" w:rsidR="000D1D92" w:rsidRPr="00500240" w:rsidRDefault="000D1D92" w:rsidP="000D1D92">
      <w:pPr>
        <w:autoSpaceDE w:val="0"/>
        <w:autoSpaceDN w:val="0"/>
        <w:adjustRightInd w:val="0"/>
        <w:spacing w:before="0" w:after="0"/>
        <w:ind w:left="720"/>
        <w:jc w:val="both"/>
        <w:rPr>
          <w:rFonts w:cs="Arial"/>
          <w:sz w:val="22"/>
          <w:szCs w:val="22"/>
        </w:rPr>
      </w:pPr>
      <w:r>
        <w:rPr>
          <w:rFonts w:cs="Arial"/>
          <w:sz w:val="22"/>
          <w:szCs w:val="22"/>
        </w:rPr>
        <w:t>• h</w:t>
      </w:r>
      <w:r w:rsidRPr="00500240">
        <w:rPr>
          <w:rFonts w:cs="Arial"/>
          <w:sz w:val="22"/>
          <w:szCs w:val="22"/>
        </w:rPr>
        <w:t>earing the violence</w:t>
      </w:r>
    </w:p>
    <w:p w14:paraId="665FE4FE" w14:textId="77777777" w:rsidR="000D1D92" w:rsidRPr="00500240" w:rsidRDefault="000D1D92" w:rsidP="000D1D92">
      <w:pPr>
        <w:autoSpaceDE w:val="0"/>
        <w:autoSpaceDN w:val="0"/>
        <w:adjustRightInd w:val="0"/>
        <w:spacing w:before="0" w:after="0"/>
        <w:ind w:left="720"/>
        <w:jc w:val="both"/>
        <w:rPr>
          <w:rFonts w:cs="Arial"/>
          <w:sz w:val="22"/>
          <w:szCs w:val="22"/>
        </w:rPr>
      </w:pPr>
      <w:r>
        <w:rPr>
          <w:rFonts w:cs="Arial"/>
          <w:sz w:val="22"/>
          <w:szCs w:val="22"/>
        </w:rPr>
        <w:t>• b</w:t>
      </w:r>
      <w:r w:rsidRPr="00500240">
        <w:rPr>
          <w:rFonts w:cs="Arial"/>
          <w:sz w:val="22"/>
          <w:szCs w:val="22"/>
        </w:rPr>
        <w:t>eing used as a physical weapon</w:t>
      </w:r>
    </w:p>
    <w:p w14:paraId="07E0D7F7" w14:textId="77777777" w:rsidR="000D1D92" w:rsidRPr="00500240" w:rsidRDefault="000D1D92" w:rsidP="000D1D92">
      <w:pPr>
        <w:autoSpaceDE w:val="0"/>
        <w:autoSpaceDN w:val="0"/>
        <w:adjustRightInd w:val="0"/>
        <w:spacing w:before="0" w:after="0"/>
        <w:ind w:left="720"/>
        <w:jc w:val="both"/>
        <w:rPr>
          <w:rFonts w:cs="Arial"/>
          <w:sz w:val="22"/>
          <w:szCs w:val="22"/>
        </w:rPr>
      </w:pPr>
      <w:r>
        <w:rPr>
          <w:rFonts w:cs="Arial"/>
          <w:sz w:val="22"/>
          <w:szCs w:val="22"/>
        </w:rPr>
        <w:t>• b</w:t>
      </w:r>
      <w:r w:rsidRPr="00500240">
        <w:rPr>
          <w:rFonts w:cs="Arial"/>
          <w:sz w:val="22"/>
          <w:szCs w:val="22"/>
        </w:rPr>
        <w:t>eing forced to watch or participate in assaults</w:t>
      </w:r>
    </w:p>
    <w:p w14:paraId="57C9E397" w14:textId="77777777" w:rsidR="000D1D92" w:rsidRPr="00500240" w:rsidRDefault="000D1D92" w:rsidP="000D1D92">
      <w:pPr>
        <w:autoSpaceDE w:val="0"/>
        <w:autoSpaceDN w:val="0"/>
        <w:adjustRightInd w:val="0"/>
        <w:spacing w:before="0" w:after="0"/>
        <w:ind w:left="720"/>
        <w:jc w:val="both"/>
        <w:rPr>
          <w:rFonts w:cs="Arial"/>
          <w:sz w:val="22"/>
          <w:szCs w:val="22"/>
        </w:rPr>
      </w:pPr>
      <w:r>
        <w:rPr>
          <w:rFonts w:cs="Arial"/>
          <w:sz w:val="22"/>
          <w:szCs w:val="22"/>
        </w:rPr>
        <w:t>• b</w:t>
      </w:r>
      <w:r w:rsidRPr="00500240">
        <w:rPr>
          <w:rFonts w:cs="Arial"/>
          <w:sz w:val="22"/>
          <w:szCs w:val="22"/>
        </w:rPr>
        <w:t>eing forced to spy on a parent</w:t>
      </w:r>
    </w:p>
    <w:p w14:paraId="772CEEEB" w14:textId="77777777" w:rsidR="000D1D92" w:rsidRPr="00500240" w:rsidRDefault="000D1D92" w:rsidP="000D1D92">
      <w:pPr>
        <w:autoSpaceDE w:val="0"/>
        <w:autoSpaceDN w:val="0"/>
        <w:adjustRightInd w:val="0"/>
        <w:spacing w:before="0" w:after="0"/>
        <w:ind w:left="720"/>
        <w:jc w:val="both"/>
        <w:rPr>
          <w:rFonts w:cs="Arial"/>
          <w:sz w:val="22"/>
          <w:szCs w:val="22"/>
        </w:rPr>
      </w:pPr>
      <w:r>
        <w:rPr>
          <w:rFonts w:cs="Arial"/>
          <w:sz w:val="22"/>
          <w:szCs w:val="22"/>
        </w:rPr>
        <w:t>• b</w:t>
      </w:r>
      <w:r w:rsidRPr="00500240">
        <w:rPr>
          <w:rFonts w:cs="Arial"/>
          <w:sz w:val="22"/>
          <w:szCs w:val="22"/>
        </w:rPr>
        <w:t xml:space="preserve">eing informed that they are to blame for </w:t>
      </w:r>
      <w:r>
        <w:rPr>
          <w:rFonts w:cs="Arial"/>
          <w:sz w:val="22"/>
          <w:szCs w:val="22"/>
        </w:rPr>
        <w:t xml:space="preserve">the violence because of their </w:t>
      </w:r>
      <w:r w:rsidRPr="00500240">
        <w:rPr>
          <w:rFonts w:cs="Arial"/>
          <w:sz w:val="22"/>
          <w:szCs w:val="22"/>
        </w:rPr>
        <w:t>behaviour</w:t>
      </w:r>
    </w:p>
    <w:p w14:paraId="11D6B020" w14:textId="77777777" w:rsidR="000D1D92" w:rsidRPr="00500240" w:rsidRDefault="000D1D92" w:rsidP="000D1D92">
      <w:pPr>
        <w:autoSpaceDE w:val="0"/>
        <w:autoSpaceDN w:val="0"/>
        <w:adjustRightInd w:val="0"/>
        <w:spacing w:before="0" w:after="0"/>
        <w:ind w:left="720"/>
        <w:jc w:val="both"/>
        <w:rPr>
          <w:rFonts w:cs="Arial"/>
          <w:sz w:val="22"/>
          <w:szCs w:val="22"/>
        </w:rPr>
      </w:pPr>
      <w:r>
        <w:rPr>
          <w:rFonts w:cs="Arial"/>
          <w:sz w:val="22"/>
          <w:szCs w:val="22"/>
        </w:rPr>
        <w:t>• b</w:t>
      </w:r>
      <w:r w:rsidRPr="00500240">
        <w:rPr>
          <w:rFonts w:cs="Arial"/>
          <w:sz w:val="22"/>
          <w:szCs w:val="22"/>
        </w:rPr>
        <w:t>eing used as a hostage</w:t>
      </w:r>
    </w:p>
    <w:p w14:paraId="742F6DC0" w14:textId="77777777" w:rsidR="000D1D92" w:rsidRPr="00500240" w:rsidRDefault="000D1D92" w:rsidP="000D1D92">
      <w:pPr>
        <w:autoSpaceDE w:val="0"/>
        <w:autoSpaceDN w:val="0"/>
        <w:adjustRightInd w:val="0"/>
        <w:spacing w:before="0" w:after="0"/>
        <w:ind w:left="720"/>
        <w:jc w:val="both"/>
        <w:rPr>
          <w:rFonts w:cs="Arial"/>
          <w:sz w:val="22"/>
          <w:szCs w:val="22"/>
        </w:rPr>
      </w:pPr>
      <w:r>
        <w:rPr>
          <w:rFonts w:cs="Arial"/>
          <w:sz w:val="22"/>
          <w:szCs w:val="22"/>
        </w:rPr>
        <w:t>• d</w:t>
      </w:r>
      <w:r w:rsidRPr="00500240">
        <w:rPr>
          <w:rFonts w:cs="Arial"/>
          <w:sz w:val="22"/>
          <w:szCs w:val="22"/>
        </w:rPr>
        <w:t>efending a parent against the violence</w:t>
      </w:r>
    </w:p>
    <w:p w14:paraId="5A924C72" w14:textId="77777777" w:rsidR="000D1D92" w:rsidRPr="00EA66C1" w:rsidRDefault="000D1D92" w:rsidP="000D1D92">
      <w:pPr>
        <w:autoSpaceDE w:val="0"/>
        <w:autoSpaceDN w:val="0"/>
        <w:adjustRightInd w:val="0"/>
        <w:spacing w:before="0" w:after="0"/>
        <w:ind w:left="720"/>
        <w:jc w:val="both"/>
        <w:rPr>
          <w:rFonts w:cs="Arial"/>
        </w:rPr>
      </w:pPr>
      <w:r>
        <w:rPr>
          <w:rFonts w:cs="Arial"/>
          <w:sz w:val="22"/>
          <w:szCs w:val="22"/>
        </w:rPr>
        <w:t>• in</w:t>
      </w:r>
      <w:r w:rsidRPr="00500240">
        <w:rPr>
          <w:rFonts w:cs="Arial"/>
          <w:sz w:val="22"/>
          <w:szCs w:val="22"/>
        </w:rPr>
        <w:t>tervening to stop the violence</w:t>
      </w:r>
      <w:r w:rsidRPr="00EA66C1">
        <w:rPr>
          <w:rFonts w:cs="Arial"/>
        </w:rPr>
        <w:t>.</w:t>
      </w:r>
      <w:r w:rsidRPr="00EA66C1">
        <w:rPr>
          <w:rStyle w:val="EndnoteReference"/>
          <w:rFonts w:cs="Arial"/>
          <w:sz w:val="24"/>
        </w:rPr>
        <w:endnoteReference w:id="516"/>
      </w:r>
    </w:p>
    <w:p w14:paraId="398B8842" w14:textId="77777777" w:rsidR="000D1D92" w:rsidRDefault="000D1D92" w:rsidP="000D1D92">
      <w:pPr>
        <w:autoSpaceDE w:val="0"/>
        <w:autoSpaceDN w:val="0"/>
        <w:adjustRightInd w:val="0"/>
        <w:spacing w:before="0" w:after="0"/>
        <w:jc w:val="both"/>
        <w:rPr>
          <w:rFonts w:cs="Arial"/>
        </w:rPr>
      </w:pPr>
    </w:p>
    <w:p w14:paraId="38F71375" w14:textId="77777777" w:rsidR="000D1D92" w:rsidRDefault="000D1D92" w:rsidP="000D1D92">
      <w:pPr>
        <w:autoSpaceDE w:val="0"/>
        <w:autoSpaceDN w:val="0"/>
        <w:adjustRightInd w:val="0"/>
        <w:spacing w:before="0" w:after="0"/>
        <w:jc w:val="both"/>
        <w:rPr>
          <w:rFonts w:cs="Arial"/>
        </w:rPr>
      </w:pPr>
      <w:r>
        <w:rPr>
          <w:rFonts w:cs="Arial"/>
        </w:rPr>
        <w:t xml:space="preserve">The experiences of children </w:t>
      </w:r>
      <w:r w:rsidRPr="00933E37">
        <w:rPr>
          <w:rFonts w:cs="Arial"/>
          <w:b/>
        </w:rPr>
        <w:t>exposed to violence</w:t>
      </w:r>
      <w:r>
        <w:rPr>
          <w:rFonts w:cs="Arial"/>
          <w:b/>
        </w:rPr>
        <w:t xml:space="preserve"> </w:t>
      </w:r>
      <w:r>
        <w:rPr>
          <w:rFonts w:cs="Arial"/>
        </w:rPr>
        <w:t>are described as:</w:t>
      </w:r>
    </w:p>
    <w:p w14:paraId="79B25447" w14:textId="77777777" w:rsidR="000D1D92" w:rsidRDefault="000D1D92" w:rsidP="000D1D92">
      <w:pPr>
        <w:autoSpaceDE w:val="0"/>
        <w:autoSpaceDN w:val="0"/>
        <w:adjustRightInd w:val="0"/>
        <w:spacing w:before="0" w:after="0"/>
        <w:jc w:val="both"/>
        <w:rPr>
          <w:rFonts w:cs="Arial"/>
        </w:rPr>
      </w:pPr>
    </w:p>
    <w:p w14:paraId="495833C2" w14:textId="77777777" w:rsidR="000D1D92" w:rsidRPr="00500240" w:rsidRDefault="000D1D92" w:rsidP="000D1D92">
      <w:pPr>
        <w:autoSpaceDE w:val="0"/>
        <w:autoSpaceDN w:val="0"/>
        <w:adjustRightInd w:val="0"/>
        <w:spacing w:before="0" w:after="0"/>
        <w:ind w:left="720"/>
        <w:jc w:val="both"/>
        <w:rPr>
          <w:rFonts w:cs="Arial"/>
          <w:sz w:val="22"/>
          <w:szCs w:val="22"/>
        </w:rPr>
      </w:pPr>
      <w:r>
        <w:rPr>
          <w:rFonts w:cs="Arial"/>
          <w:sz w:val="22"/>
          <w:szCs w:val="22"/>
        </w:rPr>
        <w:t>• h</w:t>
      </w:r>
      <w:r w:rsidRPr="00500240">
        <w:rPr>
          <w:rFonts w:cs="Arial"/>
          <w:sz w:val="22"/>
          <w:szCs w:val="22"/>
        </w:rPr>
        <w:t>aving to telephone for emergency assistance</w:t>
      </w:r>
    </w:p>
    <w:p w14:paraId="57C67F01" w14:textId="77777777" w:rsidR="000D1D92" w:rsidRPr="00500240" w:rsidRDefault="000D1D92" w:rsidP="000D1D92">
      <w:pPr>
        <w:autoSpaceDE w:val="0"/>
        <w:autoSpaceDN w:val="0"/>
        <w:adjustRightInd w:val="0"/>
        <w:spacing w:before="0" w:after="0"/>
        <w:ind w:left="720"/>
        <w:jc w:val="both"/>
        <w:rPr>
          <w:rFonts w:cs="Arial"/>
          <w:sz w:val="22"/>
          <w:szCs w:val="22"/>
        </w:rPr>
      </w:pPr>
      <w:r>
        <w:rPr>
          <w:rFonts w:cs="Arial"/>
          <w:sz w:val="22"/>
          <w:szCs w:val="22"/>
        </w:rPr>
        <w:t>• s</w:t>
      </w:r>
      <w:r w:rsidRPr="00500240">
        <w:rPr>
          <w:rFonts w:cs="Arial"/>
          <w:sz w:val="22"/>
          <w:szCs w:val="22"/>
        </w:rPr>
        <w:t>eeing a parent’s injuries after the violence and having to assist in ‘patching up’ a</w:t>
      </w:r>
      <w:r>
        <w:rPr>
          <w:rFonts w:cs="Arial"/>
          <w:sz w:val="22"/>
          <w:szCs w:val="22"/>
        </w:rPr>
        <w:t xml:space="preserve">  </w:t>
      </w:r>
      <w:r w:rsidRPr="00500240">
        <w:rPr>
          <w:rFonts w:cs="Arial"/>
          <w:sz w:val="22"/>
          <w:szCs w:val="22"/>
        </w:rPr>
        <w:t>parent</w:t>
      </w:r>
    </w:p>
    <w:p w14:paraId="750327EB" w14:textId="77777777" w:rsidR="000D1D92" w:rsidRPr="00500240" w:rsidRDefault="000D1D92" w:rsidP="000D1D92">
      <w:pPr>
        <w:autoSpaceDE w:val="0"/>
        <w:autoSpaceDN w:val="0"/>
        <w:adjustRightInd w:val="0"/>
        <w:spacing w:before="0" w:after="0"/>
        <w:ind w:left="720"/>
        <w:jc w:val="both"/>
        <w:rPr>
          <w:rFonts w:cs="Arial"/>
          <w:sz w:val="22"/>
          <w:szCs w:val="22"/>
        </w:rPr>
      </w:pPr>
      <w:r>
        <w:rPr>
          <w:rFonts w:cs="Arial"/>
          <w:sz w:val="22"/>
          <w:szCs w:val="22"/>
        </w:rPr>
        <w:t>• h</w:t>
      </w:r>
      <w:r w:rsidRPr="00500240">
        <w:rPr>
          <w:rFonts w:cs="Arial"/>
          <w:sz w:val="22"/>
          <w:szCs w:val="22"/>
        </w:rPr>
        <w:t>aving their own inju</w:t>
      </w:r>
      <w:r>
        <w:rPr>
          <w:rFonts w:cs="Arial"/>
          <w:sz w:val="22"/>
          <w:szCs w:val="22"/>
        </w:rPr>
        <w:t>ries and/or trauma to cope with</w:t>
      </w:r>
    </w:p>
    <w:p w14:paraId="151F6B6B" w14:textId="77777777" w:rsidR="000D1D92" w:rsidRPr="00500240" w:rsidRDefault="000D1D92" w:rsidP="000D1D92">
      <w:pPr>
        <w:autoSpaceDE w:val="0"/>
        <w:autoSpaceDN w:val="0"/>
        <w:adjustRightInd w:val="0"/>
        <w:spacing w:before="0" w:after="0"/>
        <w:ind w:left="720"/>
        <w:jc w:val="both"/>
        <w:rPr>
          <w:rFonts w:cs="Arial"/>
          <w:sz w:val="22"/>
          <w:szCs w:val="22"/>
        </w:rPr>
      </w:pPr>
      <w:r>
        <w:rPr>
          <w:rFonts w:cs="Arial"/>
          <w:sz w:val="22"/>
          <w:szCs w:val="22"/>
        </w:rPr>
        <w:t>• d</w:t>
      </w:r>
      <w:r w:rsidRPr="00500240">
        <w:rPr>
          <w:rFonts w:cs="Arial"/>
          <w:sz w:val="22"/>
          <w:szCs w:val="22"/>
        </w:rPr>
        <w:t>ealing with a parent who alternates between violence and a caring rol</w:t>
      </w:r>
      <w:r>
        <w:rPr>
          <w:rFonts w:cs="Arial"/>
          <w:sz w:val="22"/>
          <w:szCs w:val="22"/>
        </w:rPr>
        <w:t>e</w:t>
      </w:r>
    </w:p>
    <w:p w14:paraId="7168A3E3" w14:textId="77777777" w:rsidR="000D1D92" w:rsidRPr="00500240" w:rsidRDefault="000D1D92" w:rsidP="000D1D92">
      <w:pPr>
        <w:autoSpaceDE w:val="0"/>
        <w:autoSpaceDN w:val="0"/>
        <w:adjustRightInd w:val="0"/>
        <w:spacing w:before="0" w:after="0"/>
        <w:ind w:left="720"/>
        <w:jc w:val="both"/>
        <w:rPr>
          <w:rFonts w:cs="Arial"/>
          <w:sz w:val="22"/>
          <w:szCs w:val="22"/>
        </w:rPr>
      </w:pPr>
      <w:r>
        <w:rPr>
          <w:rFonts w:cs="Arial"/>
          <w:sz w:val="22"/>
          <w:szCs w:val="22"/>
        </w:rPr>
        <w:lastRenderedPageBreak/>
        <w:t>• s</w:t>
      </w:r>
      <w:r w:rsidRPr="00500240">
        <w:rPr>
          <w:rFonts w:cs="Arial"/>
          <w:sz w:val="22"/>
          <w:szCs w:val="22"/>
        </w:rPr>
        <w:t>eeing the parents being arrested</w:t>
      </w:r>
    </w:p>
    <w:p w14:paraId="56642842" w14:textId="77777777" w:rsidR="000D1D92" w:rsidRDefault="000D1D92" w:rsidP="000D1D92">
      <w:pPr>
        <w:autoSpaceDE w:val="0"/>
        <w:autoSpaceDN w:val="0"/>
        <w:adjustRightInd w:val="0"/>
        <w:spacing w:before="0" w:after="0"/>
        <w:ind w:left="720"/>
        <w:jc w:val="both"/>
        <w:rPr>
          <w:rFonts w:cs="Arial"/>
          <w:sz w:val="22"/>
          <w:szCs w:val="22"/>
        </w:rPr>
      </w:pPr>
      <w:r>
        <w:rPr>
          <w:rFonts w:cs="Arial"/>
          <w:sz w:val="22"/>
          <w:szCs w:val="22"/>
        </w:rPr>
        <w:t>• h</w:t>
      </w:r>
      <w:r w:rsidRPr="00500240">
        <w:rPr>
          <w:rFonts w:cs="Arial"/>
          <w:sz w:val="22"/>
          <w:szCs w:val="22"/>
        </w:rPr>
        <w:t xml:space="preserve">aving to leave home with a parent and/or dislocation from family, friends and </w:t>
      </w:r>
    </w:p>
    <w:p w14:paraId="5B696249" w14:textId="77777777" w:rsidR="000D1D92" w:rsidRPr="00EA66C1" w:rsidRDefault="000D1D92" w:rsidP="000D1D92">
      <w:pPr>
        <w:autoSpaceDE w:val="0"/>
        <w:autoSpaceDN w:val="0"/>
        <w:adjustRightInd w:val="0"/>
        <w:spacing w:before="0" w:after="0"/>
        <w:ind w:left="720"/>
        <w:jc w:val="both"/>
        <w:rPr>
          <w:rFonts w:cs="Arial"/>
        </w:rPr>
      </w:pPr>
      <w:r>
        <w:rPr>
          <w:rFonts w:cs="Arial"/>
          <w:sz w:val="22"/>
          <w:szCs w:val="22"/>
        </w:rPr>
        <w:t xml:space="preserve">  </w:t>
      </w:r>
      <w:r w:rsidRPr="00500240">
        <w:rPr>
          <w:rFonts w:cs="Arial"/>
          <w:sz w:val="22"/>
          <w:szCs w:val="22"/>
        </w:rPr>
        <w:t>school</w:t>
      </w:r>
      <w:r w:rsidRPr="00BA0294">
        <w:rPr>
          <w:rFonts w:cs="Arial"/>
        </w:rPr>
        <w:t>.</w:t>
      </w:r>
      <w:r>
        <w:rPr>
          <w:rStyle w:val="EndnoteReference"/>
          <w:rFonts w:cs="Arial"/>
        </w:rPr>
        <w:endnoteReference w:id="517"/>
      </w:r>
    </w:p>
    <w:p w14:paraId="74EC8373" w14:textId="77777777" w:rsidR="000D1D92" w:rsidRDefault="000D1D92" w:rsidP="000D1D92">
      <w:pPr>
        <w:autoSpaceDE w:val="0"/>
        <w:autoSpaceDN w:val="0"/>
        <w:adjustRightInd w:val="0"/>
        <w:spacing w:before="0" w:after="0"/>
        <w:jc w:val="both"/>
        <w:rPr>
          <w:rFonts w:cs="Arial"/>
        </w:rPr>
      </w:pPr>
    </w:p>
    <w:p w14:paraId="307BD96D" w14:textId="77777777" w:rsidR="000D1D92" w:rsidRDefault="000D1D92" w:rsidP="000D1D92">
      <w:pPr>
        <w:autoSpaceDE w:val="0"/>
        <w:autoSpaceDN w:val="0"/>
        <w:adjustRightInd w:val="0"/>
        <w:spacing w:before="0" w:after="0"/>
        <w:jc w:val="both"/>
        <w:rPr>
          <w:rFonts w:cs="Arial"/>
          <w:sz w:val="20"/>
          <w:szCs w:val="20"/>
        </w:rPr>
      </w:pPr>
      <w:r>
        <w:rPr>
          <w:rFonts w:cs="Arial"/>
        </w:rPr>
        <w:t xml:space="preserve">Many participants at my roundtables and numerous submissions argued that differentiating between </w:t>
      </w:r>
      <w:r w:rsidRPr="00EA66C1">
        <w:rPr>
          <w:rFonts w:cs="Arial"/>
        </w:rPr>
        <w:t>witnessing</w:t>
      </w:r>
      <w:r>
        <w:rPr>
          <w:rFonts w:cs="Arial"/>
        </w:rPr>
        <w:t xml:space="preserve"> violence</w:t>
      </w:r>
      <w:r w:rsidRPr="00EA66C1">
        <w:rPr>
          <w:rFonts w:cs="Arial"/>
        </w:rPr>
        <w:t xml:space="preserve">, </w:t>
      </w:r>
      <w:r>
        <w:rPr>
          <w:rFonts w:cs="Arial"/>
        </w:rPr>
        <w:t>being exposed to violence</w:t>
      </w:r>
      <w:r w:rsidRPr="00EA66C1">
        <w:rPr>
          <w:rFonts w:cs="Arial"/>
        </w:rPr>
        <w:t xml:space="preserve">, </w:t>
      </w:r>
      <w:r>
        <w:rPr>
          <w:rFonts w:cs="Arial"/>
        </w:rPr>
        <w:t xml:space="preserve">and/or being </w:t>
      </w:r>
      <w:r w:rsidRPr="00EA66C1">
        <w:rPr>
          <w:rFonts w:cs="Arial"/>
        </w:rPr>
        <w:t>direct</w:t>
      </w:r>
      <w:r>
        <w:rPr>
          <w:rFonts w:cs="Arial"/>
        </w:rPr>
        <w:t>ly</w:t>
      </w:r>
      <w:r w:rsidRPr="00EA66C1">
        <w:rPr>
          <w:rFonts w:cs="Arial"/>
        </w:rPr>
        <w:t xml:space="preserve"> abuse</w:t>
      </w:r>
      <w:r>
        <w:rPr>
          <w:rFonts w:cs="Arial"/>
        </w:rPr>
        <w:t>d in the context of family and domestic violence is not helpful.</w:t>
      </w:r>
      <w:r w:rsidRPr="00E21EB1">
        <w:rPr>
          <w:rStyle w:val="EndnoteReference"/>
          <w:rFonts w:cs="Arial"/>
          <w:szCs w:val="20"/>
        </w:rPr>
        <w:endnoteReference w:id="518"/>
      </w:r>
      <w:r w:rsidRPr="00E21EB1">
        <w:rPr>
          <w:rFonts w:cs="Arial"/>
          <w:sz w:val="20"/>
          <w:szCs w:val="20"/>
        </w:rPr>
        <w:t xml:space="preserve"> </w:t>
      </w:r>
    </w:p>
    <w:p w14:paraId="1A50EDD0" w14:textId="77777777" w:rsidR="000D1D92" w:rsidRDefault="000D1D92" w:rsidP="000D1D92">
      <w:pPr>
        <w:autoSpaceDE w:val="0"/>
        <w:autoSpaceDN w:val="0"/>
        <w:adjustRightInd w:val="0"/>
        <w:spacing w:before="0" w:after="0"/>
        <w:jc w:val="both"/>
        <w:rPr>
          <w:rFonts w:cs="Arial"/>
          <w:sz w:val="20"/>
          <w:szCs w:val="20"/>
        </w:rPr>
      </w:pPr>
    </w:p>
    <w:p w14:paraId="2DBFF56B" w14:textId="77777777" w:rsidR="000D1D92" w:rsidRDefault="000D1D92" w:rsidP="000D1D92">
      <w:pPr>
        <w:autoSpaceDE w:val="0"/>
        <w:autoSpaceDN w:val="0"/>
        <w:adjustRightInd w:val="0"/>
        <w:spacing w:before="0" w:after="0"/>
        <w:jc w:val="both"/>
        <w:rPr>
          <w:rFonts w:cs="Arial"/>
        </w:rPr>
      </w:pPr>
      <w:r>
        <w:rPr>
          <w:rFonts w:cs="Arial"/>
        </w:rPr>
        <w:t>The negative outcomes for children, as a consequence of their witnessing and exposure to family and domestic violence, is increasingly being considered as abuse and reportable to child protection authorities.</w:t>
      </w:r>
      <w:r w:rsidRPr="00443D06">
        <w:rPr>
          <w:rStyle w:val="EndnoteReference"/>
          <w:rFonts w:cs="Arial"/>
          <w:szCs w:val="20"/>
        </w:rPr>
        <w:endnoteReference w:id="519"/>
      </w:r>
      <w:r>
        <w:rPr>
          <w:rFonts w:cs="Arial"/>
        </w:rPr>
        <w:t xml:space="preserve"> </w:t>
      </w:r>
      <w:r>
        <w:rPr>
          <w:rStyle w:val="EndnoteReference"/>
          <w:rFonts w:cs="Arial"/>
        </w:rPr>
        <w:endnoteReference w:id="520"/>
      </w:r>
      <w:r>
        <w:rPr>
          <w:rFonts w:cs="Arial"/>
        </w:rPr>
        <w:t xml:space="preserve"> </w:t>
      </w:r>
    </w:p>
    <w:p w14:paraId="3836CDD5" w14:textId="77777777" w:rsidR="000D1D92" w:rsidRDefault="000D1D92" w:rsidP="000D1D92">
      <w:pPr>
        <w:autoSpaceDE w:val="0"/>
        <w:autoSpaceDN w:val="0"/>
        <w:adjustRightInd w:val="0"/>
        <w:spacing w:before="0" w:after="0"/>
        <w:jc w:val="both"/>
        <w:rPr>
          <w:rFonts w:cs="Arial"/>
        </w:rPr>
      </w:pPr>
    </w:p>
    <w:p w14:paraId="2983348E" w14:textId="77777777" w:rsidR="000D1D92" w:rsidRDefault="000D1D92" w:rsidP="000D1D92">
      <w:pPr>
        <w:autoSpaceDE w:val="0"/>
        <w:autoSpaceDN w:val="0"/>
        <w:adjustRightInd w:val="0"/>
        <w:spacing w:before="0" w:after="0"/>
        <w:jc w:val="both"/>
        <w:rPr>
          <w:rFonts w:cs="Arial"/>
        </w:rPr>
      </w:pPr>
      <w:r>
        <w:rPr>
          <w:rFonts w:cs="Arial"/>
        </w:rPr>
        <w:t>The submission made by the Royal Australian and New Zealand College of Psychiatrists maintains that:</w:t>
      </w:r>
    </w:p>
    <w:p w14:paraId="2983ECB3" w14:textId="77777777" w:rsidR="000D1D92" w:rsidRDefault="000D1D92" w:rsidP="000D1D92">
      <w:pPr>
        <w:autoSpaceDE w:val="0"/>
        <w:autoSpaceDN w:val="0"/>
        <w:adjustRightInd w:val="0"/>
        <w:spacing w:before="0" w:after="0"/>
        <w:jc w:val="both"/>
        <w:rPr>
          <w:rFonts w:cs="Arial"/>
        </w:rPr>
      </w:pPr>
    </w:p>
    <w:p w14:paraId="451C62F2" w14:textId="77777777" w:rsidR="000D1D92" w:rsidRDefault="000D1D92" w:rsidP="000D1D92">
      <w:pPr>
        <w:autoSpaceDE w:val="0"/>
        <w:autoSpaceDN w:val="0"/>
        <w:adjustRightInd w:val="0"/>
        <w:spacing w:before="0" w:after="0"/>
        <w:ind w:left="720"/>
        <w:jc w:val="both"/>
        <w:rPr>
          <w:rFonts w:cs="Arial"/>
          <w:szCs w:val="20"/>
        </w:rPr>
      </w:pPr>
      <w:r w:rsidRPr="00AE40E4">
        <w:rPr>
          <w:rFonts w:cs="Arial"/>
          <w:sz w:val="22"/>
          <w:szCs w:val="22"/>
        </w:rPr>
        <w:t>Even when the child does not directly witness family violence, maternal stress and the overall environment of fear is known to have deleterious impacts on the child’s mental health, with 80-90% of children estimated to suffer from vicarious trauma even if they do not witness the incident directly</w:t>
      </w:r>
      <w:r>
        <w:rPr>
          <w:rFonts w:cs="Arial"/>
        </w:rPr>
        <w:t>.</w:t>
      </w:r>
      <w:r w:rsidRPr="00835006">
        <w:rPr>
          <w:rStyle w:val="EndnoteReference"/>
          <w:rFonts w:cs="Arial"/>
          <w:szCs w:val="20"/>
        </w:rPr>
        <w:t xml:space="preserve"> </w:t>
      </w:r>
      <w:r w:rsidRPr="00E21EB1">
        <w:rPr>
          <w:rStyle w:val="EndnoteReference"/>
          <w:rFonts w:cs="Arial"/>
          <w:szCs w:val="20"/>
        </w:rPr>
        <w:endnoteReference w:id="521"/>
      </w:r>
    </w:p>
    <w:p w14:paraId="6D0CC889" w14:textId="77777777" w:rsidR="000D1D92" w:rsidRDefault="000D1D92" w:rsidP="000D1D92">
      <w:pPr>
        <w:autoSpaceDE w:val="0"/>
        <w:autoSpaceDN w:val="0"/>
        <w:adjustRightInd w:val="0"/>
        <w:spacing w:before="0" w:after="0"/>
        <w:ind w:left="720"/>
        <w:jc w:val="both"/>
        <w:rPr>
          <w:rFonts w:cs="Arial"/>
          <w:szCs w:val="20"/>
        </w:rPr>
      </w:pPr>
    </w:p>
    <w:p w14:paraId="1E761BD2" w14:textId="77777777" w:rsidR="000D1D92" w:rsidRDefault="000D1D92" w:rsidP="000D1D92">
      <w:pPr>
        <w:autoSpaceDE w:val="0"/>
        <w:autoSpaceDN w:val="0"/>
        <w:adjustRightInd w:val="0"/>
        <w:spacing w:before="0" w:after="0"/>
        <w:jc w:val="both"/>
        <w:rPr>
          <w:rFonts w:cs="Arial"/>
          <w:szCs w:val="20"/>
        </w:rPr>
      </w:pPr>
      <w:r>
        <w:rPr>
          <w:rFonts w:cs="Arial"/>
          <w:szCs w:val="20"/>
        </w:rPr>
        <w:t>Relationships Australia makes the point in its submission that:</w:t>
      </w:r>
    </w:p>
    <w:p w14:paraId="3415F812" w14:textId="77777777" w:rsidR="000D1D92" w:rsidRDefault="000D1D92" w:rsidP="000D1D92">
      <w:pPr>
        <w:autoSpaceDE w:val="0"/>
        <w:autoSpaceDN w:val="0"/>
        <w:adjustRightInd w:val="0"/>
        <w:spacing w:before="0" w:after="0"/>
        <w:jc w:val="both"/>
        <w:rPr>
          <w:rFonts w:cs="Arial"/>
          <w:szCs w:val="20"/>
        </w:rPr>
      </w:pPr>
    </w:p>
    <w:p w14:paraId="49DA8788" w14:textId="77777777" w:rsidR="000D1D92" w:rsidRPr="007155F3" w:rsidRDefault="000D1D92" w:rsidP="000D1D92">
      <w:pPr>
        <w:autoSpaceDE w:val="0"/>
        <w:autoSpaceDN w:val="0"/>
        <w:adjustRightInd w:val="0"/>
        <w:spacing w:before="0" w:after="0"/>
        <w:ind w:left="720"/>
        <w:jc w:val="both"/>
        <w:rPr>
          <w:rFonts w:cs="Arial"/>
          <w:szCs w:val="20"/>
        </w:rPr>
      </w:pPr>
      <w:r w:rsidRPr="00AE40E4">
        <w:rPr>
          <w:rFonts w:cs="Arial"/>
          <w:sz w:val="22"/>
          <w:szCs w:val="22"/>
        </w:rPr>
        <w:t>The term ‘witness’ and ‘exposed to’ also has the effect of minimising the child’s experience</w:t>
      </w:r>
      <w:r>
        <w:rPr>
          <w:rFonts w:cs="Arial"/>
          <w:szCs w:val="20"/>
        </w:rPr>
        <w:t>.</w:t>
      </w:r>
      <w:r>
        <w:rPr>
          <w:rStyle w:val="EndnoteReference"/>
          <w:rFonts w:cs="Arial"/>
          <w:szCs w:val="20"/>
        </w:rPr>
        <w:endnoteReference w:id="522"/>
      </w:r>
    </w:p>
    <w:p w14:paraId="5F8E40B3" w14:textId="77777777" w:rsidR="000D1D92" w:rsidRDefault="000D1D92" w:rsidP="000D1D92">
      <w:pPr>
        <w:autoSpaceDE w:val="0"/>
        <w:autoSpaceDN w:val="0"/>
        <w:adjustRightInd w:val="0"/>
        <w:spacing w:before="0" w:after="0"/>
        <w:jc w:val="both"/>
        <w:rPr>
          <w:rFonts w:cs="Arial"/>
        </w:rPr>
      </w:pPr>
    </w:p>
    <w:p w14:paraId="6F54FA20" w14:textId="77777777" w:rsidR="000D1D92" w:rsidRDefault="000D1D92" w:rsidP="000D1D92">
      <w:pPr>
        <w:autoSpaceDE w:val="0"/>
        <w:autoSpaceDN w:val="0"/>
        <w:adjustRightInd w:val="0"/>
        <w:spacing w:before="0" w:after="0"/>
        <w:jc w:val="both"/>
        <w:rPr>
          <w:rStyle w:val="EndnoteReference"/>
          <w:rFonts w:cs="Arial"/>
          <w:szCs w:val="20"/>
        </w:rPr>
      </w:pPr>
      <w:r>
        <w:rPr>
          <w:rFonts w:cs="Arial"/>
        </w:rPr>
        <w:t xml:space="preserve">Combined with this, research is progressively showing </w:t>
      </w:r>
      <w:r w:rsidRPr="00096F9C">
        <w:rPr>
          <w:rFonts w:cs="Arial"/>
          <w:b/>
        </w:rPr>
        <w:t>a co-occurrence of exposure to family and domestic violence with the direct abuse of children</w:t>
      </w:r>
      <w:r>
        <w:rPr>
          <w:rFonts w:cs="Arial"/>
        </w:rPr>
        <w:t>.</w:t>
      </w:r>
      <w:r w:rsidRPr="00334DAC">
        <w:rPr>
          <w:rStyle w:val="EndnoteReference"/>
          <w:rFonts w:cs="Arial"/>
          <w:szCs w:val="20"/>
        </w:rPr>
        <w:t xml:space="preserve"> </w:t>
      </w:r>
      <w:r w:rsidRPr="00334DAC">
        <w:rPr>
          <w:rStyle w:val="EndnoteReference"/>
          <w:rFonts w:cs="Arial"/>
          <w:szCs w:val="20"/>
        </w:rPr>
        <w:endnoteReference w:id="523"/>
      </w:r>
      <w:r>
        <w:rPr>
          <w:rFonts w:cs="Arial"/>
          <w:szCs w:val="20"/>
        </w:rPr>
        <w:t xml:space="preserve"> It is argued that:</w:t>
      </w:r>
    </w:p>
    <w:p w14:paraId="2A0C9B6E" w14:textId="77777777" w:rsidR="000D1D92" w:rsidRDefault="000D1D92" w:rsidP="000D1D92">
      <w:pPr>
        <w:autoSpaceDE w:val="0"/>
        <w:autoSpaceDN w:val="0"/>
        <w:adjustRightInd w:val="0"/>
        <w:spacing w:before="0" w:after="0"/>
        <w:jc w:val="both"/>
        <w:rPr>
          <w:rStyle w:val="EndnoteReference"/>
          <w:rFonts w:cs="Arial"/>
          <w:szCs w:val="20"/>
        </w:rPr>
      </w:pPr>
    </w:p>
    <w:p w14:paraId="40B3A3E7" w14:textId="77777777" w:rsidR="000D1D92" w:rsidRDefault="000D1D92" w:rsidP="000D1D92">
      <w:pPr>
        <w:autoSpaceDE w:val="0"/>
        <w:autoSpaceDN w:val="0"/>
        <w:adjustRightInd w:val="0"/>
        <w:spacing w:before="0" w:after="0"/>
        <w:ind w:left="720"/>
        <w:jc w:val="both"/>
        <w:rPr>
          <w:rFonts w:cs="Arial"/>
        </w:rPr>
      </w:pPr>
      <w:r w:rsidRPr="00AE40E4">
        <w:rPr>
          <w:rFonts w:cs="Arial"/>
          <w:sz w:val="22"/>
          <w:szCs w:val="22"/>
        </w:rPr>
        <w:t>Distinguishing children who suffer abuse in the home from those who are ‘only’ exposed to domestic violence presents a considerable methodological and conceptual challenge, as these two phenomena are rarely discrete</w:t>
      </w:r>
      <w:r>
        <w:rPr>
          <w:rFonts w:cs="Arial"/>
        </w:rPr>
        <w:t>.</w:t>
      </w:r>
      <w:r>
        <w:rPr>
          <w:rStyle w:val="EndnoteReference"/>
          <w:rFonts w:cs="Arial"/>
        </w:rPr>
        <w:endnoteReference w:id="524"/>
      </w:r>
      <w:r w:rsidRPr="006D73D5">
        <w:rPr>
          <w:rFonts w:cs="Arial"/>
        </w:rPr>
        <w:t xml:space="preserve"> </w:t>
      </w:r>
    </w:p>
    <w:p w14:paraId="46A39FB2" w14:textId="77777777" w:rsidR="000D1D92" w:rsidRDefault="000D1D92" w:rsidP="000D1D92">
      <w:pPr>
        <w:autoSpaceDE w:val="0"/>
        <w:autoSpaceDN w:val="0"/>
        <w:adjustRightInd w:val="0"/>
        <w:spacing w:before="0" w:after="0"/>
        <w:jc w:val="both"/>
        <w:rPr>
          <w:rFonts w:cs="Arial"/>
        </w:rPr>
      </w:pPr>
    </w:p>
    <w:p w14:paraId="0E325425" w14:textId="77777777" w:rsidR="000D1D92" w:rsidRDefault="000D1D92" w:rsidP="000D1D92">
      <w:pPr>
        <w:autoSpaceDE w:val="0"/>
        <w:autoSpaceDN w:val="0"/>
        <w:adjustRightInd w:val="0"/>
        <w:spacing w:before="0" w:after="0"/>
        <w:jc w:val="both"/>
        <w:rPr>
          <w:rFonts w:cs="Arial"/>
        </w:rPr>
      </w:pPr>
      <w:r>
        <w:rPr>
          <w:rFonts w:cs="Arial"/>
        </w:rPr>
        <w:t>In terms of its prevalence, research by Richards asserts that:</w:t>
      </w:r>
    </w:p>
    <w:p w14:paraId="3BD2D92C" w14:textId="77777777" w:rsidR="000D1D92" w:rsidRDefault="000D1D92" w:rsidP="000D1D92">
      <w:pPr>
        <w:autoSpaceDE w:val="0"/>
        <w:autoSpaceDN w:val="0"/>
        <w:adjustRightInd w:val="0"/>
        <w:spacing w:before="0" w:after="0"/>
        <w:jc w:val="both"/>
        <w:rPr>
          <w:rFonts w:cs="Arial"/>
        </w:rPr>
      </w:pPr>
    </w:p>
    <w:p w14:paraId="22E23CA3" w14:textId="77777777" w:rsidR="000D1D92" w:rsidRDefault="000D1D92" w:rsidP="000D1D92">
      <w:pPr>
        <w:autoSpaceDE w:val="0"/>
        <w:autoSpaceDN w:val="0"/>
        <w:adjustRightInd w:val="0"/>
        <w:spacing w:before="0" w:after="0"/>
        <w:ind w:left="720"/>
        <w:jc w:val="both"/>
        <w:rPr>
          <w:rFonts w:cs="Arial"/>
        </w:rPr>
      </w:pPr>
      <w:r w:rsidRPr="00AE40E4">
        <w:rPr>
          <w:rFonts w:cs="Arial"/>
          <w:sz w:val="22"/>
          <w:szCs w:val="22"/>
        </w:rPr>
        <w:t xml:space="preserve">The rate of co-occurrence of Australian children experiencing </w:t>
      </w:r>
      <w:r w:rsidRPr="00AE40E4">
        <w:rPr>
          <w:rFonts w:cs="Arial"/>
          <w:i/>
          <w:iCs/>
          <w:sz w:val="22"/>
          <w:szCs w:val="22"/>
        </w:rPr>
        <w:t xml:space="preserve">physical </w:t>
      </w:r>
      <w:r w:rsidRPr="00AE40E4">
        <w:rPr>
          <w:rFonts w:cs="Arial"/>
          <w:sz w:val="22"/>
          <w:szCs w:val="22"/>
        </w:rPr>
        <w:t xml:space="preserve">abuse and being exposed to domestic violence, and experiencing </w:t>
      </w:r>
      <w:r w:rsidRPr="00AE40E4">
        <w:rPr>
          <w:rFonts w:cs="Arial"/>
          <w:i/>
          <w:iCs/>
          <w:sz w:val="22"/>
          <w:szCs w:val="22"/>
        </w:rPr>
        <w:t xml:space="preserve">sexual </w:t>
      </w:r>
      <w:r w:rsidRPr="00AE40E4">
        <w:rPr>
          <w:rFonts w:cs="Arial"/>
          <w:sz w:val="22"/>
          <w:szCs w:val="22"/>
        </w:rPr>
        <w:t>abuse and being exposed to domestic violence have been estimated at 55</w:t>
      </w:r>
      <w:r>
        <w:rPr>
          <w:rFonts w:cs="Arial"/>
          <w:sz w:val="22"/>
          <w:szCs w:val="22"/>
        </w:rPr>
        <w:t>%</w:t>
      </w:r>
      <w:r w:rsidRPr="00AE40E4">
        <w:rPr>
          <w:rFonts w:cs="Arial"/>
          <w:sz w:val="22"/>
          <w:szCs w:val="22"/>
        </w:rPr>
        <w:t xml:space="preserve"> and 40</w:t>
      </w:r>
      <w:r>
        <w:rPr>
          <w:rFonts w:cs="Arial"/>
          <w:sz w:val="22"/>
          <w:szCs w:val="22"/>
        </w:rPr>
        <w:t>%</w:t>
      </w:r>
      <w:r w:rsidRPr="00AE40E4">
        <w:rPr>
          <w:rFonts w:cs="Arial"/>
          <w:sz w:val="22"/>
          <w:szCs w:val="22"/>
        </w:rPr>
        <w:t xml:space="preserve"> respectively</w:t>
      </w:r>
      <w:r w:rsidRPr="00EA66C1">
        <w:rPr>
          <w:rFonts w:cs="Arial"/>
        </w:rPr>
        <w:t>.</w:t>
      </w:r>
      <w:r w:rsidRPr="00334DAC">
        <w:rPr>
          <w:rStyle w:val="EndnoteReference"/>
          <w:rFonts w:cs="Arial"/>
          <w:szCs w:val="20"/>
        </w:rPr>
        <w:endnoteReference w:id="525"/>
      </w:r>
    </w:p>
    <w:p w14:paraId="5C3CEFE9" w14:textId="77777777" w:rsidR="000D1D92" w:rsidRDefault="000D1D92" w:rsidP="000D1D92">
      <w:pPr>
        <w:autoSpaceDE w:val="0"/>
        <w:autoSpaceDN w:val="0"/>
        <w:adjustRightInd w:val="0"/>
        <w:spacing w:before="0" w:after="0"/>
        <w:jc w:val="both"/>
        <w:rPr>
          <w:rFonts w:cs="Arial"/>
        </w:rPr>
      </w:pPr>
    </w:p>
    <w:p w14:paraId="28CCAE6A" w14:textId="77777777" w:rsidR="000D1D92" w:rsidRPr="008F138E" w:rsidRDefault="000D1D92" w:rsidP="000D1D92">
      <w:pPr>
        <w:autoSpaceDE w:val="0"/>
        <w:autoSpaceDN w:val="0"/>
        <w:adjustRightInd w:val="0"/>
        <w:spacing w:before="0" w:after="0"/>
        <w:ind w:left="720" w:hanging="720"/>
        <w:jc w:val="both"/>
        <w:rPr>
          <w:rFonts w:cs="Arial"/>
          <w:b/>
        </w:rPr>
      </w:pPr>
      <w:r>
        <w:rPr>
          <w:rFonts w:cs="Arial"/>
          <w:b/>
        </w:rPr>
        <w:t>T</w:t>
      </w:r>
      <w:r w:rsidRPr="008F138E">
        <w:rPr>
          <w:rFonts w:cs="Arial"/>
          <w:b/>
        </w:rPr>
        <w:t xml:space="preserve">he intersection between family and domestic violence and child protection </w:t>
      </w:r>
    </w:p>
    <w:p w14:paraId="4F4BDA25" w14:textId="77777777" w:rsidR="000D1D92" w:rsidRPr="008F138E" w:rsidRDefault="000D1D92" w:rsidP="000D1D92">
      <w:pPr>
        <w:autoSpaceDE w:val="0"/>
        <w:autoSpaceDN w:val="0"/>
        <w:adjustRightInd w:val="0"/>
        <w:spacing w:before="0" w:after="0"/>
        <w:jc w:val="both"/>
        <w:rPr>
          <w:rFonts w:cs="Arial"/>
        </w:rPr>
      </w:pPr>
    </w:p>
    <w:p w14:paraId="2BFC9BC7" w14:textId="77777777" w:rsidR="000D1D92" w:rsidRDefault="000D1D92" w:rsidP="000D1D92">
      <w:pPr>
        <w:autoSpaceDE w:val="0"/>
        <w:autoSpaceDN w:val="0"/>
        <w:adjustRightInd w:val="0"/>
        <w:spacing w:before="0" w:after="0"/>
        <w:jc w:val="both"/>
        <w:rPr>
          <w:rFonts w:cs="Arial"/>
        </w:rPr>
      </w:pPr>
      <w:r w:rsidRPr="008F138E">
        <w:rPr>
          <w:rFonts w:cs="Arial"/>
        </w:rPr>
        <w:t xml:space="preserve">Family and domestic violence poses a significant challenge to state and territory child protection systems. Many submissions noted that child protection services are not </w:t>
      </w:r>
      <w:r>
        <w:rPr>
          <w:rFonts w:cs="Arial"/>
        </w:rPr>
        <w:t xml:space="preserve">well </w:t>
      </w:r>
      <w:r w:rsidRPr="008F138E">
        <w:rPr>
          <w:rFonts w:cs="Arial"/>
        </w:rPr>
        <w:t>equipped to deal with the scale of this problem and have not been designed to accommodate the complexities arising from the co-existence of an adult and child victim.</w:t>
      </w:r>
    </w:p>
    <w:p w14:paraId="14F0EF12" w14:textId="77777777" w:rsidR="000D1D92" w:rsidRDefault="000D1D92" w:rsidP="000D1D92">
      <w:pPr>
        <w:autoSpaceDE w:val="0"/>
        <w:autoSpaceDN w:val="0"/>
        <w:adjustRightInd w:val="0"/>
        <w:spacing w:before="0" w:after="0"/>
        <w:jc w:val="both"/>
        <w:rPr>
          <w:rFonts w:cs="Arial"/>
        </w:rPr>
      </w:pPr>
    </w:p>
    <w:p w14:paraId="7A104DD7" w14:textId="77777777" w:rsidR="000D1D92" w:rsidRDefault="000D1D92" w:rsidP="000D1D92">
      <w:pPr>
        <w:autoSpaceDE w:val="0"/>
        <w:autoSpaceDN w:val="0"/>
        <w:adjustRightInd w:val="0"/>
        <w:spacing w:before="0" w:after="0"/>
        <w:jc w:val="both"/>
        <w:rPr>
          <w:rFonts w:cs="Arial"/>
        </w:rPr>
      </w:pPr>
      <w:r>
        <w:rPr>
          <w:rFonts w:cs="Arial"/>
        </w:rPr>
        <w:t xml:space="preserve">The submission by the </w:t>
      </w:r>
      <w:r w:rsidRPr="00FC4B2C">
        <w:rPr>
          <w:rFonts w:cs="Arial"/>
        </w:rPr>
        <w:t>Melbourne Research Alliance to End Violence Against Women and their Children</w:t>
      </w:r>
      <w:r>
        <w:rPr>
          <w:rFonts w:cs="Arial"/>
        </w:rPr>
        <w:t xml:space="preserve"> suggests that:</w:t>
      </w:r>
    </w:p>
    <w:p w14:paraId="5E873C2C" w14:textId="77777777" w:rsidR="000D1D92" w:rsidRDefault="000D1D92" w:rsidP="000D1D92">
      <w:pPr>
        <w:autoSpaceDE w:val="0"/>
        <w:autoSpaceDN w:val="0"/>
        <w:adjustRightInd w:val="0"/>
        <w:spacing w:before="0" w:after="0"/>
        <w:jc w:val="both"/>
        <w:rPr>
          <w:rFonts w:cs="Arial"/>
        </w:rPr>
      </w:pPr>
    </w:p>
    <w:p w14:paraId="051C429F" w14:textId="77777777" w:rsidR="000D1D92" w:rsidRDefault="000D1D92" w:rsidP="000D1D92">
      <w:pPr>
        <w:autoSpaceDE w:val="0"/>
        <w:autoSpaceDN w:val="0"/>
        <w:adjustRightInd w:val="0"/>
        <w:spacing w:before="0" w:after="0"/>
        <w:ind w:left="720"/>
        <w:jc w:val="both"/>
        <w:rPr>
          <w:rFonts w:cs="Arial"/>
        </w:rPr>
      </w:pPr>
      <w:r w:rsidRPr="00AE40E4">
        <w:rPr>
          <w:rFonts w:cs="Arial"/>
          <w:sz w:val="22"/>
          <w:szCs w:val="22"/>
        </w:rPr>
        <w:lastRenderedPageBreak/>
        <w:t xml:space="preserve">While some children undoubtedly are at risk of significant harm and require a referral to child protection, there are problems routing </w:t>
      </w:r>
      <w:r w:rsidRPr="00AE40E4">
        <w:rPr>
          <w:rFonts w:cs="Arial"/>
          <w:i/>
          <w:sz w:val="22"/>
          <w:szCs w:val="22"/>
        </w:rPr>
        <w:t>all</w:t>
      </w:r>
      <w:r w:rsidRPr="00AE40E4">
        <w:rPr>
          <w:rFonts w:cs="Arial"/>
          <w:sz w:val="22"/>
          <w:szCs w:val="22"/>
        </w:rPr>
        <w:t xml:space="preserve"> affected children through this pathway</w:t>
      </w:r>
      <w:r>
        <w:rPr>
          <w:rFonts w:cs="Arial"/>
        </w:rPr>
        <w:t>.</w:t>
      </w:r>
      <w:r>
        <w:rPr>
          <w:rStyle w:val="EndnoteReference"/>
          <w:rFonts w:cs="Arial"/>
        </w:rPr>
        <w:endnoteReference w:id="526"/>
      </w:r>
    </w:p>
    <w:p w14:paraId="2834910D" w14:textId="77777777" w:rsidR="000D1D92" w:rsidRDefault="000D1D92" w:rsidP="000D1D92">
      <w:pPr>
        <w:autoSpaceDE w:val="0"/>
        <w:autoSpaceDN w:val="0"/>
        <w:adjustRightInd w:val="0"/>
        <w:spacing w:before="0" w:after="0"/>
        <w:jc w:val="both"/>
        <w:rPr>
          <w:rFonts w:cs="Arial"/>
        </w:rPr>
      </w:pPr>
    </w:p>
    <w:p w14:paraId="03AD578C" w14:textId="77777777" w:rsidR="000D1D92" w:rsidRDefault="000D1D92" w:rsidP="000D1D92">
      <w:pPr>
        <w:autoSpaceDE w:val="0"/>
        <w:autoSpaceDN w:val="0"/>
        <w:adjustRightInd w:val="0"/>
        <w:spacing w:before="0" w:after="0"/>
        <w:jc w:val="both"/>
        <w:rPr>
          <w:rFonts w:cs="Arial"/>
        </w:rPr>
      </w:pPr>
      <w:r>
        <w:rPr>
          <w:rFonts w:cs="Arial"/>
        </w:rPr>
        <w:t xml:space="preserve">Academic, </w:t>
      </w:r>
      <w:r w:rsidRPr="00206B3E">
        <w:rPr>
          <w:rFonts w:cs="Arial"/>
        </w:rPr>
        <w:t>Professor Cathy Humphries</w:t>
      </w:r>
      <w:r>
        <w:rPr>
          <w:rFonts w:cs="Arial"/>
        </w:rPr>
        <w:t xml:space="preserve"> from the University of Melbourne asserts that statutory child protection systems across Australia are not capable of managing the influx of referrals of all children affected by family and domestic violence. </w:t>
      </w:r>
    </w:p>
    <w:p w14:paraId="2C0455B3" w14:textId="77777777" w:rsidR="000D1D92" w:rsidRDefault="000D1D92" w:rsidP="000D1D92">
      <w:pPr>
        <w:autoSpaceDE w:val="0"/>
        <w:autoSpaceDN w:val="0"/>
        <w:adjustRightInd w:val="0"/>
        <w:spacing w:before="0" w:after="0"/>
        <w:jc w:val="both"/>
        <w:rPr>
          <w:rFonts w:cs="Arial"/>
        </w:rPr>
      </w:pPr>
    </w:p>
    <w:p w14:paraId="3D588493" w14:textId="77777777" w:rsidR="000D1D92" w:rsidRDefault="000D1D92" w:rsidP="000D1D92">
      <w:pPr>
        <w:autoSpaceDE w:val="0"/>
        <w:autoSpaceDN w:val="0"/>
        <w:adjustRightInd w:val="0"/>
        <w:spacing w:before="0" w:after="0"/>
        <w:jc w:val="both"/>
        <w:rPr>
          <w:rFonts w:cs="Arial"/>
        </w:rPr>
      </w:pPr>
      <w:r>
        <w:rPr>
          <w:rFonts w:cs="Arial"/>
        </w:rPr>
        <w:t>She maintains that where family and domestic violence cases are referred to child protection systems, many children do not receive a service.</w:t>
      </w:r>
      <w:r>
        <w:rPr>
          <w:rStyle w:val="EndnoteReference"/>
          <w:rFonts w:cs="Arial"/>
        </w:rPr>
        <w:endnoteReference w:id="527"/>
      </w:r>
    </w:p>
    <w:p w14:paraId="07E2DF5C" w14:textId="77777777" w:rsidR="000D1D92" w:rsidRDefault="000D1D92" w:rsidP="000D1D92">
      <w:pPr>
        <w:autoSpaceDE w:val="0"/>
        <w:autoSpaceDN w:val="0"/>
        <w:adjustRightInd w:val="0"/>
        <w:spacing w:before="0" w:after="0"/>
        <w:jc w:val="both"/>
        <w:rPr>
          <w:rFonts w:cs="Arial"/>
        </w:rPr>
      </w:pPr>
    </w:p>
    <w:p w14:paraId="259F8BBD" w14:textId="77777777" w:rsidR="000D1D92" w:rsidRDefault="000D1D92" w:rsidP="000D1D92">
      <w:pPr>
        <w:autoSpaceDE w:val="0"/>
        <w:autoSpaceDN w:val="0"/>
        <w:adjustRightInd w:val="0"/>
        <w:spacing w:before="0" w:after="0"/>
        <w:jc w:val="both"/>
        <w:rPr>
          <w:rFonts w:cs="Arial"/>
        </w:rPr>
      </w:pPr>
      <w:r>
        <w:rPr>
          <w:rFonts w:cs="Arial"/>
        </w:rPr>
        <w:t>Her examples of this include the L17 Triage Project conducted in Melbourne between November 2012 and November 2013 where of 1,960 police referrals to child protection, only 13.9% resulted in a child protection investigation.</w:t>
      </w:r>
      <w:r>
        <w:rPr>
          <w:rStyle w:val="EndnoteReference"/>
          <w:rFonts w:cs="Arial"/>
        </w:rPr>
        <w:endnoteReference w:id="528"/>
      </w:r>
      <w:r>
        <w:rPr>
          <w:rFonts w:cs="Arial"/>
        </w:rPr>
        <w:t xml:space="preserve"> </w:t>
      </w:r>
    </w:p>
    <w:p w14:paraId="74C097CA" w14:textId="77777777" w:rsidR="000D1D92" w:rsidRDefault="000D1D92" w:rsidP="000D1D92">
      <w:pPr>
        <w:autoSpaceDE w:val="0"/>
        <w:autoSpaceDN w:val="0"/>
        <w:adjustRightInd w:val="0"/>
        <w:spacing w:before="0" w:after="0"/>
        <w:jc w:val="both"/>
        <w:rPr>
          <w:rFonts w:cs="Arial"/>
        </w:rPr>
      </w:pPr>
    </w:p>
    <w:p w14:paraId="1B8C2130" w14:textId="77777777" w:rsidR="000D1D92" w:rsidRDefault="000D1D92" w:rsidP="000D1D92">
      <w:pPr>
        <w:autoSpaceDE w:val="0"/>
        <w:autoSpaceDN w:val="0"/>
        <w:adjustRightInd w:val="0"/>
        <w:spacing w:before="0" w:after="0"/>
        <w:jc w:val="both"/>
        <w:rPr>
          <w:rFonts w:cs="Arial"/>
        </w:rPr>
      </w:pPr>
      <w:r>
        <w:rPr>
          <w:rFonts w:cs="Arial"/>
        </w:rPr>
        <w:t xml:space="preserve">Similarly in 2008, the NSW </w:t>
      </w:r>
      <w:r w:rsidRPr="00392399">
        <w:rPr>
          <w:rFonts w:cs="Arial"/>
        </w:rPr>
        <w:t>Special Commission of Inquiry</w:t>
      </w:r>
      <w:r>
        <w:rPr>
          <w:rFonts w:cs="Arial"/>
        </w:rPr>
        <w:t xml:space="preserve"> into Child Protection Services reported that of the 76,000 reports where domestic violence was the primary reason for reporting, only 5,000 (6.5%) of these cases were substantiated and even these substantiated cases were not necessarily provided with assistance.</w:t>
      </w:r>
      <w:r>
        <w:rPr>
          <w:rStyle w:val="EndnoteReference"/>
          <w:rFonts w:cs="Arial"/>
        </w:rPr>
        <w:endnoteReference w:id="529"/>
      </w:r>
      <w:r>
        <w:rPr>
          <w:rFonts w:cs="Arial"/>
        </w:rPr>
        <w:t xml:space="preserve"> </w:t>
      </w:r>
    </w:p>
    <w:p w14:paraId="69E1EB34" w14:textId="77777777" w:rsidR="000D1D92" w:rsidRDefault="000D1D92" w:rsidP="000D1D92">
      <w:pPr>
        <w:autoSpaceDE w:val="0"/>
        <w:autoSpaceDN w:val="0"/>
        <w:adjustRightInd w:val="0"/>
        <w:spacing w:before="0" w:after="0"/>
        <w:jc w:val="both"/>
        <w:rPr>
          <w:rFonts w:cs="Arial"/>
        </w:rPr>
      </w:pPr>
    </w:p>
    <w:p w14:paraId="1B090FA5" w14:textId="77777777" w:rsidR="000D1D92" w:rsidRDefault="000D1D92" w:rsidP="000D1D92">
      <w:pPr>
        <w:autoSpaceDE w:val="0"/>
        <w:autoSpaceDN w:val="0"/>
        <w:adjustRightInd w:val="0"/>
        <w:spacing w:before="0" w:after="0"/>
        <w:jc w:val="both"/>
        <w:rPr>
          <w:rFonts w:cs="Arial"/>
        </w:rPr>
      </w:pPr>
      <w:r>
        <w:t>Australian researchers Bromfield, Arney, and Higgins</w:t>
      </w:r>
      <w:r>
        <w:rPr>
          <w:rFonts w:cs="Arial"/>
        </w:rPr>
        <w:t xml:space="preserve"> warn that: </w:t>
      </w:r>
    </w:p>
    <w:p w14:paraId="45A9FA0B" w14:textId="77777777" w:rsidR="000D1D92" w:rsidRDefault="000D1D92" w:rsidP="000D1D92">
      <w:pPr>
        <w:autoSpaceDE w:val="0"/>
        <w:autoSpaceDN w:val="0"/>
        <w:adjustRightInd w:val="0"/>
        <w:spacing w:before="0" w:after="0"/>
        <w:jc w:val="both"/>
        <w:rPr>
          <w:rFonts w:cs="Arial"/>
        </w:rPr>
      </w:pPr>
    </w:p>
    <w:p w14:paraId="24EA4E51" w14:textId="77777777" w:rsidR="000D1D92" w:rsidRPr="00392399" w:rsidRDefault="000D1D92" w:rsidP="000D1D92">
      <w:pPr>
        <w:autoSpaceDE w:val="0"/>
        <w:autoSpaceDN w:val="0"/>
        <w:adjustRightInd w:val="0"/>
        <w:spacing w:before="0" w:after="0"/>
        <w:ind w:left="720"/>
        <w:jc w:val="both"/>
        <w:rPr>
          <w:rFonts w:cs="Arial"/>
        </w:rPr>
      </w:pPr>
      <w:r w:rsidRPr="00AE40E4">
        <w:rPr>
          <w:rFonts w:cs="Arial"/>
          <w:sz w:val="22"/>
          <w:szCs w:val="22"/>
        </w:rPr>
        <w:t>Child protection services have increased their scope of responsibility without conducting a critical appraisal of whether a residual response system continues to be the best fit to address the size and nature of the problem</w:t>
      </w:r>
      <w:r w:rsidRPr="00FB55AB">
        <w:rPr>
          <w:rFonts w:cs="Arial"/>
        </w:rPr>
        <w:t>.</w:t>
      </w:r>
      <w:r>
        <w:rPr>
          <w:rStyle w:val="EndnoteReference"/>
          <w:rFonts w:cs="Arial"/>
        </w:rPr>
        <w:endnoteReference w:id="530"/>
      </w:r>
    </w:p>
    <w:p w14:paraId="4BCB367E" w14:textId="77777777" w:rsidR="000D1D92" w:rsidRDefault="000D1D92" w:rsidP="000D1D92">
      <w:pPr>
        <w:autoSpaceDE w:val="0"/>
        <w:autoSpaceDN w:val="0"/>
        <w:adjustRightInd w:val="0"/>
        <w:spacing w:before="0" w:after="0"/>
        <w:jc w:val="both"/>
        <w:rPr>
          <w:rFonts w:cs="Arial"/>
        </w:rPr>
      </w:pPr>
    </w:p>
    <w:p w14:paraId="4DF65B09" w14:textId="77777777" w:rsidR="000D1D92" w:rsidRDefault="000D1D92" w:rsidP="000D1D92">
      <w:pPr>
        <w:autoSpaceDE w:val="0"/>
        <w:autoSpaceDN w:val="0"/>
        <w:adjustRightInd w:val="0"/>
        <w:spacing w:before="0" w:after="0"/>
        <w:jc w:val="both"/>
        <w:rPr>
          <w:rFonts w:cs="Arial"/>
        </w:rPr>
      </w:pPr>
      <w:r>
        <w:t xml:space="preserve">The submission from </w:t>
      </w:r>
      <w:r w:rsidRPr="000B7DB6">
        <w:t>No To Violence Male Family Violence Prevention Association</w:t>
      </w:r>
      <w:r>
        <w:t xml:space="preserve"> told me that:</w:t>
      </w:r>
    </w:p>
    <w:p w14:paraId="7F0F4B3F" w14:textId="77777777" w:rsidR="000D1D92" w:rsidRDefault="000D1D92" w:rsidP="000D1D92">
      <w:pPr>
        <w:autoSpaceDE w:val="0"/>
        <w:autoSpaceDN w:val="0"/>
        <w:adjustRightInd w:val="0"/>
        <w:spacing w:before="0" w:after="0"/>
        <w:ind w:left="720"/>
        <w:jc w:val="both"/>
        <w:rPr>
          <w:rFonts w:cs="Arial"/>
          <w:shd w:val="clear" w:color="auto" w:fill="FFFFFF" w:themeFill="background1"/>
        </w:rPr>
      </w:pPr>
      <w:r w:rsidRPr="0078299D">
        <w:rPr>
          <w:sz w:val="22"/>
          <w:szCs w:val="22"/>
        </w:rPr>
        <w:t>Child protection systems are extremely ill-equipped to deal with the problem in a comprehensive, holistic, family-centred manner. The systems weren’t designed with this problem in mind and continue to be flummoxed around how to truly respond in a child-centred manner</w:t>
      </w:r>
      <w:r>
        <w:t>.</w:t>
      </w:r>
      <w:r>
        <w:rPr>
          <w:rStyle w:val="EndnoteReference"/>
        </w:rPr>
        <w:endnoteReference w:id="531"/>
      </w:r>
    </w:p>
    <w:p w14:paraId="08C6AE12" w14:textId="77777777" w:rsidR="000D1D92" w:rsidRDefault="000D1D92" w:rsidP="000D1D92">
      <w:pPr>
        <w:autoSpaceDE w:val="0"/>
        <w:autoSpaceDN w:val="0"/>
        <w:adjustRightInd w:val="0"/>
        <w:spacing w:before="0" w:after="0"/>
        <w:jc w:val="both"/>
        <w:rPr>
          <w:rFonts w:cs="Arial"/>
          <w:shd w:val="clear" w:color="auto" w:fill="FFFFFF" w:themeFill="background1"/>
        </w:rPr>
      </w:pPr>
    </w:p>
    <w:p w14:paraId="49109785" w14:textId="77777777" w:rsidR="000D1D92" w:rsidRDefault="000D1D92" w:rsidP="000D1D92">
      <w:pPr>
        <w:autoSpaceDE w:val="0"/>
        <w:autoSpaceDN w:val="0"/>
        <w:adjustRightInd w:val="0"/>
        <w:spacing w:before="0" w:after="0"/>
        <w:jc w:val="both"/>
        <w:rPr>
          <w:rFonts w:cs="Arial"/>
        </w:rPr>
      </w:pPr>
      <w:r w:rsidRPr="00206B3E">
        <w:rPr>
          <w:rFonts w:cs="Arial"/>
          <w:shd w:val="clear" w:color="auto" w:fill="FFFFFF" w:themeFill="background1"/>
        </w:rPr>
        <w:t>Professor Cathy Humphries</w:t>
      </w:r>
      <w:r>
        <w:rPr>
          <w:rFonts w:cs="Arial"/>
        </w:rPr>
        <w:t xml:space="preserve"> argues that:</w:t>
      </w:r>
    </w:p>
    <w:p w14:paraId="1C919EE3" w14:textId="77777777" w:rsidR="000D1D92" w:rsidRDefault="000D1D92" w:rsidP="000D1D92">
      <w:pPr>
        <w:autoSpaceDE w:val="0"/>
        <w:autoSpaceDN w:val="0"/>
        <w:adjustRightInd w:val="0"/>
        <w:spacing w:before="0" w:after="0"/>
        <w:jc w:val="both"/>
        <w:rPr>
          <w:rFonts w:cs="Arial"/>
        </w:rPr>
      </w:pPr>
    </w:p>
    <w:p w14:paraId="19892E94" w14:textId="77777777" w:rsidR="000D1D92" w:rsidRDefault="000D1D92" w:rsidP="000D1D92">
      <w:pPr>
        <w:autoSpaceDE w:val="0"/>
        <w:autoSpaceDN w:val="0"/>
        <w:adjustRightInd w:val="0"/>
        <w:spacing w:before="0" w:after="0"/>
        <w:ind w:left="720"/>
        <w:jc w:val="both"/>
        <w:rPr>
          <w:rFonts w:cs="Arial"/>
        </w:rPr>
      </w:pPr>
      <w:r w:rsidRPr="00AE40E4">
        <w:rPr>
          <w:rFonts w:cs="Arial"/>
          <w:sz w:val="22"/>
          <w:szCs w:val="22"/>
        </w:rPr>
        <w:t>‘Grafting’ domestic violence onto the extant child protection system can push an already vulnerable situation towards system failure…issues specific to domestic violence need to be addressed if a more effective intervention is to occur for children affected by domestic violence</w:t>
      </w:r>
      <w:r>
        <w:rPr>
          <w:rFonts w:cs="Arial"/>
        </w:rPr>
        <w:t>.</w:t>
      </w:r>
      <w:r>
        <w:rPr>
          <w:rStyle w:val="EndnoteReference"/>
          <w:rFonts w:cs="Arial"/>
        </w:rPr>
        <w:endnoteReference w:id="532"/>
      </w:r>
    </w:p>
    <w:p w14:paraId="3ECC9B83" w14:textId="77777777" w:rsidR="000D1D92" w:rsidRPr="00837B44" w:rsidRDefault="000D1D92" w:rsidP="000D1D92">
      <w:pPr>
        <w:autoSpaceDE w:val="0"/>
        <w:autoSpaceDN w:val="0"/>
        <w:adjustRightInd w:val="0"/>
        <w:spacing w:before="0" w:after="0"/>
        <w:jc w:val="both"/>
        <w:rPr>
          <w:rFonts w:cs="Arial"/>
        </w:rPr>
      </w:pPr>
    </w:p>
    <w:p w14:paraId="4A76CFD3" w14:textId="77777777" w:rsidR="000D1D92" w:rsidRDefault="000D1D92" w:rsidP="000D1D92">
      <w:pPr>
        <w:autoSpaceDE w:val="0"/>
        <w:autoSpaceDN w:val="0"/>
        <w:adjustRightInd w:val="0"/>
        <w:spacing w:before="0" w:after="0"/>
        <w:jc w:val="both"/>
        <w:rPr>
          <w:rFonts w:cs="Arial"/>
        </w:rPr>
      </w:pPr>
      <w:r>
        <w:rPr>
          <w:rFonts w:cs="Arial"/>
        </w:rPr>
        <w:t xml:space="preserve">The submission by the </w:t>
      </w:r>
      <w:r>
        <w:t xml:space="preserve">National Aboriginal and Torres Strait Islander Legal Services </w:t>
      </w:r>
      <w:r>
        <w:rPr>
          <w:rFonts w:cs="Arial"/>
        </w:rPr>
        <w:t xml:space="preserve">points out that: </w:t>
      </w:r>
    </w:p>
    <w:p w14:paraId="4B0FA652" w14:textId="77777777" w:rsidR="000D1D92" w:rsidRDefault="000D1D92" w:rsidP="000D1D92">
      <w:pPr>
        <w:autoSpaceDE w:val="0"/>
        <w:autoSpaceDN w:val="0"/>
        <w:adjustRightInd w:val="0"/>
        <w:spacing w:before="0" w:after="0"/>
        <w:jc w:val="both"/>
        <w:rPr>
          <w:rFonts w:cs="Arial"/>
        </w:rPr>
      </w:pPr>
    </w:p>
    <w:p w14:paraId="326C7B5F" w14:textId="77777777" w:rsidR="000D1D92" w:rsidRDefault="000D1D92" w:rsidP="000D1D92">
      <w:pPr>
        <w:autoSpaceDE w:val="0"/>
        <w:autoSpaceDN w:val="0"/>
        <w:adjustRightInd w:val="0"/>
        <w:spacing w:before="0" w:after="0"/>
        <w:ind w:left="720"/>
        <w:jc w:val="both"/>
        <w:rPr>
          <w:rFonts w:cs="Arial"/>
        </w:rPr>
      </w:pPr>
      <w:r w:rsidRPr="00AE40E4">
        <w:rPr>
          <w:rFonts w:cs="Arial"/>
          <w:sz w:val="22"/>
          <w:szCs w:val="22"/>
        </w:rPr>
        <w:t>The interaction between child protection interventions and family and domestic violence is extremely complex because of the risk to both the child and the non-abusive parent/carer</w:t>
      </w:r>
      <w:r>
        <w:rPr>
          <w:rFonts w:cs="Arial"/>
        </w:rPr>
        <w:t>.</w:t>
      </w:r>
      <w:r>
        <w:rPr>
          <w:rStyle w:val="EndnoteReference"/>
          <w:rFonts w:cs="Arial"/>
        </w:rPr>
        <w:endnoteReference w:id="533"/>
      </w:r>
    </w:p>
    <w:p w14:paraId="06C5AE5A" w14:textId="77777777" w:rsidR="000D1D92" w:rsidRDefault="000D1D92" w:rsidP="000D1D92">
      <w:pPr>
        <w:autoSpaceDE w:val="0"/>
        <w:autoSpaceDN w:val="0"/>
        <w:adjustRightInd w:val="0"/>
        <w:spacing w:before="0" w:after="0"/>
        <w:ind w:left="720"/>
        <w:jc w:val="both"/>
        <w:rPr>
          <w:rFonts w:cs="Arial"/>
        </w:rPr>
      </w:pPr>
    </w:p>
    <w:p w14:paraId="68BE6711" w14:textId="77777777" w:rsidR="000D1D92" w:rsidRDefault="000D1D92" w:rsidP="000D1D92">
      <w:pPr>
        <w:autoSpaceDE w:val="0"/>
        <w:autoSpaceDN w:val="0"/>
        <w:adjustRightInd w:val="0"/>
        <w:spacing w:before="0" w:after="0"/>
        <w:jc w:val="both"/>
      </w:pPr>
      <w:r>
        <w:t xml:space="preserve">One of the fundamental issues in family and domestic violence is the co-existence of the adult victim and the child victim. </w:t>
      </w:r>
    </w:p>
    <w:p w14:paraId="6B84F61A" w14:textId="77777777" w:rsidR="000D1D92" w:rsidRDefault="000D1D92" w:rsidP="000D1D92">
      <w:pPr>
        <w:autoSpaceDE w:val="0"/>
        <w:autoSpaceDN w:val="0"/>
        <w:adjustRightInd w:val="0"/>
        <w:spacing w:before="0" w:after="0"/>
        <w:jc w:val="both"/>
      </w:pPr>
    </w:p>
    <w:p w14:paraId="66E2381B" w14:textId="77777777" w:rsidR="000D1D92" w:rsidRDefault="000D1D92" w:rsidP="000D1D92">
      <w:pPr>
        <w:autoSpaceDE w:val="0"/>
        <w:autoSpaceDN w:val="0"/>
        <w:adjustRightInd w:val="0"/>
        <w:spacing w:before="0" w:after="0"/>
        <w:jc w:val="both"/>
        <w:rPr>
          <w:szCs w:val="22"/>
        </w:rPr>
      </w:pPr>
      <w:r>
        <w:rPr>
          <w:szCs w:val="22"/>
        </w:rPr>
        <w:lastRenderedPageBreak/>
        <w:t xml:space="preserve">Within the context of child protection, mothers can often be assessed as non-protective of their children if they do not leave the perpetrator and this can result in children being removed and placed in out-of-home care. </w:t>
      </w:r>
    </w:p>
    <w:p w14:paraId="0F8F5CF9" w14:textId="77777777" w:rsidR="000D1D92" w:rsidRDefault="000D1D92" w:rsidP="000D1D92">
      <w:pPr>
        <w:autoSpaceDE w:val="0"/>
        <w:autoSpaceDN w:val="0"/>
        <w:adjustRightInd w:val="0"/>
        <w:spacing w:before="0" w:after="0"/>
        <w:jc w:val="both"/>
        <w:rPr>
          <w:szCs w:val="22"/>
        </w:rPr>
      </w:pPr>
    </w:p>
    <w:p w14:paraId="09EE64EC" w14:textId="77777777" w:rsidR="000D1D92" w:rsidRDefault="000D1D92" w:rsidP="000D1D92">
      <w:pPr>
        <w:autoSpaceDE w:val="0"/>
        <w:autoSpaceDN w:val="0"/>
        <w:adjustRightInd w:val="0"/>
        <w:spacing w:before="0" w:after="0"/>
        <w:jc w:val="both"/>
        <w:rPr>
          <w:szCs w:val="22"/>
        </w:rPr>
      </w:pPr>
      <w:r>
        <w:rPr>
          <w:szCs w:val="22"/>
        </w:rPr>
        <w:t xml:space="preserve">The fear of this happening can also be a significant barrier to women with children seeking help. This particularly affects Aboriginal and Torres Strait Islander women. </w:t>
      </w:r>
    </w:p>
    <w:p w14:paraId="19A26882" w14:textId="77777777" w:rsidR="000D1D92" w:rsidRDefault="000D1D92" w:rsidP="000D1D92">
      <w:pPr>
        <w:autoSpaceDE w:val="0"/>
        <w:autoSpaceDN w:val="0"/>
        <w:adjustRightInd w:val="0"/>
        <w:spacing w:before="0" w:after="0"/>
        <w:jc w:val="both"/>
        <w:rPr>
          <w:szCs w:val="22"/>
        </w:rPr>
      </w:pPr>
    </w:p>
    <w:p w14:paraId="0690149A" w14:textId="77777777" w:rsidR="000D1D92" w:rsidRPr="00837B44" w:rsidRDefault="000D1D92" w:rsidP="000D1D92">
      <w:pPr>
        <w:spacing w:before="0" w:after="0"/>
        <w:jc w:val="both"/>
      </w:pPr>
      <w:r>
        <w:t xml:space="preserve">The </w:t>
      </w:r>
      <w:r w:rsidRPr="00837B44">
        <w:t xml:space="preserve">Australian Psychological Society </w:t>
      </w:r>
      <w:r>
        <w:t>told me that:</w:t>
      </w:r>
    </w:p>
    <w:p w14:paraId="60731576" w14:textId="77777777" w:rsidR="000D1D92" w:rsidRDefault="000D1D92" w:rsidP="000D1D92">
      <w:pPr>
        <w:spacing w:before="0" w:after="0"/>
        <w:jc w:val="both"/>
      </w:pPr>
    </w:p>
    <w:p w14:paraId="3A0B2E94" w14:textId="77777777" w:rsidR="000D1D92" w:rsidRDefault="000D1D92" w:rsidP="000D1D92">
      <w:pPr>
        <w:spacing w:before="0" w:after="0"/>
        <w:ind w:left="720"/>
        <w:jc w:val="both"/>
      </w:pPr>
      <w:r w:rsidRPr="00AE40E4">
        <w:rPr>
          <w:sz w:val="22"/>
          <w:szCs w:val="22"/>
        </w:rPr>
        <w:t>While in some situations there is a clear case for referral to child protection for children directly harmed by family violence, developing policy or legislative responses which mandate referral for all children who experience or witness violence is unlikely to be in the best interests of the child, or the child and protective parent relationship</w:t>
      </w:r>
      <w:r>
        <w:t>.</w:t>
      </w:r>
      <w:r>
        <w:rPr>
          <w:rStyle w:val="EndnoteReference"/>
        </w:rPr>
        <w:endnoteReference w:id="534"/>
      </w:r>
    </w:p>
    <w:p w14:paraId="5A06AE05" w14:textId="77777777" w:rsidR="000D1D92" w:rsidRDefault="000D1D92" w:rsidP="000D1D92">
      <w:pPr>
        <w:autoSpaceDE w:val="0"/>
        <w:autoSpaceDN w:val="0"/>
        <w:adjustRightInd w:val="0"/>
        <w:spacing w:before="0" w:after="0"/>
        <w:jc w:val="both"/>
        <w:rPr>
          <w:rFonts w:cs="Arial"/>
        </w:rPr>
      </w:pPr>
    </w:p>
    <w:p w14:paraId="4D4ECFE1" w14:textId="77777777" w:rsidR="000D1D92" w:rsidRDefault="000D1D92" w:rsidP="000D1D92">
      <w:pPr>
        <w:autoSpaceDE w:val="0"/>
        <w:autoSpaceDN w:val="0"/>
        <w:adjustRightInd w:val="0"/>
        <w:spacing w:before="0" w:after="0"/>
        <w:jc w:val="both"/>
        <w:rPr>
          <w:rFonts w:cs="Arial"/>
        </w:rPr>
      </w:pPr>
      <w:r>
        <w:rPr>
          <w:rFonts w:cs="Arial"/>
        </w:rPr>
        <w:t xml:space="preserve">At my roundtables and in submissions, I was told that differential response approaches had been adopted in many Australian jurisdictions. </w:t>
      </w:r>
    </w:p>
    <w:p w14:paraId="6389D150" w14:textId="77777777" w:rsidR="000D1D92" w:rsidRDefault="000D1D92" w:rsidP="000D1D92">
      <w:pPr>
        <w:autoSpaceDE w:val="0"/>
        <w:autoSpaceDN w:val="0"/>
        <w:adjustRightInd w:val="0"/>
        <w:spacing w:before="0" w:after="0"/>
        <w:jc w:val="both"/>
        <w:rPr>
          <w:rFonts w:cs="Arial"/>
        </w:rPr>
      </w:pPr>
    </w:p>
    <w:p w14:paraId="392FDD74" w14:textId="77777777" w:rsidR="000D1D92" w:rsidRDefault="000D1D92" w:rsidP="000D1D92">
      <w:pPr>
        <w:autoSpaceDE w:val="0"/>
        <w:autoSpaceDN w:val="0"/>
        <w:adjustRightInd w:val="0"/>
        <w:spacing w:before="0" w:after="0"/>
        <w:jc w:val="both"/>
        <w:rPr>
          <w:rFonts w:cs="Arial"/>
        </w:rPr>
      </w:pPr>
      <w:r>
        <w:rPr>
          <w:rFonts w:cs="Arial"/>
        </w:rPr>
        <w:t>This type of approach uses assessment tools to gauge risk of harm to children and identify low and high-risk families.</w:t>
      </w:r>
      <w:r>
        <w:rPr>
          <w:rStyle w:val="EndnoteReference"/>
          <w:rFonts w:cs="Arial"/>
        </w:rPr>
        <w:endnoteReference w:id="535"/>
      </w:r>
      <w:r>
        <w:rPr>
          <w:rFonts w:cs="Arial"/>
        </w:rPr>
        <w:t xml:space="preserve"> In cases where f</w:t>
      </w:r>
      <w:r w:rsidRPr="009E1176">
        <w:rPr>
          <w:rFonts w:cs="Arial"/>
        </w:rPr>
        <w:t xml:space="preserve">amily and domestic violence </w:t>
      </w:r>
      <w:r>
        <w:rPr>
          <w:rFonts w:cs="Arial"/>
        </w:rPr>
        <w:t>is assessed as low risk and does not require a response from child protection authorities, referrals are made to non-government and community sector organisations.</w:t>
      </w:r>
      <w:r>
        <w:rPr>
          <w:rStyle w:val="EndnoteReference"/>
          <w:rFonts w:cs="Arial"/>
        </w:rPr>
        <w:endnoteReference w:id="536"/>
      </w:r>
      <w:r>
        <w:rPr>
          <w:rFonts w:cs="Arial"/>
        </w:rPr>
        <w:t xml:space="preserve"> </w:t>
      </w:r>
    </w:p>
    <w:p w14:paraId="7C4F7A7D" w14:textId="77777777" w:rsidR="000D1D92" w:rsidRDefault="000D1D92" w:rsidP="000D1D92">
      <w:pPr>
        <w:autoSpaceDE w:val="0"/>
        <w:autoSpaceDN w:val="0"/>
        <w:adjustRightInd w:val="0"/>
        <w:spacing w:before="0" w:after="0"/>
        <w:jc w:val="both"/>
        <w:rPr>
          <w:rFonts w:cs="Arial"/>
        </w:rPr>
      </w:pPr>
    </w:p>
    <w:p w14:paraId="101AF4F7" w14:textId="77777777" w:rsidR="000D1D92" w:rsidRDefault="000D1D92" w:rsidP="000D1D92">
      <w:pPr>
        <w:autoSpaceDE w:val="0"/>
        <w:autoSpaceDN w:val="0"/>
        <w:adjustRightInd w:val="0"/>
        <w:spacing w:before="0" w:after="0"/>
        <w:jc w:val="both"/>
      </w:pPr>
      <w:r>
        <w:t xml:space="preserve">Bromfield, Arney, and Higgins suggest that while the Australian strategy of adopting differential response approaches to </w:t>
      </w:r>
      <w:r w:rsidRPr="007D430B">
        <w:t>better respond to families</w:t>
      </w:r>
      <w:r>
        <w:t xml:space="preserve"> has been a </w:t>
      </w:r>
      <w:r w:rsidRPr="007172D5">
        <w:t>pragmatic and sensible addition to child protection services</w:t>
      </w:r>
      <w:r>
        <w:t>, a more proactive method towards implementing a comprehensive public health model is required.</w:t>
      </w:r>
      <w:r>
        <w:rPr>
          <w:rStyle w:val="EndnoteReference"/>
        </w:rPr>
        <w:endnoteReference w:id="537"/>
      </w:r>
      <w:r>
        <w:t xml:space="preserve"> </w:t>
      </w:r>
    </w:p>
    <w:p w14:paraId="75345C67" w14:textId="77777777" w:rsidR="000D1D92" w:rsidRDefault="000D1D92" w:rsidP="000D1D92">
      <w:pPr>
        <w:autoSpaceDE w:val="0"/>
        <w:autoSpaceDN w:val="0"/>
        <w:adjustRightInd w:val="0"/>
        <w:spacing w:before="0" w:after="0"/>
        <w:jc w:val="both"/>
      </w:pPr>
    </w:p>
    <w:p w14:paraId="74C9CFDB" w14:textId="77777777" w:rsidR="000D1D92" w:rsidRDefault="000D1D92" w:rsidP="000D1D92">
      <w:pPr>
        <w:autoSpaceDE w:val="0"/>
        <w:autoSpaceDN w:val="0"/>
        <w:adjustRightInd w:val="0"/>
        <w:spacing w:before="0" w:after="0"/>
        <w:jc w:val="both"/>
        <w:rPr>
          <w:rFonts w:cs="Arial"/>
        </w:rPr>
      </w:pPr>
      <w:r>
        <w:t xml:space="preserve">Public policy approaches and educational campaigns targeting family and domestic violence are </w:t>
      </w:r>
      <w:r>
        <w:rPr>
          <w:rFonts w:cs="Arial"/>
        </w:rPr>
        <w:t xml:space="preserve">discussed further below (see </w:t>
      </w:r>
      <w:r w:rsidRPr="00D9283E">
        <w:rPr>
          <w:rFonts w:cs="Arial"/>
        </w:rPr>
        <w:t>section 4.5.5</w:t>
      </w:r>
      <w:r>
        <w:rPr>
          <w:rFonts w:cs="Arial"/>
        </w:rPr>
        <w:t>).</w:t>
      </w:r>
    </w:p>
    <w:p w14:paraId="7D37E8E2" w14:textId="77777777" w:rsidR="000D1D92" w:rsidRDefault="000D1D92" w:rsidP="000D1D92">
      <w:pPr>
        <w:autoSpaceDE w:val="0"/>
        <w:autoSpaceDN w:val="0"/>
        <w:adjustRightInd w:val="0"/>
        <w:spacing w:before="0" w:after="0"/>
        <w:jc w:val="both"/>
        <w:rPr>
          <w:rFonts w:cs="Arial"/>
        </w:rPr>
      </w:pPr>
    </w:p>
    <w:p w14:paraId="64EE2EB2" w14:textId="77777777" w:rsidR="000D1D92" w:rsidRDefault="000D1D92" w:rsidP="000D1D92">
      <w:pPr>
        <w:autoSpaceDE w:val="0"/>
        <w:autoSpaceDN w:val="0"/>
        <w:adjustRightInd w:val="0"/>
        <w:spacing w:before="0" w:after="0"/>
        <w:jc w:val="both"/>
        <w:rPr>
          <w:rFonts w:cs="Arial"/>
        </w:rPr>
      </w:pPr>
      <w:r>
        <w:rPr>
          <w:rFonts w:cs="Arial"/>
        </w:rPr>
        <w:t>Research on differential response approaches conducted in Canada suggests that difficulties can emerge where community-based services do not have adequate funding for preventative services and intervention programs, and are not able to appropriately respond.</w:t>
      </w:r>
      <w:r>
        <w:rPr>
          <w:rStyle w:val="EndnoteReference"/>
          <w:rFonts w:cs="Arial"/>
        </w:rPr>
        <w:endnoteReference w:id="538"/>
      </w:r>
      <w:r>
        <w:rPr>
          <w:rFonts w:cs="Arial"/>
        </w:rPr>
        <w:t xml:space="preserve"> </w:t>
      </w:r>
    </w:p>
    <w:p w14:paraId="2082419A" w14:textId="77777777" w:rsidR="000D1D92" w:rsidRDefault="000D1D92" w:rsidP="000D1D92">
      <w:pPr>
        <w:autoSpaceDE w:val="0"/>
        <w:autoSpaceDN w:val="0"/>
        <w:adjustRightInd w:val="0"/>
        <w:spacing w:before="0" w:after="0"/>
        <w:jc w:val="both"/>
        <w:rPr>
          <w:rFonts w:cs="Arial"/>
        </w:rPr>
      </w:pPr>
    </w:p>
    <w:p w14:paraId="401B69BE" w14:textId="77777777" w:rsidR="000D1D92" w:rsidRDefault="000D1D92" w:rsidP="000D1D92">
      <w:pPr>
        <w:autoSpaceDE w:val="0"/>
        <w:autoSpaceDN w:val="0"/>
        <w:adjustRightInd w:val="0"/>
        <w:spacing w:before="0" w:after="0"/>
        <w:jc w:val="both"/>
        <w:rPr>
          <w:rFonts w:cs="Arial"/>
        </w:rPr>
      </w:pPr>
      <w:r>
        <w:rPr>
          <w:rFonts w:cs="Arial"/>
        </w:rPr>
        <w:t xml:space="preserve">The submission made by </w:t>
      </w:r>
      <w:r w:rsidRPr="005216FA">
        <w:rPr>
          <w:rFonts w:cs="Arial"/>
        </w:rPr>
        <w:t>Melbourne Research Alliance to End Violence Against Women and their Children</w:t>
      </w:r>
      <w:r>
        <w:rPr>
          <w:rFonts w:cs="Arial"/>
        </w:rPr>
        <w:t xml:space="preserve"> emphasises the need for increased funding to make sure that those children diverted from child protection receive support services; and that workers in women’s services and family support services are trained to intervene with both sets of victims.</w:t>
      </w:r>
      <w:r>
        <w:rPr>
          <w:rStyle w:val="EndnoteReference"/>
          <w:rFonts w:cs="Arial"/>
        </w:rPr>
        <w:endnoteReference w:id="539"/>
      </w:r>
    </w:p>
    <w:p w14:paraId="76B46BB9" w14:textId="77777777" w:rsidR="000D1D92" w:rsidRDefault="000D1D92" w:rsidP="000D1D92">
      <w:pPr>
        <w:autoSpaceDE w:val="0"/>
        <w:autoSpaceDN w:val="0"/>
        <w:adjustRightInd w:val="0"/>
        <w:spacing w:before="0" w:after="0"/>
        <w:jc w:val="both"/>
        <w:rPr>
          <w:rFonts w:cs="Arial"/>
        </w:rPr>
      </w:pPr>
    </w:p>
    <w:tbl>
      <w:tblPr>
        <w:tblStyle w:val="TableGrid"/>
        <w:tblW w:w="0" w:type="auto"/>
        <w:shd w:val="clear" w:color="auto" w:fill="000000" w:themeFill="text1"/>
        <w:tblLook w:val="04A0" w:firstRow="1" w:lastRow="0" w:firstColumn="1" w:lastColumn="0" w:noHBand="0" w:noVBand="1"/>
      </w:tblPr>
      <w:tblGrid>
        <w:gridCol w:w="9060"/>
      </w:tblGrid>
      <w:tr w:rsidR="000D1D92" w:rsidRPr="007407A6" w14:paraId="4D8100F2" w14:textId="77777777" w:rsidTr="00684616">
        <w:trPr>
          <w:trHeight w:val="1006"/>
        </w:trPr>
        <w:tc>
          <w:tcPr>
            <w:tcW w:w="9060" w:type="dxa"/>
            <w:shd w:val="clear" w:color="auto" w:fill="F2F2F2" w:themeFill="background1" w:themeFillShade="F2"/>
            <w:vAlign w:val="center"/>
          </w:tcPr>
          <w:p w14:paraId="02957FE9" w14:textId="77777777" w:rsidR="000D1D92" w:rsidRDefault="000D1D92" w:rsidP="00684616">
            <w:pPr>
              <w:spacing w:before="0" w:after="0"/>
              <w:rPr>
                <w:b/>
              </w:rPr>
            </w:pPr>
          </w:p>
          <w:p w14:paraId="3C58D01B" w14:textId="77777777" w:rsidR="000D1D92" w:rsidRDefault="000D1D92" w:rsidP="00684616">
            <w:pPr>
              <w:spacing w:before="0" w:after="0"/>
              <w:rPr>
                <w:b/>
              </w:rPr>
            </w:pPr>
            <w:r>
              <w:rPr>
                <w:b/>
              </w:rPr>
              <w:t>Summary</w:t>
            </w:r>
          </w:p>
          <w:p w14:paraId="36347A12" w14:textId="77777777" w:rsidR="000D1D92" w:rsidRDefault="000D1D92" w:rsidP="00684616">
            <w:pPr>
              <w:spacing w:before="0" w:after="0"/>
              <w:rPr>
                <w:b/>
              </w:rPr>
            </w:pPr>
          </w:p>
          <w:p w14:paraId="163BE25A" w14:textId="77777777" w:rsidR="000D1D92" w:rsidRDefault="000D1D92" w:rsidP="00684616">
            <w:pPr>
              <w:spacing w:before="0" w:after="0"/>
              <w:rPr>
                <w:b/>
              </w:rPr>
            </w:pPr>
            <w:r w:rsidRPr="00A34F00">
              <w:rPr>
                <w:b/>
              </w:rPr>
              <w:t>How do children experience family and domestic violence?</w:t>
            </w:r>
          </w:p>
          <w:p w14:paraId="12675A0F" w14:textId="77777777" w:rsidR="000D1D92" w:rsidRDefault="000D1D92" w:rsidP="00684616">
            <w:pPr>
              <w:spacing w:before="0" w:after="0"/>
              <w:rPr>
                <w:b/>
              </w:rPr>
            </w:pPr>
          </w:p>
          <w:p w14:paraId="21F6B03E" w14:textId="77777777" w:rsidR="000D1D92" w:rsidRPr="00A34F00" w:rsidRDefault="000D1D92" w:rsidP="00684616">
            <w:pPr>
              <w:spacing w:before="0" w:after="0"/>
              <w:jc w:val="both"/>
              <w:rPr>
                <w:b/>
              </w:rPr>
            </w:pPr>
            <w:r w:rsidRPr="00A34F00">
              <w:t xml:space="preserve">Children’s experiences of family and domestic violence are typically described as ‘witnessing violence’, ‘being exposed to violence’, and ‘being directly abused in the context of family and domestic violence’. These three categories have traditionally </w:t>
            </w:r>
            <w:r w:rsidRPr="00A34F00">
              <w:lastRenderedPageBreak/>
              <w:t>been treated as separate entities</w:t>
            </w:r>
            <w:r w:rsidRPr="00A34F00">
              <w:rPr>
                <w:b/>
              </w:rPr>
              <w:t xml:space="preserve">. </w:t>
            </w:r>
          </w:p>
          <w:p w14:paraId="0FD3F63F" w14:textId="77777777" w:rsidR="000D1D92" w:rsidRPr="00A34F00" w:rsidRDefault="000D1D92" w:rsidP="00684616">
            <w:pPr>
              <w:spacing w:before="0" w:after="0"/>
              <w:jc w:val="both"/>
              <w:rPr>
                <w:b/>
              </w:rPr>
            </w:pPr>
          </w:p>
          <w:p w14:paraId="519A7972" w14:textId="77777777" w:rsidR="000D1D92" w:rsidRPr="00A34F00" w:rsidRDefault="000D1D92" w:rsidP="00684616">
            <w:pPr>
              <w:spacing w:before="0" w:after="0"/>
              <w:jc w:val="both"/>
            </w:pPr>
            <w:r w:rsidRPr="00A34F00">
              <w:t>Witnessing and exposure to family and domestic violence are increasingly being recognised as forms</w:t>
            </w:r>
            <w:r>
              <w:t xml:space="preserve"> of abuse that can be reported</w:t>
            </w:r>
            <w:r w:rsidRPr="00A34F00">
              <w:t xml:space="preserve"> to child protection authorities.</w:t>
            </w:r>
          </w:p>
          <w:p w14:paraId="2E31EAD9" w14:textId="77777777" w:rsidR="000D1D92" w:rsidRPr="00A34F00" w:rsidRDefault="000D1D92" w:rsidP="00684616">
            <w:pPr>
              <w:spacing w:before="0" w:after="0"/>
              <w:jc w:val="both"/>
              <w:rPr>
                <w:b/>
              </w:rPr>
            </w:pPr>
          </w:p>
          <w:p w14:paraId="4C0B57E7" w14:textId="77777777" w:rsidR="000D1D92" w:rsidRDefault="000D1D92" w:rsidP="00684616">
            <w:pPr>
              <w:spacing w:before="0" w:after="0"/>
            </w:pPr>
            <w:r w:rsidRPr="00A34F00">
              <w:t xml:space="preserve">It is clear that statutory child protection systems across Australia are not well equipped to manage the large numbers of children affected by family and domestic violence. </w:t>
            </w:r>
          </w:p>
          <w:p w14:paraId="6A382749" w14:textId="77777777" w:rsidR="000D1D92" w:rsidRDefault="000D1D92" w:rsidP="00684616">
            <w:pPr>
              <w:spacing w:before="0" w:after="0"/>
            </w:pPr>
          </w:p>
          <w:p w14:paraId="07480AB8" w14:textId="77777777" w:rsidR="000D1D92" w:rsidRDefault="000D1D92" w:rsidP="00684616">
            <w:pPr>
              <w:spacing w:before="0" w:after="0"/>
            </w:pPr>
            <w:r w:rsidRPr="00A34F00">
              <w:t>In particular, child protection systems have not been designed to consider the co-existence of an adult victim and child victims, leading to an absence of cohesive family-centred approaches.</w:t>
            </w:r>
          </w:p>
          <w:p w14:paraId="71CFD73C" w14:textId="77777777" w:rsidR="000D1D92" w:rsidRPr="007407A6" w:rsidRDefault="000D1D92" w:rsidP="00684616">
            <w:pPr>
              <w:spacing w:before="0" w:after="0"/>
              <w:rPr>
                <w:b/>
              </w:rPr>
            </w:pPr>
          </w:p>
        </w:tc>
      </w:tr>
    </w:tbl>
    <w:p w14:paraId="690E3055" w14:textId="77777777" w:rsidR="000D1D92" w:rsidRPr="00A712DE" w:rsidRDefault="000D1D92" w:rsidP="000D1D92">
      <w:pPr>
        <w:pStyle w:val="Heading3"/>
        <w:jc w:val="both"/>
      </w:pPr>
      <w:bookmarkStart w:id="183" w:name="_Toc430702117"/>
      <w:bookmarkStart w:id="184" w:name="_Toc432061273"/>
      <w:r w:rsidRPr="00A712DE">
        <w:lastRenderedPageBreak/>
        <w:t>What is the impact of family and domestic violence on children?</w:t>
      </w:r>
      <w:bookmarkEnd w:id="183"/>
      <w:bookmarkEnd w:id="184"/>
    </w:p>
    <w:p w14:paraId="606126B6" w14:textId="77777777" w:rsidR="000D1D92" w:rsidRDefault="000D1D92" w:rsidP="000D1D92">
      <w:pPr>
        <w:autoSpaceDE w:val="0"/>
        <w:autoSpaceDN w:val="0"/>
        <w:adjustRightInd w:val="0"/>
        <w:spacing w:before="0" w:after="0"/>
        <w:jc w:val="both"/>
      </w:pPr>
      <w:r>
        <w:t>There is general agreement about the ways in which family and domestic violence manifests itself in children. These include:</w:t>
      </w:r>
    </w:p>
    <w:p w14:paraId="0A16FB4C" w14:textId="77777777" w:rsidR="000D1D92" w:rsidRPr="002D1EAE" w:rsidRDefault="000D1D92" w:rsidP="000D1D92">
      <w:pPr>
        <w:autoSpaceDE w:val="0"/>
        <w:autoSpaceDN w:val="0"/>
        <w:adjustRightInd w:val="0"/>
        <w:spacing w:before="0" w:after="0"/>
        <w:jc w:val="both"/>
      </w:pPr>
    </w:p>
    <w:p w14:paraId="2EB34AA8" w14:textId="77777777" w:rsidR="000D1D92" w:rsidRDefault="000D1D92" w:rsidP="000D1D92">
      <w:pPr>
        <w:pStyle w:val="ListParagraph"/>
        <w:numPr>
          <w:ilvl w:val="0"/>
          <w:numId w:val="35"/>
        </w:numPr>
        <w:autoSpaceDE w:val="0"/>
        <w:autoSpaceDN w:val="0"/>
        <w:adjustRightInd w:val="0"/>
        <w:spacing w:before="0" w:after="0"/>
        <w:jc w:val="both"/>
        <w:rPr>
          <w:rFonts w:cs="Arial"/>
        </w:rPr>
      </w:pPr>
      <w:r>
        <w:rPr>
          <w:rFonts w:cs="Arial"/>
        </w:rPr>
        <w:t>m</w:t>
      </w:r>
      <w:r w:rsidRPr="00077521">
        <w:rPr>
          <w:rFonts w:cs="Arial"/>
        </w:rPr>
        <w:t>ood problems including depression</w:t>
      </w:r>
    </w:p>
    <w:p w14:paraId="2F43E3C7" w14:textId="77777777" w:rsidR="000D1D92" w:rsidRDefault="000D1D92" w:rsidP="000D1D92">
      <w:pPr>
        <w:pStyle w:val="ListParagraph"/>
        <w:numPr>
          <w:ilvl w:val="0"/>
          <w:numId w:val="35"/>
        </w:numPr>
        <w:autoSpaceDE w:val="0"/>
        <w:autoSpaceDN w:val="0"/>
        <w:adjustRightInd w:val="0"/>
        <w:spacing w:before="0" w:after="0"/>
        <w:jc w:val="both"/>
        <w:rPr>
          <w:rFonts w:cs="Arial"/>
        </w:rPr>
      </w:pPr>
      <w:r>
        <w:rPr>
          <w:rFonts w:cs="Arial"/>
        </w:rPr>
        <w:t>a</w:t>
      </w:r>
      <w:r w:rsidRPr="00077521">
        <w:rPr>
          <w:rFonts w:cs="Arial"/>
        </w:rPr>
        <w:t>nxiety</w:t>
      </w:r>
    </w:p>
    <w:p w14:paraId="5A860D7A" w14:textId="77777777" w:rsidR="000D1D92" w:rsidRDefault="000D1D92" w:rsidP="000D1D92">
      <w:pPr>
        <w:pStyle w:val="ListParagraph"/>
        <w:numPr>
          <w:ilvl w:val="0"/>
          <w:numId w:val="35"/>
        </w:numPr>
        <w:autoSpaceDE w:val="0"/>
        <w:autoSpaceDN w:val="0"/>
        <w:adjustRightInd w:val="0"/>
        <w:spacing w:before="0" w:after="0"/>
        <w:jc w:val="both"/>
        <w:rPr>
          <w:rFonts w:cs="Arial"/>
        </w:rPr>
      </w:pPr>
      <w:r>
        <w:rPr>
          <w:rFonts w:cs="Arial"/>
        </w:rPr>
        <w:t>t</w:t>
      </w:r>
      <w:r w:rsidRPr="00077521">
        <w:rPr>
          <w:rFonts w:cs="Arial"/>
        </w:rPr>
        <w:t>rauma symptoms</w:t>
      </w:r>
    </w:p>
    <w:p w14:paraId="63BFE666" w14:textId="77777777" w:rsidR="000D1D92" w:rsidRDefault="000D1D92" w:rsidP="000D1D92">
      <w:pPr>
        <w:pStyle w:val="ListParagraph"/>
        <w:numPr>
          <w:ilvl w:val="0"/>
          <w:numId w:val="35"/>
        </w:numPr>
        <w:autoSpaceDE w:val="0"/>
        <w:autoSpaceDN w:val="0"/>
        <w:adjustRightInd w:val="0"/>
        <w:spacing w:before="0" w:after="0"/>
        <w:jc w:val="both"/>
        <w:rPr>
          <w:rFonts w:cs="Arial"/>
        </w:rPr>
      </w:pPr>
      <w:r>
        <w:rPr>
          <w:rFonts w:cs="Arial"/>
        </w:rPr>
        <w:t>i</w:t>
      </w:r>
      <w:r w:rsidRPr="00077521">
        <w:rPr>
          <w:rFonts w:cs="Arial"/>
        </w:rPr>
        <w:t>ncreased aggression</w:t>
      </w:r>
    </w:p>
    <w:p w14:paraId="53F6B22B" w14:textId="77777777" w:rsidR="000D1D92" w:rsidRDefault="000D1D92" w:rsidP="000D1D92">
      <w:pPr>
        <w:pStyle w:val="ListParagraph"/>
        <w:numPr>
          <w:ilvl w:val="0"/>
          <w:numId w:val="35"/>
        </w:numPr>
        <w:autoSpaceDE w:val="0"/>
        <w:autoSpaceDN w:val="0"/>
        <w:adjustRightInd w:val="0"/>
        <w:spacing w:before="0" w:after="0"/>
        <w:jc w:val="both"/>
        <w:rPr>
          <w:rFonts w:cs="Arial"/>
        </w:rPr>
      </w:pPr>
      <w:r>
        <w:rPr>
          <w:rFonts w:cs="Arial"/>
        </w:rPr>
        <w:t>a</w:t>
      </w:r>
      <w:r w:rsidRPr="00077521">
        <w:rPr>
          <w:rFonts w:cs="Arial"/>
        </w:rPr>
        <w:t>ntisocial behaviour</w:t>
      </w:r>
    </w:p>
    <w:p w14:paraId="3A1DF0AA" w14:textId="77777777" w:rsidR="000D1D92" w:rsidRDefault="000D1D92" w:rsidP="000D1D92">
      <w:pPr>
        <w:pStyle w:val="ListParagraph"/>
        <w:numPr>
          <w:ilvl w:val="0"/>
          <w:numId w:val="35"/>
        </w:numPr>
        <w:autoSpaceDE w:val="0"/>
        <w:autoSpaceDN w:val="0"/>
        <w:adjustRightInd w:val="0"/>
        <w:spacing w:before="0" w:after="0"/>
        <w:jc w:val="both"/>
        <w:rPr>
          <w:rFonts w:cs="Arial"/>
        </w:rPr>
      </w:pPr>
      <w:r>
        <w:rPr>
          <w:rFonts w:cs="Arial"/>
        </w:rPr>
        <w:t>l</w:t>
      </w:r>
      <w:r w:rsidRPr="00077521">
        <w:rPr>
          <w:rFonts w:cs="Arial"/>
        </w:rPr>
        <w:t>ower social competence</w:t>
      </w:r>
    </w:p>
    <w:p w14:paraId="29A689D1" w14:textId="77777777" w:rsidR="000D1D92" w:rsidRDefault="000D1D92" w:rsidP="000D1D92">
      <w:pPr>
        <w:pStyle w:val="ListParagraph"/>
        <w:numPr>
          <w:ilvl w:val="0"/>
          <w:numId w:val="35"/>
        </w:numPr>
        <w:autoSpaceDE w:val="0"/>
        <w:autoSpaceDN w:val="0"/>
        <w:adjustRightInd w:val="0"/>
        <w:spacing w:before="0" w:after="0"/>
        <w:jc w:val="both"/>
        <w:rPr>
          <w:rFonts w:cs="Arial"/>
        </w:rPr>
      </w:pPr>
      <w:r>
        <w:rPr>
          <w:rFonts w:cs="Arial"/>
        </w:rPr>
        <w:t>t</w:t>
      </w:r>
      <w:r w:rsidRPr="00077521">
        <w:rPr>
          <w:rFonts w:cs="Arial"/>
        </w:rPr>
        <w:t>emperament problems</w:t>
      </w:r>
    </w:p>
    <w:p w14:paraId="7501EB84" w14:textId="77777777" w:rsidR="000D1D92" w:rsidRDefault="000D1D92" w:rsidP="000D1D92">
      <w:pPr>
        <w:pStyle w:val="ListParagraph"/>
        <w:numPr>
          <w:ilvl w:val="0"/>
          <w:numId w:val="35"/>
        </w:numPr>
        <w:autoSpaceDE w:val="0"/>
        <w:autoSpaceDN w:val="0"/>
        <w:adjustRightInd w:val="0"/>
        <w:spacing w:before="0" w:after="0"/>
        <w:jc w:val="both"/>
        <w:rPr>
          <w:rFonts w:cs="Arial"/>
        </w:rPr>
      </w:pPr>
      <w:r>
        <w:rPr>
          <w:rFonts w:cs="Arial"/>
        </w:rPr>
        <w:t>l</w:t>
      </w:r>
      <w:r w:rsidRPr="00077521">
        <w:rPr>
          <w:rFonts w:cs="Arial"/>
        </w:rPr>
        <w:t>ow self-esteem</w:t>
      </w:r>
    </w:p>
    <w:p w14:paraId="65B529ED" w14:textId="77777777" w:rsidR="000D1D92" w:rsidRDefault="000D1D92" w:rsidP="000D1D92">
      <w:pPr>
        <w:pStyle w:val="ListParagraph"/>
        <w:numPr>
          <w:ilvl w:val="0"/>
          <w:numId w:val="35"/>
        </w:numPr>
        <w:autoSpaceDE w:val="0"/>
        <w:autoSpaceDN w:val="0"/>
        <w:adjustRightInd w:val="0"/>
        <w:spacing w:before="0" w:after="0"/>
        <w:jc w:val="both"/>
        <w:rPr>
          <w:rFonts w:cs="Arial"/>
        </w:rPr>
      </w:pPr>
      <w:r>
        <w:rPr>
          <w:rFonts w:cs="Arial"/>
        </w:rPr>
        <w:t>t</w:t>
      </w:r>
      <w:r w:rsidRPr="00077521">
        <w:rPr>
          <w:rFonts w:cs="Arial"/>
        </w:rPr>
        <w:t>he presence of pervasive fear</w:t>
      </w:r>
    </w:p>
    <w:p w14:paraId="7216566A" w14:textId="77777777" w:rsidR="000D1D92" w:rsidRDefault="000D1D92" w:rsidP="000D1D92">
      <w:pPr>
        <w:pStyle w:val="ListParagraph"/>
        <w:numPr>
          <w:ilvl w:val="0"/>
          <w:numId w:val="35"/>
        </w:numPr>
        <w:autoSpaceDE w:val="0"/>
        <w:autoSpaceDN w:val="0"/>
        <w:adjustRightInd w:val="0"/>
        <w:spacing w:before="0" w:after="0"/>
        <w:jc w:val="both"/>
        <w:rPr>
          <w:rFonts w:cs="Arial"/>
        </w:rPr>
      </w:pPr>
      <w:r>
        <w:rPr>
          <w:rFonts w:cs="Arial"/>
        </w:rPr>
        <w:t>l</w:t>
      </w:r>
      <w:r w:rsidRPr="00077521">
        <w:rPr>
          <w:rFonts w:cs="Arial"/>
        </w:rPr>
        <w:t>oneliness</w:t>
      </w:r>
    </w:p>
    <w:p w14:paraId="5DFE213C" w14:textId="77777777" w:rsidR="000D1D92" w:rsidRDefault="000D1D92" w:rsidP="000D1D92">
      <w:pPr>
        <w:pStyle w:val="ListParagraph"/>
        <w:numPr>
          <w:ilvl w:val="0"/>
          <w:numId w:val="35"/>
        </w:numPr>
        <w:autoSpaceDE w:val="0"/>
        <w:autoSpaceDN w:val="0"/>
        <w:adjustRightInd w:val="0"/>
        <w:spacing w:before="0" w:after="0"/>
        <w:jc w:val="both"/>
        <w:rPr>
          <w:rFonts w:cs="Arial"/>
        </w:rPr>
      </w:pPr>
      <w:r>
        <w:rPr>
          <w:rFonts w:cs="Arial"/>
        </w:rPr>
        <w:t>s</w:t>
      </w:r>
      <w:r w:rsidRPr="00077521">
        <w:rPr>
          <w:rFonts w:cs="Arial"/>
        </w:rPr>
        <w:t>chool difficulties</w:t>
      </w:r>
    </w:p>
    <w:p w14:paraId="794DD708" w14:textId="77777777" w:rsidR="000D1D92" w:rsidRDefault="000D1D92" w:rsidP="000D1D92">
      <w:pPr>
        <w:pStyle w:val="ListParagraph"/>
        <w:numPr>
          <w:ilvl w:val="0"/>
          <w:numId w:val="35"/>
        </w:numPr>
        <w:autoSpaceDE w:val="0"/>
        <w:autoSpaceDN w:val="0"/>
        <w:adjustRightInd w:val="0"/>
        <w:spacing w:before="0" w:after="0"/>
        <w:jc w:val="both"/>
        <w:rPr>
          <w:rFonts w:cs="Arial"/>
        </w:rPr>
      </w:pPr>
      <w:r>
        <w:rPr>
          <w:rFonts w:cs="Arial"/>
        </w:rPr>
        <w:t>p</w:t>
      </w:r>
      <w:r w:rsidRPr="00077521">
        <w:rPr>
          <w:rFonts w:cs="Arial"/>
        </w:rPr>
        <w:t>eer conflict</w:t>
      </w:r>
    </w:p>
    <w:p w14:paraId="3A3F3EC0" w14:textId="77777777" w:rsidR="000D1D92" w:rsidRDefault="000D1D92" w:rsidP="000D1D92">
      <w:pPr>
        <w:pStyle w:val="ListParagraph"/>
        <w:numPr>
          <w:ilvl w:val="0"/>
          <w:numId w:val="35"/>
        </w:numPr>
        <w:autoSpaceDE w:val="0"/>
        <w:autoSpaceDN w:val="0"/>
        <w:adjustRightInd w:val="0"/>
        <w:spacing w:before="0" w:after="0"/>
        <w:jc w:val="both"/>
        <w:rPr>
          <w:rFonts w:cs="Arial"/>
        </w:rPr>
      </w:pPr>
      <w:r>
        <w:rPr>
          <w:rFonts w:cs="Arial"/>
        </w:rPr>
        <w:t>i</w:t>
      </w:r>
      <w:r w:rsidRPr="00077521">
        <w:rPr>
          <w:rFonts w:cs="Arial"/>
        </w:rPr>
        <w:t>mpaired cognitive functioning, and</w:t>
      </w:r>
    </w:p>
    <w:p w14:paraId="27571482" w14:textId="77777777" w:rsidR="000D1D92" w:rsidRDefault="000D1D92" w:rsidP="000D1D92">
      <w:pPr>
        <w:pStyle w:val="ListParagraph"/>
        <w:numPr>
          <w:ilvl w:val="0"/>
          <w:numId w:val="35"/>
        </w:numPr>
        <w:autoSpaceDE w:val="0"/>
        <w:autoSpaceDN w:val="0"/>
        <w:adjustRightInd w:val="0"/>
        <w:spacing w:before="0" w:after="0"/>
        <w:jc w:val="both"/>
        <w:rPr>
          <w:rFonts w:cs="Arial"/>
        </w:rPr>
      </w:pPr>
      <w:r>
        <w:rPr>
          <w:rFonts w:cs="Arial"/>
        </w:rPr>
        <w:t>i</w:t>
      </w:r>
      <w:r w:rsidRPr="00077521">
        <w:rPr>
          <w:rFonts w:cs="Arial"/>
        </w:rPr>
        <w:t>ncreased likelihood of substance abuse.</w:t>
      </w:r>
      <w:r>
        <w:rPr>
          <w:rStyle w:val="EndnoteReference"/>
          <w:rFonts w:cs="Arial"/>
        </w:rPr>
        <w:endnoteReference w:id="540"/>
      </w:r>
    </w:p>
    <w:p w14:paraId="52BA8103" w14:textId="77777777" w:rsidR="000D1D92" w:rsidRDefault="000D1D92" w:rsidP="000D1D92">
      <w:pPr>
        <w:autoSpaceDE w:val="0"/>
        <w:autoSpaceDN w:val="0"/>
        <w:adjustRightInd w:val="0"/>
        <w:spacing w:before="0" w:after="0"/>
        <w:jc w:val="both"/>
        <w:rPr>
          <w:rFonts w:cs="Arial"/>
        </w:rPr>
      </w:pPr>
    </w:p>
    <w:p w14:paraId="57F43C5C" w14:textId="77777777" w:rsidR="000D1D92" w:rsidRDefault="000D1D92" w:rsidP="000D1D92">
      <w:pPr>
        <w:autoSpaceDE w:val="0"/>
        <w:autoSpaceDN w:val="0"/>
        <w:adjustRightInd w:val="0"/>
        <w:spacing w:before="0" w:after="0"/>
        <w:jc w:val="both"/>
        <w:rPr>
          <w:rFonts w:cs="Arial"/>
        </w:rPr>
      </w:pPr>
      <w:r>
        <w:rPr>
          <w:rFonts w:cs="Arial"/>
        </w:rPr>
        <w:t>The Kids Helpline provided me with the thoughts and feelings of children through an examination of its case notes. These comprise:</w:t>
      </w:r>
    </w:p>
    <w:p w14:paraId="4FBC8151" w14:textId="77777777" w:rsidR="000D1D92" w:rsidRDefault="000D1D92" w:rsidP="000D1D92">
      <w:pPr>
        <w:autoSpaceDE w:val="0"/>
        <w:autoSpaceDN w:val="0"/>
        <w:adjustRightInd w:val="0"/>
        <w:spacing w:before="0" w:after="0"/>
        <w:jc w:val="both"/>
        <w:rPr>
          <w:rFonts w:cs="Arial"/>
        </w:rPr>
      </w:pPr>
    </w:p>
    <w:p w14:paraId="0DB9EFD9" w14:textId="77777777" w:rsidR="000D1D92" w:rsidRDefault="000D1D92" w:rsidP="000D1D92">
      <w:pPr>
        <w:pStyle w:val="ListParagraph"/>
        <w:numPr>
          <w:ilvl w:val="0"/>
          <w:numId w:val="37"/>
        </w:numPr>
        <w:spacing w:before="0" w:after="0"/>
        <w:contextualSpacing w:val="0"/>
        <w:jc w:val="both"/>
      </w:pPr>
      <w:r>
        <w:t>fear for their own safety, the safety of their sibling(s), and for the safety of the victim of abuse</w:t>
      </w:r>
    </w:p>
    <w:p w14:paraId="31330F21" w14:textId="77777777" w:rsidR="000D1D92" w:rsidRDefault="000D1D92" w:rsidP="000D1D92">
      <w:pPr>
        <w:pStyle w:val="ListParagraph"/>
        <w:numPr>
          <w:ilvl w:val="0"/>
          <w:numId w:val="37"/>
        </w:numPr>
        <w:spacing w:before="0" w:after="0"/>
        <w:contextualSpacing w:val="0"/>
        <w:jc w:val="both"/>
      </w:pPr>
      <w:r>
        <w:t>anxiety</w:t>
      </w:r>
    </w:p>
    <w:p w14:paraId="0ED840C7" w14:textId="77777777" w:rsidR="000D1D92" w:rsidRDefault="000D1D92" w:rsidP="000D1D92">
      <w:pPr>
        <w:pStyle w:val="ListParagraph"/>
        <w:numPr>
          <w:ilvl w:val="0"/>
          <w:numId w:val="37"/>
        </w:numPr>
        <w:spacing w:before="0" w:after="0"/>
        <w:contextualSpacing w:val="0"/>
        <w:jc w:val="both"/>
      </w:pPr>
      <w:r>
        <w:t>isolation and loneliness</w:t>
      </w:r>
    </w:p>
    <w:p w14:paraId="1939D954" w14:textId="77777777" w:rsidR="000D1D92" w:rsidRDefault="000D1D92" w:rsidP="000D1D92">
      <w:pPr>
        <w:pStyle w:val="ListParagraph"/>
        <w:numPr>
          <w:ilvl w:val="0"/>
          <w:numId w:val="37"/>
        </w:numPr>
        <w:spacing w:before="0" w:after="0"/>
        <w:contextualSpacing w:val="0"/>
        <w:jc w:val="both"/>
      </w:pPr>
      <w:r>
        <w:t>anger towards both the perpetrator and the victim</w:t>
      </w:r>
    </w:p>
    <w:p w14:paraId="5B53267C" w14:textId="77777777" w:rsidR="000D1D92" w:rsidRDefault="000D1D92" w:rsidP="000D1D92">
      <w:pPr>
        <w:pStyle w:val="ListParagraph"/>
        <w:numPr>
          <w:ilvl w:val="0"/>
          <w:numId w:val="37"/>
        </w:numPr>
        <w:spacing w:before="0" w:after="0"/>
        <w:contextualSpacing w:val="0"/>
        <w:jc w:val="both"/>
      </w:pPr>
      <w:r>
        <w:t>sympathy for the victim, and sometimes the perpetrator</w:t>
      </w:r>
    </w:p>
    <w:p w14:paraId="1FF83B04" w14:textId="77777777" w:rsidR="000D1D92" w:rsidRDefault="000D1D92" w:rsidP="000D1D92">
      <w:pPr>
        <w:pStyle w:val="ListParagraph"/>
        <w:numPr>
          <w:ilvl w:val="0"/>
          <w:numId w:val="37"/>
        </w:numPr>
        <w:spacing w:before="0" w:after="0"/>
        <w:contextualSpacing w:val="0"/>
        <w:jc w:val="both"/>
      </w:pPr>
      <w:r>
        <w:t>confused feelings towards the perpetrator (e.g., both anger and love for a violent father)</w:t>
      </w:r>
    </w:p>
    <w:p w14:paraId="10FCC55F" w14:textId="77777777" w:rsidR="000D1D92" w:rsidRDefault="000D1D92" w:rsidP="000D1D92">
      <w:pPr>
        <w:pStyle w:val="ListParagraph"/>
        <w:numPr>
          <w:ilvl w:val="0"/>
          <w:numId w:val="37"/>
        </w:numPr>
        <w:spacing w:before="0" w:after="0"/>
        <w:contextualSpacing w:val="0"/>
        <w:jc w:val="both"/>
      </w:pPr>
      <w:r>
        <w:t>guilt over having ‘bad thoughts’ about the perpetrator (e.g., wishing he would die)</w:t>
      </w:r>
    </w:p>
    <w:p w14:paraId="4C2C9AD6" w14:textId="77777777" w:rsidR="000D1D92" w:rsidRDefault="000D1D92" w:rsidP="000D1D92">
      <w:pPr>
        <w:pStyle w:val="ListParagraph"/>
        <w:numPr>
          <w:ilvl w:val="0"/>
          <w:numId w:val="37"/>
        </w:numPr>
        <w:spacing w:before="0" w:after="0"/>
        <w:contextualSpacing w:val="0"/>
        <w:jc w:val="both"/>
      </w:pPr>
      <w:r>
        <w:t>feelings of responsibility to protect the family or take action to stop the violence.</w:t>
      </w:r>
      <w:r>
        <w:rPr>
          <w:rStyle w:val="EndnoteReference"/>
        </w:rPr>
        <w:endnoteReference w:id="541"/>
      </w:r>
    </w:p>
    <w:p w14:paraId="663CEEF6" w14:textId="77777777" w:rsidR="000D1D92" w:rsidRPr="00016F7E" w:rsidRDefault="000D1D92" w:rsidP="000D1D92">
      <w:pPr>
        <w:jc w:val="both"/>
      </w:pPr>
      <w:r w:rsidRPr="00016F7E">
        <w:lastRenderedPageBreak/>
        <w:t>Little research</w:t>
      </w:r>
      <w:r>
        <w:t xml:space="preserve"> into family and domestic violence, however, </w:t>
      </w:r>
      <w:r w:rsidRPr="00016F7E">
        <w:t>has involved the participation of children. As ac</w:t>
      </w:r>
      <w:r>
        <w:t>ademic, Nicky Stanley advises</w:t>
      </w:r>
      <w:r w:rsidRPr="00016F7E">
        <w:t>:</w:t>
      </w:r>
    </w:p>
    <w:p w14:paraId="4AA850CC" w14:textId="77777777" w:rsidR="000D1D92" w:rsidRPr="00016F7E" w:rsidRDefault="000D1D92" w:rsidP="000D1D92">
      <w:pPr>
        <w:autoSpaceDE w:val="0"/>
        <w:autoSpaceDN w:val="0"/>
        <w:adjustRightInd w:val="0"/>
        <w:spacing w:before="0" w:after="0"/>
        <w:ind w:left="720"/>
        <w:jc w:val="both"/>
        <w:rPr>
          <w:rFonts w:cs="Arial"/>
        </w:rPr>
      </w:pPr>
      <w:r w:rsidRPr="00016F7E">
        <w:rPr>
          <w:rFonts w:cs="Arial"/>
        </w:rPr>
        <w:t>Research that captures childre</w:t>
      </w:r>
      <w:r>
        <w:rPr>
          <w:rFonts w:cs="Arial"/>
        </w:rPr>
        <w:t>n’s perspectives is…</w:t>
      </w:r>
      <w:r w:rsidRPr="00016F7E">
        <w:rPr>
          <w:rFonts w:cs="Arial"/>
        </w:rPr>
        <w:t>limited.</w:t>
      </w:r>
      <w:r w:rsidRPr="00016F7E">
        <w:rPr>
          <w:rStyle w:val="EndnoteReference"/>
          <w:rFonts w:cs="Arial"/>
        </w:rPr>
        <w:endnoteReference w:id="542"/>
      </w:r>
      <w:r>
        <w:rPr>
          <w:rFonts w:cs="Arial"/>
        </w:rPr>
        <w:t>…</w:t>
      </w:r>
      <w:r w:rsidRPr="00016F7E">
        <w:rPr>
          <w:rFonts w:cs="Arial"/>
        </w:rPr>
        <w:t xml:space="preserve">Research with children and young people could usefully explore the extent to which they perceive themselves to be implicated in domestic violence and how this perception affects them. </w:t>
      </w:r>
      <w:r w:rsidRPr="00016F7E">
        <w:rPr>
          <w:rStyle w:val="EndnoteReference"/>
          <w:rFonts w:cs="Arial"/>
        </w:rPr>
        <w:endnoteReference w:id="543"/>
      </w:r>
    </w:p>
    <w:p w14:paraId="36307E7F" w14:textId="77777777" w:rsidR="000D1D92" w:rsidRPr="00016F7E" w:rsidRDefault="000D1D92" w:rsidP="000D1D92">
      <w:pPr>
        <w:autoSpaceDE w:val="0"/>
        <w:autoSpaceDN w:val="0"/>
        <w:adjustRightInd w:val="0"/>
        <w:spacing w:before="0" w:after="0"/>
        <w:ind w:left="720"/>
        <w:jc w:val="both"/>
        <w:rPr>
          <w:rFonts w:cs="Arial"/>
        </w:rPr>
      </w:pPr>
    </w:p>
    <w:p w14:paraId="7D71A68C" w14:textId="77777777" w:rsidR="000D1D92" w:rsidRPr="00C111CC" w:rsidRDefault="000D1D92" w:rsidP="000D1D92">
      <w:pPr>
        <w:autoSpaceDE w:val="0"/>
        <w:autoSpaceDN w:val="0"/>
        <w:adjustRightInd w:val="0"/>
        <w:spacing w:before="0" w:after="0"/>
        <w:jc w:val="both"/>
        <w:rPr>
          <w:rFonts w:cs="Arial"/>
        </w:rPr>
      </w:pPr>
      <w:r w:rsidRPr="00016F7E">
        <w:rPr>
          <w:rFonts w:cs="Arial"/>
        </w:rPr>
        <w:t>The submission by Families Australia advocates for research that allows the vo</w:t>
      </w:r>
      <w:r>
        <w:rPr>
          <w:rFonts w:cs="Arial"/>
        </w:rPr>
        <w:t>ices of children and young people</w:t>
      </w:r>
      <w:r w:rsidRPr="00016F7E">
        <w:rPr>
          <w:rFonts w:cs="Arial"/>
        </w:rPr>
        <w:t xml:space="preserve"> to be heard in relation to their experience of family and domestic violence and interventions.</w:t>
      </w:r>
      <w:r w:rsidRPr="00016F7E">
        <w:rPr>
          <w:rStyle w:val="EndnoteReference"/>
          <w:rFonts w:cs="Arial"/>
        </w:rPr>
        <w:endnoteReference w:id="544"/>
      </w:r>
    </w:p>
    <w:p w14:paraId="0C0F55F4" w14:textId="77777777" w:rsidR="000D1D92" w:rsidRDefault="000D1D92" w:rsidP="000D1D92">
      <w:pPr>
        <w:spacing w:before="0" w:after="0"/>
        <w:jc w:val="both"/>
      </w:pPr>
    </w:p>
    <w:p w14:paraId="43612651" w14:textId="77777777" w:rsidR="000D1D92" w:rsidRDefault="000D1D92" w:rsidP="000D1D92">
      <w:pPr>
        <w:autoSpaceDE w:val="0"/>
        <w:autoSpaceDN w:val="0"/>
        <w:adjustRightInd w:val="0"/>
        <w:spacing w:before="0" w:after="0"/>
        <w:jc w:val="both"/>
        <w:rPr>
          <w:rFonts w:cs="Arial"/>
        </w:rPr>
      </w:pPr>
      <w:r>
        <w:rPr>
          <w:rFonts w:cs="Arial"/>
        </w:rPr>
        <w:t xml:space="preserve">Research also suggests that </w:t>
      </w:r>
      <w:r w:rsidRPr="008743F3">
        <w:rPr>
          <w:rFonts w:cs="Arial"/>
          <w:b/>
        </w:rPr>
        <w:t>the effects of family and domestic violence may manifest differently depending on the developmental stages of the children</w:t>
      </w:r>
      <w:r w:rsidRPr="0003072E">
        <w:rPr>
          <w:rFonts w:cs="Arial"/>
        </w:rPr>
        <w:t>.</w:t>
      </w:r>
      <w:r>
        <w:rPr>
          <w:rStyle w:val="EndnoteReference"/>
          <w:rFonts w:cs="Arial"/>
        </w:rPr>
        <w:endnoteReference w:id="545"/>
      </w:r>
      <w:r>
        <w:rPr>
          <w:rFonts w:cs="Arial"/>
        </w:rPr>
        <w:t xml:space="preserve"> </w:t>
      </w:r>
    </w:p>
    <w:p w14:paraId="0107BF81" w14:textId="77777777" w:rsidR="000D1D92" w:rsidRDefault="000D1D92" w:rsidP="000D1D92">
      <w:pPr>
        <w:autoSpaceDE w:val="0"/>
        <w:autoSpaceDN w:val="0"/>
        <w:adjustRightInd w:val="0"/>
        <w:spacing w:before="0" w:after="0"/>
        <w:jc w:val="both"/>
        <w:rPr>
          <w:rFonts w:cs="Arial"/>
        </w:rPr>
      </w:pPr>
    </w:p>
    <w:p w14:paraId="214A75AE" w14:textId="77777777" w:rsidR="000D1D92" w:rsidRPr="008743F3" w:rsidRDefault="000D1D92" w:rsidP="000D1D92">
      <w:pPr>
        <w:autoSpaceDE w:val="0"/>
        <w:autoSpaceDN w:val="0"/>
        <w:adjustRightInd w:val="0"/>
        <w:spacing w:before="0" w:after="0"/>
        <w:jc w:val="both"/>
        <w:rPr>
          <w:rFonts w:cs="Arial"/>
        </w:rPr>
      </w:pPr>
      <w:r>
        <w:rPr>
          <w:rFonts w:cs="Arial"/>
        </w:rPr>
        <w:t>This was particularly reinforced to me in submissions made by the NSW Government</w:t>
      </w:r>
      <w:r w:rsidRPr="00AE40E4">
        <w:rPr>
          <w:rStyle w:val="EndnoteReference"/>
          <w:rFonts w:cs="Arial"/>
          <w:sz w:val="22"/>
          <w:szCs w:val="22"/>
          <w:lang w:val="en-US"/>
        </w:rPr>
        <w:endnoteReference w:id="546"/>
      </w:r>
      <w:r>
        <w:rPr>
          <w:rFonts w:cs="Arial"/>
        </w:rPr>
        <w:t>, the Australian Psychological Society</w:t>
      </w:r>
      <w:r>
        <w:rPr>
          <w:rStyle w:val="EndnoteReference"/>
        </w:rPr>
        <w:endnoteReference w:id="547"/>
      </w:r>
      <w:r>
        <w:rPr>
          <w:rFonts w:cs="Arial"/>
        </w:rPr>
        <w:t xml:space="preserve"> and the Royal Australian and New Zealand College of Psychiatrists</w:t>
      </w:r>
      <w:r w:rsidRPr="00E21EB1">
        <w:rPr>
          <w:rStyle w:val="EndnoteReference"/>
          <w:rFonts w:cs="Arial"/>
          <w:szCs w:val="20"/>
        </w:rPr>
        <w:endnoteReference w:id="548"/>
      </w:r>
      <w:r>
        <w:rPr>
          <w:rFonts w:cs="Arial"/>
        </w:rPr>
        <w:t xml:space="preserve">. Suggested effects at the different developmental stages are: </w:t>
      </w:r>
    </w:p>
    <w:p w14:paraId="4091686F" w14:textId="77777777" w:rsidR="000D1D92" w:rsidRDefault="000D1D92" w:rsidP="000D1D92">
      <w:pPr>
        <w:autoSpaceDE w:val="0"/>
        <w:autoSpaceDN w:val="0"/>
        <w:adjustRightInd w:val="0"/>
        <w:spacing w:before="0" w:after="0"/>
        <w:jc w:val="both"/>
        <w:rPr>
          <w:rFonts w:cs="Arial"/>
          <w:b/>
        </w:rPr>
      </w:pPr>
    </w:p>
    <w:p w14:paraId="25602F99" w14:textId="77777777" w:rsidR="000D1D92" w:rsidRPr="00EA246B" w:rsidRDefault="000D1D92" w:rsidP="000D1D92">
      <w:pPr>
        <w:autoSpaceDE w:val="0"/>
        <w:autoSpaceDN w:val="0"/>
        <w:adjustRightInd w:val="0"/>
        <w:spacing w:before="0" w:after="0"/>
        <w:jc w:val="both"/>
        <w:rPr>
          <w:rFonts w:cs="Arial"/>
          <w:b/>
        </w:rPr>
      </w:pPr>
      <w:r>
        <w:rPr>
          <w:rFonts w:cs="Arial"/>
          <w:b/>
        </w:rPr>
        <w:t>Infants and toddlers</w:t>
      </w:r>
      <w:r>
        <w:rPr>
          <w:rStyle w:val="EndnoteReference"/>
          <w:rFonts w:cs="Arial"/>
        </w:rPr>
        <w:endnoteReference w:id="549"/>
      </w:r>
      <w:r>
        <w:rPr>
          <w:rFonts w:cs="Arial"/>
          <w:b/>
        </w:rPr>
        <w:t xml:space="preserve"> </w:t>
      </w:r>
      <w:r>
        <w:rPr>
          <w:rStyle w:val="EndnoteReference"/>
          <w:rFonts w:cs="Arial"/>
        </w:rPr>
        <w:endnoteReference w:id="550"/>
      </w:r>
    </w:p>
    <w:p w14:paraId="760EC477" w14:textId="77777777" w:rsidR="000D1D92" w:rsidRDefault="000D1D92" w:rsidP="000D1D92">
      <w:pPr>
        <w:pStyle w:val="ListParagraph"/>
        <w:numPr>
          <w:ilvl w:val="0"/>
          <w:numId w:val="30"/>
        </w:numPr>
        <w:autoSpaceDE w:val="0"/>
        <w:autoSpaceDN w:val="0"/>
        <w:adjustRightInd w:val="0"/>
        <w:spacing w:before="0" w:after="0"/>
        <w:jc w:val="both"/>
        <w:rPr>
          <w:rFonts w:cs="Arial"/>
        </w:rPr>
      </w:pPr>
      <w:r>
        <w:rPr>
          <w:rFonts w:cs="Arial"/>
        </w:rPr>
        <w:t>d</w:t>
      </w:r>
      <w:r w:rsidRPr="002E1456">
        <w:rPr>
          <w:rFonts w:cs="Arial"/>
        </w:rPr>
        <w:t>elayed language</w:t>
      </w:r>
    </w:p>
    <w:p w14:paraId="2F93F8CD" w14:textId="77777777" w:rsidR="000D1D92" w:rsidRDefault="000D1D92" w:rsidP="000D1D92">
      <w:pPr>
        <w:pStyle w:val="ListParagraph"/>
        <w:numPr>
          <w:ilvl w:val="0"/>
          <w:numId w:val="30"/>
        </w:numPr>
        <w:autoSpaceDE w:val="0"/>
        <w:autoSpaceDN w:val="0"/>
        <w:adjustRightInd w:val="0"/>
        <w:spacing w:before="0" w:after="0"/>
        <w:jc w:val="both"/>
        <w:rPr>
          <w:rFonts w:cs="Arial"/>
        </w:rPr>
      </w:pPr>
      <w:r>
        <w:rPr>
          <w:rFonts w:cs="Arial"/>
        </w:rPr>
        <w:t>delayed toilet-training</w:t>
      </w:r>
    </w:p>
    <w:p w14:paraId="5ABC95C8" w14:textId="77777777" w:rsidR="000D1D92" w:rsidRDefault="000D1D92" w:rsidP="000D1D92">
      <w:pPr>
        <w:pStyle w:val="ListParagraph"/>
        <w:numPr>
          <w:ilvl w:val="0"/>
          <w:numId w:val="30"/>
        </w:numPr>
        <w:autoSpaceDE w:val="0"/>
        <w:autoSpaceDN w:val="0"/>
        <w:adjustRightInd w:val="0"/>
        <w:spacing w:before="0" w:after="0"/>
        <w:jc w:val="both"/>
        <w:rPr>
          <w:rFonts w:cs="Arial"/>
        </w:rPr>
      </w:pPr>
      <w:r>
        <w:rPr>
          <w:rFonts w:cs="Arial"/>
        </w:rPr>
        <w:t>s</w:t>
      </w:r>
      <w:r w:rsidRPr="002E1456">
        <w:rPr>
          <w:rFonts w:cs="Arial"/>
        </w:rPr>
        <w:t>leep dis</w:t>
      </w:r>
      <w:r>
        <w:rPr>
          <w:rFonts w:cs="Arial"/>
        </w:rPr>
        <w:t>turbance</w:t>
      </w:r>
    </w:p>
    <w:p w14:paraId="0FCAF42C" w14:textId="77777777" w:rsidR="000D1D92" w:rsidRDefault="000D1D92" w:rsidP="000D1D92">
      <w:pPr>
        <w:pStyle w:val="ListParagraph"/>
        <w:numPr>
          <w:ilvl w:val="0"/>
          <w:numId w:val="30"/>
        </w:numPr>
        <w:autoSpaceDE w:val="0"/>
        <w:autoSpaceDN w:val="0"/>
        <w:adjustRightInd w:val="0"/>
        <w:spacing w:before="0" w:after="0"/>
        <w:jc w:val="both"/>
        <w:rPr>
          <w:rFonts w:cs="Arial"/>
        </w:rPr>
      </w:pPr>
      <w:r>
        <w:rPr>
          <w:rFonts w:cs="Arial"/>
        </w:rPr>
        <w:t>e</w:t>
      </w:r>
      <w:r w:rsidRPr="002E1456">
        <w:rPr>
          <w:rFonts w:cs="Arial"/>
        </w:rPr>
        <w:t>motional distress and a fear of being left alone</w:t>
      </w:r>
    </w:p>
    <w:p w14:paraId="7805FFA4" w14:textId="77777777" w:rsidR="000D1D92" w:rsidRPr="00524549" w:rsidRDefault="000D1D92" w:rsidP="000D1D92">
      <w:pPr>
        <w:pStyle w:val="ListParagraph"/>
        <w:numPr>
          <w:ilvl w:val="0"/>
          <w:numId w:val="30"/>
        </w:numPr>
        <w:autoSpaceDE w:val="0"/>
        <w:autoSpaceDN w:val="0"/>
        <w:adjustRightInd w:val="0"/>
        <w:spacing w:before="0" w:after="0"/>
        <w:jc w:val="both"/>
        <w:rPr>
          <w:rFonts w:cs="Arial"/>
        </w:rPr>
      </w:pPr>
      <w:r>
        <w:rPr>
          <w:rFonts w:cs="Arial"/>
        </w:rPr>
        <w:t>disrupted attachment.</w:t>
      </w:r>
    </w:p>
    <w:p w14:paraId="192D379B" w14:textId="77777777" w:rsidR="000D1D92" w:rsidRDefault="000D1D92" w:rsidP="000D1D92">
      <w:pPr>
        <w:autoSpaceDE w:val="0"/>
        <w:autoSpaceDN w:val="0"/>
        <w:adjustRightInd w:val="0"/>
        <w:spacing w:before="0" w:after="0"/>
        <w:jc w:val="both"/>
        <w:rPr>
          <w:rFonts w:cs="Arial"/>
        </w:rPr>
      </w:pPr>
    </w:p>
    <w:p w14:paraId="76BB070D" w14:textId="77777777" w:rsidR="000D1D92" w:rsidRPr="00EA246B" w:rsidRDefault="000D1D92" w:rsidP="000D1D92">
      <w:pPr>
        <w:autoSpaceDE w:val="0"/>
        <w:autoSpaceDN w:val="0"/>
        <w:adjustRightInd w:val="0"/>
        <w:spacing w:before="0" w:after="0"/>
        <w:jc w:val="both"/>
        <w:rPr>
          <w:rFonts w:cs="Arial"/>
          <w:b/>
        </w:rPr>
      </w:pPr>
      <w:r w:rsidRPr="00EA246B">
        <w:rPr>
          <w:rFonts w:cs="Arial"/>
          <w:b/>
        </w:rPr>
        <w:t>Pre-school children</w:t>
      </w:r>
      <w:r>
        <w:rPr>
          <w:rStyle w:val="EndnoteReference"/>
          <w:rFonts w:cs="Arial"/>
        </w:rPr>
        <w:endnoteReference w:id="551"/>
      </w:r>
    </w:p>
    <w:p w14:paraId="000A8473" w14:textId="77777777" w:rsidR="000D1D92" w:rsidRDefault="000D1D92" w:rsidP="000D1D92">
      <w:pPr>
        <w:pStyle w:val="ListParagraph"/>
        <w:numPr>
          <w:ilvl w:val="0"/>
          <w:numId w:val="31"/>
        </w:numPr>
        <w:autoSpaceDE w:val="0"/>
        <w:autoSpaceDN w:val="0"/>
        <w:adjustRightInd w:val="0"/>
        <w:spacing w:before="0" w:after="0"/>
        <w:jc w:val="both"/>
        <w:rPr>
          <w:rFonts w:cs="Arial"/>
        </w:rPr>
      </w:pPr>
      <w:r>
        <w:rPr>
          <w:rFonts w:cs="Arial"/>
        </w:rPr>
        <w:t>aggressive behaviour</w:t>
      </w:r>
      <w:r w:rsidRPr="002E1456">
        <w:rPr>
          <w:rFonts w:cs="Arial"/>
        </w:rPr>
        <w:t xml:space="preserve"> </w:t>
      </w:r>
    </w:p>
    <w:p w14:paraId="2E87D3AB" w14:textId="77777777" w:rsidR="000D1D92" w:rsidRDefault="000D1D92" w:rsidP="000D1D92">
      <w:pPr>
        <w:pStyle w:val="ListParagraph"/>
        <w:numPr>
          <w:ilvl w:val="0"/>
          <w:numId w:val="31"/>
        </w:numPr>
        <w:autoSpaceDE w:val="0"/>
        <w:autoSpaceDN w:val="0"/>
        <w:adjustRightInd w:val="0"/>
        <w:spacing w:before="0" w:after="0"/>
        <w:jc w:val="both"/>
        <w:rPr>
          <w:rFonts w:cs="Arial"/>
        </w:rPr>
      </w:pPr>
      <w:r>
        <w:rPr>
          <w:rFonts w:cs="Arial"/>
        </w:rPr>
        <w:t>temper tantrums</w:t>
      </w:r>
    </w:p>
    <w:p w14:paraId="2BD02130" w14:textId="77777777" w:rsidR="000D1D92" w:rsidRDefault="000D1D92" w:rsidP="000D1D92">
      <w:pPr>
        <w:pStyle w:val="ListParagraph"/>
        <w:numPr>
          <w:ilvl w:val="0"/>
          <w:numId w:val="31"/>
        </w:numPr>
        <w:autoSpaceDE w:val="0"/>
        <w:autoSpaceDN w:val="0"/>
        <w:adjustRightInd w:val="0"/>
        <w:spacing w:before="0" w:after="0"/>
        <w:jc w:val="both"/>
        <w:rPr>
          <w:rFonts w:cs="Arial"/>
        </w:rPr>
      </w:pPr>
      <w:r>
        <w:rPr>
          <w:rFonts w:cs="Arial"/>
        </w:rPr>
        <w:t>s</w:t>
      </w:r>
      <w:r w:rsidRPr="002E1456">
        <w:rPr>
          <w:rFonts w:cs="Arial"/>
        </w:rPr>
        <w:t>leep</w:t>
      </w:r>
      <w:r>
        <w:rPr>
          <w:rFonts w:cs="Arial"/>
        </w:rPr>
        <w:t xml:space="preserve"> disturbance</w:t>
      </w:r>
    </w:p>
    <w:p w14:paraId="6A95FC49" w14:textId="77777777" w:rsidR="000D1D92" w:rsidRDefault="000D1D92" w:rsidP="000D1D92">
      <w:pPr>
        <w:pStyle w:val="ListParagraph"/>
        <w:numPr>
          <w:ilvl w:val="0"/>
          <w:numId w:val="31"/>
        </w:numPr>
        <w:autoSpaceDE w:val="0"/>
        <w:autoSpaceDN w:val="0"/>
        <w:adjustRightInd w:val="0"/>
        <w:spacing w:before="0" w:after="0"/>
        <w:jc w:val="both"/>
        <w:rPr>
          <w:rFonts w:cs="Arial"/>
        </w:rPr>
      </w:pPr>
      <w:r>
        <w:rPr>
          <w:rFonts w:cs="Arial"/>
        </w:rPr>
        <w:t>anxiety</w:t>
      </w:r>
    </w:p>
    <w:p w14:paraId="16FC7229" w14:textId="77777777" w:rsidR="000D1D92" w:rsidRDefault="000D1D92" w:rsidP="000D1D92">
      <w:pPr>
        <w:pStyle w:val="ListParagraph"/>
        <w:numPr>
          <w:ilvl w:val="0"/>
          <w:numId w:val="31"/>
        </w:numPr>
        <w:autoSpaceDE w:val="0"/>
        <w:autoSpaceDN w:val="0"/>
        <w:adjustRightInd w:val="0"/>
        <w:spacing w:before="0" w:after="0"/>
        <w:jc w:val="both"/>
        <w:rPr>
          <w:rFonts w:cs="Arial"/>
        </w:rPr>
      </w:pPr>
      <w:r>
        <w:rPr>
          <w:rFonts w:cs="Arial"/>
        </w:rPr>
        <w:t>d</w:t>
      </w:r>
      <w:r w:rsidRPr="00EA246B">
        <w:rPr>
          <w:rFonts w:cs="Arial"/>
        </w:rPr>
        <w:t>espondency</w:t>
      </w:r>
    </w:p>
    <w:p w14:paraId="6DB4491D" w14:textId="77777777" w:rsidR="000D1D92" w:rsidRDefault="000D1D92" w:rsidP="000D1D92">
      <w:pPr>
        <w:pStyle w:val="ListParagraph"/>
        <w:numPr>
          <w:ilvl w:val="0"/>
          <w:numId w:val="31"/>
        </w:numPr>
        <w:autoSpaceDE w:val="0"/>
        <w:autoSpaceDN w:val="0"/>
        <w:adjustRightInd w:val="0"/>
        <w:spacing w:before="0" w:after="0"/>
        <w:jc w:val="both"/>
        <w:rPr>
          <w:rFonts w:cs="Arial"/>
        </w:rPr>
      </w:pPr>
      <w:r>
        <w:rPr>
          <w:rFonts w:cs="Arial"/>
        </w:rPr>
        <w:t>p</w:t>
      </w:r>
      <w:r w:rsidRPr="00EA246B">
        <w:rPr>
          <w:rFonts w:cs="Arial"/>
        </w:rPr>
        <w:t>oorer verbal abilities</w:t>
      </w:r>
      <w:r>
        <w:rPr>
          <w:rFonts w:cs="Arial"/>
        </w:rPr>
        <w:t>.</w:t>
      </w:r>
    </w:p>
    <w:p w14:paraId="3865BC8C" w14:textId="77777777" w:rsidR="000D1D92" w:rsidRDefault="000D1D92" w:rsidP="000D1D92">
      <w:pPr>
        <w:autoSpaceDE w:val="0"/>
        <w:autoSpaceDN w:val="0"/>
        <w:adjustRightInd w:val="0"/>
        <w:spacing w:before="0" w:after="0"/>
        <w:jc w:val="both"/>
        <w:rPr>
          <w:rFonts w:cs="Arial"/>
        </w:rPr>
      </w:pPr>
    </w:p>
    <w:p w14:paraId="31FF06A0" w14:textId="77777777" w:rsidR="000D1D92" w:rsidRPr="006F47E4" w:rsidRDefault="000D1D92" w:rsidP="000D1D92">
      <w:pPr>
        <w:autoSpaceDE w:val="0"/>
        <w:autoSpaceDN w:val="0"/>
        <w:adjustRightInd w:val="0"/>
        <w:spacing w:before="0" w:after="0"/>
        <w:jc w:val="both"/>
        <w:rPr>
          <w:rFonts w:cs="Arial"/>
          <w:b/>
        </w:rPr>
      </w:pPr>
      <w:r w:rsidRPr="00B24A5F">
        <w:rPr>
          <w:rFonts w:cs="Arial"/>
          <w:b/>
        </w:rPr>
        <w:t>School-age</w:t>
      </w:r>
      <w:r>
        <w:rPr>
          <w:rFonts w:cs="Arial"/>
          <w:b/>
        </w:rPr>
        <w:t>d</w:t>
      </w:r>
      <w:r w:rsidRPr="00B24A5F">
        <w:rPr>
          <w:rFonts w:cs="Arial"/>
          <w:b/>
        </w:rPr>
        <w:t xml:space="preserve"> children</w:t>
      </w:r>
      <w:r>
        <w:rPr>
          <w:rStyle w:val="EndnoteReference"/>
          <w:rFonts w:cs="Arial"/>
        </w:rPr>
        <w:endnoteReference w:id="552"/>
      </w:r>
    </w:p>
    <w:p w14:paraId="1FADF1B5" w14:textId="77777777" w:rsidR="000D1D92" w:rsidRDefault="000D1D92" w:rsidP="000D1D92">
      <w:pPr>
        <w:pStyle w:val="ListParagraph"/>
        <w:numPr>
          <w:ilvl w:val="0"/>
          <w:numId w:val="32"/>
        </w:numPr>
        <w:autoSpaceDE w:val="0"/>
        <w:autoSpaceDN w:val="0"/>
        <w:adjustRightInd w:val="0"/>
        <w:spacing w:before="0" w:after="0"/>
        <w:jc w:val="both"/>
        <w:rPr>
          <w:rFonts w:cs="Arial"/>
        </w:rPr>
      </w:pPr>
      <w:r>
        <w:rPr>
          <w:rFonts w:cs="Arial"/>
        </w:rPr>
        <w:t>c</w:t>
      </w:r>
      <w:r w:rsidRPr="00B24A5F">
        <w:rPr>
          <w:rFonts w:cs="Arial"/>
        </w:rPr>
        <w:t>onduct disorders</w:t>
      </w:r>
    </w:p>
    <w:p w14:paraId="6F1E6E77" w14:textId="77777777" w:rsidR="000D1D92" w:rsidRDefault="000D1D92" w:rsidP="000D1D92">
      <w:pPr>
        <w:pStyle w:val="ListParagraph"/>
        <w:numPr>
          <w:ilvl w:val="0"/>
          <w:numId w:val="32"/>
        </w:numPr>
        <w:autoSpaceDE w:val="0"/>
        <w:autoSpaceDN w:val="0"/>
        <w:adjustRightInd w:val="0"/>
        <w:spacing w:before="0" w:after="0"/>
        <w:jc w:val="both"/>
        <w:rPr>
          <w:rFonts w:cs="Arial"/>
        </w:rPr>
      </w:pPr>
      <w:r>
        <w:rPr>
          <w:rFonts w:cs="Arial"/>
        </w:rPr>
        <w:t>q</w:t>
      </w:r>
      <w:r w:rsidRPr="00B24A5F">
        <w:rPr>
          <w:rFonts w:cs="Arial"/>
        </w:rPr>
        <w:t>uiet and withdrawn or loud and aggressive</w:t>
      </w:r>
      <w:r>
        <w:rPr>
          <w:rFonts w:cs="Arial"/>
        </w:rPr>
        <w:t>.</w:t>
      </w:r>
    </w:p>
    <w:p w14:paraId="7D80B088" w14:textId="77777777" w:rsidR="000D1D92" w:rsidRDefault="000D1D92" w:rsidP="000D1D92">
      <w:pPr>
        <w:pStyle w:val="ListParagraph"/>
        <w:autoSpaceDE w:val="0"/>
        <w:autoSpaceDN w:val="0"/>
        <w:adjustRightInd w:val="0"/>
        <w:spacing w:before="0" w:after="0"/>
        <w:ind w:left="0"/>
        <w:jc w:val="both"/>
        <w:rPr>
          <w:rFonts w:cs="Arial"/>
        </w:rPr>
      </w:pPr>
    </w:p>
    <w:p w14:paraId="4D01416C" w14:textId="77777777" w:rsidR="000D1D92" w:rsidRDefault="000D1D92" w:rsidP="000D1D92">
      <w:pPr>
        <w:autoSpaceDE w:val="0"/>
        <w:autoSpaceDN w:val="0"/>
        <w:adjustRightInd w:val="0"/>
        <w:spacing w:before="0" w:after="0"/>
        <w:jc w:val="both"/>
        <w:rPr>
          <w:rFonts w:cs="Arial"/>
          <w:b/>
        </w:rPr>
      </w:pPr>
      <w:r w:rsidRPr="000C7D67">
        <w:rPr>
          <w:rFonts w:cs="Arial"/>
          <w:b/>
        </w:rPr>
        <w:t>Adolescence</w:t>
      </w:r>
      <w:r>
        <w:rPr>
          <w:rStyle w:val="EndnoteReference"/>
          <w:rFonts w:cs="Arial"/>
        </w:rPr>
        <w:endnoteReference w:id="553"/>
      </w:r>
    </w:p>
    <w:p w14:paraId="4437BB5A" w14:textId="77777777" w:rsidR="000D1D92" w:rsidRDefault="000D1D92" w:rsidP="000D1D92">
      <w:pPr>
        <w:pStyle w:val="ListParagraph"/>
        <w:numPr>
          <w:ilvl w:val="0"/>
          <w:numId w:val="33"/>
        </w:numPr>
        <w:autoSpaceDE w:val="0"/>
        <w:autoSpaceDN w:val="0"/>
        <w:adjustRightInd w:val="0"/>
        <w:spacing w:before="0" w:after="0"/>
        <w:jc w:val="both"/>
        <w:rPr>
          <w:rFonts w:cs="Arial"/>
        </w:rPr>
      </w:pPr>
      <w:r>
        <w:rPr>
          <w:rFonts w:cs="Arial"/>
        </w:rPr>
        <w:t>m</w:t>
      </w:r>
      <w:r w:rsidRPr="000C62CF">
        <w:rPr>
          <w:rFonts w:cs="Arial"/>
        </w:rPr>
        <w:t xml:space="preserve">ental health diagnosis </w:t>
      </w:r>
    </w:p>
    <w:p w14:paraId="291B53D9" w14:textId="77777777" w:rsidR="000D1D92" w:rsidRDefault="000D1D92" w:rsidP="000D1D92">
      <w:pPr>
        <w:pStyle w:val="ListParagraph"/>
        <w:numPr>
          <w:ilvl w:val="0"/>
          <w:numId w:val="33"/>
        </w:numPr>
        <w:autoSpaceDE w:val="0"/>
        <w:autoSpaceDN w:val="0"/>
        <w:adjustRightInd w:val="0"/>
        <w:spacing w:before="0" w:after="0"/>
        <w:jc w:val="both"/>
        <w:rPr>
          <w:rFonts w:cs="Arial"/>
        </w:rPr>
      </w:pPr>
      <w:r>
        <w:rPr>
          <w:rFonts w:cs="Arial"/>
        </w:rPr>
        <w:t>d</w:t>
      </w:r>
      <w:r w:rsidRPr="000C62CF">
        <w:rPr>
          <w:rFonts w:cs="Arial"/>
        </w:rPr>
        <w:t>elinquency</w:t>
      </w:r>
    </w:p>
    <w:p w14:paraId="186C71BE" w14:textId="77777777" w:rsidR="000D1D92" w:rsidRDefault="000D1D92" w:rsidP="000D1D92">
      <w:pPr>
        <w:pStyle w:val="ListParagraph"/>
        <w:numPr>
          <w:ilvl w:val="0"/>
          <w:numId w:val="33"/>
        </w:numPr>
        <w:autoSpaceDE w:val="0"/>
        <w:autoSpaceDN w:val="0"/>
        <w:adjustRightInd w:val="0"/>
        <w:spacing w:before="0" w:after="0"/>
        <w:jc w:val="both"/>
        <w:rPr>
          <w:rFonts w:cs="Arial"/>
        </w:rPr>
      </w:pPr>
      <w:r>
        <w:rPr>
          <w:rFonts w:cs="Arial"/>
        </w:rPr>
        <w:t>anger to peers or parent</w:t>
      </w:r>
    </w:p>
    <w:p w14:paraId="13544B8F" w14:textId="77777777" w:rsidR="000D1D92" w:rsidRDefault="000D1D92" w:rsidP="000D1D92">
      <w:pPr>
        <w:pStyle w:val="ListParagraph"/>
        <w:numPr>
          <w:ilvl w:val="0"/>
          <w:numId w:val="33"/>
        </w:numPr>
        <w:autoSpaceDE w:val="0"/>
        <w:autoSpaceDN w:val="0"/>
        <w:adjustRightInd w:val="0"/>
        <w:spacing w:before="0" w:after="0"/>
        <w:jc w:val="both"/>
        <w:rPr>
          <w:rFonts w:cs="Arial"/>
        </w:rPr>
      </w:pPr>
      <w:r>
        <w:rPr>
          <w:rFonts w:cs="Arial"/>
        </w:rPr>
        <w:t>depression</w:t>
      </w:r>
    </w:p>
    <w:p w14:paraId="23E37602" w14:textId="77777777" w:rsidR="000D1D92" w:rsidRDefault="000D1D92" w:rsidP="000D1D92">
      <w:pPr>
        <w:pStyle w:val="ListParagraph"/>
        <w:numPr>
          <w:ilvl w:val="0"/>
          <w:numId w:val="33"/>
        </w:numPr>
        <w:autoSpaceDE w:val="0"/>
        <w:autoSpaceDN w:val="0"/>
        <w:adjustRightInd w:val="0"/>
        <w:spacing w:before="0" w:after="0"/>
        <w:jc w:val="both"/>
        <w:rPr>
          <w:rFonts w:cs="Arial"/>
        </w:rPr>
      </w:pPr>
      <w:r>
        <w:rPr>
          <w:rFonts w:cs="Arial"/>
        </w:rPr>
        <w:t>fear,</w:t>
      </w:r>
      <w:r w:rsidRPr="000C62CF">
        <w:rPr>
          <w:rFonts w:cs="Arial"/>
        </w:rPr>
        <w:t xml:space="preserve"> sadness and loneliness, including</w:t>
      </w:r>
      <w:r>
        <w:rPr>
          <w:rFonts w:cs="Arial"/>
        </w:rPr>
        <w:t xml:space="preserve"> </w:t>
      </w:r>
      <w:r w:rsidRPr="000C62CF">
        <w:rPr>
          <w:rFonts w:cs="Arial"/>
        </w:rPr>
        <w:t>suicidal feelings</w:t>
      </w:r>
      <w:r>
        <w:rPr>
          <w:rFonts w:cs="Arial"/>
        </w:rPr>
        <w:t>.</w:t>
      </w:r>
    </w:p>
    <w:p w14:paraId="6832E206" w14:textId="77777777" w:rsidR="000D1D92" w:rsidRDefault="000D1D92" w:rsidP="000D1D92">
      <w:pPr>
        <w:autoSpaceDE w:val="0"/>
        <w:autoSpaceDN w:val="0"/>
        <w:adjustRightInd w:val="0"/>
        <w:spacing w:before="0" w:after="0"/>
        <w:jc w:val="both"/>
        <w:rPr>
          <w:rFonts w:cs="Arial"/>
        </w:rPr>
      </w:pPr>
    </w:p>
    <w:p w14:paraId="0315DBF9" w14:textId="77777777" w:rsidR="000D1D92" w:rsidRDefault="000D1D92" w:rsidP="000D1D92">
      <w:pPr>
        <w:autoSpaceDE w:val="0"/>
        <w:autoSpaceDN w:val="0"/>
        <w:adjustRightInd w:val="0"/>
        <w:spacing w:before="0" w:after="0"/>
        <w:jc w:val="both"/>
        <w:rPr>
          <w:rFonts w:cs="Arial"/>
        </w:rPr>
      </w:pPr>
      <w:r w:rsidRPr="00FF0731">
        <w:rPr>
          <w:rFonts w:cs="Arial"/>
        </w:rPr>
        <w:t>Clearly there is</w:t>
      </w:r>
      <w:r>
        <w:rPr>
          <w:rFonts w:cs="Arial"/>
        </w:rPr>
        <w:t xml:space="preserve"> growing</w:t>
      </w:r>
      <w:r w:rsidRPr="00FF0731">
        <w:rPr>
          <w:rFonts w:cs="Arial"/>
        </w:rPr>
        <w:t xml:space="preserve"> </w:t>
      </w:r>
      <w:r>
        <w:rPr>
          <w:rFonts w:cs="Arial"/>
        </w:rPr>
        <w:t>understanding</w:t>
      </w:r>
      <w:r w:rsidRPr="00FF0731">
        <w:rPr>
          <w:rFonts w:cs="Arial"/>
        </w:rPr>
        <w:t xml:space="preserve"> about how family and domestic violence manifest</w:t>
      </w:r>
      <w:r>
        <w:rPr>
          <w:rFonts w:cs="Arial"/>
        </w:rPr>
        <w:t>s</w:t>
      </w:r>
      <w:r w:rsidRPr="00FF0731">
        <w:rPr>
          <w:rFonts w:cs="Arial"/>
        </w:rPr>
        <w:t xml:space="preserve"> itself in children. </w:t>
      </w:r>
    </w:p>
    <w:p w14:paraId="78A4801F" w14:textId="77777777" w:rsidR="000D1D92" w:rsidRDefault="000D1D92" w:rsidP="000D1D92">
      <w:pPr>
        <w:autoSpaceDE w:val="0"/>
        <w:autoSpaceDN w:val="0"/>
        <w:adjustRightInd w:val="0"/>
        <w:spacing w:before="0" w:after="0"/>
        <w:jc w:val="both"/>
        <w:rPr>
          <w:rFonts w:cs="Arial"/>
        </w:rPr>
      </w:pPr>
    </w:p>
    <w:p w14:paraId="59D42CF5" w14:textId="77777777" w:rsidR="000D1D92" w:rsidRPr="008C76DD" w:rsidRDefault="000D1D92" w:rsidP="000D1D92">
      <w:pPr>
        <w:autoSpaceDE w:val="0"/>
        <w:autoSpaceDN w:val="0"/>
        <w:adjustRightInd w:val="0"/>
        <w:spacing w:before="0" w:after="0"/>
        <w:jc w:val="both"/>
        <w:rPr>
          <w:rFonts w:cs="Arial"/>
        </w:rPr>
      </w:pPr>
      <w:r w:rsidRPr="00FF0731">
        <w:rPr>
          <w:rFonts w:cs="Arial"/>
        </w:rPr>
        <w:t>However as academic, Nicky St</w:t>
      </w:r>
      <w:r>
        <w:rPr>
          <w:rFonts w:cs="Arial"/>
        </w:rPr>
        <w:t>anley explains</w:t>
      </w:r>
      <w:r w:rsidRPr="00FF0731">
        <w:rPr>
          <w:rFonts w:cs="Arial"/>
        </w:rPr>
        <w:t>:</w:t>
      </w:r>
    </w:p>
    <w:p w14:paraId="3BCDA1F9" w14:textId="77777777" w:rsidR="000D1D92" w:rsidRDefault="000D1D92" w:rsidP="000D1D92">
      <w:pPr>
        <w:autoSpaceDE w:val="0"/>
        <w:autoSpaceDN w:val="0"/>
        <w:adjustRightInd w:val="0"/>
        <w:spacing w:before="0" w:after="0"/>
        <w:jc w:val="both"/>
        <w:rPr>
          <w:rFonts w:cs="Arial"/>
        </w:rPr>
      </w:pPr>
    </w:p>
    <w:p w14:paraId="5ACBA7AB" w14:textId="77777777" w:rsidR="000D1D92" w:rsidRDefault="000D1D92" w:rsidP="000D1D92">
      <w:pPr>
        <w:autoSpaceDE w:val="0"/>
        <w:autoSpaceDN w:val="0"/>
        <w:adjustRightInd w:val="0"/>
        <w:spacing w:before="0" w:after="0"/>
        <w:ind w:left="720"/>
        <w:jc w:val="both"/>
        <w:rPr>
          <w:rFonts w:cs="Arial"/>
        </w:rPr>
      </w:pPr>
      <w:r w:rsidRPr="00FF63AF">
        <w:rPr>
          <w:rFonts w:cs="Arial"/>
          <w:sz w:val="22"/>
          <w:szCs w:val="22"/>
        </w:rPr>
        <w:t>The impact of domestic violence on children is not straightforward</w:t>
      </w:r>
      <w:r>
        <w:rPr>
          <w:rFonts w:cs="Arial"/>
        </w:rPr>
        <w:t>.</w:t>
      </w:r>
      <w:r>
        <w:rPr>
          <w:rStyle w:val="EndnoteReference"/>
          <w:rFonts w:cs="Arial"/>
        </w:rPr>
        <w:endnoteReference w:id="554"/>
      </w:r>
    </w:p>
    <w:p w14:paraId="51EC3FA2" w14:textId="77777777" w:rsidR="000D1D92" w:rsidRDefault="000D1D92" w:rsidP="000D1D92">
      <w:pPr>
        <w:autoSpaceDE w:val="0"/>
        <w:autoSpaceDN w:val="0"/>
        <w:adjustRightInd w:val="0"/>
        <w:spacing w:before="0" w:after="0"/>
        <w:jc w:val="both"/>
        <w:rPr>
          <w:rFonts w:cs="Arial"/>
        </w:rPr>
      </w:pPr>
    </w:p>
    <w:p w14:paraId="6F5214FF" w14:textId="77777777" w:rsidR="000D1D92" w:rsidRDefault="000D1D92" w:rsidP="000D1D92">
      <w:pPr>
        <w:autoSpaceDE w:val="0"/>
        <w:autoSpaceDN w:val="0"/>
        <w:adjustRightInd w:val="0"/>
        <w:spacing w:before="0" w:after="0"/>
        <w:jc w:val="both"/>
        <w:rPr>
          <w:rFonts w:cs="Arial"/>
        </w:rPr>
      </w:pPr>
      <w:r>
        <w:rPr>
          <w:rFonts w:cs="Arial"/>
        </w:rPr>
        <w:t>Family and domestic violence is multi-dimensional with many variables simultaneously interacting.</w:t>
      </w:r>
      <w:r>
        <w:rPr>
          <w:rStyle w:val="EndnoteReference"/>
          <w:rFonts w:cs="Arial"/>
        </w:rPr>
        <w:endnoteReference w:id="555"/>
      </w:r>
      <w:r>
        <w:rPr>
          <w:rFonts w:cs="Arial"/>
        </w:rPr>
        <w:t xml:space="preserve"> </w:t>
      </w:r>
    </w:p>
    <w:p w14:paraId="3AFC7119" w14:textId="77777777" w:rsidR="000D1D92" w:rsidRDefault="000D1D92" w:rsidP="000D1D92">
      <w:pPr>
        <w:autoSpaceDE w:val="0"/>
        <w:autoSpaceDN w:val="0"/>
        <w:adjustRightInd w:val="0"/>
        <w:spacing w:before="0" w:after="0"/>
        <w:jc w:val="both"/>
        <w:rPr>
          <w:rFonts w:cs="Arial"/>
          <w:b/>
        </w:rPr>
      </w:pPr>
    </w:p>
    <w:p w14:paraId="018BACAB" w14:textId="77777777" w:rsidR="000D1D92" w:rsidRDefault="000D1D92" w:rsidP="000D1D92">
      <w:pPr>
        <w:autoSpaceDE w:val="0"/>
        <w:autoSpaceDN w:val="0"/>
        <w:adjustRightInd w:val="0"/>
        <w:spacing w:before="0" w:after="0"/>
        <w:jc w:val="both"/>
        <w:rPr>
          <w:rFonts w:cs="Arial"/>
        </w:rPr>
      </w:pPr>
      <w:r w:rsidRPr="00B51FF8">
        <w:rPr>
          <w:rFonts w:cs="Arial"/>
          <w:b/>
        </w:rPr>
        <w:t>Variables influencing the impact of family and domestic violence</w:t>
      </w:r>
      <w:r>
        <w:rPr>
          <w:rFonts w:cs="Arial"/>
        </w:rPr>
        <w:t xml:space="preserve"> include: </w:t>
      </w:r>
    </w:p>
    <w:p w14:paraId="666BD4C4" w14:textId="77777777" w:rsidR="000D1D92" w:rsidRDefault="000D1D92" w:rsidP="000D1D92">
      <w:pPr>
        <w:autoSpaceDE w:val="0"/>
        <w:autoSpaceDN w:val="0"/>
        <w:adjustRightInd w:val="0"/>
        <w:spacing w:before="0" w:after="0"/>
        <w:jc w:val="both"/>
        <w:rPr>
          <w:rFonts w:cs="Arial"/>
        </w:rPr>
      </w:pPr>
    </w:p>
    <w:p w14:paraId="51CE4955" w14:textId="77777777" w:rsidR="000D1D92" w:rsidRDefault="000D1D92" w:rsidP="000D1D92">
      <w:pPr>
        <w:pStyle w:val="ListParagraph"/>
        <w:numPr>
          <w:ilvl w:val="0"/>
          <w:numId w:val="34"/>
        </w:numPr>
        <w:autoSpaceDE w:val="0"/>
        <w:autoSpaceDN w:val="0"/>
        <w:adjustRightInd w:val="0"/>
        <w:spacing w:before="0" w:after="0"/>
        <w:jc w:val="both"/>
        <w:rPr>
          <w:rFonts w:cs="Arial"/>
        </w:rPr>
      </w:pPr>
      <w:r w:rsidRPr="00AE40E4">
        <w:rPr>
          <w:rFonts w:cs="Arial"/>
          <w:sz w:val="22"/>
          <w:szCs w:val="22"/>
        </w:rPr>
        <w:t>The severity and extent of children’s exposure to family and domestic violence.</w:t>
      </w:r>
      <w:r w:rsidRPr="00AE40E4">
        <w:rPr>
          <w:rStyle w:val="EndnoteReference"/>
          <w:rFonts w:cs="Arial"/>
          <w:sz w:val="22"/>
          <w:szCs w:val="22"/>
        </w:rPr>
        <w:endnoteReference w:id="556"/>
      </w:r>
      <w:r w:rsidRPr="00AE40E4">
        <w:rPr>
          <w:rFonts w:cs="Arial"/>
          <w:sz w:val="22"/>
          <w:szCs w:val="22"/>
        </w:rPr>
        <w:t xml:space="preserve"> Exposure to an isolated incident is clearly a different experience from regular exposure.</w:t>
      </w:r>
      <w:r w:rsidRPr="00AE40E4">
        <w:rPr>
          <w:rStyle w:val="EndnoteReference"/>
          <w:rFonts w:cs="Arial"/>
          <w:sz w:val="22"/>
          <w:szCs w:val="22"/>
        </w:rPr>
        <w:endnoteReference w:id="557"/>
      </w:r>
      <w:r w:rsidRPr="00AE40E4">
        <w:rPr>
          <w:rFonts w:cs="Arial"/>
          <w:sz w:val="22"/>
          <w:szCs w:val="22"/>
        </w:rPr>
        <w:t xml:space="preserve"> Cumulative exposure over time produces profoundly serious problems which can be resistant to change.</w:t>
      </w:r>
      <w:r w:rsidRPr="006324D3">
        <w:rPr>
          <w:rStyle w:val="EndnoteReference"/>
          <w:rFonts w:cs="Arial"/>
        </w:rPr>
        <w:t xml:space="preserve"> </w:t>
      </w:r>
      <w:r>
        <w:rPr>
          <w:rStyle w:val="EndnoteReference"/>
          <w:rFonts w:cs="Arial"/>
        </w:rPr>
        <w:endnoteReference w:id="558"/>
      </w:r>
    </w:p>
    <w:p w14:paraId="71E016EB" w14:textId="77777777" w:rsidR="000D1D92" w:rsidRPr="007F4F82" w:rsidRDefault="000D1D92" w:rsidP="000D1D92">
      <w:pPr>
        <w:pStyle w:val="ListParagraph"/>
        <w:autoSpaceDE w:val="0"/>
        <w:autoSpaceDN w:val="0"/>
        <w:adjustRightInd w:val="0"/>
        <w:spacing w:before="0" w:after="0"/>
        <w:jc w:val="both"/>
        <w:rPr>
          <w:rFonts w:cs="Arial"/>
        </w:rPr>
      </w:pPr>
    </w:p>
    <w:p w14:paraId="3CDC3BCB" w14:textId="77777777" w:rsidR="000D1D92" w:rsidRDefault="000D1D92" w:rsidP="000D1D92">
      <w:pPr>
        <w:pStyle w:val="ListParagraph"/>
        <w:numPr>
          <w:ilvl w:val="0"/>
          <w:numId w:val="34"/>
        </w:numPr>
        <w:autoSpaceDE w:val="0"/>
        <w:autoSpaceDN w:val="0"/>
        <w:adjustRightInd w:val="0"/>
        <w:spacing w:before="0" w:after="0"/>
        <w:jc w:val="both"/>
        <w:rPr>
          <w:rFonts w:cs="Arial"/>
        </w:rPr>
      </w:pPr>
      <w:r w:rsidRPr="00AE40E4">
        <w:rPr>
          <w:rFonts w:cs="Arial"/>
          <w:sz w:val="22"/>
          <w:szCs w:val="22"/>
        </w:rPr>
        <w:t>Family and domestic violence often occurs in contexts of other disadvantage and interacts with other family problems to harm children’s health and wellbeing. It is difficult for both practitioners and researchers to disentangle the dynamics and effects of family and domestic violence on children and young people from other family problems</w:t>
      </w:r>
      <w:r w:rsidRPr="006324D3">
        <w:rPr>
          <w:rFonts w:cs="Arial"/>
        </w:rPr>
        <w:t>.</w:t>
      </w:r>
      <w:r>
        <w:rPr>
          <w:rStyle w:val="EndnoteReference"/>
          <w:rFonts w:cs="Arial"/>
        </w:rPr>
        <w:endnoteReference w:id="559"/>
      </w:r>
      <w:r>
        <w:rPr>
          <w:rFonts w:cs="Arial"/>
        </w:rPr>
        <w:t xml:space="preserve"> </w:t>
      </w:r>
    </w:p>
    <w:p w14:paraId="67EEAF7D" w14:textId="77777777" w:rsidR="000D1D92" w:rsidRPr="00635FA9" w:rsidRDefault="000D1D92" w:rsidP="000D1D92">
      <w:pPr>
        <w:autoSpaceDE w:val="0"/>
        <w:autoSpaceDN w:val="0"/>
        <w:adjustRightInd w:val="0"/>
        <w:spacing w:before="0" w:after="0"/>
        <w:jc w:val="both"/>
        <w:rPr>
          <w:rFonts w:cs="Arial"/>
        </w:rPr>
      </w:pPr>
    </w:p>
    <w:p w14:paraId="4ACF38F5" w14:textId="77777777" w:rsidR="000D1D92" w:rsidRDefault="000D1D92" w:rsidP="000D1D92">
      <w:pPr>
        <w:autoSpaceDE w:val="0"/>
        <w:autoSpaceDN w:val="0"/>
        <w:adjustRightInd w:val="0"/>
        <w:spacing w:before="0" w:after="0"/>
        <w:jc w:val="both"/>
      </w:pPr>
      <w:r>
        <w:rPr>
          <w:rFonts w:cs="Arial"/>
        </w:rPr>
        <w:t xml:space="preserve">The joint submission made to me by the </w:t>
      </w:r>
      <w:r>
        <w:t>Australian Institute of Family Studies (AIFS) and Australia’s National Research Organisation for Women’s Safety Ltd (ANROWS) reinforced this:</w:t>
      </w:r>
    </w:p>
    <w:p w14:paraId="0AC8F416" w14:textId="77777777" w:rsidR="000D1D92" w:rsidRDefault="000D1D92" w:rsidP="000D1D92">
      <w:pPr>
        <w:autoSpaceDE w:val="0"/>
        <w:autoSpaceDN w:val="0"/>
        <w:adjustRightInd w:val="0"/>
        <w:spacing w:before="0" w:after="0"/>
        <w:jc w:val="both"/>
      </w:pPr>
    </w:p>
    <w:p w14:paraId="5A48A4BE" w14:textId="77777777" w:rsidR="000D1D92" w:rsidRDefault="000D1D92" w:rsidP="000D1D92">
      <w:pPr>
        <w:autoSpaceDE w:val="0"/>
        <w:autoSpaceDN w:val="0"/>
        <w:adjustRightInd w:val="0"/>
        <w:spacing w:before="0" w:after="0"/>
        <w:ind w:left="720"/>
        <w:jc w:val="both"/>
        <w:rPr>
          <w:rFonts w:cs="Arial"/>
        </w:rPr>
      </w:pPr>
      <w:r w:rsidRPr="00E14C64">
        <w:rPr>
          <w:rFonts w:cs="Arial"/>
          <w:sz w:val="22"/>
          <w:szCs w:val="22"/>
        </w:rPr>
        <w:t>Family violence occurs across a spectrum of severity but there is a dearth of evidence on the implications of this for children</w:t>
      </w:r>
      <w:r w:rsidRPr="00027CF1">
        <w:rPr>
          <w:rFonts w:cs="Arial"/>
        </w:rPr>
        <w:t>.</w:t>
      </w:r>
      <w:r w:rsidRPr="002D7F0C">
        <w:rPr>
          <w:rStyle w:val="EndnoteReference"/>
          <w:rFonts w:cs="Arial"/>
        </w:rPr>
        <w:t xml:space="preserve"> </w:t>
      </w:r>
      <w:r>
        <w:rPr>
          <w:rStyle w:val="EndnoteReference"/>
          <w:rFonts w:cs="Arial"/>
        </w:rPr>
        <w:endnoteReference w:id="560"/>
      </w:r>
    </w:p>
    <w:p w14:paraId="2FE4E211" w14:textId="77777777" w:rsidR="000D1D92" w:rsidRDefault="000D1D92" w:rsidP="000D1D92">
      <w:pPr>
        <w:autoSpaceDE w:val="0"/>
        <w:autoSpaceDN w:val="0"/>
        <w:adjustRightInd w:val="0"/>
        <w:spacing w:before="0" w:after="0"/>
        <w:jc w:val="both"/>
        <w:rPr>
          <w:rFonts w:cs="Arial"/>
        </w:rPr>
      </w:pPr>
    </w:p>
    <w:p w14:paraId="7AC1863B" w14:textId="77777777" w:rsidR="000D1D92" w:rsidRPr="00635FA9" w:rsidRDefault="000D1D92" w:rsidP="000D1D92">
      <w:pPr>
        <w:autoSpaceDE w:val="0"/>
        <w:autoSpaceDN w:val="0"/>
        <w:adjustRightInd w:val="0"/>
        <w:spacing w:before="0" w:after="0"/>
        <w:ind w:left="720"/>
        <w:jc w:val="both"/>
        <w:rPr>
          <w:rFonts w:cs="Arial"/>
        </w:rPr>
      </w:pPr>
      <w:r w:rsidRPr="00AE40E4">
        <w:rPr>
          <w:rFonts w:cs="Arial"/>
          <w:sz w:val="22"/>
          <w:szCs w:val="22"/>
        </w:rPr>
        <w:t>DFV often occurs alongside a host of other risk factors, such as parental substance abuse, poverty, family dysfunction, other forms of child abuse and neglect, mental ill-health, and social isolation…It is consequently difficult to separate the effects of these factors from the effects of exposure to DFV</w:t>
      </w:r>
      <w:r w:rsidRPr="00635FA9">
        <w:rPr>
          <w:rFonts w:cs="Arial"/>
        </w:rPr>
        <w:t>.</w:t>
      </w:r>
      <w:r>
        <w:rPr>
          <w:rStyle w:val="EndnoteReference"/>
          <w:rFonts w:cs="Arial"/>
        </w:rPr>
        <w:endnoteReference w:id="561"/>
      </w:r>
      <w:r w:rsidRPr="00635FA9">
        <w:rPr>
          <w:rFonts w:cs="Arial"/>
        </w:rPr>
        <w:t xml:space="preserve"> </w:t>
      </w:r>
    </w:p>
    <w:p w14:paraId="6D478063" w14:textId="77777777" w:rsidR="000D1D92" w:rsidRDefault="000D1D92" w:rsidP="000D1D92">
      <w:pPr>
        <w:autoSpaceDE w:val="0"/>
        <w:autoSpaceDN w:val="0"/>
        <w:adjustRightInd w:val="0"/>
        <w:spacing w:before="0" w:after="0"/>
        <w:jc w:val="both"/>
        <w:rPr>
          <w:rFonts w:cs="Arial"/>
        </w:rPr>
      </w:pPr>
    </w:p>
    <w:p w14:paraId="6B155903" w14:textId="77777777" w:rsidR="000D1D92" w:rsidRDefault="000D1D92" w:rsidP="000D1D92">
      <w:pPr>
        <w:autoSpaceDE w:val="0"/>
        <w:autoSpaceDN w:val="0"/>
        <w:adjustRightInd w:val="0"/>
        <w:spacing w:before="0" w:after="0"/>
        <w:jc w:val="both"/>
        <w:rPr>
          <w:rFonts w:cs="Arial"/>
        </w:rPr>
      </w:pPr>
      <w:r>
        <w:rPr>
          <w:rFonts w:cs="Arial"/>
        </w:rPr>
        <w:t>The Kids Helpline stated that:</w:t>
      </w:r>
    </w:p>
    <w:p w14:paraId="2D04BC74" w14:textId="77777777" w:rsidR="000D1D92" w:rsidRPr="004B2F1C" w:rsidRDefault="000D1D92" w:rsidP="000D1D92">
      <w:pPr>
        <w:autoSpaceDE w:val="0"/>
        <w:autoSpaceDN w:val="0"/>
        <w:adjustRightInd w:val="0"/>
        <w:spacing w:before="0" w:after="0"/>
        <w:jc w:val="both"/>
        <w:rPr>
          <w:rFonts w:cs="Arial"/>
        </w:rPr>
      </w:pPr>
    </w:p>
    <w:p w14:paraId="29BE8B6E" w14:textId="77777777" w:rsidR="000D1D92" w:rsidRDefault="000D1D92" w:rsidP="000D1D92">
      <w:pPr>
        <w:autoSpaceDE w:val="0"/>
        <w:autoSpaceDN w:val="0"/>
        <w:adjustRightInd w:val="0"/>
        <w:spacing w:before="0" w:after="0"/>
        <w:ind w:left="720"/>
        <w:jc w:val="both"/>
        <w:rPr>
          <w:rFonts w:cs="Arial"/>
        </w:rPr>
      </w:pPr>
      <w:r w:rsidRPr="00AE40E4">
        <w:rPr>
          <w:rFonts w:cs="Arial"/>
          <w:sz w:val="22"/>
          <w:szCs w:val="22"/>
        </w:rPr>
        <w:t>Children living in families experiencing domestic violence typically experience multiple disadvantages and other forms of adversity (e.g., low socio-economic status, parental unemployment, low parental education, parental alcohol and substance abuse, child abuse), making it difficult to isolate the effects of exposure to [family and domestic violence].</w:t>
      </w:r>
      <w:r>
        <w:rPr>
          <w:rStyle w:val="EndnoteReference"/>
          <w:rFonts w:cs="Arial"/>
        </w:rPr>
        <w:endnoteReference w:id="562"/>
      </w:r>
    </w:p>
    <w:p w14:paraId="0DF7B3E9" w14:textId="77777777" w:rsidR="000D1D92" w:rsidRDefault="000D1D92" w:rsidP="000D1D92">
      <w:pPr>
        <w:autoSpaceDE w:val="0"/>
        <w:autoSpaceDN w:val="0"/>
        <w:adjustRightInd w:val="0"/>
        <w:spacing w:before="0" w:after="0"/>
        <w:jc w:val="both"/>
        <w:rPr>
          <w:rFonts w:cs="Arial"/>
        </w:rPr>
      </w:pPr>
    </w:p>
    <w:p w14:paraId="72BDA6EA" w14:textId="77777777" w:rsidR="000D1D92" w:rsidRDefault="000D1D92" w:rsidP="000D1D92">
      <w:pPr>
        <w:autoSpaceDE w:val="0"/>
        <w:autoSpaceDN w:val="0"/>
        <w:adjustRightInd w:val="0"/>
        <w:spacing w:before="0" w:after="0"/>
        <w:jc w:val="both"/>
        <w:rPr>
          <w:rFonts w:cs="Arial"/>
        </w:rPr>
      </w:pPr>
      <w:r>
        <w:rPr>
          <w:rFonts w:cs="Arial"/>
        </w:rPr>
        <w:t>Family and domestic violence can also occur in families who do not have these characteristics.</w:t>
      </w:r>
    </w:p>
    <w:p w14:paraId="70B964D4" w14:textId="77777777" w:rsidR="000D1D92" w:rsidRDefault="000D1D92" w:rsidP="000D1D92">
      <w:pPr>
        <w:autoSpaceDE w:val="0"/>
        <w:autoSpaceDN w:val="0"/>
        <w:adjustRightInd w:val="0"/>
        <w:spacing w:before="0" w:after="0"/>
        <w:jc w:val="both"/>
        <w:rPr>
          <w:rFonts w:cs="Arial"/>
        </w:rPr>
      </w:pPr>
    </w:p>
    <w:p w14:paraId="135E02BE" w14:textId="77777777" w:rsidR="000D1D92" w:rsidRDefault="000D1D92" w:rsidP="000D1D92">
      <w:pPr>
        <w:autoSpaceDE w:val="0"/>
        <w:autoSpaceDN w:val="0"/>
        <w:adjustRightInd w:val="0"/>
        <w:spacing w:before="0" w:after="0"/>
        <w:jc w:val="both"/>
        <w:rPr>
          <w:rFonts w:cs="Arial"/>
        </w:rPr>
      </w:pPr>
      <w:r>
        <w:rPr>
          <w:rFonts w:cs="Arial"/>
        </w:rPr>
        <w:t xml:space="preserve">During my roundtables and in submissions, </w:t>
      </w:r>
      <w:r w:rsidRPr="00042A1E">
        <w:rPr>
          <w:rFonts w:cs="Arial"/>
          <w:b/>
        </w:rPr>
        <w:t>certain groups of children were identified as being particularly vulnerable</w:t>
      </w:r>
      <w:r>
        <w:rPr>
          <w:rFonts w:cs="Arial"/>
        </w:rPr>
        <w:t>.</w:t>
      </w:r>
    </w:p>
    <w:p w14:paraId="189BF1E4" w14:textId="77777777" w:rsidR="000D1D92" w:rsidRDefault="000D1D92" w:rsidP="000D1D92">
      <w:pPr>
        <w:autoSpaceDE w:val="0"/>
        <w:autoSpaceDN w:val="0"/>
        <w:adjustRightInd w:val="0"/>
        <w:spacing w:before="0" w:after="0"/>
        <w:jc w:val="both"/>
        <w:rPr>
          <w:rFonts w:cs="Arial"/>
        </w:rPr>
      </w:pPr>
    </w:p>
    <w:p w14:paraId="319B7A84" w14:textId="77777777" w:rsidR="000D1D92" w:rsidRPr="00F64D6E" w:rsidRDefault="000D1D92" w:rsidP="000D1D92">
      <w:pPr>
        <w:autoSpaceDE w:val="0"/>
        <w:autoSpaceDN w:val="0"/>
        <w:adjustRightInd w:val="0"/>
        <w:spacing w:before="0" w:after="0"/>
        <w:jc w:val="both"/>
        <w:rPr>
          <w:rFonts w:cs="Arial"/>
        </w:rPr>
      </w:pPr>
      <w:r w:rsidRPr="00F64D6E">
        <w:rPr>
          <w:rFonts w:cs="Arial"/>
        </w:rPr>
        <w:t>The submission by the National Aboriginal &amp; Torres Strait Islander Women’s Alliance pointed out:</w:t>
      </w:r>
    </w:p>
    <w:p w14:paraId="34B7E6C1" w14:textId="77777777" w:rsidR="000D1D92" w:rsidRPr="00040887" w:rsidRDefault="000D1D92" w:rsidP="000D1D92">
      <w:pPr>
        <w:autoSpaceDE w:val="0"/>
        <w:autoSpaceDN w:val="0"/>
        <w:adjustRightInd w:val="0"/>
        <w:spacing w:before="0" w:after="0"/>
        <w:jc w:val="both"/>
        <w:rPr>
          <w:rFonts w:cs="Arial"/>
        </w:rPr>
      </w:pPr>
    </w:p>
    <w:p w14:paraId="0E1C5AED" w14:textId="77777777" w:rsidR="000D1D92" w:rsidRPr="00040887" w:rsidRDefault="000D1D92" w:rsidP="000D1D92">
      <w:pPr>
        <w:autoSpaceDE w:val="0"/>
        <w:autoSpaceDN w:val="0"/>
        <w:adjustRightInd w:val="0"/>
        <w:spacing w:before="0" w:after="0"/>
        <w:ind w:left="720"/>
        <w:jc w:val="both"/>
        <w:rPr>
          <w:rFonts w:cs="Arial"/>
          <w:sz w:val="22"/>
          <w:szCs w:val="22"/>
        </w:rPr>
      </w:pPr>
      <w:r w:rsidRPr="00040887">
        <w:rPr>
          <w:rFonts w:cs="Arial"/>
          <w:sz w:val="22"/>
          <w:szCs w:val="22"/>
        </w:rPr>
        <w:t xml:space="preserve">The nature, history and context of family violence in </w:t>
      </w:r>
      <w:r w:rsidRPr="00040887">
        <w:rPr>
          <w:rFonts w:cs="Arial"/>
          <w:b/>
          <w:sz w:val="22"/>
          <w:szCs w:val="22"/>
        </w:rPr>
        <w:t>Aboriginal and Torres Strait Islander communities</w:t>
      </w:r>
      <w:r w:rsidRPr="00040887">
        <w:rPr>
          <w:rFonts w:cs="Arial"/>
          <w:sz w:val="22"/>
          <w:szCs w:val="22"/>
        </w:rPr>
        <w:t xml:space="preserve"> is different to domestic violence experienced in mainstream communities and populations. Aboriginal and Torres Strait Islander people continue to suffer the intergenerational effects of past welfare practices including the forced removal of their children and dislocation from their communities, country and culture, </w:t>
      </w:r>
      <w:r w:rsidRPr="00040887">
        <w:rPr>
          <w:rFonts w:cs="Arial"/>
          <w:sz w:val="22"/>
          <w:szCs w:val="22"/>
        </w:rPr>
        <w:lastRenderedPageBreak/>
        <w:t>as well as experiencing higher levels of poverty and social disadvantage compared to other Australians. The combined effects of past practices and current disadvantages present extreme challenges to families.</w:t>
      </w:r>
      <w:r w:rsidRPr="00040887">
        <w:rPr>
          <w:rStyle w:val="EndnoteReference"/>
          <w:rFonts w:cs="Arial"/>
          <w:sz w:val="22"/>
          <w:szCs w:val="22"/>
        </w:rPr>
        <w:endnoteReference w:id="563"/>
      </w:r>
    </w:p>
    <w:p w14:paraId="70D8DD48" w14:textId="77777777" w:rsidR="000D1D92" w:rsidRDefault="000D1D92" w:rsidP="000D1D92">
      <w:pPr>
        <w:autoSpaceDE w:val="0"/>
        <w:autoSpaceDN w:val="0"/>
        <w:adjustRightInd w:val="0"/>
        <w:spacing w:before="0" w:after="0"/>
        <w:jc w:val="both"/>
        <w:rPr>
          <w:rFonts w:cs="Arial"/>
        </w:rPr>
      </w:pPr>
    </w:p>
    <w:p w14:paraId="4AAE1349" w14:textId="77777777" w:rsidR="000D1D92" w:rsidRPr="00F64D6E" w:rsidRDefault="000D1D92" w:rsidP="000D1D92">
      <w:pPr>
        <w:autoSpaceDE w:val="0"/>
        <w:autoSpaceDN w:val="0"/>
        <w:adjustRightInd w:val="0"/>
        <w:spacing w:before="0" w:after="0"/>
        <w:jc w:val="both"/>
        <w:rPr>
          <w:rFonts w:cs="Arial"/>
        </w:rPr>
      </w:pPr>
      <w:r w:rsidRPr="00F64D6E">
        <w:rPr>
          <w:rFonts w:cs="Arial"/>
        </w:rPr>
        <w:t>The Western Australian Aborig</w:t>
      </w:r>
      <w:r>
        <w:rPr>
          <w:rFonts w:cs="Arial"/>
        </w:rPr>
        <w:t>inal Family Law Services advised me</w:t>
      </w:r>
      <w:r w:rsidRPr="00F64D6E">
        <w:rPr>
          <w:rFonts w:cs="Arial"/>
        </w:rPr>
        <w:t>:</w:t>
      </w:r>
    </w:p>
    <w:p w14:paraId="1326A260" w14:textId="77777777" w:rsidR="000D1D92" w:rsidRPr="00040887" w:rsidRDefault="000D1D92" w:rsidP="000D1D92">
      <w:pPr>
        <w:autoSpaceDE w:val="0"/>
        <w:autoSpaceDN w:val="0"/>
        <w:adjustRightInd w:val="0"/>
        <w:spacing w:before="0" w:after="0"/>
        <w:jc w:val="both"/>
        <w:rPr>
          <w:rFonts w:cs="Arial"/>
        </w:rPr>
      </w:pPr>
    </w:p>
    <w:p w14:paraId="4C3001F5" w14:textId="77777777" w:rsidR="000D1D92" w:rsidRPr="00040887" w:rsidRDefault="000D1D92" w:rsidP="000D1D92">
      <w:pPr>
        <w:autoSpaceDE w:val="0"/>
        <w:autoSpaceDN w:val="0"/>
        <w:adjustRightInd w:val="0"/>
        <w:spacing w:before="0" w:after="0"/>
        <w:ind w:left="720"/>
        <w:jc w:val="both"/>
        <w:rPr>
          <w:rFonts w:cs="Arial"/>
        </w:rPr>
      </w:pPr>
      <w:r w:rsidRPr="00040887">
        <w:rPr>
          <w:sz w:val="22"/>
          <w:szCs w:val="22"/>
        </w:rPr>
        <w:t xml:space="preserve">For </w:t>
      </w:r>
      <w:r w:rsidRPr="00040887">
        <w:rPr>
          <w:b/>
          <w:sz w:val="22"/>
          <w:szCs w:val="22"/>
        </w:rPr>
        <w:t>Aboriginal</w:t>
      </w:r>
      <w:r w:rsidRPr="00040887">
        <w:rPr>
          <w:sz w:val="22"/>
          <w:szCs w:val="22"/>
        </w:rPr>
        <w:t xml:space="preserve"> communities the prevalence and impact of family and domestic violence is understood in terms of loss of connection to family, culture and self. The development of a sense of belonging and self may be severely compromised when raised out of one’s own family. The circumstances of the removal, the quantity and quality of ongoing contact with parents and the ability to adapt to the new living situation will impact on the child’s development. The child’s ability to meet developmental milestones will be challenged and almost certainly impaired by the trauma of the removal and any consequent placement shift – as well as from the predisposing circumstances of abuse and trauma.</w:t>
      </w:r>
      <w:r w:rsidRPr="00040887">
        <w:rPr>
          <w:rStyle w:val="EndnoteReference"/>
          <w:szCs w:val="22"/>
        </w:rPr>
        <w:endnoteReference w:id="564"/>
      </w:r>
    </w:p>
    <w:p w14:paraId="68C7FFF9" w14:textId="77777777" w:rsidR="000D1D92" w:rsidRPr="00040887" w:rsidRDefault="000D1D92" w:rsidP="000D1D92">
      <w:pPr>
        <w:autoSpaceDE w:val="0"/>
        <w:autoSpaceDN w:val="0"/>
        <w:adjustRightInd w:val="0"/>
        <w:spacing w:before="0" w:after="0"/>
        <w:jc w:val="both"/>
        <w:rPr>
          <w:rFonts w:cs="Arial"/>
        </w:rPr>
      </w:pPr>
    </w:p>
    <w:p w14:paraId="5BB3E9D8" w14:textId="77777777" w:rsidR="000D1D92" w:rsidRPr="006F3C3D" w:rsidRDefault="000D1D92" w:rsidP="000D1D92">
      <w:pPr>
        <w:autoSpaceDE w:val="0"/>
        <w:autoSpaceDN w:val="0"/>
        <w:adjustRightInd w:val="0"/>
        <w:spacing w:before="0" w:after="0"/>
        <w:jc w:val="both"/>
        <w:rPr>
          <w:rFonts w:cs="Arial"/>
        </w:rPr>
      </w:pPr>
      <w:r w:rsidRPr="006F3C3D">
        <w:rPr>
          <w:rFonts w:cs="Arial"/>
        </w:rPr>
        <w:t>The submission by InTouch, the Multicultural Centre against Family Violence in Victoria indicated that:</w:t>
      </w:r>
    </w:p>
    <w:p w14:paraId="201EDD03" w14:textId="77777777" w:rsidR="000D1D92" w:rsidRPr="00040887" w:rsidRDefault="000D1D92" w:rsidP="000D1D92">
      <w:pPr>
        <w:autoSpaceDE w:val="0"/>
        <w:autoSpaceDN w:val="0"/>
        <w:adjustRightInd w:val="0"/>
        <w:spacing w:before="0" w:after="0"/>
        <w:jc w:val="both"/>
        <w:rPr>
          <w:rFonts w:cs="Arial"/>
        </w:rPr>
      </w:pPr>
    </w:p>
    <w:p w14:paraId="5B1171E3" w14:textId="77777777" w:rsidR="000D1D92" w:rsidRPr="00040887" w:rsidRDefault="000D1D92" w:rsidP="000D1D92">
      <w:pPr>
        <w:autoSpaceDE w:val="0"/>
        <w:autoSpaceDN w:val="0"/>
        <w:adjustRightInd w:val="0"/>
        <w:spacing w:before="0" w:after="0"/>
        <w:ind w:left="720"/>
        <w:jc w:val="both"/>
        <w:rPr>
          <w:rFonts w:cs="Arial"/>
          <w:sz w:val="22"/>
          <w:szCs w:val="22"/>
        </w:rPr>
      </w:pPr>
      <w:r w:rsidRPr="00040887">
        <w:rPr>
          <w:rFonts w:cs="Arial"/>
          <w:b/>
          <w:sz w:val="22"/>
          <w:szCs w:val="22"/>
        </w:rPr>
        <w:t>C</w:t>
      </w:r>
      <w:r>
        <w:rPr>
          <w:rFonts w:cs="Arial"/>
          <w:b/>
          <w:sz w:val="22"/>
          <w:szCs w:val="22"/>
        </w:rPr>
        <w:t xml:space="preserve">ulturally and linguistically diverse </w:t>
      </w:r>
      <w:r w:rsidRPr="00040887">
        <w:rPr>
          <w:rFonts w:cs="Arial"/>
          <w:sz w:val="22"/>
          <w:szCs w:val="22"/>
        </w:rPr>
        <w:t xml:space="preserve">children may experience the additional impact of being displaced from other countries, spending time in refugee camps, witness torture and trauma, unsafe travel to Australia and/or loss of extended family and community networks. CALD children may have additional pressures to learn at school while acquiring a second language and navigating new social rules. They may also experience discrimination and racism in the wider community. </w:t>
      </w:r>
    </w:p>
    <w:p w14:paraId="474AFB57" w14:textId="77777777" w:rsidR="000D1D92" w:rsidRPr="00040887" w:rsidRDefault="000D1D92" w:rsidP="000D1D92">
      <w:pPr>
        <w:autoSpaceDE w:val="0"/>
        <w:autoSpaceDN w:val="0"/>
        <w:adjustRightInd w:val="0"/>
        <w:spacing w:before="0" w:after="0"/>
        <w:ind w:left="720"/>
        <w:jc w:val="both"/>
        <w:rPr>
          <w:rFonts w:cs="Arial"/>
          <w:sz w:val="22"/>
          <w:szCs w:val="22"/>
        </w:rPr>
      </w:pPr>
    </w:p>
    <w:p w14:paraId="22990556" w14:textId="77777777" w:rsidR="000D1D92" w:rsidRPr="00040887" w:rsidRDefault="000D1D92" w:rsidP="000D1D92">
      <w:pPr>
        <w:autoSpaceDE w:val="0"/>
        <w:autoSpaceDN w:val="0"/>
        <w:adjustRightInd w:val="0"/>
        <w:spacing w:before="0" w:after="0"/>
        <w:ind w:left="720"/>
        <w:jc w:val="both"/>
        <w:rPr>
          <w:rFonts w:cs="Arial"/>
          <w:sz w:val="22"/>
          <w:szCs w:val="22"/>
        </w:rPr>
      </w:pPr>
      <w:r w:rsidRPr="00040887">
        <w:rPr>
          <w:rFonts w:cs="Arial"/>
          <w:sz w:val="22"/>
          <w:szCs w:val="22"/>
        </w:rPr>
        <w:t>The intersection for CALD children of pre-existing loss and grief, adjustment disorders, displacement and post-traumatic stress and the additional trauma of family violence is critical.</w:t>
      </w:r>
      <w:r w:rsidRPr="00040887">
        <w:rPr>
          <w:rStyle w:val="EndnoteReference"/>
          <w:rFonts w:cs="Arial"/>
          <w:sz w:val="22"/>
          <w:szCs w:val="22"/>
        </w:rPr>
        <w:endnoteReference w:id="565"/>
      </w:r>
    </w:p>
    <w:p w14:paraId="636E67B7" w14:textId="77777777" w:rsidR="000D1D92" w:rsidRPr="00040887" w:rsidRDefault="000D1D92" w:rsidP="000D1D92">
      <w:pPr>
        <w:autoSpaceDE w:val="0"/>
        <w:autoSpaceDN w:val="0"/>
        <w:adjustRightInd w:val="0"/>
        <w:spacing w:before="0" w:after="0"/>
        <w:jc w:val="both"/>
        <w:rPr>
          <w:rFonts w:cs="Arial"/>
        </w:rPr>
      </w:pPr>
    </w:p>
    <w:p w14:paraId="1D8DCF85" w14:textId="77777777" w:rsidR="000D1D92" w:rsidRPr="006F3C3D" w:rsidRDefault="000D1D92" w:rsidP="000D1D92">
      <w:pPr>
        <w:autoSpaceDE w:val="0"/>
        <w:autoSpaceDN w:val="0"/>
        <w:adjustRightInd w:val="0"/>
        <w:spacing w:before="0" w:after="0"/>
        <w:jc w:val="both"/>
        <w:rPr>
          <w:rFonts w:cs="Arial"/>
        </w:rPr>
      </w:pPr>
      <w:r w:rsidRPr="006F3C3D">
        <w:rPr>
          <w:rFonts w:cs="Arial"/>
        </w:rPr>
        <w:t>Childre</w:t>
      </w:r>
      <w:r>
        <w:rPr>
          <w:rFonts w:cs="Arial"/>
        </w:rPr>
        <w:t>n with Disability Australia informed</w:t>
      </w:r>
      <w:r w:rsidRPr="006F3C3D">
        <w:rPr>
          <w:rFonts w:cs="Arial"/>
        </w:rPr>
        <w:t xml:space="preserve"> me that:</w:t>
      </w:r>
    </w:p>
    <w:p w14:paraId="645ED457" w14:textId="77777777" w:rsidR="000D1D92" w:rsidRPr="00040887" w:rsidRDefault="000D1D92" w:rsidP="000D1D92">
      <w:pPr>
        <w:autoSpaceDE w:val="0"/>
        <w:autoSpaceDN w:val="0"/>
        <w:adjustRightInd w:val="0"/>
        <w:spacing w:before="0" w:after="0"/>
        <w:jc w:val="both"/>
        <w:rPr>
          <w:rFonts w:cs="Arial"/>
        </w:rPr>
      </w:pPr>
    </w:p>
    <w:p w14:paraId="25050232" w14:textId="77777777" w:rsidR="000D1D92" w:rsidRPr="009A2827" w:rsidRDefault="000D1D92" w:rsidP="000D1D92">
      <w:pPr>
        <w:autoSpaceDE w:val="0"/>
        <w:autoSpaceDN w:val="0"/>
        <w:adjustRightInd w:val="0"/>
        <w:spacing w:before="0" w:after="0"/>
        <w:ind w:left="720"/>
        <w:jc w:val="both"/>
        <w:rPr>
          <w:rFonts w:cs="Arial"/>
          <w:sz w:val="22"/>
          <w:szCs w:val="22"/>
        </w:rPr>
      </w:pPr>
      <w:r w:rsidRPr="00040887">
        <w:rPr>
          <w:rFonts w:cs="Arial"/>
          <w:sz w:val="22"/>
          <w:szCs w:val="22"/>
        </w:rPr>
        <w:t xml:space="preserve">In the case of </w:t>
      </w:r>
      <w:r w:rsidRPr="00040887">
        <w:rPr>
          <w:rFonts w:cs="Arial"/>
          <w:b/>
          <w:sz w:val="22"/>
          <w:szCs w:val="22"/>
        </w:rPr>
        <w:t>children with disability</w:t>
      </w:r>
      <w:r w:rsidRPr="00040887">
        <w:rPr>
          <w:rFonts w:cs="Arial"/>
          <w:sz w:val="22"/>
          <w:szCs w:val="22"/>
        </w:rPr>
        <w:t>, changes in behaviour have an increased tendency to be pathologised as attributable to the child’s disability, rather than a demonstration of distress. This can reduce a child’s access to the appropriate support options to protect from further harm and support from trauma.</w:t>
      </w:r>
      <w:r w:rsidRPr="00040887">
        <w:rPr>
          <w:rStyle w:val="EndnoteReference"/>
          <w:rFonts w:cs="Arial"/>
          <w:sz w:val="22"/>
          <w:szCs w:val="22"/>
        </w:rPr>
        <w:endnoteReference w:id="566"/>
      </w:r>
    </w:p>
    <w:p w14:paraId="4C3203EB" w14:textId="77777777" w:rsidR="000D1D92" w:rsidRDefault="000D1D92" w:rsidP="000D1D92">
      <w:pPr>
        <w:autoSpaceDE w:val="0"/>
        <w:autoSpaceDN w:val="0"/>
        <w:adjustRightInd w:val="0"/>
        <w:spacing w:before="0" w:after="0"/>
        <w:jc w:val="both"/>
        <w:rPr>
          <w:rFonts w:cs="Arial"/>
          <w:b/>
        </w:rPr>
      </w:pPr>
    </w:p>
    <w:p w14:paraId="35CD1A59" w14:textId="77777777" w:rsidR="000D1D92" w:rsidRPr="002C439C" w:rsidRDefault="000D1D92" w:rsidP="000D1D92">
      <w:pPr>
        <w:autoSpaceDE w:val="0"/>
        <w:autoSpaceDN w:val="0"/>
        <w:adjustRightInd w:val="0"/>
        <w:spacing w:before="0" w:after="0"/>
        <w:jc w:val="both"/>
        <w:rPr>
          <w:rFonts w:cs="Arial"/>
          <w:b/>
        </w:rPr>
      </w:pPr>
      <w:r w:rsidRPr="00E66949">
        <w:rPr>
          <w:rFonts w:cs="Arial"/>
          <w:b/>
        </w:rPr>
        <w:t xml:space="preserve">Many participants at my roundtables and in submissions also raised </w:t>
      </w:r>
      <w:r>
        <w:rPr>
          <w:rFonts w:cs="Arial"/>
          <w:b/>
        </w:rPr>
        <w:t xml:space="preserve">the importance of </w:t>
      </w:r>
      <w:r w:rsidRPr="00E66949">
        <w:rPr>
          <w:rFonts w:cs="Arial"/>
          <w:b/>
        </w:rPr>
        <w:t>understanding resilience and protective factors</w:t>
      </w:r>
      <w:r>
        <w:rPr>
          <w:rFonts w:cs="Arial"/>
        </w:rPr>
        <w:t>.</w:t>
      </w:r>
    </w:p>
    <w:p w14:paraId="1878A938" w14:textId="77777777" w:rsidR="000D1D92" w:rsidRDefault="000D1D92" w:rsidP="000D1D92">
      <w:pPr>
        <w:autoSpaceDE w:val="0"/>
        <w:autoSpaceDN w:val="0"/>
        <w:adjustRightInd w:val="0"/>
        <w:spacing w:before="0" w:after="0"/>
        <w:jc w:val="both"/>
        <w:rPr>
          <w:rFonts w:cs="Arial"/>
        </w:rPr>
      </w:pPr>
    </w:p>
    <w:p w14:paraId="6800777F" w14:textId="77777777" w:rsidR="000D1D92" w:rsidRDefault="000D1D92" w:rsidP="000D1D92">
      <w:pPr>
        <w:autoSpaceDE w:val="0"/>
        <w:autoSpaceDN w:val="0"/>
        <w:adjustRightInd w:val="0"/>
        <w:spacing w:before="0" w:after="0"/>
        <w:jc w:val="both"/>
        <w:rPr>
          <w:rFonts w:cs="Arial"/>
        </w:rPr>
      </w:pPr>
      <w:r>
        <w:rPr>
          <w:rFonts w:cs="Arial"/>
        </w:rPr>
        <w:t>T</w:t>
      </w:r>
      <w:r w:rsidRPr="00A35388">
        <w:rPr>
          <w:rFonts w:cs="Arial"/>
        </w:rPr>
        <w:t>he Australian Psychological Society told me that:</w:t>
      </w:r>
    </w:p>
    <w:p w14:paraId="74F53F24" w14:textId="77777777" w:rsidR="000D1D92" w:rsidRDefault="000D1D92" w:rsidP="000D1D92">
      <w:pPr>
        <w:autoSpaceDE w:val="0"/>
        <w:autoSpaceDN w:val="0"/>
        <w:adjustRightInd w:val="0"/>
        <w:spacing w:before="0" w:after="0"/>
        <w:jc w:val="both"/>
        <w:rPr>
          <w:sz w:val="22"/>
          <w:szCs w:val="22"/>
        </w:rPr>
      </w:pPr>
    </w:p>
    <w:p w14:paraId="7F843984" w14:textId="77777777" w:rsidR="000D1D92" w:rsidRPr="00A35388" w:rsidRDefault="000D1D92" w:rsidP="000D1D92">
      <w:pPr>
        <w:autoSpaceDE w:val="0"/>
        <w:autoSpaceDN w:val="0"/>
        <w:adjustRightInd w:val="0"/>
        <w:spacing w:before="0" w:after="0"/>
        <w:ind w:left="720"/>
        <w:jc w:val="both"/>
        <w:rPr>
          <w:rFonts w:cs="Arial"/>
        </w:rPr>
      </w:pPr>
      <w:r w:rsidRPr="007453CC">
        <w:rPr>
          <w:sz w:val="22"/>
          <w:szCs w:val="22"/>
        </w:rPr>
        <w:t>Not all children are equally affected by the violence they witness or live with, with some at serious risk of harm, even death, others are not as impacted due to specific protective factors</w:t>
      </w:r>
      <w:r>
        <w:t>.</w:t>
      </w:r>
      <w:r>
        <w:rPr>
          <w:rStyle w:val="EndnoteReference"/>
        </w:rPr>
        <w:endnoteReference w:id="567"/>
      </w:r>
    </w:p>
    <w:p w14:paraId="0E9F7D75" w14:textId="77777777" w:rsidR="000D1D92" w:rsidRDefault="000D1D92" w:rsidP="000D1D92">
      <w:pPr>
        <w:autoSpaceDE w:val="0"/>
        <w:autoSpaceDN w:val="0"/>
        <w:adjustRightInd w:val="0"/>
        <w:spacing w:before="0" w:after="0"/>
        <w:jc w:val="both"/>
        <w:rPr>
          <w:rFonts w:cs="Arial"/>
        </w:rPr>
      </w:pPr>
    </w:p>
    <w:p w14:paraId="179CB8C3" w14:textId="77777777" w:rsidR="000D1D92" w:rsidRPr="00D66CF1" w:rsidRDefault="000D1D92" w:rsidP="000D1D92">
      <w:pPr>
        <w:autoSpaceDE w:val="0"/>
        <w:autoSpaceDN w:val="0"/>
        <w:adjustRightInd w:val="0"/>
        <w:spacing w:before="0" w:after="0"/>
        <w:jc w:val="both"/>
        <w:rPr>
          <w:rFonts w:cs="Arial"/>
        </w:rPr>
      </w:pPr>
      <w:r>
        <w:rPr>
          <w:rFonts w:cs="Arial"/>
        </w:rPr>
        <w:t xml:space="preserve">The submission made by the </w:t>
      </w:r>
      <w:r>
        <w:t>Australian Institute of Family Studies (AIFS) and Australia’s National Research Organisation for Women’s Safety Ltd (ANROWS) pointed out that:</w:t>
      </w:r>
    </w:p>
    <w:p w14:paraId="7268E0B6" w14:textId="77777777" w:rsidR="000D1D92" w:rsidRDefault="000D1D92" w:rsidP="000D1D92">
      <w:pPr>
        <w:autoSpaceDE w:val="0"/>
        <w:autoSpaceDN w:val="0"/>
        <w:adjustRightInd w:val="0"/>
        <w:spacing w:before="0" w:after="0"/>
        <w:jc w:val="both"/>
        <w:rPr>
          <w:rFonts w:cs="Arial"/>
        </w:rPr>
      </w:pPr>
    </w:p>
    <w:p w14:paraId="3C819815" w14:textId="77777777" w:rsidR="000D1D92" w:rsidRDefault="000D1D92" w:rsidP="000D1D92">
      <w:pPr>
        <w:autoSpaceDE w:val="0"/>
        <w:autoSpaceDN w:val="0"/>
        <w:adjustRightInd w:val="0"/>
        <w:spacing w:before="0" w:after="0"/>
        <w:ind w:left="720"/>
        <w:jc w:val="both"/>
        <w:rPr>
          <w:rFonts w:cs="Arial"/>
        </w:rPr>
      </w:pPr>
      <w:r w:rsidRPr="007453CC">
        <w:rPr>
          <w:rFonts w:cs="Arial"/>
          <w:sz w:val="22"/>
          <w:szCs w:val="22"/>
        </w:rPr>
        <w:t xml:space="preserve">There are considerable divergences in outcomes and impacts in different populations of children…and resilience in children is not well understood. The literature suggests that there are several factors that may mitigate children’s exposure to violence, including the extent of children’s peer and social support; their relationship with </w:t>
      </w:r>
      <w:r>
        <w:rPr>
          <w:rFonts w:cs="Arial"/>
          <w:sz w:val="22"/>
          <w:szCs w:val="22"/>
        </w:rPr>
        <w:t xml:space="preserve">their </w:t>
      </w:r>
      <w:r w:rsidRPr="007453CC">
        <w:rPr>
          <w:rFonts w:cs="Arial"/>
          <w:sz w:val="22"/>
          <w:szCs w:val="22"/>
        </w:rPr>
        <w:lastRenderedPageBreak/>
        <w:t>mother or other primary caregiver; whether the violence was ongoing or short-term; age of child when the DFV occurred; and whether children received an adequate response/treatment following the DFV</w:t>
      </w:r>
      <w:r>
        <w:rPr>
          <w:rFonts w:cs="Arial"/>
        </w:rPr>
        <w:t>.</w:t>
      </w:r>
      <w:r>
        <w:rPr>
          <w:rStyle w:val="EndnoteReference"/>
          <w:rFonts w:cs="Arial"/>
        </w:rPr>
        <w:endnoteReference w:id="568"/>
      </w:r>
    </w:p>
    <w:p w14:paraId="52B4421B" w14:textId="77777777" w:rsidR="000D1D92" w:rsidRDefault="000D1D92" w:rsidP="000D1D92">
      <w:pPr>
        <w:autoSpaceDE w:val="0"/>
        <w:autoSpaceDN w:val="0"/>
        <w:adjustRightInd w:val="0"/>
        <w:spacing w:before="0" w:after="0"/>
        <w:ind w:left="720"/>
        <w:jc w:val="both"/>
        <w:rPr>
          <w:rFonts w:cs="Arial"/>
        </w:rPr>
      </w:pPr>
    </w:p>
    <w:p w14:paraId="6858F5E6" w14:textId="77777777" w:rsidR="000D1D92" w:rsidRDefault="000D1D92" w:rsidP="000D1D92">
      <w:pPr>
        <w:autoSpaceDE w:val="0"/>
        <w:autoSpaceDN w:val="0"/>
        <w:adjustRightInd w:val="0"/>
        <w:spacing w:before="0" w:after="0"/>
        <w:jc w:val="both"/>
        <w:rPr>
          <w:rFonts w:cs="Arial"/>
        </w:rPr>
      </w:pPr>
      <w:r>
        <w:rPr>
          <w:rFonts w:cs="Arial"/>
        </w:rPr>
        <w:t>Fehlberg, Kaspiew, Millbank, Kelly and Behrens supported this</w:t>
      </w:r>
      <w:r w:rsidRPr="00BF4311">
        <w:rPr>
          <w:rFonts w:cs="Arial"/>
          <w:sz w:val="22"/>
          <w:szCs w:val="22"/>
        </w:rPr>
        <w:t>:</w:t>
      </w:r>
    </w:p>
    <w:p w14:paraId="37DE6E91" w14:textId="77777777" w:rsidR="000D1D92" w:rsidRDefault="000D1D92" w:rsidP="000D1D92">
      <w:pPr>
        <w:autoSpaceDE w:val="0"/>
        <w:autoSpaceDN w:val="0"/>
        <w:adjustRightInd w:val="0"/>
        <w:spacing w:before="0" w:after="0"/>
        <w:ind w:left="720"/>
        <w:jc w:val="both"/>
        <w:rPr>
          <w:rFonts w:cs="Arial"/>
        </w:rPr>
      </w:pPr>
    </w:p>
    <w:p w14:paraId="6B448DBC" w14:textId="77777777" w:rsidR="000D1D92" w:rsidRPr="00162A9C" w:rsidRDefault="000D1D92" w:rsidP="000D1D92">
      <w:pPr>
        <w:autoSpaceDE w:val="0"/>
        <w:autoSpaceDN w:val="0"/>
        <w:adjustRightInd w:val="0"/>
        <w:spacing w:before="0" w:after="0"/>
        <w:ind w:left="720"/>
        <w:jc w:val="both"/>
        <w:rPr>
          <w:sz w:val="22"/>
          <w:szCs w:val="22"/>
          <w:lang w:val="en-US"/>
        </w:rPr>
      </w:pPr>
      <w:r>
        <w:rPr>
          <w:sz w:val="22"/>
          <w:szCs w:val="22"/>
          <w:lang w:val="en-US"/>
        </w:rPr>
        <w:t>N</w:t>
      </w:r>
      <w:r w:rsidRPr="00162A9C">
        <w:rPr>
          <w:sz w:val="22"/>
          <w:szCs w:val="22"/>
          <w:lang w:val="en-US"/>
        </w:rPr>
        <w:t>egative impacts are not uniform or inevitable. Some research suggests a degree of resilience, or ability to recover, among some groups of children; however, the factors that support resilience and recovery are not well understood. Factors such as age, temperament and wider family—including the quality of relationships between the child and non-violent family members—play a role.</w:t>
      </w:r>
      <w:r>
        <w:rPr>
          <w:rStyle w:val="EndnoteReference"/>
          <w:szCs w:val="22"/>
          <w:lang w:val="en-US"/>
        </w:rPr>
        <w:endnoteReference w:id="569"/>
      </w:r>
    </w:p>
    <w:p w14:paraId="3FFE5610" w14:textId="77777777" w:rsidR="000D1D92" w:rsidRDefault="000D1D92" w:rsidP="000D1D92">
      <w:pPr>
        <w:autoSpaceDE w:val="0"/>
        <w:autoSpaceDN w:val="0"/>
        <w:adjustRightInd w:val="0"/>
        <w:spacing w:before="0" w:after="0"/>
        <w:ind w:left="720"/>
        <w:jc w:val="both"/>
        <w:rPr>
          <w:rFonts w:cs="Arial"/>
        </w:rPr>
      </w:pPr>
    </w:p>
    <w:p w14:paraId="1B388BE4" w14:textId="77777777" w:rsidR="000D1D92" w:rsidRDefault="000D1D92" w:rsidP="000D1D92">
      <w:pPr>
        <w:autoSpaceDE w:val="0"/>
        <w:autoSpaceDN w:val="0"/>
        <w:adjustRightInd w:val="0"/>
        <w:spacing w:before="0" w:after="0"/>
        <w:jc w:val="both"/>
        <w:rPr>
          <w:rFonts w:cs="Arial"/>
        </w:rPr>
      </w:pPr>
      <w:r>
        <w:t xml:space="preserve">The submission by the </w:t>
      </w:r>
      <w:r w:rsidRPr="0082462D">
        <w:t xml:space="preserve">Royal Australian and New Zealand College of Psychiatrists </w:t>
      </w:r>
      <w:r>
        <w:t>recommended to me that:</w:t>
      </w:r>
    </w:p>
    <w:p w14:paraId="635B68C4" w14:textId="77777777" w:rsidR="000D1D92" w:rsidRDefault="000D1D92" w:rsidP="000D1D92">
      <w:pPr>
        <w:autoSpaceDE w:val="0"/>
        <w:autoSpaceDN w:val="0"/>
        <w:adjustRightInd w:val="0"/>
        <w:spacing w:before="0" w:after="0"/>
        <w:jc w:val="both"/>
        <w:rPr>
          <w:rFonts w:cs="Arial"/>
        </w:rPr>
      </w:pPr>
    </w:p>
    <w:p w14:paraId="44CF1739" w14:textId="77777777" w:rsidR="000D1D92" w:rsidRPr="003A70C5" w:rsidRDefault="000D1D92" w:rsidP="000D1D92">
      <w:pPr>
        <w:autoSpaceDE w:val="0"/>
        <w:autoSpaceDN w:val="0"/>
        <w:adjustRightInd w:val="0"/>
        <w:spacing w:before="0" w:after="0"/>
        <w:ind w:left="720"/>
        <w:jc w:val="both"/>
        <w:rPr>
          <w:rFonts w:cs="Arial"/>
          <w:sz w:val="22"/>
          <w:szCs w:val="22"/>
        </w:rPr>
      </w:pPr>
      <w:r w:rsidRPr="003A70C5">
        <w:rPr>
          <w:sz w:val="22"/>
          <w:szCs w:val="22"/>
          <w:lang w:val="en-US"/>
        </w:rPr>
        <w:t>Resilience should be investigated in those children exposed to family violence as a potential source of evidence to inform health promotion and child protection initiatives.</w:t>
      </w:r>
      <w:r>
        <w:rPr>
          <w:rStyle w:val="EndnoteReference"/>
          <w:szCs w:val="22"/>
          <w:lang w:val="en-US"/>
        </w:rPr>
        <w:endnoteReference w:id="570"/>
      </w:r>
    </w:p>
    <w:p w14:paraId="57BAAE63" w14:textId="77777777" w:rsidR="000D1D92" w:rsidRDefault="000D1D92" w:rsidP="000D1D92">
      <w:pPr>
        <w:autoSpaceDE w:val="0"/>
        <w:autoSpaceDN w:val="0"/>
        <w:adjustRightInd w:val="0"/>
        <w:spacing w:before="0" w:after="0"/>
        <w:jc w:val="both"/>
        <w:rPr>
          <w:rFonts w:cs="Arial"/>
        </w:rPr>
      </w:pPr>
    </w:p>
    <w:p w14:paraId="2FC0ED26" w14:textId="77777777" w:rsidR="000D1D92" w:rsidRDefault="000D1D92" w:rsidP="000D1D92">
      <w:pPr>
        <w:autoSpaceDE w:val="0"/>
        <w:autoSpaceDN w:val="0"/>
        <w:adjustRightInd w:val="0"/>
        <w:spacing w:before="0" w:after="0"/>
        <w:jc w:val="both"/>
        <w:rPr>
          <w:rFonts w:cs="Arial"/>
        </w:rPr>
      </w:pPr>
      <w:r>
        <w:rPr>
          <w:rFonts w:cs="Arial"/>
        </w:rPr>
        <w:t xml:space="preserve">The joint submission by the Australian Institute of Family Studies (AIFS) and Australia’s National Research Organisation for </w:t>
      </w:r>
      <w:r>
        <w:t xml:space="preserve">Women’s Safety Ltd (ANROWS) </w:t>
      </w:r>
      <w:r>
        <w:rPr>
          <w:rFonts w:cs="Arial"/>
        </w:rPr>
        <w:t>reinforced this</w:t>
      </w:r>
      <w:r>
        <w:t>:</w:t>
      </w:r>
    </w:p>
    <w:p w14:paraId="175694D6" w14:textId="77777777" w:rsidR="000D1D92" w:rsidRDefault="000D1D92" w:rsidP="000D1D92">
      <w:pPr>
        <w:autoSpaceDE w:val="0"/>
        <w:autoSpaceDN w:val="0"/>
        <w:adjustRightInd w:val="0"/>
        <w:spacing w:before="0" w:after="0"/>
        <w:jc w:val="both"/>
        <w:rPr>
          <w:rFonts w:cs="Arial"/>
        </w:rPr>
      </w:pPr>
    </w:p>
    <w:p w14:paraId="6F989AE6" w14:textId="77777777" w:rsidR="000D1D92" w:rsidRDefault="000D1D92" w:rsidP="000D1D92">
      <w:pPr>
        <w:pStyle w:val="ListParagraph"/>
        <w:spacing w:before="0" w:after="0"/>
        <w:jc w:val="both"/>
        <w:rPr>
          <w:sz w:val="22"/>
          <w:szCs w:val="22"/>
          <w:lang w:val="en-US"/>
        </w:rPr>
      </w:pPr>
      <w:r w:rsidRPr="00AA45EA">
        <w:rPr>
          <w:sz w:val="22"/>
          <w:szCs w:val="22"/>
          <w:lang w:val="en-US"/>
        </w:rPr>
        <w:t>From a resilience perspective, there is a need for more research that examines the variability in impact and sheds light on the factors and interventions that mitigate negative effects and support recovery.</w:t>
      </w:r>
      <w:r>
        <w:rPr>
          <w:rStyle w:val="EndnoteReference"/>
          <w:szCs w:val="22"/>
          <w:lang w:val="en-US"/>
        </w:rPr>
        <w:endnoteReference w:id="571"/>
      </w:r>
    </w:p>
    <w:p w14:paraId="4C7B5C7F" w14:textId="77777777" w:rsidR="000D1D92" w:rsidRDefault="000D1D92" w:rsidP="000D1D92">
      <w:pPr>
        <w:pStyle w:val="ListParagraph"/>
        <w:spacing w:before="0" w:after="0"/>
        <w:ind w:left="0"/>
        <w:jc w:val="both"/>
        <w:rPr>
          <w:sz w:val="22"/>
          <w:szCs w:val="22"/>
          <w:lang w:val="en-US"/>
        </w:rPr>
      </w:pPr>
    </w:p>
    <w:p w14:paraId="33984031" w14:textId="77777777" w:rsidR="000D1D92" w:rsidRDefault="000D1D92" w:rsidP="000D1D92">
      <w:pPr>
        <w:pStyle w:val="ListParagraph"/>
        <w:spacing w:before="0" w:after="0"/>
        <w:ind w:left="0"/>
        <w:jc w:val="both"/>
        <w:rPr>
          <w:sz w:val="22"/>
          <w:szCs w:val="22"/>
          <w:lang w:val="en-US"/>
        </w:rPr>
      </w:pPr>
      <w:r>
        <w:t xml:space="preserve">The submission by the </w:t>
      </w:r>
      <w:r w:rsidRPr="005B2A9B">
        <w:t>Northern Territory Department of Children and Families</w:t>
      </w:r>
      <w:r>
        <w:t xml:space="preserve"> argued that:</w:t>
      </w:r>
    </w:p>
    <w:p w14:paraId="72E35949" w14:textId="77777777" w:rsidR="000D1D92" w:rsidRPr="005A4983" w:rsidRDefault="000D1D92" w:rsidP="000D1D92">
      <w:pPr>
        <w:pStyle w:val="ListParagraph"/>
        <w:spacing w:before="0" w:after="0"/>
        <w:ind w:left="0"/>
        <w:jc w:val="both"/>
        <w:rPr>
          <w:sz w:val="22"/>
          <w:szCs w:val="22"/>
          <w:lang w:val="en-US"/>
        </w:rPr>
      </w:pPr>
    </w:p>
    <w:p w14:paraId="16E53C49" w14:textId="77777777" w:rsidR="000D1D92" w:rsidRPr="00D819E1" w:rsidRDefault="000D1D92" w:rsidP="000D1D92">
      <w:pPr>
        <w:pStyle w:val="ListParagraph"/>
        <w:spacing w:before="0" w:after="0"/>
        <w:jc w:val="both"/>
        <w:rPr>
          <w:sz w:val="22"/>
          <w:szCs w:val="22"/>
          <w:lang w:val="en-US"/>
        </w:rPr>
      </w:pPr>
      <w:r w:rsidRPr="005A4983">
        <w:rPr>
          <w:sz w:val="22"/>
          <w:szCs w:val="22"/>
          <w:lang w:val="en-US"/>
        </w:rPr>
        <w:t>While Department of Children and Families’ practitioners see many negative impacts of family and domestic violence on children, it is possible that interventions may ultimately be more effective if they can be informed by a stronger evidence base about factors related to children’s resilience.</w:t>
      </w:r>
      <w:r>
        <w:rPr>
          <w:rStyle w:val="EndnoteReference"/>
          <w:lang w:val="en-US"/>
        </w:rPr>
        <w:endnoteReference w:id="572"/>
      </w:r>
    </w:p>
    <w:p w14:paraId="73466C3F" w14:textId="77777777" w:rsidR="000D1D92" w:rsidRDefault="000D1D92" w:rsidP="000D1D92">
      <w:pPr>
        <w:autoSpaceDE w:val="0"/>
        <w:autoSpaceDN w:val="0"/>
        <w:adjustRightInd w:val="0"/>
        <w:spacing w:before="0" w:after="0"/>
        <w:jc w:val="both"/>
        <w:rPr>
          <w:rFonts w:cs="Arial"/>
        </w:rPr>
      </w:pPr>
    </w:p>
    <w:p w14:paraId="6FB3A1C6" w14:textId="77777777" w:rsidR="000D1D92" w:rsidRDefault="000D1D92" w:rsidP="000D1D92">
      <w:pPr>
        <w:autoSpaceDE w:val="0"/>
        <w:autoSpaceDN w:val="0"/>
        <w:adjustRightInd w:val="0"/>
        <w:spacing w:before="0" w:after="0"/>
        <w:jc w:val="both"/>
        <w:rPr>
          <w:rFonts w:cs="Arial"/>
        </w:rPr>
      </w:pPr>
      <w:r>
        <w:rPr>
          <w:rFonts w:cs="Arial"/>
        </w:rPr>
        <w:t>Academic Nicky Stanley asserts that:</w:t>
      </w:r>
    </w:p>
    <w:p w14:paraId="5952108E" w14:textId="77777777" w:rsidR="000D1D92" w:rsidRDefault="000D1D92" w:rsidP="000D1D92">
      <w:pPr>
        <w:autoSpaceDE w:val="0"/>
        <w:autoSpaceDN w:val="0"/>
        <w:adjustRightInd w:val="0"/>
        <w:spacing w:before="0" w:after="0"/>
        <w:jc w:val="both"/>
        <w:rPr>
          <w:rFonts w:cs="Arial"/>
        </w:rPr>
      </w:pPr>
    </w:p>
    <w:p w14:paraId="3C51F985" w14:textId="77777777" w:rsidR="000D1D92" w:rsidRDefault="000D1D92" w:rsidP="000D1D92">
      <w:pPr>
        <w:autoSpaceDE w:val="0"/>
        <w:autoSpaceDN w:val="0"/>
        <w:adjustRightInd w:val="0"/>
        <w:spacing w:before="0" w:after="0"/>
        <w:ind w:left="720"/>
        <w:jc w:val="both"/>
        <w:rPr>
          <w:rFonts w:cs="Arial"/>
        </w:rPr>
      </w:pPr>
      <w:r w:rsidRPr="00A17AB8">
        <w:rPr>
          <w:rFonts w:cs="Arial"/>
          <w:sz w:val="22"/>
          <w:szCs w:val="22"/>
        </w:rPr>
        <w:t>Exposure to domestic violence does not invariably result in substantial harm to children’s health or development. Understanding which factors make for resilience and distinguish those children who will not experience adverse effects is key to targeting resources effectively…Perhaps because resilient children are less likely to come to the attention of services, research has tended to focus on identifying and exploring risk factors for children’s exposure to domestic violence. Less is therefore known about what makes for resilience that is specific to children’s experiences of domestic violence</w:t>
      </w:r>
      <w:r w:rsidRPr="00EF7FF6">
        <w:rPr>
          <w:rFonts w:cs="Arial"/>
        </w:rPr>
        <w:t>.</w:t>
      </w:r>
      <w:r>
        <w:rPr>
          <w:rStyle w:val="EndnoteReference"/>
          <w:rFonts w:cs="Arial"/>
        </w:rPr>
        <w:endnoteReference w:id="573"/>
      </w:r>
    </w:p>
    <w:p w14:paraId="2FDE264E" w14:textId="77777777" w:rsidR="000D1D92" w:rsidRDefault="000D1D92" w:rsidP="000D1D92">
      <w:pPr>
        <w:autoSpaceDE w:val="0"/>
        <w:autoSpaceDN w:val="0"/>
        <w:adjustRightInd w:val="0"/>
        <w:spacing w:before="0" w:after="0"/>
        <w:jc w:val="both"/>
        <w:rPr>
          <w:rFonts w:cs="Arial"/>
        </w:rPr>
      </w:pPr>
    </w:p>
    <w:p w14:paraId="787040A5" w14:textId="77777777" w:rsidR="000D1D92" w:rsidRDefault="000D1D92" w:rsidP="000D1D92">
      <w:pPr>
        <w:autoSpaceDE w:val="0"/>
        <w:autoSpaceDN w:val="0"/>
        <w:adjustRightInd w:val="0"/>
        <w:spacing w:before="0" w:after="0"/>
        <w:jc w:val="both"/>
        <w:rPr>
          <w:rFonts w:cs="Arial"/>
        </w:rPr>
      </w:pPr>
      <w:r>
        <w:rPr>
          <w:rFonts w:cs="Arial"/>
        </w:rPr>
        <w:t xml:space="preserve">In this context, I have sought out Australian research, which may be able to contribute towards the differentiating factors inherent in resilience. </w:t>
      </w:r>
    </w:p>
    <w:p w14:paraId="056CF0A2" w14:textId="77777777" w:rsidR="000D1D92" w:rsidRDefault="000D1D92" w:rsidP="000D1D92">
      <w:pPr>
        <w:autoSpaceDE w:val="0"/>
        <w:autoSpaceDN w:val="0"/>
        <w:adjustRightInd w:val="0"/>
        <w:spacing w:before="0" w:after="0"/>
        <w:jc w:val="both"/>
        <w:rPr>
          <w:rFonts w:cs="Arial"/>
        </w:rPr>
      </w:pPr>
    </w:p>
    <w:p w14:paraId="3F581F8A" w14:textId="77777777" w:rsidR="000D1D92" w:rsidRDefault="000D1D92" w:rsidP="000D1D92">
      <w:pPr>
        <w:autoSpaceDE w:val="0"/>
        <w:autoSpaceDN w:val="0"/>
        <w:adjustRightInd w:val="0"/>
        <w:spacing w:before="0" w:after="0"/>
        <w:jc w:val="both"/>
        <w:rPr>
          <w:rFonts w:cs="Arial"/>
        </w:rPr>
      </w:pPr>
      <w:r>
        <w:rPr>
          <w:rFonts w:cs="Arial"/>
        </w:rPr>
        <w:t xml:space="preserve">Two ongoing longitudinal studies that have the potential to answer some of our questions include the data linkage study currently being conducted in the Northern Territory and the Australian Longitudinal Study on Women’s Health. </w:t>
      </w:r>
    </w:p>
    <w:p w14:paraId="32BEBCD0" w14:textId="77777777" w:rsidR="000D1D92" w:rsidRDefault="000D1D92" w:rsidP="000D1D92">
      <w:pPr>
        <w:autoSpaceDE w:val="0"/>
        <w:autoSpaceDN w:val="0"/>
        <w:adjustRightInd w:val="0"/>
        <w:spacing w:before="0" w:after="0"/>
        <w:jc w:val="both"/>
        <w:rPr>
          <w:rFonts w:cs="Arial"/>
        </w:rPr>
      </w:pPr>
    </w:p>
    <w:p w14:paraId="5A5E3C92" w14:textId="77777777" w:rsidR="000D1D92" w:rsidRDefault="000D1D92" w:rsidP="000D1D92">
      <w:pPr>
        <w:autoSpaceDE w:val="0"/>
        <w:autoSpaceDN w:val="0"/>
        <w:adjustRightInd w:val="0"/>
        <w:spacing w:before="0" w:after="0"/>
        <w:jc w:val="both"/>
        <w:rPr>
          <w:rFonts w:cs="Arial"/>
        </w:rPr>
      </w:pPr>
      <w:r>
        <w:rPr>
          <w:rFonts w:cs="Arial"/>
        </w:rPr>
        <w:lastRenderedPageBreak/>
        <w:t>Two of the principal researchers on these studies have provided descriptions of their work for my report. These are provided on the following pages. Some of the findings of these studies will be publically available in 2016.</w:t>
      </w:r>
    </w:p>
    <w:p w14:paraId="6C46920A" w14:textId="77777777" w:rsidR="000D1D92" w:rsidRDefault="000D1D92" w:rsidP="000D1D92">
      <w:pPr>
        <w:autoSpaceDE w:val="0"/>
        <w:autoSpaceDN w:val="0"/>
        <w:adjustRightInd w:val="0"/>
        <w:spacing w:before="0" w:after="0"/>
        <w:jc w:val="both"/>
        <w:rPr>
          <w:rFonts w:cs="Arial"/>
        </w:rPr>
      </w:pPr>
    </w:p>
    <w:p w14:paraId="6A5D8423" w14:textId="7A61CBB6" w:rsidR="000D1D92" w:rsidRDefault="000D1D92" w:rsidP="000D1D92">
      <w:pPr>
        <w:autoSpaceDE w:val="0"/>
        <w:autoSpaceDN w:val="0"/>
        <w:adjustRightInd w:val="0"/>
        <w:spacing w:before="0" w:after="0"/>
        <w:jc w:val="both"/>
        <w:rPr>
          <w:b/>
          <w:color w:val="FF0000"/>
        </w:rPr>
      </w:pPr>
      <w:r>
        <w:rPr>
          <w:b/>
          <w:color w:val="FF0000"/>
        </w:rPr>
        <w:br w:type="column"/>
      </w:r>
    </w:p>
    <w:p w14:paraId="20A33252" w14:textId="77777777" w:rsidR="000D1D92" w:rsidRPr="004F0907" w:rsidRDefault="000D1D92" w:rsidP="000D1D92">
      <w:pPr>
        <w:pBdr>
          <w:top w:val="single" w:sz="4" w:space="1" w:color="auto"/>
          <w:left w:val="single" w:sz="4" w:space="4" w:color="auto"/>
          <w:bottom w:val="single" w:sz="4" w:space="1" w:color="auto"/>
          <w:right w:val="single" w:sz="4" w:space="4" w:color="auto"/>
        </w:pBdr>
        <w:jc w:val="both"/>
        <w:rPr>
          <w:b/>
          <w:sz w:val="22"/>
          <w:szCs w:val="22"/>
        </w:rPr>
      </w:pPr>
      <w:r>
        <w:rPr>
          <w:rFonts w:cs="Arial"/>
          <w:b/>
          <w:sz w:val="22"/>
          <w:szCs w:val="22"/>
        </w:rPr>
        <w:t>I</w:t>
      </w:r>
      <w:r w:rsidRPr="004F0907">
        <w:rPr>
          <w:b/>
          <w:sz w:val="22"/>
          <w:szCs w:val="22"/>
        </w:rPr>
        <w:t>mproving the developmental outcomes of Northern Territory children</w:t>
      </w:r>
    </w:p>
    <w:p w14:paraId="2FCE3414" w14:textId="77777777" w:rsidR="000D1D92" w:rsidRPr="004F0907" w:rsidRDefault="000D1D92" w:rsidP="000D1D92">
      <w:pPr>
        <w:pBdr>
          <w:top w:val="single" w:sz="4" w:space="1" w:color="auto"/>
          <w:left w:val="single" w:sz="4" w:space="4" w:color="auto"/>
          <w:bottom w:val="single" w:sz="4" w:space="1" w:color="auto"/>
          <w:right w:val="single" w:sz="4" w:space="4" w:color="auto"/>
        </w:pBdr>
        <w:jc w:val="both"/>
        <w:rPr>
          <w:sz w:val="22"/>
          <w:szCs w:val="22"/>
        </w:rPr>
      </w:pPr>
      <w:r w:rsidRPr="004F0907">
        <w:rPr>
          <w:sz w:val="22"/>
          <w:szCs w:val="22"/>
        </w:rPr>
        <w:t xml:space="preserve">This research partnership aims to advance scientific, policy and community understanding of the main drivers of developmental disadvantage in the Northern Territory (NT). </w:t>
      </w:r>
    </w:p>
    <w:p w14:paraId="14B0B743" w14:textId="77777777" w:rsidR="000D1D92" w:rsidRPr="004F0907" w:rsidRDefault="000D1D92" w:rsidP="000D1D92">
      <w:pPr>
        <w:pBdr>
          <w:top w:val="single" w:sz="4" w:space="1" w:color="auto"/>
          <w:left w:val="single" w:sz="4" w:space="4" w:color="auto"/>
          <w:bottom w:val="single" w:sz="4" w:space="1" w:color="auto"/>
          <w:right w:val="single" w:sz="4" w:space="4" w:color="auto"/>
        </w:pBdr>
        <w:jc w:val="both"/>
        <w:rPr>
          <w:sz w:val="22"/>
          <w:szCs w:val="22"/>
        </w:rPr>
      </w:pPr>
      <w:r w:rsidRPr="004F0907">
        <w:rPr>
          <w:sz w:val="22"/>
          <w:szCs w:val="22"/>
        </w:rPr>
        <w:t xml:space="preserve">It is combining data usually retained separately by health, education, child protection, police and justice agencies. This will enable more integrated service planning and evaluation of the impact of initiatives aimed at reducing gaps between Indigenous and other children’s health, education and other life outcomes. </w:t>
      </w:r>
    </w:p>
    <w:p w14:paraId="5A735091" w14:textId="77777777" w:rsidR="000D1D92" w:rsidRPr="004F0907" w:rsidRDefault="000D1D92" w:rsidP="000D1D92">
      <w:pPr>
        <w:pBdr>
          <w:top w:val="single" w:sz="4" w:space="1" w:color="auto"/>
          <w:left w:val="single" w:sz="4" w:space="4" w:color="auto"/>
          <w:bottom w:val="single" w:sz="4" w:space="1" w:color="auto"/>
          <w:right w:val="single" w:sz="4" w:space="4" w:color="auto"/>
        </w:pBdr>
        <w:jc w:val="both"/>
        <w:rPr>
          <w:sz w:val="22"/>
          <w:szCs w:val="22"/>
        </w:rPr>
      </w:pPr>
      <w:r w:rsidRPr="004F0907">
        <w:rPr>
          <w:sz w:val="22"/>
          <w:szCs w:val="22"/>
        </w:rPr>
        <w:t>Record-linkage will combine data on over 60,000 NT children. These data will also be linked with community-level data enabling longitudinal analyses not previously possible to investigate how early life health status and local socio-demographic factors are jointly related to four developmental outcomes of key policy concern:</w:t>
      </w:r>
    </w:p>
    <w:p w14:paraId="14E6B29B" w14:textId="77777777" w:rsidR="000D1D92" w:rsidRPr="004F0907" w:rsidRDefault="000D1D92" w:rsidP="000D1D92">
      <w:pPr>
        <w:numPr>
          <w:ilvl w:val="0"/>
          <w:numId w:val="36"/>
        </w:numPr>
        <w:pBdr>
          <w:top w:val="single" w:sz="4" w:space="1" w:color="auto"/>
          <w:left w:val="single" w:sz="4" w:space="4" w:color="auto"/>
          <w:bottom w:val="single" w:sz="4" w:space="1" w:color="auto"/>
          <w:right w:val="single" w:sz="4" w:space="4" w:color="auto"/>
        </w:pBdr>
        <w:spacing w:before="0" w:after="200" w:line="276" w:lineRule="auto"/>
        <w:ind w:left="426" w:hanging="426"/>
        <w:contextualSpacing/>
        <w:jc w:val="both"/>
        <w:rPr>
          <w:sz w:val="22"/>
          <w:szCs w:val="22"/>
        </w:rPr>
      </w:pPr>
      <w:r w:rsidRPr="004F0907">
        <w:rPr>
          <w:sz w:val="22"/>
          <w:szCs w:val="22"/>
        </w:rPr>
        <w:t>Early childhood development and readiness for school learning (AEDC).</w:t>
      </w:r>
    </w:p>
    <w:p w14:paraId="715E954F" w14:textId="77777777" w:rsidR="000D1D92" w:rsidRPr="004F0907" w:rsidRDefault="000D1D92" w:rsidP="000D1D92">
      <w:pPr>
        <w:numPr>
          <w:ilvl w:val="0"/>
          <w:numId w:val="36"/>
        </w:numPr>
        <w:pBdr>
          <w:top w:val="single" w:sz="4" w:space="1" w:color="auto"/>
          <w:left w:val="single" w:sz="4" w:space="4" w:color="auto"/>
          <w:bottom w:val="single" w:sz="4" w:space="1" w:color="auto"/>
          <w:right w:val="single" w:sz="4" w:space="4" w:color="auto"/>
        </w:pBdr>
        <w:spacing w:before="0" w:after="200" w:line="276" w:lineRule="auto"/>
        <w:ind w:left="426" w:hanging="426"/>
        <w:contextualSpacing/>
        <w:jc w:val="both"/>
        <w:rPr>
          <w:sz w:val="22"/>
          <w:szCs w:val="22"/>
        </w:rPr>
      </w:pPr>
      <w:r w:rsidRPr="004F0907">
        <w:rPr>
          <w:sz w:val="22"/>
          <w:szCs w:val="22"/>
        </w:rPr>
        <w:t>School attendance, literacy and numeracy at ages 8, 10, 12 &amp; 14 years (NAPLAN)</w:t>
      </w:r>
    </w:p>
    <w:p w14:paraId="5492EFF5" w14:textId="77777777" w:rsidR="000D1D92" w:rsidRPr="004F0907" w:rsidRDefault="000D1D92" w:rsidP="000D1D92">
      <w:pPr>
        <w:numPr>
          <w:ilvl w:val="0"/>
          <w:numId w:val="36"/>
        </w:numPr>
        <w:pBdr>
          <w:top w:val="single" w:sz="4" w:space="1" w:color="auto"/>
          <w:left w:val="single" w:sz="4" w:space="4" w:color="auto"/>
          <w:bottom w:val="single" w:sz="4" w:space="1" w:color="auto"/>
          <w:right w:val="single" w:sz="4" w:space="4" w:color="auto"/>
        </w:pBdr>
        <w:spacing w:before="0" w:after="200" w:line="276" w:lineRule="auto"/>
        <w:ind w:left="426" w:hanging="426"/>
        <w:contextualSpacing/>
        <w:jc w:val="both"/>
        <w:rPr>
          <w:sz w:val="22"/>
          <w:szCs w:val="22"/>
        </w:rPr>
      </w:pPr>
      <w:r w:rsidRPr="004F0907">
        <w:rPr>
          <w:sz w:val="22"/>
          <w:szCs w:val="22"/>
        </w:rPr>
        <w:t>Children’s involvement with the child protection system</w:t>
      </w:r>
    </w:p>
    <w:p w14:paraId="240C7860" w14:textId="77777777" w:rsidR="000D1D92" w:rsidRPr="004F0907" w:rsidRDefault="000D1D92" w:rsidP="000D1D92">
      <w:pPr>
        <w:numPr>
          <w:ilvl w:val="0"/>
          <w:numId w:val="36"/>
        </w:numPr>
        <w:pBdr>
          <w:top w:val="single" w:sz="4" w:space="1" w:color="auto"/>
          <w:left w:val="single" w:sz="4" w:space="4" w:color="auto"/>
          <w:bottom w:val="single" w:sz="4" w:space="1" w:color="auto"/>
          <w:right w:val="single" w:sz="4" w:space="4" w:color="auto"/>
        </w:pBdr>
        <w:spacing w:before="0" w:line="276" w:lineRule="auto"/>
        <w:ind w:left="426" w:hanging="426"/>
        <w:contextualSpacing/>
        <w:jc w:val="both"/>
        <w:rPr>
          <w:sz w:val="22"/>
          <w:szCs w:val="22"/>
        </w:rPr>
      </w:pPr>
      <w:r w:rsidRPr="004F0907">
        <w:rPr>
          <w:sz w:val="22"/>
          <w:szCs w:val="22"/>
        </w:rPr>
        <w:t>Youth involvement with the juvenile justice system.</w:t>
      </w:r>
    </w:p>
    <w:p w14:paraId="0D72C3B5" w14:textId="77777777" w:rsidR="000D1D92" w:rsidRPr="004F0907" w:rsidRDefault="000D1D92" w:rsidP="000D1D92">
      <w:pPr>
        <w:pBdr>
          <w:top w:val="single" w:sz="4" w:space="1" w:color="auto"/>
          <w:left w:val="single" w:sz="4" w:space="4" w:color="auto"/>
          <w:bottom w:val="single" w:sz="4" w:space="1" w:color="auto"/>
          <w:right w:val="single" w:sz="4" w:space="4" w:color="auto"/>
        </w:pBdr>
        <w:spacing w:before="0" w:line="276" w:lineRule="auto"/>
        <w:contextualSpacing/>
        <w:jc w:val="both"/>
        <w:rPr>
          <w:sz w:val="22"/>
          <w:szCs w:val="22"/>
        </w:rPr>
      </w:pPr>
    </w:p>
    <w:p w14:paraId="06CABF83" w14:textId="77777777" w:rsidR="000D1D92" w:rsidRPr="004F0907" w:rsidRDefault="000D1D92" w:rsidP="000D1D92">
      <w:pPr>
        <w:pBdr>
          <w:top w:val="single" w:sz="4" w:space="1" w:color="auto"/>
          <w:left w:val="single" w:sz="4" w:space="4" w:color="auto"/>
          <w:bottom w:val="single" w:sz="4" w:space="1" w:color="auto"/>
          <w:right w:val="single" w:sz="4" w:space="4" w:color="auto"/>
        </w:pBdr>
        <w:spacing w:before="120"/>
        <w:jc w:val="both"/>
        <w:rPr>
          <w:sz w:val="22"/>
          <w:szCs w:val="22"/>
        </w:rPr>
      </w:pPr>
      <w:r w:rsidRPr="004F0907">
        <w:rPr>
          <w:sz w:val="22"/>
          <w:szCs w:val="22"/>
        </w:rPr>
        <w:t>The police data include information on all individuals involved in investigated incidents: perpetrators, victims and witnesses. This will enable the study of children’s exposure to violence as a risk factor of later adverse outcomes, such as juvenile offending behaviour.</w:t>
      </w:r>
    </w:p>
    <w:p w14:paraId="2B21C661" w14:textId="77777777" w:rsidR="000D1D92" w:rsidRPr="004F0907" w:rsidRDefault="000D1D92" w:rsidP="000D1D92">
      <w:pPr>
        <w:pBdr>
          <w:top w:val="single" w:sz="4" w:space="1" w:color="auto"/>
          <w:left w:val="single" w:sz="4" w:space="4" w:color="auto"/>
          <w:bottom w:val="single" w:sz="4" w:space="1" w:color="auto"/>
          <w:right w:val="single" w:sz="4" w:space="4" w:color="auto"/>
        </w:pBdr>
        <w:spacing w:before="120"/>
        <w:jc w:val="both"/>
        <w:rPr>
          <w:sz w:val="22"/>
          <w:szCs w:val="22"/>
        </w:rPr>
      </w:pPr>
      <w:r w:rsidRPr="004F0907">
        <w:rPr>
          <w:sz w:val="22"/>
          <w:szCs w:val="22"/>
        </w:rPr>
        <w:t xml:space="preserve">Economic modelling of the costs of outcomes 1–4 and the cost-benefit of evidence-based preventative interventions are also being undertaken. </w:t>
      </w:r>
    </w:p>
    <w:p w14:paraId="49C43D25" w14:textId="77777777" w:rsidR="000D1D92" w:rsidRPr="004F0907" w:rsidRDefault="000D1D92" w:rsidP="000D1D92">
      <w:pPr>
        <w:pBdr>
          <w:top w:val="single" w:sz="4" w:space="1" w:color="auto"/>
          <w:left w:val="single" w:sz="4" w:space="4" w:color="auto"/>
          <w:bottom w:val="single" w:sz="4" w:space="1" w:color="auto"/>
          <w:right w:val="single" w:sz="4" w:space="4" w:color="auto"/>
        </w:pBdr>
        <w:jc w:val="both"/>
        <w:rPr>
          <w:sz w:val="22"/>
          <w:szCs w:val="22"/>
        </w:rPr>
      </w:pPr>
      <w:r w:rsidRPr="004F0907">
        <w:rPr>
          <w:sz w:val="22"/>
          <w:szCs w:val="22"/>
        </w:rPr>
        <w:t>Findings will be widely disseminated through a) publication of separate research monographs on issues 1-4 above; b) research-to-practice stakeholder workshops and community forums; c) scientific journals publications &amp; conference presentations.</w:t>
      </w:r>
    </w:p>
    <w:p w14:paraId="086AA058" w14:textId="77777777" w:rsidR="000D1D92" w:rsidRDefault="000D1D92" w:rsidP="000D1D92">
      <w:pPr>
        <w:pBdr>
          <w:top w:val="single" w:sz="4" w:space="1" w:color="auto"/>
          <w:left w:val="single" w:sz="4" w:space="4" w:color="auto"/>
          <w:bottom w:val="single" w:sz="4" w:space="1" w:color="auto"/>
          <w:right w:val="single" w:sz="4" w:space="4" w:color="auto"/>
        </w:pBdr>
        <w:jc w:val="both"/>
        <w:rPr>
          <w:noProof/>
          <w:sz w:val="22"/>
          <w:szCs w:val="22"/>
        </w:rPr>
      </w:pPr>
      <w:r w:rsidRPr="004F0907">
        <w:rPr>
          <w:sz w:val="22"/>
          <w:szCs w:val="22"/>
        </w:rPr>
        <w:t>The project partners are Menzies School of Health Research (Centre for Child Development and Education),</w:t>
      </w:r>
      <w:r w:rsidRPr="004F0907">
        <w:rPr>
          <w:b/>
          <w:sz w:val="22"/>
          <w:szCs w:val="22"/>
        </w:rPr>
        <w:t xml:space="preserve"> </w:t>
      </w:r>
      <w:r w:rsidRPr="004F0907">
        <w:rPr>
          <w:sz w:val="22"/>
          <w:szCs w:val="22"/>
        </w:rPr>
        <w:t>Aboriginal Medical Services Alliance of the Northern Territory (AMSANT) and the NT Departments of Education, Health and Children &amp; Families</w:t>
      </w:r>
      <w:r w:rsidRPr="004F0907">
        <w:rPr>
          <w:noProof/>
          <w:sz w:val="22"/>
          <w:szCs w:val="22"/>
        </w:rPr>
        <w:t>.</w:t>
      </w:r>
      <w:r>
        <w:rPr>
          <w:noProof/>
          <w:sz w:val="22"/>
          <w:szCs w:val="22"/>
        </w:rPr>
        <w:t xml:space="preserve"> This project is funded up to 2017.</w:t>
      </w:r>
    </w:p>
    <w:p w14:paraId="7D95F2A8" w14:textId="77777777" w:rsidR="000D1D92" w:rsidRDefault="000D1D92" w:rsidP="000D1D92">
      <w:pPr>
        <w:pBdr>
          <w:top w:val="single" w:sz="4" w:space="1" w:color="auto"/>
          <w:left w:val="single" w:sz="4" w:space="4" w:color="auto"/>
          <w:bottom w:val="single" w:sz="4" w:space="1" w:color="auto"/>
          <w:right w:val="single" w:sz="4" w:space="4" w:color="auto"/>
        </w:pBdr>
        <w:jc w:val="both"/>
        <w:rPr>
          <w:sz w:val="22"/>
          <w:szCs w:val="22"/>
        </w:rPr>
      </w:pPr>
      <w:r w:rsidRPr="00B977D2">
        <w:rPr>
          <w:sz w:val="22"/>
          <w:szCs w:val="22"/>
        </w:rPr>
        <w:t>National Health and Medical Research Council Partnership Project #109149</w:t>
      </w:r>
      <w:r>
        <w:rPr>
          <w:sz w:val="22"/>
          <w:szCs w:val="22"/>
        </w:rPr>
        <w:t>.</w:t>
      </w:r>
      <w:r w:rsidRPr="00B977D2">
        <w:rPr>
          <w:sz w:val="22"/>
          <w:szCs w:val="22"/>
        </w:rPr>
        <w:t>1</w:t>
      </w:r>
    </w:p>
    <w:p w14:paraId="7C8B1B0D" w14:textId="77777777" w:rsidR="000D1D92" w:rsidRPr="00F40FBD" w:rsidRDefault="000D1D92" w:rsidP="000D1D92">
      <w:pPr>
        <w:pBdr>
          <w:top w:val="single" w:sz="4" w:space="1" w:color="auto"/>
          <w:left w:val="single" w:sz="4" w:space="4" w:color="auto"/>
          <w:bottom w:val="single" w:sz="4" w:space="1" w:color="auto"/>
          <w:right w:val="single" w:sz="4" w:space="4" w:color="auto"/>
        </w:pBdr>
        <w:jc w:val="both"/>
        <w:rPr>
          <w:b/>
          <w:sz w:val="22"/>
          <w:szCs w:val="22"/>
        </w:rPr>
      </w:pPr>
      <w:r w:rsidRPr="00280EC7">
        <w:rPr>
          <w:rFonts w:cs="Arial"/>
          <w:b/>
          <w:sz w:val="22"/>
          <w:szCs w:val="22"/>
        </w:rPr>
        <w:t xml:space="preserve">Statement </w:t>
      </w:r>
      <w:r>
        <w:rPr>
          <w:rFonts w:cs="Arial"/>
          <w:b/>
          <w:sz w:val="22"/>
          <w:szCs w:val="22"/>
        </w:rPr>
        <w:t>by</w:t>
      </w:r>
      <w:r w:rsidRPr="00280EC7">
        <w:rPr>
          <w:rFonts w:cs="Arial"/>
          <w:b/>
          <w:sz w:val="22"/>
          <w:szCs w:val="22"/>
        </w:rPr>
        <w:t xml:space="preserve"> Doctor John McKenzie</w:t>
      </w:r>
      <w:r>
        <w:rPr>
          <w:rFonts w:cs="Arial"/>
          <w:b/>
          <w:sz w:val="22"/>
          <w:szCs w:val="22"/>
        </w:rPr>
        <w:t xml:space="preserve"> about longitudinal research by the Menzies School of Health Research on i</w:t>
      </w:r>
      <w:r w:rsidRPr="004F0907">
        <w:rPr>
          <w:b/>
          <w:sz w:val="22"/>
          <w:szCs w:val="22"/>
        </w:rPr>
        <w:t>mproving the developmental outcomes of Northern Territory children: a data linkage study to inform policy and practice in health, family services and education</w:t>
      </w:r>
      <w:r>
        <w:rPr>
          <w:b/>
          <w:sz w:val="22"/>
          <w:szCs w:val="22"/>
        </w:rPr>
        <w:t>.</w:t>
      </w:r>
    </w:p>
    <w:p w14:paraId="7F99C405" w14:textId="77777777" w:rsidR="000D1D92" w:rsidRDefault="000D1D92" w:rsidP="000D1D92">
      <w:pPr>
        <w:autoSpaceDE w:val="0"/>
        <w:autoSpaceDN w:val="0"/>
        <w:adjustRightInd w:val="0"/>
        <w:spacing w:before="0" w:after="0"/>
        <w:jc w:val="both"/>
        <w:rPr>
          <w:b/>
          <w:color w:val="FF0000"/>
        </w:rPr>
      </w:pPr>
    </w:p>
    <w:p w14:paraId="4901EF39" w14:textId="77777777" w:rsidR="000D1D92" w:rsidRDefault="000D1D92" w:rsidP="000D1D92">
      <w:pPr>
        <w:autoSpaceDE w:val="0"/>
        <w:autoSpaceDN w:val="0"/>
        <w:adjustRightInd w:val="0"/>
        <w:spacing w:before="0" w:after="0"/>
        <w:jc w:val="both"/>
        <w:rPr>
          <w:b/>
          <w:color w:val="FF0000"/>
        </w:rPr>
      </w:pPr>
      <w:r>
        <w:rPr>
          <w:b/>
          <w:color w:val="FF0000"/>
        </w:rPr>
        <w:br/>
      </w:r>
    </w:p>
    <w:p w14:paraId="6A433DD6" w14:textId="77777777" w:rsidR="000D1D92" w:rsidRDefault="000D1D92" w:rsidP="000D1D92">
      <w:pPr>
        <w:spacing w:before="0" w:after="0"/>
        <w:rPr>
          <w:b/>
          <w:color w:val="FF0000"/>
        </w:rPr>
      </w:pPr>
      <w:r>
        <w:rPr>
          <w:b/>
          <w:color w:val="FF0000"/>
        </w:rPr>
        <w:br w:type="page"/>
      </w:r>
    </w:p>
    <w:p w14:paraId="412C449D" w14:textId="77777777" w:rsidR="000D1D92" w:rsidRDefault="000D1D92" w:rsidP="000D1D92">
      <w:pPr>
        <w:pBdr>
          <w:top w:val="single" w:sz="4" w:space="1" w:color="auto"/>
          <w:left w:val="single" w:sz="4" w:space="1" w:color="auto"/>
          <w:bottom w:val="single" w:sz="4" w:space="1" w:color="auto"/>
          <w:right w:val="single" w:sz="4" w:space="1" w:color="auto"/>
        </w:pBdr>
        <w:jc w:val="both"/>
        <w:rPr>
          <w:rFonts w:cs="Arial"/>
          <w:sz w:val="22"/>
          <w:szCs w:val="22"/>
        </w:rPr>
      </w:pPr>
      <w:r w:rsidRPr="00574B46">
        <w:rPr>
          <w:rFonts w:cs="Arial"/>
          <w:b/>
          <w:sz w:val="22"/>
          <w:szCs w:val="22"/>
        </w:rPr>
        <w:lastRenderedPageBreak/>
        <w:t>The Australian Longitudinal Study on Women’s Health</w:t>
      </w:r>
      <w:r w:rsidRPr="00E73B5F">
        <w:rPr>
          <w:rFonts w:cs="Arial"/>
          <w:sz w:val="22"/>
          <w:szCs w:val="22"/>
        </w:rPr>
        <w:t xml:space="preserve"> (ALSWH) offers a rich source of data concerned with women’s wellbeing across the life</w:t>
      </w:r>
      <w:r>
        <w:rPr>
          <w:rFonts w:cs="Arial"/>
          <w:sz w:val="22"/>
          <w:szCs w:val="22"/>
        </w:rPr>
        <w:t xml:space="preserve"> </w:t>
      </w:r>
      <w:r w:rsidRPr="00E73B5F">
        <w:rPr>
          <w:rFonts w:cs="Arial"/>
          <w:sz w:val="22"/>
          <w:szCs w:val="22"/>
        </w:rPr>
        <w:t>course. ALSWH was first funded in 1995</w:t>
      </w:r>
      <w:r>
        <w:rPr>
          <w:rFonts w:cs="Arial"/>
          <w:sz w:val="22"/>
          <w:szCs w:val="22"/>
        </w:rPr>
        <w:t>.</w:t>
      </w:r>
      <w:r w:rsidRPr="00E73B5F">
        <w:rPr>
          <w:rFonts w:cs="Arial"/>
          <w:sz w:val="22"/>
          <w:szCs w:val="22"/>
        </w:rPr>
        <w:t xml:space="preserve"> </w:t>
      </w:r>
      <w:r>
        <w:rPr>
          <w:rFonts w:cs="Arial"/>
          <w:sz w:val="22"/>
          <w:szCs w:val="22"/>
        </w:rPr>
        <w:t xml:space="preserve">It </w:t>
      </w:r>
      <w:r w:rsidRPr="00E73B5F">
        <w:rPr>
          <w:rFonts w:cs="Arial"/>
          <w:sz w:val="22"/>
          <w:szCs w:val="22"/>
        </w:rPr>
        <w:t xml:space="preserve">began as a mailed longitudinal survey of over 40,000 women in three cohorts who were aged 18-23 (born 1973-78), 45-50 (born 1946-51) and 70-75 (born 1921-26) when data were first collected in 1996. In 2012-13, over 17,000 women aged 18-23 (born 1989-95) were recruited to form a new cohort. </w:t>
      </w:r>
    </w:p>
    <w:p w14:paraId="5A51025E" w14:textId="77777777" w:rsidR="000D1D92" w:rsidRDefault="000D1D92" w:rsidP="000D1D92">
      <w:pPr>
        <w:pBdr>
          <w:top w:val="single" w:sz="4" w:space="1" w:color="auto"/>
          <w:left w:val="single" w:sz="4" w:space="1" w:color="auto"/>
          <w:bottom w:val="single" w:sz="4" w:space="1" w:color="auto"/>
          <w:right w:val="single" w:sz="4" w:space="1" w:color="auto"/>
        </w:pBdr>
        <w:jc w:val="both"/>
        <w:rPr>
          <w:rFonts w:cs="Arial"/>
          <w:sz w:val="22"/>
          <w:szCs w:val="22"/>
        </w:rPr>
      </w:pPr>
      <w:r w:rsidRPr="00E73B5F">
        <w:rPr>
          <w:rFonts w:cs="Arial"/>
          <w:sz w:val="22"/>
          <w:szCs w:val="22"/>
        </w:rPr>
        <w:t xml:space="preserve">Participants complete regular surveys that collect qualitative and quantitative information on physical and mental health, health behaviour, health service use, and psychosocial aspects of health such as demographics and life experiences. ALSWH survey data are routinely linked to administrative datasets, including the State-Based Cancer Registry (NSW, QLD, WA, SA, ACT and VIC), Perinatal (NSW, QLD, WA, SA and ACT) and Admitted Patients datasets (NSW, QLD, WA, SA and ACT), and Medicare (Medicare Benefits Schedule, Pharmaceutical Benefits Scheme) and Aged Care datasets. </w:t>
      </w:r>
    </w:p>
    <w:p w14:paraId="70D4A6FD" w14:textId="77777777" w:rsidR="000D1D92" w:rsidRDefault="000D1D92" w:rsidP="000D1D92">
      <w:pPr>
        <w:pBdr>
          <w:top w:val="single" w:sz="4" w:space="1" w:color="auto"/>
          <w:left w:val="single" w:sz="4" w:space="1" w:color="auto"/>
          <w:bottom w:val="single" w:sz="4" w:space="1" w:color="auto"/>
          <w:right w:val="single" w:sz="4" w:space="1" w:color="auto"/>
        </w:pBdr>
        <w:jc w:val="both"/>
        <w:rPr>
          <w:rFonts w:cs="Arial"/>
          <w:sz w:val="22"/>
          <w:szCs w:val="22"/>
        </w:rPr>
      </w:pPr>
      <w:r w:rsidRPr="00E73B5F">
        <w:rPr>
          <w:rFonts w:cs="Arial"/>
          <w:sz w:val="22"/>
          <w:szCs w:val="22"/>
        </w:rPr>
        <w:t>Data collection for the third survey of the 1989-95 cohort and the seventh survey of 1973-78 cohort are underway.</w:t>
      </w:r>
      <w:r>
        <w:rPr>
          <w:rFonts w:cs="Arial"/>
          <w:sz w:val="22"/>
          <w:szCs w:val="22"/>
        </w:rPr>
        <w:t xml:space="preserve"> </w:t>
      </w:r>
      <w:r w:rsidRPr="0031006E">
        <w:rPr>
          <w:rFonts w:cs="Arial"/>
          <w:sz w:val="22"/>
          <w:szCs w:val="22"/>
        </w:rPr>
        <w:t xml:space="preserve">In 2015, data concerned with women’s experiences of adversity in childhood, including the witnessing of domestic violence, is being collected. </w:t>
      </w:r>
      <w:r w:rsidRPr="00E73B5F">
        <w:rPr>
          <w:rFonts w:cs="Arial"/>
          <w:sz w:val="22"/>
          <w:szCs w:val="22"/>
        </w:rPr>
        <w:t xml:space="preserve">The eighth survey for the 1946-51 cohort and the fourth survey for the 1989-95 cohort will be pilot tested in 2015 and rolled out in 2016. </w:t>
      </w:r>
    </w:p>
    <w:p w14:paraId="291725C2" w14:textId="77777777" w:rsidR="000D1D92" w:rsidRDefault="000D1D92" w:rsidP="000D1D92">
      <w:pPr>
        <w:pBdr>
          <w:top w:val="single" w:sz="4" w:space="1" w:color="auto"/>
          <w:left w:val="single" w:sz="4" w:space="1" w:color="auto"/>
          <w:bottom w:val="single" w:sz="4" w:space="1" w:color="auto"/>
          <w:right w:val="single" w:sz="4" w:space="1" w:color="auto"/>
        </w:pBdr>
        <w:spacing w:before="0"/>
        <w:jc w:val="both"/>
        <w:rPr>
          <w:rFonts w:cs="Arial"/>
          <w:sz w:val="22"/>
          <w:szCs w:val="22"/>
        </w:rPr>
      </w:pPr>
      <w:r w:rsidRPr="00194490">
        <w:rPr>
          <w:rFonts w:cs="Arial"/>
          <w:sz w:val="22"/>
          <w:szCs w:val="22"/>
        </w:rPr>
        <w:t xml:space="preserve">The </w:t>
      </w:r>
      <w:r w:rsidRPr="00811BA5">
        <w:rPr>
          <w:rFonts w:cs="Arial"/>
          <w:b/>
          <w:sz w:val="22"/>
          <w:szCs w:val="22"/>
        </w:rPr>
        <w:t>Mothers and their Children’s Health (MatCH)</w:t>
      </w:r>
      <w:r w:rsidRPr="00194490">
        <w:rPr>
          <w:rFonts w:cs="Arial"/>
          <w:sz w:val="22"/>
          <w:szCs w:val="22"/>
        </w:rPr>
        <w:t xml:space="preserve"> project is a sub-study, which is currently recruiting the children of the women in the Australian Longitudinal Study on Women’s Health 1973-78 cohort.</w:t>
      </w:r>
      <w:r>
        <w:rPr>
          <w:rFonts w:cs="Arial"/>
          <w:sz w:val="22"/>
          <w:szCs w:val="22"/>
        </w:rPr>
        <w:t xml:space="preserve"> It</w:t>
      </w:r>
      <w:r w:rsidRPr="00194490">
        <w:rPr>
          <w:rFonts w:cs="Arial"/>
          <w:sz w:val="22"/>
          <w:szCs w:val="22"/>
        </w:rPr>
        <w:t xml:space="preserve"> </w:t>
      </w:r>
      <w:r w:rsidRPr="00E73B5F">
        <w:rPr>
          <w:rFonts w:cs="Arial"/>
          <w:sz w:val="22"/>
          <w:szCs w:val="22"/>
        </w:rPr>
        <w:t xml:space="preserve">is collecting data from </w:t>
      </w:r>
      <w:r w:rsidRPr="00E73B5F">
        <w:rPr>
          <w:rFonts w:cs="Arial"/>
          <w:b/>
          <w:sz w:val="22"/>
          <w:szCs w:val="22"/>
        </w:rPr>
        <w:t xml:space="preserve">the male and female children </w:t>
      </w:r>
      <w:r w:rsidRPr="00191ED3">
        <w:rPr>
          <w:rFonts w:cs="Arial"/>
          <w:sz w:val="22"/>
          <w:szCs w:val="22"/>
        </w:rPr>
        <w:t>of the women participating in the survey.</w:t>
      </w:r>
      <w:r>
        <w:rPr>
          <w:rFonts w:cs="Arial"/>
          <w:sz w:val="22"/>
          <w:szCs w:val="22"/>
        </w:rPr>
        <w:t xml:space="preserve"> This</w:t>
      </w:r>
      <w:r w:rsidRPr="00E73B5F">
        <w:rPr>
          <w:rFonts w:cs="Arial"/>
          <w:sz w:val="22"/>
          <w:szCs w:val="22"/>
        </w:rPr>
        <w:t xml:space="preserve"> include</w:t>
      </w:r>
      <w:r>
        <w:rPr>
          <w:rFonts w:cs="Arial"/>
          <w:sz w:val="22"/>
          <w:szCs w:val="22"/>
        </w:rPr>
        <w:t>s</w:t>
      </w:r>
      <w:r w:rsidRPr="00E73B5F">
        <w:rPr>
          <w:rFonts w:cs="Arial"/>
          <w:sz w:val="22"/>
          <w:szCs w:val="22"/>
        </w:rPr>
        <w:t xml:space="preserve"> measures of the health and social wellbeing of children, as well as different aspects of parenting. The project will investigate the relationship between the mothers’ health history and the family environment to the children’s health and social outcomes, and health service utilisation. The children’s data will be linked to their mother’s data, as well as administrative datasets for early child development and educational outcomes, such as the National Assessment Program – Literacy and Numeracy (NAPLAN). </w:t>
      </w:r>
    </w:p>
    <w:p w14:paraId="7810420A" w14:textId="77777777" w:rsidR="000D1D92" w:rsidRDefault="000D1D92" w:rsidP="000D1D92">
      <w:pPr>
        <w:pBdr>
          <w:top w:val="single" w:sz="4" w:space="1" w:color="auto"/>
          <w:left w:val="single" w:sz="4" w:space="1" w:color="auto"/>
          <w:bottom w:val="single" w:sz="4" w:space="1" w:color="auto"/>
          <w:right w:val="single" w:sz="4" w:space="1" w:color="auto"/>
        </w:pBdr>
        <w:jc w:val="both"/>
        <w:rPr>
          <w:rFonts w:cs="Arial"/>
          <w:sz w:val="22"/>
          <w:szCs w:val="22"/>
        </w:rPr>
      </w:pPr>
      <w:r w:rsidRPr="00E73B5F">
        <w:rPr>
          <w:rFonts w:cs="Arial"/>
          <w:sz w:val="22"/>
          <w:szCs w:val="22"/>
        </w:rPr>
        <w:t>To</w:t>
      </w:r>
      <w:r>
        <w:rPr>
          <w:rFonts w:cs="Arial"/>
          <w:sz w:val="22"/>
          <w:szCs w:val="22"/>
        </w:rPr>
        <w:t>gether</w:t>
      </w:r>
      <w:r>
        <w:rPr>
          <w:rStyle w:val="EndnoteReference"/>
          <w:rFonts w:cs="Arial"/>
          <w:szCs w:val="22"/>
        </w:rPr>
        <w:endnoteReference w:id="574"/>
      </w:r>
      <w:r>
        <w:rPr>
          <w:rFonts w:cs="Arial"/>
          <w:sz w:val="22"/>
          <w:szCs w:val="22"/>
        </w:rPr>
        <w:t xml:space="preserve"> </w:t>
      </w:r>
      <w:r w:rsidRPr="00E73B5F">
        <w:rPr>
          <w:rFonts w:cs="Arial"/>
          <w:sz w:val="22"/>
          <w:szCs w:val="22"/>
        </w:rPr>
        <w:t>ALSWH and MatCH data will offer the opportunity to conduct powerful analyses to measure the impacts of adversity in childhood across the life</w:t>
      </w:r>
      <w:r>
        <w:rPr>
          <w:rFonts w:cs="Arial"/>
          <w:sz w:val="22"/>
          <w:szCs w:val="22"/>
        </w:rPr>
        <w:t xml:space="preserve"> </w:t>
      </w:r>
      <w:r w:rsidRPr="00E73B5F">
        <w:rPr>
          <w:rFonts w:cs="Arial"/>
          <w:sz w:val="22"/>
          <w:szCs w:val="22"/>
        </w:rPr>
        <w:t>course and inter</w:t>
      </w:r>
      <w:r>
        <w:rPr>
          <w:rFonts w:cs="Arial"/>
          <w:sz w:val="22"/>
          <w:szCs w:val="22"/>
        </w:rPr>
        <w:t>-</w:t>
      </w:r>
      <w:r w:rsidRPr="00E73B5F">
        <w:rPr>
          <w:rFonts w:cs="Arial"/>
          <w:sz w:val="22"/>
          <w:szCs w:val="22"/>
        </w:rPr>
        <w:t xml:space="preserve">generationally, and to identify and evaluate factors that might mitigate these impacts. </w:t>
      </w:r>
    </w:p>
    <w:p w14:paraId="22C26D2D" w14:textId="77777777" w:rsidR="000D1D92" w:rsidRDefault="000D1D92" w:rsidP="000D1D92">
      <w:pPr>
        <w:pBdr>
          <w:top w:val="single" w:sz="4" w:space="1" w:color="auto"/>
          <w:left w:val="single" w:sz="4" w:space="1" w:color="auto"/>
          <w:bottom w:val="single" w:sz="4" w:space="1" w:color="auto"/>
          <w:right w:val="single" w:sz="4" w:space="1" w:color="auto"/>
        </w:pBdr>
        <w:jc w:val="both"/>
        <w:rPr>
          <w:rFonts w:cs="Arial"/>
          <w:sz w:val="22"/>
          <w:szCs w:val="22"/>
        </w:rPr>
      </w:pPr>
      <w:r w:rsidRPr="00B12CB2">
        <w:rPr>
          <w:rFonts w:cs="Arial"/>
          <w:sz w:val="22"/>
          <w:szCs w:val="22"/>
        </w:rPr>
        <w:t>Data from the 2015 surveys of the 1989-95 and 1973-78 cohorts will be available in 2016. Data from the MatCH survey is expected to be available towards the end of 2016. These datasets will enable examination of the impact of childhood adversity, including witnessing domest</w:t>
      </w:r>
      <w:r>
        <w:rPr>
          <w:rFonts w:cs="Arial"/>
          <w:sz w:val="22"/>
          <w:szCs w:val="22"/>
        </w:rPr>
        <w:t>ic violence, on factors such as l</w:t>
      </w:r>
      <w:r w:rsidRPr="00181B8B">
        <w:rPr>
          <w:rFonts w:cs="Arial"/>
          <w:sz w:val="22"/>
          <w:szCs w:val="22"/>
        </w:rPr>
        <w:t>ater experiences of abuse (e</w:t>
      </w:r>
      <w:r>
        <w:rPr>
          <w:rFonts w:cs="Arial"/>
          <w:sz w:val="22"/>
          <w:szCs w:val="22"/>
        </w:rPr>
        <w:t>.</w:t>
      </w:r>
      <w:r w:rsidRPr="00181B8B">
        <w:rPr>
          <w:rFonts w:cs="Arial"/>
          <w:sz w:val="22"/>
          <w:szCs w:val="22"/>
        </w:rPr>
        <w:t>g</w:t>
      </w:r>
      <w:r>
        <w:rPr>
          <w:rFonts w:cs="Arial"/>
          <w:sz w:val="22"/>
          <w:szCs w:val="22"/>
        </w:rPr>
        <w:t>.</w:t>
      </w:r>
      <w:r w:rsidRPr="00181B8B">
        <w:rPr>
          <w:rFonts w:cs="Arial"/>
          <w:sz w:val="22"/>
          <w:szCs w:val="22"/>
        </w:rPr>
        <w:t xml:space="preserve"> bullying, domestic violence)</w:t>
      </w:r>
      <w:r>
        <w:rPr>
          <w:rFonts w:cs="Arial"/>
          <w:sz w:val="22"/>
          <w:szCs w:val="22"/>
        </w:rPr>
        <w:t>; p</w:t>
      </w:r>
      <w:r w:rsidRPr="00181B8B">
        <w:rPr>
          <w:rFonts w:cs="Arial"/>
          <w:sz w:val="22"/>
          <w:szCs w:val="22"/>
        </w:rPr>
        <w:t>hysical health, including diagnosed conditions, symptoms, bodily pain</w:t>
      </w:r>
      <w:r>
        <w:rPr>
          <w:rFonts w:cs="Arial"/>
          <w:sz w:val="22"/>
          <w:szCs w:val="22"/>
        </w:rPr>
        <w:t>; h</w:t>
      </w:r>
      <w:r w:rsidRPr="00181B8B">
        <w:rPr>
          <w:rFonts w:cs="Arial"/>
          <w:sz w:val="22"/>
          <w:szCs w:val="22"/>
        </w:rPr>
        <w:t>ealth service use including consultations, Medicare funded/subsidised services, medication use, hospitalisations</w:t>
      </w:r>
      <w:r>
        <w:rPr>
          <w:rFonts w:cs="Arial"/>
          <w:sz w:val="22"/>
          <w:szCs w:val="22"/>
        </w:rPr>
        <w:t>; m</w:t>
      </w:r>
      <w:r w:rsidRPr="00181B8B">
        <w:rPr>
          <w:rFonts w:cs="Arial"/>
          <w:sz w:val="22"/>
          <w:szCs w:val="22"/>
        </w:rPr>
        <w:t>ental health, in</w:t>
      </w:r>
      <w:r>
        <w:rPr>
          <w:rFonts w:cs="Arial"/>
          <w:sz w:val="22"/>
          <w:szCs w:val="22"/>
        </w:rPr>
        <w:t>cluding suicidal ideation, self-</w:t>
      </w:r>
      <w:r w:rsidRPr="00181B8B">
        <w:rPr>
          <w:rFonts w:cs="Arial"/>
          <w:sz w:val="22"/>
          <w:szCs w:val="22"/>
        </w:rPr>
        <w:t>harm, depression, anxiety</w:t>
      </w:r>
      <w:r>
        <w:rPr>
          <w:rFonts w:cs="Arial"/>
          <w:sz w:val="22"/>
          <w:szCs w:val="22"/>
        </w:rPr>
        <w:t>; p</w:t>
      </w:r>
      <w:r w:rsidRPr="00181B8B">
        <w:rPr>
          <w:rFonts w:cs="Arial"/>
          <w:sz w:val="22"/>
          <w:szCs w:val="22"/>
        </w:rPr>
        <w:t>regnancy experiences and outcomes, including parenting style</w:t>
      </w:r>
      <w:r>
        <w:rPr>
          <w:rFonts w:cs="Arial"/>
          <w:sz w:val="22"/>
          <w:szCs w:val="22"/>
        </w:rPr>
        <w:t>; f</w:t>
      </w:r>
      <w:r w:rsidRPr="00181B8B">
        <w:rPr>
          <w:rFonts w:cs="Arial"/>
          <w:sz w:val="22"/>
          <w:szCs w:val="22"/>
        </w:rPr>
        <w:t>low on effects to the next generation</w:t>
      </w:r>
      <w:r>
        <w:rPr>
          <w:rFonts w:cs="Arial"/>
          <w:sz w:val="22"/>
          <w:szCs w:val="22"/>
        </w:rPr>
        <w:t>.</w:t>
      </w:r>
    </w:p>
    <w:p w14:paraId="17E30E6C" w14:textId="77777777" w:rsidR="000D1D92" w:rsidRDefault="000D1D92" w:rsidP="000D1D92">
      <w:pPr>
        <w:pBdr>
          <w:top w:val="single" w:sz="4" w:space="1" w:color="auto"/>
          <w:left w:val="single" w:sz="4" w:space="1" w:color="auto"/>
          <w:bottom w:val="single" w:sz="4" w:space="1" w:color="auto"/>
          <w:right w:val="single" w:sz="4" w:space="1" w:color="auto"/>
        </w:pBdr>
        <w:jc w:val="both"/>
        <w:rPr>
          <w:rFonts w:cs="Arial"/>
          <w:sz w:val="22"/>
          <w:szCs w:val="22"/>
        </w:rPr>
      </w:pPr>
      <w:r w:rsidRPr="00F6245B">
        <w:rPr>
          <w:rFonts w:cs="Arial"/>
          <w:sz w:val="22"/>
          <w:szCs w:val="22"/>
        </w:rPr>
        <w:t>ALSWH and MatCH are conducted collaboratively by staff and investigators based at the University of Newcastle and the University of Queensland. ALSWH is funded by the Australian Government Departme</w:t>
      </w:r>
      <w:r>
        <w:rPr>
          <w:rFonts w:cs="Arial"/>
          <w:sz w:val="22"/>
          <w:szCs w:val="22"/>
        </w:rPr>
        <w:t>nt of Health until 30 June 2016</w:t>
      </w:r>
      <w:r w:rsidRPr="00F6245B">
        <w:rPr>
          <w:rFonts w:cs="Arial"/>
          <w:sz w:val="22"/>
          <w:szCs w:val="22"/>
        </w:rPr>
        <w:t xml:space="preserve"> and MatCH is funded by a National Health and Medical Research Cou</w:t>
      </w:r>
      <w:r>
        <w:rPr>
          <w:rFonts w:cs="Arial"/>
          <w:sz w:val="22"/>
          <w:szCs w:val="22"/>
        </w:rPr>
        <w:t>ncil project grant (2014-2017).</w:t>
      </w:r>
    </w:p>
    <w:p w14:paraId="7CAD0C1D" w14:textId="77777777" w:rsidR="000D1D92" w:rsidRDefault="000D1D92" w:rsidP="000D1D92">
      <w:pPr>
        <w:pBdr>
          <w:top w:val="single" w:sz="4" w:space="1" w:color="auto"/>
          <w:left w:val="single" w:sz="4" w:space="1" w:color="auto"/>
          <w:bottom w:val="single" w:sz="4" w:space="1" w:color="auto"/>
          <w:right w:val="single" w:sz="4" w:space="1" w:color="auto"/>
        </w:pBdr>
        <w:jc w:val="both"/>
        <w:rPr>
          <w:rFonts w:cs="Arial"/>
          <w:sz w:val="22"/>
          <w:szCs w:val="22"/>
        </w:rPr>
      </w:pPr>
      <w:r>
        <w:rPr>
          <w:rFonts w:cs="Arial"/>
          <w:b/>
          <w:sz w:val="22"/>
          <w:szCs w:val="22"/>
        </w:rPr>
        <w:t>Statement from Associate Professor Deborah Loxton and Natalie Townsend</w:t>
      </w:r>
    </w:p>
    <w:p w14:paraId="15B6AE4C" w14:textId="77777777" w:rsidR="000D1D92" w:rsidRDefault="000D1D92" w:rsidP="000D1D92">
      <w:pPr>
        <w:spacing w:before="0" w:after="0"/>
        <w:jc w:val="both"/>
        <w:rPr>
          <w:rFonts w:cs="Segoe UI"/>
        </w:rPr>
      </w:pPr>
    </w:p>
    <w:p w14:paraId="1C495388" w14:textId="77777777" w:rsidR="000D1D92" w:rsidRDefault="000D1D92" w:rsidP="000D1D92">
      <w:pPr>
        <w:spacing w:before="0" w:after="0"/>
        <w:jc w:val="both"/>
        <w:rPr>
          <w:rFonts w:cs="Segoe UI"/>
        </w:rPr>
      </w:pPr>
      <w:r>
        <w:rPr>
          <w:rFonts w:cs="Segoe UI"/>
        </w:rPr>
        <w:t xml:space="preserve">Data in the ALSWH and MatCH projects </w:t>
      </w:r>
      <w:r w:rsidRPr="006E7A4A">
        <w:rPr>
          <w:rFonts w:cs="Segoe UI"/>
        </w:rPr>
        <w:t xml:space="preserve">offer the opportunity </w:t>
      </w:r>
      <w:r>
        <w:rPr>
          <w:rFonts w:cs="Segoe UI"/>
        </w:rPr>
        <w:t>to analyse and</w:t>
      </w:r>
      <w:r w:rsidRPr="006E7A4A">
        <w:rPr>
          <w:rFonts w:cs="Segoe UI"/>
        </w:rPr>
        <w:t xml:space="preserve"> measure the impacts of adversity in childhood across the life course and inter-generationally, and to identify and evaluate factors that might mitigate these impacts.</w:t>
      </w:r>
      <w:r>
        <w:rPr>
          <w:rFonts w:cs="Segoe UI"/>
        </w:rPr>
        <w:t xml:space="preserve"> </w:t>
      </w:r>
    </w:p>
    <w:p w14:paraId="44164B8B" w14:textId="77777777" w:rsidR="000D1D92" w:rsidRDefault="000D1D92" w:rsidP="000D1D92">
      <w:pPr>
        <w:spacing w:before="0" w:after="0"/>
        <w:jc w:val="both"/>
        <w:rPr>
          <w:rFonts w:cs="Segoe UI"/>
        </w:rPr>
      </w:pPr>
    </w:p>
    <w:p w14:paraId="265CE3BF" w14:textId="77777777" w:rsidR="000D1D92" w:rsidRDefault="000D1D92" w:rsidP="000D1D92">
      <w:pPr>
        <w:spacing w:before="0" w:after="0"/>
        <w:jc w:val="both"/>
        <w:rPr>
          <w:rFonts w:cs="Segoe UI"/>
        </w:rPr>
      </w:pPr>
      <w:r>
        <w:rPr>
          <w:rFonts w:cs="Segoe UI"/>
        </w:rPr>
        <w:t>For example, w</w:t>
      </w:r>
      <w:r w:rsidRPr="008F1E63">
        <w:rPr>
          <w:rFonts w:cs="Segoe UI"/>
        </w:rPr>
        <w:t xml:space="preserve">omen in the 1973-78 cohort who experienced adversity during childhood can be tracked to see how those experiences impacted </w:t>
      </w:r>
      <w:r>
        <w:rPr>
          <w:rFonts w:cs="Segoe UI"/>
        </w:rPr>
        <w:t xml:space="preserve">on </w:t>
      </w:r>
      <w:r w:rsidRPr="008F1E63">
        <w:rPr>
          <w:rFonts w:cs="Segoe UI"/>
        </w:rPr>
        <w:t>their subsequent lives (e</w:t>
      </w:r>
      <w:r>
        <w:rPr>
          <w:rFonts w:cs="Segoe UI"/>
        </w:rPr>
        <w:t>.</w:t>
      </w:r>
      <w:r w:rsidRPr="008F1E63">
        <w:rPr>
          <w:rFonts w:cs="Segoe UI"/>
        </w:rPr>
        <w:t>g</w:t>
      </w:r>
      <w:r>
        <w:rPr>
          <w:rFonts w:cs="Segoe UI"/>
        </w:rPr>
        <w:t>. education; domestic violence;</w:t>
      </w:r>
      <w:r w:rsidRPr="008F1E63">
        <w:rPr>
          <w:rFonts w:cs="Segoe UI"/>
        </w:rPr>
        <w:t xml:space="preserve"> health service</w:t>
      </w:r>
      <w:r>
        <w:rPr>
          <w:rFonts w:cs="Segoe UI"/>
        </w:rPr>
        <w:t xml:space="preserve"> use;</w:t>
      </w:r>
      <w:r w:rsidRPr="008F1E63">
        <w:rPr>
          <w:rFonts w:cs="Segoe UI"/>
        </w:rPr>
        <w:t xml:space="preserve"> physical and mental health) including influen</w:t>
      </w:r>
      <w:r>
        <w:rPr>
          <w:rFonts w:cs="Segoe UI"/>
        </w:rPr>
        <w:t>ces on pregnancy, breastfeeding</w:t>
      </w:r>
      <w:r w:rsidRPr="008F1E63">
        <w:rPr>
          <w:rFonts w:cs="Segoe UI"/>
        </w:rPr>
        <w:t xml:space="preserve"> and parenting style. </w:t>
      </w:r>
      <w:r>
        <w:rPr>
          <w:rFonts w:cs="Segoe UI"/>
        </w:rPr>
        <w:t>It will also be possible to examine t</w:t>
      </w:r>
      <w:r w:rsidRPr="008F1E63">
        <w:rPr>
          <w:rFonts w:cs="Segoe UI"/>
        </w:rPr>
        <w:t>he impact on their children’s outcomes (e</w:t>
      </w:r>
      <w:r>
        <w:rPr>
          <w:rFonts w:cs="Segoe UI"/>
        </w:rPr>
        <w:t>.</w:t>
      </w:r>
      <w:r w:rsidRPr="008F1E63">
        <w:rPr>
          <w:rFonts w:cs="Segoe UI"/>
        </w:rPr>
        <w:t>g</w:t>
      </w:r>
      <w:r>
        <w:rPr>
          <w:rFonts w:cs="Segoe UI"/>
        </w:rPr>
        <w:t>. social functioning; bullying;</w:t>
      </w:r>
      <w:r w:rsidRPr="008F1E63">
        <w:rPr>
          <w:rFonts w:cs="Segoe UI"/>
        </w:rPr>
        <w:t xml:space="preserve"> </w:t>
      </w:r>
      <w:r>
        <w:rPr>
          <w:rFonts w:cs="Segoe UI"/>
        </w:rPr>
        <w:t>health behaviour)</w:t>
      </w:r>
      <w:r w:rsidRPr="008F1E63">
        <w:rPr>
          <w:rFonts w:cs="Segoe UI"/>
        </w:rPr>
        <w:t xml:space="preserve">. </w:t>
      </w:r>
      <w:r>
        <w:rPr>
          <w:rFonts w:cs="Segoe UI"/>
        </w:rPr>
        <w:t>The data provided by the male and female children will offer insights which have not previously been available in Australia, and possibly internationally.</w:t>
      </w:r>
    </w:p>
    <w:p w14:paraId="5499DE78" w14:textId="77777777" w:rsidR="000D1D92" w:rsidRDefault="000D1D92" w:rsidP="000D1D92">
      <w:pPr>
        <w:spacing w:before="0" w:after="0"/>
        <w:jc w:val="both"/>
        <w:rPr>
          <w:rFonts w:cs="Segoe UI"/>
        </w:rPr>
      </w:pPr>
    </w:p>
    <w:p w14:paraId="2DF87165" w14:textId="77777777" w:rsidR="000D1D92" w:rsidRDefault="000D1D92" w:rsidP="000D1D92">
      <w:pPr>
        <w:spacing w:before="0" w:after="0"/>
        <w:jc w:val="both"/>
        <w:rPr>
          <w:rFonts w:cs="Segoe UI"/>
        </w:rPr>
      </w:pPr>
      <w:r w:rsidRPr="008F1E63">
        <w:rPr>
          <w:rFonts w:cs="Segoe UI"/>
        </w:rPr>
        <w:t>It will be very important to continue to follow these women and their children to better understand how experiencing adversity during childhood influences health and wellbeing across the life course and into the next generation.</w:t>
      </w:r>
    </w:p>
    <w:p w14:paraId="2F22F454" w14:textId="77777777" w:rsidR="000D1D92" w:rsidRDefault="000D1D92" w:rsidP="000D1D92">
      <w:pPr>
        <w:spacing w:before="0" w:after="0"/>
      </w:pPr>
    </w:p>
    <w:tbl>
      <w:tblPr>
        <w:tblStyle w:val="TableGrid"/>
        <w:tblW w:w="0" w:type="auto"/>
        <w:shd w:val="clear" w:color="auto" w:fill="F2F2F2" w:themeFill="background1" w:themeFillShade="F2"/>
        <w:tblLook w:val="04A0" w:firstRow="1" w:lastRow="0" w:firstColumn="1" w:lastColumn="0" w:noHBand="0" w:noVBand="1"/>
      </w:tblPr>
      <w:tblGrid>
        <w:gridCol w:w="9286"/>
      </w:tblGrid>
      <w:tr w:rsidR="000D1D92" w14:paraId="084DAB3A" w14:textId="77777777" w:rsidTr="00684616">
        <w:tc>
          <w:tcPr>
            <w:tcW w:w="9286" w:type="dxa"/>
            <w:shd w:val="clear" w:color="auto" w:fill="F2F2F2" w:themeFill="background1" w:themeFillShade="F2"/>
          </w:tcPr>
          <w:p w14:paraId="6B03FCAD" w14:textId="77777777" w:rsidR="000D1D92" w:rsidRDefault="000D1D92" w:rsidP="00684616">
            <w:pPr>
              <w:spacing w:before="0" w:after="0"/>
              <w:jc w:val="both"/>
              <w:rPr>
                <w:b/>
              </w:rPr>
            </w:pPr>
          </w:p>
          <w:p w14:paraId="1301619A" w14:textId="77777777" w:rsidR="000D1D92" w:rsidRDefault="000D1D92" w:rsidP="00684616">
            <w:pPr>
              <w:spacing w:before="0" w:after="0"/>
              <w:jc w:val="both"/>
              <w:rPr>
                <w:b/>
              </w:rPr>
            </w:pPr>
            <w:r w:rsidRPr="00A34F00">
              <w:rPr>
                <w:b/>
              </w:rPr>
              <w:t xml:space="preserve">Recommendation </w:t>
            </w:r>
            <w:r>
              <w:rPr>
                <w:b/>
              </w:rPr>
              <w:t>7</w:t>
            </w:r>
            <w:r w:rsidRPr="00A34F00">
              <w:rPr>
                <w:b/>
              </w:rPr>
              <w:t xml:space="preserve">: </w:t>
            </w:r>
          </w:p>
          <w:p w14:paraId="370A0206" w14:textId="77777777" w:rsidR="000D1D92" w:rsidRDefault="000D1D92" w:rsidP="00684616">
            <w:pPr>
              <w:spacing w:before="0" w:after="0"/>
              <w:jc w:val="both"/>
              <w:rPr>
                <w:b/>
              </w:rPr>
            </w:pPr>
          </w:p>
          <w:p w14:paraId="15FC790C" w14:textId="77777777" w:rsidR="000D1D92" w:rsidRDefault="000D1D92" w:rsidP="00684616">
            <w:pPr>
              <w:spacing w:before="0" w:after="0"/>
              <w:jc w:val="both"/>
              <w:rPr>
                <w:b/>
              </w:rPr>
            </w:pPr>
            <w:r>
              <w:rPr>
                <w:b/>
              </w:rPr>
              <w:t>S</w:t>
            </w:r>
            <w:r w:rsidRPr="0095244B">
              <w:rPr>
                <w:b/>
              </w:rPr>
              <w:t>upport for the Australian Longitudinal Study on Women’s Health (ALSWH) project by the Australian Government Department of Health is extended after 30 June 2016 and support for the Mothers and their Children’s Health (MatCH) project by the Australian Government Department of Health is also extended after its National Health and Medical Research Council grant expires in 2017.</w:t>
            </w:r>
          </w:p>
          <w:p w14:paraId="11BC852C" w14:textId="77777777" w:rsidR="000D1D92" w:rsidRDefault="000D1D92" w:rsidP="00684616">
            <w:pPr>
              <w:spacing w:before="0" w:after="0"/>
              <w:jc w:val="both"/>
            </w:pPr>
          </w:p>
        </w:tc>
      </w:tr>
    </w:tbl>
    <w:p w14:paraId="26AE7310" w14:textId="77777777" w:rsidR="000D1D92" w:rsidRDefault="000D1D92" w:rsidP="000D1D92">
      <w:pPr>
        <w:spacing w:before="0" w:after="0"/>
      </w:pPr>
    </w:p>
    <w:tbl>
      <w:tblPr>
        <w:tblStyle w:val="TableGrid"/>
        <w:tblW w:w="0" w:type="auto"/>
        <w:shd w:val="clear" w:color="auto" w:fill="F2F2F2" w:themeFill="background1" w:themeFillShade="F2"/>
        <w:tblLook w:val="04A0" w:firstRow="1" w:lastRow="0" w:firstColumn="1" w:lastColumn="0" w:noHBand="0" w:noVBand="1"/>
      </w:tblPr>
      <w:tblGrid>
        <w:gridCol w:w="9286"/>
      </w:tblGrid>
      <w:tr w:rsidR="000D1D92" w14:paraId="5FA67EEF" w14:textId="77777777" w:rsidTr="00684616">
        <w:tc>
          <w:tcPr>
            <w:tcW w:w="9286" w:type="dxa"/>
            <w:shd w:val="clear" w:color="auto" w:fill="F2F2F2" w:themeFill="background1" w:themeFillShade="F2"/>
          </w:tcPr>
          <w:p w14:paraId="0D80FFFC" w14:textId="77777777" w:rsidR="000D1D92" w:rsidRDefault="000D1D92" w:rsidP="00684616">
            <w:pPr>
              <w:spacing w:before="0" w:after="0"/>
              <w:jc w:val="both"/>
              <w:rPr>
                <w:b/>
              </w:rPr>
            </w:pPr>
          </w:p>
          <w:p w14:paraId="28E931DA" w14:textId="77777777" w:rsidR="000D1D92" w:rsidRDefault="000D1D92" w:rsidP="00684616">
            <w:pPr>
              <w:spacing w:before="0" w:after="0"/>
              <w:jc w:val="both"/>
              <w:rPr>
                <w:b/>
              </w:rPr>
            </w:pPr>
            <w:r w:rsidRPr="00B80226">
              <w:rPr>
                <w:b/>
              </w:rPr>
              <w:t xml:space="preserve">Recommendation </w:t>
            </w:r>
            <w:r>
              <w:rPr>
                <w:b/>
              </w:rPr>
              <w:t>8</w:t>
            </w:r>
            <w:r w:rsidRPr="00B80226">
              <w:rPr>
                <w:b/>
              </w:rPr>
              <w:t xml:space="preserve">: </w:t>
            </w:r>
          </w:p>
          <w:p w14:paraId="152A40BB" w14:textId="77777777" w:rsidR="000D1D92" w:rsidRDefault="000D1D92" w:rsidP="00684616">
            <w:pPr>
              <w:spacing w:before="0" w:after="0"/>
              <w:jc w:val="both"/>
              <w:rPr>
                <w:b/>
              </w:rPr>
            </w:pPr>
          </w:p>
          <w:p w14:paraId="1101F2D2" w14:textId="77777777" w:rsidR="000D1D92" w:rsidRDefault="000D1D92" w:rsidP="00684616">
            <w:pPr>
              <w:spacing w:before="0" w:after="0"/>
              <w:jc w:val="both"/>
              <w:rPr>
                <w:b/>
              </w:rPr>
            </w:pPr>
            <w:r>
              <w:rPr>
                <w:b/>
              </w:rPr>
              <w:t>Support for the ‘</w:t>
            </w:r>
            <w:r w:rsidRPr="0095244B">
              <w:rPr>
                <w:b/>
              </w:rPr>
              <w:t>Improving the developmental outcomes of Northern Territory children: a data linkage study to inform policy and practice in health, family services and education</w:t>
            </w:r>
            <w:r>
              <w:rPr>
                <w:b/>
              </w:rPr>
              <w:t>’</w:t>
            </w:r>
            <w:r w:rsidRPr="0095244B">
              <w:rPr>
                <w:b/>
              </w:rPr>
              <w:t xml:space="preserve"> currently being conducted in the Northern Territory by Men</w:t>
            </w:r>
            <w:r>
              <w:rPr>
                <w:b/>
              </w:rPr>
              <w:t>zies School of Health Research is provided by</w:t>
            </w:r>
            <w:r w:rsidRPr="0095244B">
              <w:rPr>
                <w:b/>
              </w:rPr>
              <w:t xml:space="preserve"> the Australian Government Department of Social Services after its National Health and Medical Research Council grant expires in 2017.</w:t>
            </w:r>
          </w:p>
          <w:p w14:paraId="12CD0E33" w14:textId="77777777" w:rsidR="000D1D92" w:rsidRDefault="000D1D92" w:rsidP="00684616">
            <w:pPr>
              <w:spacing w:before="0" w:after="0"/>
              <w:jc w:val="both"/>
            </w:pPr>
          </w:p>
        </w:tc>
      </w:tr>
    </w:tbl>
    <w:p w14:paraId="116090D0" w14:textId="77777777" w:rsidR="000D1D92" w:rsidRDefault="000D1D92" w:rsidP="000D1D92">
      <w:pPr>
        <w:autoSpaceDE w:val="0"/>
        <w:autoSpaceDN w:val="0"/>
        <w:adjustRightInd w:val="0"/>
        <w:spacing w:before="0" w:after="0"/>
        <w:jc w:val="both"/>
        <w:rPr>
          <w:rFonts w:cs="Arial"/>
        </w:rPr>
      </w:pPr>
    </w:p>
    <w:tbl>
      <w:tblPr>
        <w:tblStyle w:val="TableGrid"/>
        <w:tblW w:w="0" w:type="auto"/>
        <w:shd w:val="clear" w:color="auto" w:fill="000000" w:themeFill="text1"/>
        <w:tblLook w:val="04A0" w:firstRow="1" w:lastRow="0" w:firstColumn="1" w:lastColumn="0" w:noHBand="0" w:noVBand="1"/>
      </w:tblPr>
      <w:tblGrid>
        <w:gridCol w:w="9060"/>
      </w:tblGrid>
      <w:tr w:rsidR="000D1D92" w:rsidRPr="007407A6" w14:paraId="592FF07A" w14:textId="77777777" w:rsidTr="00684616">
        <w:trPr>
          <w:trHeight w:val="1006"/>
        </w:trPr>
        <w:tc>
          <w:tcPr>
            <w:tcW w:w="9060" w:type="dxa"/>
            <w:shd w:val="clear" w:color="auto" w:fill="F2F2F2" w:themeFill="background1" w:themeFillShade="F2"/>
            <w:vAlign w:val="center"/>
          </w:tcPr>
          <w:p w14:paraId="40A023F3" w14:textId="77777777" w:rsidR="000D1D92" w:rsidRDefault="000D1D92" w:rsidP="00684616">
            <w:pPr>
              <w:spacing w:before="0" w:after="0"/>
              <w:rPr>
                <w:b/>
              </w:rPr>
            </w:pPr>
          </w:p>
          <w:p w14:paraId="5A8FF772" w14:textId="77777777" w:rsidR="000D1D92" w:rsidRDefault="000D1D92" w:rsidP="00684616">
            <w:pPr>
              <w:spacing w:before="0" w:after="0"/>
              <w:rPr>
                <w:b/>
              </w:rPr>
            </w:pPr>
            <w:r>
              <w:rPr>
                <w:b/>
              </w:rPr>
              <w:t>Summary</w:t>
            </w:r>
          </w:p>
          <w:p w14:paraId="6014A5E8" w14:textId="77777777" w:rsidR="000D1D92" w:rsidRDefault="000D1D92" w:rsidP="00684616">
            <w:pPr>
              <w:spacing w:before="0" w:after="0"/>
              <w:rPr>
                <w:b/>
              </w:rPr>
            </w:pPr>
          </w:p>
          <w:p w14:paraId="132D98CA" w14:textId="77777777" w:rsidR="000D1D92" w:rsidRDefault="000D1D92" w:rsidP="00684616">
            <w:pPr>
              <w:spacing w:before="0" w:after="0"/>
              <w:rPr>
                <w:b/>
              </w:rPr>
            </w:pPr>
            <w:r w:rsidRPr="00B80226">
              <w:rPr>
                <w:b/>
              </w:rPr>
              <w:t>What is the impact of family and domestic violence on children?</w:t>
            </w:r>
          </w:p>
          <w:p w14:paraId="574B3940" w14:textId="77777777" w:rsidR="000D1D92" w:rsidRDefault="000D1D92" w:rsidP="00684616">
            <w:pPr>
              <w:spacing w:before="0" w:after="0"/>
              <w:rPr>
                <w:b/>
              </w:rPr>
            </w:pPr>
          </w:p>
          <w:p w14:paraId="7BE02B1B" w14:textId="77777777" w:rsidR="000D1D92" w:rsidRPr="00B80226" w:rsidRDefault="000D1D92" w:rsidP="00684616">
            <w:pPr>
              <w:spacing w:before="0" w:after="0"/>
              <w:jc w:val="both"/>
            </w:pPr>
            <w:r w:rsidRPr="00B80226">
              <w:t xml:space="preserve">While negative outcomes are well recognised and documented, factors that mitigate the impacts of family and domestic violence and promote resilience are less well understood. </w:t>
            </w:r>
          </w:p>
          <w:p w14:paraId="61E2A95C" w14:textId="77777777" w:rsidR="000D1D92" w:rsidRPr="00B80226" w:rsidRDefault="000D1D92" w:rsidP="00684616">
            <w:pPr>
              <w:spacing w:before="0" w:after="0"/>
              <w:jc w:val="both"/>
            </w:pPr>
          </w:p>
          <w:p w14:paraId="4F8826AE" w14:textId="77777777" w:rsidR="000D1D92" w:rsidRPr="00B80226" w:rsidRDefault="000D1D92" w:rsidP="00684616">
            <w:pPr>
              <w:spacing w:before="0" w:after="0"/>
              <w:jc w:val="both"/>
            </w:pPr>
            <w:r w:rsidRPr="00B80226">
              <w:t xml:space="preserve">Differences in outcomes and impacts for children in different populations highlight the need for more in-depth research on the factors and interventions that enhance children’s resilience and ability to cope with experiences of family and domestic violence. </w:t>
            </w:r>
          </w:p>
          <w:p w14:paraId="3540CF82" w14:textId="77777777" w:rsidR="000D1D92" w:rsidRPr="00B80226" w:rsidRDefault="000D1D92" w:rsidP="00684616">
            <w:pPr>
              <w:spacing w:before="0" w:after="0"/>
              <w:jc w:val="both"/>
            </w:pPr>
          </w:p>
          <w:p w14:paraId="12657017" w14:textId="77777777" w:rsidR="000D1D92" w:rsidRPr="00B80226" w:rsidRDefault="000D1D92" w:rsidP="00684616">
            <w:pPr>
              <w:spacing w:before="0" w:after="0"/>
              <w:jc w:val="both"/>
            </w:pPr>
            <w:r w:rsidRPr="00B80226">
              <w:t xml:space="preserve">Efforts to understand children’s experiences are complicated by the difficulties of isolating the impacts of family and domestic violence from other detrimental </w:t>
            </w:r>
            <w:r w:rsidRPr="00B80226">
              <w:lastRenderedPageBreak/>
              <w:t xml:space="preserve">environmental factors, such as poverty, parental substance abuse, family dysfunction and mental ill-health. </w:t>
            </w:r>
          </w:p>
          <w:p w14:paraId="5889EF3B" w14:textId="77777777" w:rsidR="000D1D92" w:rsidRPr="00B80226" w:rsidRDefault="000D1D92" w:rsidP="00684616">
            <w:pPr>
              <w:spacing w:before="0" w:after="0"/>
              <w:jc w:val="both"/>
            </w:pPr>
          </w:p>
          <w:p w14:paraId="3EAB9236" w14:textId="77777777" w:rsidR="000D1D92" w:rsidRPr="00B80226" w:rsidRDefault="000D1D92" w:rsidP="00684616">
            <w:pPr>
              <w:spacing w:before="0" w:after="0"/>
              <w:jc w:val="both"/>
            </w:pPr>
            <w:r w:rsidRPr="00B80226">
              <w:t>The impact of family and domestic violence on some groups of children is further compounded by experiences of discrimination and marginalisation. In this context, groups of children and young people who are particularly vulnerable include Aboriginal and Torres Strait Islander children, children with disability, children from culturally and linguistically diverse ba</w:t>
            </w:r>
            <w:r>
              <w:t>ckgrounds and children who are l</w:t>
            </w:r>
            <w:r w:rsidRPr="00B80226">
              <w:t>esb</w:t>
            </w:r>
            <w:r>
              <w:t>ian, gay, bisexual, transgender and i</w:t>
            </w:r>
            <w:r w:rsidRPr="00B80226">
              <w:t>ntersex</w:t>
            </w:r>
            <w:r>
              <w:t>.</w:t>
            </w:r>
          </w:p>
          <w:p w14:paraId="5714EB0C" w14:textId="77777777" w:rsidR="000D1D92" w:rsidRPr="00B80226" w:rsidRDefault="000D1D92" w:rsidP="00684616">
            <w:pPr>
              <w:spacing w:before="0" w:after="0"/>
              <w:jc w:val="both"/>
            </w:pPr>
          </w:p>
          <w:p w14:paraId="588A057F" w14:textId="77777777" w:rsidR="000D1D92" w:rsidRDefault="000D1D92" w:rsidP="00684616">
            <w:pPr>
              <w:spacing w:before="0" w:after="0"/>
            </w:pPr>
            <w:r w:rsidRPr="00B80226">
              <w:t>It has also been observed that the effects of family and domestic violence manifest differently depending on the developmental stages of the children.</w:t>
            </w:r>
          </w:p>
          <w:p w14:paraId="4201C6AF" w14:textId="77777777" w:rsidR="000D1D92" w:rsidRPr="007407A6" w:rsidRDefault="000D1D92" w:rsidP="00684616">
            <w:pPr>
              <w:spacing w:before="0" w:after="0"/>
              <w:rPr>
                <w:b/>
              </w:rPr>
            </w:pPr>
          </w:p>
        </w:tc>
      </w:tr>
    </w:tbl>
    <w:p w14:paraId="1F296E69" w14:textId="77777777" w:rsidR="000D1D92" w:rsidRDefault="000D1D92" w:rsidP="000D1D92">
      <w:pPr>
        <w:pStyle w:val="Heading3"/>
        <w:jc w:val="both"/>
      </w:pPr>
      <w:bookmarkStart w:id="185" w:name="_Toc430702118"/>
      <w:bookmarkStart w:id="186" w:name="_Toc432061274"/>
      <w:r w:rsidRPr="0052270C">
        <w:lastRenderedPageBreak/>
        <w:t>What services, programs and support</w:t>
      </w:r>
      <w:r>
        <w:t>s currently exist for children experiencing family and domestic violence</w:t>
      </w:r>
      <w:r w:rsidRPr="0052270C">
        <w:t>?</w:t>
      </w:r>
      <w:bookmarkEnd w:id="185"/>
      <w:bookmarkEnd w:id="186"/>
    </w:p>
    <w:p w14:paraId="137D6FD0" w14:textId="77777777" w:rsidR="000D1D92" w:rsidRDefault="000D1D92" w:rsidP="000D1D92">
      <w:pPr>
        <w:jc w:val="both"/>
      </w:pPr>
      <w:r>
        <w:t xml:space="preserve">Participants at the roundtables and also in written submissions described services and programs used to support children experiencing family and domestic violence. These included: </w:t>
      </w:r>
    </w:p>
    <w:p w14:paraId="4E3744D8" w14:textId="77777777" w:rsidR="000D1D92" w:rsidRDefault="000D1D92" w:rsidP="000D1D92">
      <w:pPr>
        <w:pStyle w:val="ListParagraph"/>
        <w:numPr>
          <w:ilvl w:val="0"/>
          <w:numId w:val="73"/>
        </w:numPr>
        <w:jc w:val="both"/>
      </w:pPr>
      <w:r>
        <w:t xml:space="preserve">services helping children and their protective parent to be physically safe </w:t>
      </w:r>
    </w:p>
    <w:p w14:paraId="3958FAD8" w14:textId="77777777" w:rsidR="000D1D92" w:rsidRDefault="000D1D92" w:rsidP="000D1D92">
      <w:pPr>
        <w:pStyle w:val="ListParagraph"/>
        <w:numPr>
          <w:ilvl w:val="0"/>
          <w:numId w:val="73"/>
        </w:numPr>
        <w:jc w:val="both"/>
      </w:pPr>
      <w:r>
        <w:t>therapeutic services assisting children to manage the trauma associated with family and domestic violence; including programs that focus on the reparation of parent-child relationships</w:t>
      </w:r>
    </w:p>
    <w:p w14:paraId="259C0B49" w14:textId="77777777" w:rsidR="000D1D92" w:rsidRPr="00145BB7" w:rsidRDefault="000D1D92" w:rsidP="000D1D92">
      <w:pPr>
        <w:pStyle w:val="ListParagraph"/>
        <w:numPr>
          <w:ilvl w:val="0"/>
          <w:numId w:val="73"/>
        </w:numPr>
        <w:jc w:val="both"/>
      </w:pPr>
      <w:r>
        <w:t>p</w:t>
      </w:r>
      <w:r w:rsidRPr="00354AA1">
        <w:t>erpetrator interventions</w:t>
      </w:r>
      <w:r>
        <w:t xml:space="preserve"> for behaviour change.</w:t>
      </w:r>
    </w:p>
    <w:p w14:paraId="6E69A8B0" w14:textId="77777777" w:rsidR="000D1D92" w:rsidRDefault="000D1D92" w:rsidP="000D1D92">
      <w:pPr>
        <w:pStyle w:val="Heading4"/>
        <w:jc w:val="both"/>
      </w:pPr>
      <w:r>
        <w:t xml:space="preserve">Services helping </w:t>
      </w:r>
      <w:r w:rsidRPr="00057A0E">
        <w:t>children and their protective parent to be physically safe</w:t>
      </w:r>
    </w:p>
    <w:p w14:paraId="6679587A" w14:textId="77777777" w:rsidR="000D1D92" w:rsidRDefault="000D1D92" w:rsidP="000D1D92">
      <w:pPr>
        <w:autoSpaceDE w:val="0"/>
        <w:autoSpaceDN w:val="0"/>
        <w:adjustRightInd w:val="0"/>
        <w:spacing w:before="0" w:after="0"/>
        <w:jc w:val="both"/>
        <w:rPr>
          <w:rFonts w:cs="Arial"/>
        </w:rPr>
      </w:pPr>
      <w:r>
        <w:rPr>
          <w:rFonts w:cs="Arial"/>
        </w:rPr>
        <w:t>The need to improve and expand housing options available to children and their mothers escaping family and domestic violence was raised throughout my examination.</w:t>
      </w:r>
      <w:r>
        <w:rPr>
          <w:rStyle w:val="EndnoteReference"/>
          <w:rFonts w:cs="Arial"/>
        </w:rPr>
        <w:endnoteReference w:id="575"/>
      </w:r>
      <w:r>
        <w:rPr>
          <w:rFonts w:cs="Arial"/>
        </w:rPr>
        <w:t xml:space="preserve"> </w:t>
      </w:r>
    </w:p>
    <w:p w14:paraId="584439EE" w14:textId="77777777" w:rsidR="000D1D92" w:rsidRDefault="000D1D92" w:rsidP="000D1D92">
      <w:pPr>
        <w:autoSpaceDE w:val="0"/>
        <w:autoSpaceDN w:val="0"/>
        <w:adjustRightInd w:val="0"/>
        <w:spacing w:before="0" w:after="0"/>
        <w:jc w:val="both"/>
        <w:rPr>
          <w:rFonts w:cs="Arial"/>
        </w:rPr>
      </w:pPr>
    </w:p>
    <w:p w14:paraId="4C6F31BB" w14:textId="77777777" w:rsidR="000D1D92" w:rsidRDefault="000D1D92" w:rsidP="000D1D92">
      <w:pPr>
        <w:autoSpaceDE w:val="0"/>
        <w:autoSpaceDN w:val="0"/>
        <w:adjustRightInd w:val="0"/>
        <w:spacing w:before="0" w:after="0"/>
        <w:jc w:val="both"/>
        <w:rPr>
          <w:rFonts w:cs="Arial"/>
        </w:rPr>
      </w:pPr>
      <w:r>
        <w:rPr>
          <w:rFonts w:cs="Arial"/>
        </w:rPr>
        <w:t>As stated in the submission made by the Australian Psychological Society, there is:</w:t>
      </w:r>
    </w:p>
    <w:p w14:paraId="60D3BDB4" w14:textId="77777777" w:rsidR="000D1D92" w:rsidRDefault="000D1D92" w:rsidP="000D1D92">
      <w:pPr>
        <w:autoSpaceDE w:val="0"/>
        <w:autoSpaceDN w:val="0"/>
        <w:adjustRightInd w:val="0"/>
        <w:spacing w:before="0" w:after="0"/>
        <w:jc w:val="both"/>
        <w:rPr>
          <w:rFonts w:cs="Arial"/>
        </w:rPr>
      </w:pPr>
    </w:p>
    <w:p w14:paraId="36219C60" w14:textId="77777777" w:rsidR="000D1D92" w:rsidRPr="00A8391F" w:rsidRDefault="000D1D92" w:rsidP="000D1D92">
      <w:pPr>
        <w:autoSpaceDE w:val="0"/>
        <w:autoSpaceDN w:val="0"/>
        <w:adjustRightInd w:val="0"/>
        <w:spacing w:before="0" w:after="0"/>
        <w:ind w:left="720"/>
        <w:jc w:val="both"/>
        <w:rPr>
          <w:rFonts w:cs="Arial"/>
          <w:sz w:val="22"/>
          <w:szCs w:val="22"/>
        </w:rPr>
      </w:pPr>
      <w:r>
        <w:rPr>
          <w:rFonts w:cs="Arial"/>
          <w:sz w:val="22"/>
          <w:szCs w:val="22"/>
        </w:rPr>
        <w:t>A l</w:t>
      </w:r>
      <w:r w:rsidRPr="00A8391F">
        <w:rPr>
          <w:rFonts w:cs="Arial"/>
          <w:sz w:val="22"/>
          <w:szCs w:val="22"/>
        </w:rPr>
        <w:t>ack of alternatives for women wishing to exit an unsafe relationship with their children. There is a serious and chronic shortage of affordable housing, and women exiting such relationships are typically under 40 and have dependent children; this reduces the capacity to access paid work or private rental. Refuge housing is a last resort and more women than not are turned away due to shortages.</w:t>
      </w:r>
      <w:r w:rsidRPr="00A8391F">
        <w:rPr>
          <w:rStyle w:val="EndnoteReference"/>
          <w:rFonts w:cs="Arial"/>
          <w:sz w:val="22"/>
          <w:szCs w:val="22"/>
        </w:rPr>
        <w:endnoteReference w:id="576"/>
      </w:r>
    </w:p>
    <w:p w14:paraId="4278DDA0" w14:textId="77777777" w:rsidR="000D1D92" w:rsidRDefault="000D1D92" w:rsidP="000D1D92">
      <w:pPr>
        <w:autoSpaceDE w:val="0"/>
        <w:autoSpaceDN w:val="0"/>
        <w:adjustRightInd w:val="0"/>
        <w:spacing w:before="0" w:after="0"/>
        <w:jc w:val="both"/>
        <w:rPr>
          <w:rFonts w:cs="Arial"/>
        </w:rPr>
      </w:pPr>
    </w:p>
    <w:p w14:paraId="31DB194B" w14:textId="77777777" w:rsidR="000D1D92" w:rsidRDefault="000D1D92" w:rsidP="000D1D92">
      <w:pPr>
        <w:autoSpaceDE w:val="0"/>
        <w:autoSpaceDN w:val="0"/>
        <w:adjustRightInd w:val="0"/>
        <w:spacing w:before="0" w:after="0"/>
        <w:jc w:val="both"/>
        <w:rPr>
          <w:rFonts w:cs="Arial"/>
        </w:rPr>
      </w:pPr>
      <w:r>
        <w:rPr>
          <w:rFonts w:cs="Arial"/>
        </w:rPr>
        <w:t>Families Australia highlighted some of the issues children and their mothers can face when attempting to escape violence:</w:t>
      </w:r>
    </w:p>
    <w:p w14:paraId="3D6627BD" w14:textId="77777777" w:rsidR="000D1D92" w:rsidRDefault="000D1D92" w:rsidP="000D1D92">
      <w:pPr>
        <w:autoSpaceDE w:val="0"/>
        <w:autoSpaceDN w:val="0"/>
        <w:adjustRightInd w:val="0"/>
        <w:spacing w:before="0" w:after="0"/>
        <w:jc w:val="both"/>
        <w:rPr>
          <w:rFonts w:cs="Arial"/>
        </w:rPr>
      </w:pPr>
    </w:p>
    <w:p w14:paraId="130F612B" w14:textId="77777777" w:rsidR="000D1D92" w:rsidRPr="00202039" w:rsidRDefault="000D1D92" w:rsidP="000D1D92">
      <w:pPr>
        <w:autoSpaceDE w:val="0"/>
        <w:autoSpaceDN w:val="0"/>
        <w:adjustRightInd w:val="0"/>
        <w:spacing w:before="0" w:after="0"/>
        <w:ind w:left="720"/>
        <w:jc w:val="both"/>
        <w:rPr>
          <w:rFonts w:cs="Arial"/>
          <w:sz w:val="22"/>
          <w:szCs w:val="22"/>
        </w:rPr>
      </w:pPr>
      <w:r>
        <w:rPr>
          <w:rFonts w:cs="Arial"/>
          <w:sz w:val="22"/>
          <w:szCs w:val="22"/>
        </w:rPr>
        <w:t>T</w:t>
      </w:r>
      <w:r w:rsidRPr="00202039">
        <w:rPr>
          <w:rFonts w:cs="Arial"/>
          <w:sz w:val="22"/>
          <w:szCs w:val="22"/>
        </w:rPr>
        <w:t>he involvement of police, a traumatic move to a refuge or to relatives, and the subsequent dislocation from family, friends and education. Many women’s refuges do not accept boys over the age of 15</w:t>
      </w:r>
      <w:r>
        <w:rPr>
          <w:rFonts w:cs="Arial"/>
          <w:sz w:val="22"/>
          <w:szCs w:val="22"/>
        </w:rPr>
        <w:t>.</w:t>
      </w:r>
      <w:r>
        <w:rPr>
          <w:rStyle w:val="EndnoteReference"/>
          <w:rFonts w:cs="Arial"/>
          <w:szCs w:val="22"/>
        </w:rPr>
        <w:endnoteReference w:id="577"/>
      </w:r>
    </w:p>
    <w:p w14:paraId="500F6A7D" w14:textId="77777777" w:rsidR="000D1D92" w:rsidRDefault="000D1D92" w:rsidP="000D1D92">
      <w:pPr>
        <w:autoSpaceDE w:val="0"/>
        <w:autoSpaceDN w:val="0"/>
        <w:adjustRightInd w:val="0"/>
        <w:spacing w:before="0" w:after="0"/>
        <w:jc w:val="both"/>
        <w:rPr>
          <w:rFonts w:cs="Arial"/>
        </w:rPr>
      </w:pPr>
    </w:p>
    <w:p w14:paraId="7A751C44" w14:textId="77777777" w:rsidR="000D1D92" w:rsidRDefault="000D1D92" w:rsidP="000D1D92">
      <w:pPr>
        <w:autoSpaceDE w:val="0"/>
        <w:autoSpaceDN w:val="0"/>
        <w:adjustRightInd w:val="0"/>
        <w:spacing w:before="0" w:after="0"/>
        <w:jc w:val="both"/>
        <w:rPr>
          <w:rFonts w:cs="Arial"/>
        </w:rPr>
      </w:pPr>
      <w:r>
        <w:rPr>
          <w:rFonts w:cs="Arial"/>
        </w:rPr>
        <w:t xml:space="preserve">Aboriginal Family Law Services also pointed out that: </w:t>
      </w:r>
    </w:p>
    <w:p w14:paraId="79CA5B41" w14:textId="77777777" w:rsidR="000D1D92" w:rsidRDefault="000D1D92" w:rsidP="000D1D92">
      <w:pPr>
        <w:autoSpaceDE w:val="0"/>
        <w:autoSpaceDN w:val="0"/>
        <w:adjustRightInd w:val="0"/>
        <w:spacing w:before="0" w:after="0"/>
        <w:jc w:val="both"/>
        <w:rPr>
          <w:rFonts w:cs="Arial"/>
        </w:rPr>
      </w:pPr>
    </w:p>
    <w:p w14:paraId="631BC4DF" w14:textId="77777777" w:rsidR="000D1D92" w:rsidRDefault="000D1D92" w:rsidP="000D1D92">
      <w:pPr>
        <w:autoSpaceDE w:val="0"/>
        <w:autoSpaceDN w:val="0"/>
        <w:adjustRightInd w:val="0"/>
        <w:spacing w:before="0" w:after="0"/>
        <w:ind w:left="720"/>
        <w:jc w:val="both"/>
        <w:rPr>
          <w:rFonts w:cs="Arial"/>
          <w:sz w:val="22"/>
          <w:szCs w:val="22"/>
        </w:rPr>
      </w:pPr>
      <w:r w:rsidRPr="00202039">
        <w:rPr>
          <w:rFonts w:cs="Arial"/>
          <w:sz w:val="22"/>
          <w:szCs w:val="22"/>
        </w:rPr>
        <w:lastRenderedPageBreak/>
        <w:t>While a woman may approach a legal service for assistance with a restraining order against her violent partner, her immediate physical safety may depend on whether the local women’s refuge has a bed available, will agree to accommodate her teenage son, or will accept her in her intoxicated state – and this all assumes the community she lives in has a refuge or safe place she can stay.</w:t>
      </w:r>
      <w:r>
        <w:rPr>
          <w:rStyle w:val="EndnoteReference"/>
          <w:rFonts w:cs="Arial"/>
          <w:szCs w:val="22"/>
        </w:rPr>
        <w:endnoteReference w:id="578"/>
      </w:r>
    </w:p>
    <w:p w14:paraId="3B5C8D62" w14:textId="77777777" w:rsidR="000D1D92" w:rsidRDefault="000D1D92" w:rsidP="000D1D92">
      <w:pPr>
        <w:autoSpaceDE w:val="0"/>
        <w:autoSpaceDN w:val="0"/>
        <w:adjustRightInd w:val="0"/>
        <w:spacing w:before="0" w:after="0"/>
        <w:jc w:val="both"/>
        <w:rPr>
          <w:rFonts w:cs="Arial"/>
        </w:rPr>
      </w:pPr>
    </w:p>
    <w:p w14:paraId="68A8B16E" w14:textId="77777777" w:rsidR="000D1D92" w:rsidRPr="00027437" w:rsidRDefault="000D1D92" w:rsidP="000D1D92">
      <w:pPr>
        <w:autoSpaceDE w:val="0"/>
        <w:autoSpaceDN w:val="0"/>
        <w:adjustRightInd w:val="0"/>
        <w:spacing w:before="0" w:after="0"/>
        <w:jc w:val="both"/>
        <w:rPr>
          <w:rFonts w:cs="Arial"/>
        </w:rPr>
      </w:pPr>
      <w:r w:rsidRPr="00027437">
        <w:rPr>
          <w:rFonts w:cs="Arial"/>
        </w:rPr>
        <w:t xml:space="preserve">Berry Street </w:t>
      </w:r>
      <w:r>
        <w:rPr>
          <w:rFonts w:cs="Arial"/>
        </w:rPr>
        <w:t xml:space="preserve">also </w:t>
      </w:r>
      <w:r w:rsidRPr="00027437">
        <w:rPr>
          <w:rFonts w:cs="Arial"/>
        </w:rPr>
        <w:t>raised issues of limited access and restrictive entry criteria to refuge accommodation as a concern:</w:t>
      </w:r>
    </w:p>
    <w:p w14:paraId="2AABB815" w14:textId="77777777" w:rsidR="000D1D92" w:rsidRPr="00027437" w:rsidRDefault="000D1D92" w:rsidP="000D1D92">
      <w:pPr>
        <w:autoSpaceDE w:val="0"/>
        <w:autoSpaceDN w:val="0"/>
        <w:adjustRightInd w:val="0"/>
        <w:spacing w:before="0" w:after="0"/>
        <w:jc w:val="both"/>
        <w:rPr>
          <w:rFonts w:cs="Arial"/>
        </w:rPr>
      </w:pPr>
    </w:p>
    <w:p w14:paraId="18C1BF6B" w14:textId="77777777" w:rsidR="000D1D92" w:rsidRDefault="000D1D92" w:rsidP="000D1D92">
      <w:pPr>
        <w:spacing w:before="0" w:after="0"/>
        <w:ind w:left="720"/>
        <w:jc w:val="both"/>
        <w:rPr>
          <w:sz w:val="22"/>
          <w:szCs w:val="22"/>
        </w:rPr>
      </w:pPr>
      <w:r>
        <w:rPr>
          <w:sz w:val="22"/>
          <w:szCs w:val="22"/>
        </w:rPr>
        <w:t xml:space="preserve">For many women and children, refuge accommodation is a supported and safe alternative to remaining at home or with family or friends; however, due to the scarcity of beds, the access criterion has become increasingly narrow. Sometimes women who are at extreme risk, are rendered ineligible, because the most recent incident of violence was more than a week ago. </w:t>
      </w:r>
    </w:p>
    <w:p w14:paraId="5BD931C7" w14:textId="77777777" w:rsidR="000D1D92" w:rsidRDefault="000D1D92" w:rsidP="000D1D92">
      <w:pPr>
        <w:spacing w:before="0" w:after="0"/>
        <w:jc w:val="both"/>
        <w:rPr>
          <w:sz w:val="22"/>
          <w:szCs w:val="22"/>
        </w:rPr>
      </w:pPr>
    </w:p>
    <w:p w14:paraId="36578B31" w14:textId="77777777" w:rsidR="000D1D92" w:rsidRDefault="000D1D92" w:rsidP="000D1D92">
      <w:pPr>
        <w:spacing w:before="0" w:after="0"/>
        <w:ind w:left="720"/>
        <w:jc w:val="both"/>
        <w:rPr>
          <w:sz w:val="22"/>
          <w:szCs w:val="22"/>
        </w:rPr>
      </w:pPr>
      <w:r>
        <w:rPr>
          <w:sz w:val="22"/>
          <w:szCs w:val="22"/>
        </w:rPr>
        <w:t>The criteria can prevent the use of preventative placement, for example, when a person who has used violence is about to be released from remand or jail. Scarcity of beds can result in women with disabilities or mental health issues or mothers with older sons being unable to access refuge due to insufficient vacancies in tailored models that can adequately support them.</w:t>
      </w:r>
      <w:r>
        <w:rPr>
          <w:rStyle w:val="EndnoteReference"/>
          <w:szCs w:val="22"/>
        </w:rPr>
        <w:endnoteReference w:id="579"/>
      </w:r>
    </w:p>
    <w:p w14:paraId="57839FDB" w14:textId="77777777" w:rsidR="000D1D92" w:rsidRDefault="000D1D92" w:rsidP="000D1D92">
      <w:pPr>
        <w:autoSpaceDE w:val="0"/>
        <w:autoSpaceDN w:val="0"/>
        <w:adjustRightInd w:val="0"/>
        <w:spacing w:before="0" w:after="0"/>
        <w:jc w:val="both"/>
        <w:rPr>
          <w:rFonts w:cs="Arial"/>
        </w:rPr>
      </w:pPr>
    </w:p>
    <w:p w14:paraId="6F987237" w14:textId="77777777" w:rsidR="000D1D92" w:rsidRDefault="000D1D92" w:rsidP="000D1D92">
      <w:pPr>
        <w:autoSpaceDE w:val="0"/>
        <w:autoSpaceDN w:val="0"/>
        <w:adjustRightInd w:val="0"/>
        <w:spacing w:before="0" w:after="0"/>
        <w:jc w:val="both"/>
        <w:rPr>
          <w:rFonts w:cs="Arial"/>
        </w:rPr>
      </w:pPr>
      <w:r>
        <w:rPr>
          <w:rFonts w:cs="Arial"/>
        </w:rPr>
        <w:t>The Western Australian Government raised in its submission the benefits of the ‘cluster model’ refuge which:</w:t>
      </w:r>
    </w:p>
    <w:p w14:paraId="4662AA21" w14:textId="77777777" w:rsidR="000D1D92" w:rsidRDefault="000D1D92" w:rsidP="000D1D92">
      <w:pPr>
        <w:autoSpaceDE w:val="0"/>
        <w:autoSpaceDN w:val="0"/>
        <w:adjustRightInd w:val="0"/>
        <w:spacing w:before="0" w:after="0"/>
        <w:jc w:val="both"/>
        <w:rPr>
          <w:rFonts w:cs="Arial"/>
        </w:rPr>
      </w:pPr>
      <w:r>
        <w:rPr>
          <w:rFonts w:cs="Arial"/>
        </w:rPr>
        <w:tab/>
      </w:r>
    </w:p>
    <w:p w14:paraId="5225A175" w14:textId="77777777" w:rsidR="000D1D92" w:rsidRPr="00F11B5B" w:rsidRDefault="000D1D92" w:rsidP="000D1D92">
      <w:pPr>
        <w:autoSpaceDE w:val="0"/>
        <w:autoSpaceDN w:val="0"/>
        <w:adjustRightInd w:val="0"/>
        <w:spacing w:before="0" w:after="0"/>
        <w:ind w:left="720"/>
        <w:jc w:val="both"/>
        <w:rPr>
          <w:rFonts w:cs="Arial"/>
          <w:sz w:val="22"/>
          <w:szCs w:val="22"/>
        </w:rPr>
      </w:pPr>
      <w:r w:rsidRPr="00F11B5B">
        <w:rPr>
          <w:rFonts w:cs="Arial"/>
          <w:sz w:val="22"/>
          <w:szCs w:val="22"/>
        </w:rPr>
        <w:t>enables larger families to be accommodated, including women with older boys and provides more privacy and independence to women and children.</w:t>
      </w:r>
      <w:r w:rsidRPr="00F11B5B">
        <w:rPr>
          <w:rStyle w:val="EndnoteReference"/>
          <w:rFonts w:cs="Arial"/>
          <w:sz w:val="22"/>
          <w:szCs w:val="22"/>
        </w:rPr>
        <w:endnoteReference w:id="580"/>
      </w:r>
    </w:p>
    <w:p w14:paraId="08AFEDCF" w14:textId="77777777" w:rsidR="000D1D92" w:rsidRDefault="000D1D92" w:rsidP="000D1D92">
      <w:pPr>
        <w:autoSpaceDE w:val="0"/>
        <w:autoSpaceDN w:val="0"/>
        <w:adjustRightInd w:val="0"/>
        <w:spacing w:before="0" w:after="0"/>
        <w:jc w:val="both"/>
        <w:rPr>
          <w:rFonts w:cs="Arial"/>
        </w:rPr>
      </w:pPr>
    </w:p>
    <w:p w14:paraId="6042CBAE" w14:textId="77777777" w:rsidR="000D1D92" w:rsidRDefault="000D1D92" w:rsidP="000D1D92">
      <w:pPr>
        <w:autoSpaceDE w:val="0"/>
        <w:autoSpaceDN w:val="0"/>
        <w:adjustRightInd w:val="0"/>
        <w:spacing w:before="0" w:after="0"/>
        <w:jc w:val="both"/>
        <w:rPr>
          <w:rFonts w:cs="Arial"/>
        </w:rPr>
      </w:pPr>
      <w:r>
        <w:rPr>
          <w:rFonts w:cs="Arial"/>
        </w:rPr>
        <w:t>During my consultations, I visited a cluster model refuge and observed the benefits inherent in this model.</w:t>
      </w:r>
    </w:p>
    <w:p w14:paraId="7D8CB5DD" w14:textId="77777777" w:rsidR="000D1D92" w:rsidRDefault="000D1D92" w:rsidP="000D1D92">
      <w:pPr>
        <w:autoSpaceDE w:val="0"/>
        <w:autoSpaceDN w:val="0"/>
        <w:adjustRightInd w:val="0"/>
        <w:spacing w:before="0" w:after="0"/>
        <w:jc w:val="both"/>
        <w:rPr>
          <w:rFonts w:cs="Arial"/>
        </w:rPr>
      </w:pPr>
    </w:p>
    <w:p w14:paraId="1A29CF75" w14:textId="77777777" w:rsidR="000D1D92" w:rsidRDefault="000D1D92" w:rsidP="000D1D92">
      <w:pPr>
        <w:autoSpaceDE w:val="0"/>
        <w:autoSpaceDN w:val="0"/>
        <w:adjustRightInd w:val="0"/>
        <w:spacing w:before="0" w:after="0"/>
        <w:jc w:val="both"/>
        <w:rPr>
          <w:rFonts w:cs="Arial"/>
        </w:rPr>
      </w:pPr>
      <w:r>
        <w:rPr>
          <w:rFonts w:cs="Arial"/>
        </w:rPr>
        <w:t>Berry Street indicated to me that it has supported women and children who have been in transitional housing for extended periods of time. In some cases, these mothers and their children have waited months and years for a permanent placement.</w:t>
      </w:r>
      <w:r>
        <w:rPr>
          <w:rStyle w:val="EndnoteReference"/>
          <w:rFonts w:cs="Arial"/>
        </w:rPr>
        <w:endnoteReference w:id="581"/>
      </w:r>
      <w:r>
        <w:rPr>
          <w:rFonts w:cs="Arial"/>
        </w:rPr>
        <w:t xml:space="preserve"> </w:t>
      </w:r>
    </w:p>
    <w:p w14:paraId="51086BD5" w14:textId="77777777" w:rsidR="000D1D92" w:rsidRDefault="000D1D92" w:rsidP="000D1D92">
      <w:pPr>
        <w:autoSpaceDE w:val="0"/>
        <w:autoSpaceDN w:val="0"/>
        <w:adjustRightInd w:val="0"/>
        <w:spacing w:before="0" w:after="0"/>
        <w:jc w:val="both"/>
        <w:rPr>
          <w:rFonts w:cs="Arial"/>
        </w:rPr>
      </w:pPr>
    </w:p>
    <w:p w14:paraId="4B1DAA49" w14:textId="77777777" w:rsidR="000D1D92" w:rsidRDefault="000D1D92" w:rsidP="000D1D92">
      <w:pPr>
        <w:autoSpaceDE w:val="0"/>
        <w:autoSpaceDN w:val="0"/>
        <w:adjustRightInd w:val="0"/>
        <w:spacing w:before="0" w:after="0"/>
        <w:jc w:val="both"/>
        <w:rPr>
          <w:rFonts w:cs="Arial"/>
        </w:rPr>
      </w:pPr>
      <w:r>
        <w:rPr>
          <w:rFonts w:cs="Arial"/>
        </w:rPr>
        <w:t xml:space="preserve">Berry Street promotes the federal initiative, </w:t>
      </w:r>
      <w:r w:rsidRPr="00832E72">
        <w:rPr>
          <w:rFonts w:cs="Arial"/>
          <w:i/>
        </w:rPr>
        <w:t>A Place to Call Home</w:t>
      </w:r>
      <w:r>
        <w:rPr>
          <w:rFonts w:cs="Arial"/>
        </w:rPr>
        <w:t>, as an example of an effective brokerage program to help families recover from violence and enable their transitional housing to become their permanent home.</w:t>
      </w:r>
      <w:r>
        <w:rPr>
          <w:rStyle w:val="EndnoteReference"/>
          <w:rFonts w:cs="Arial"/>
        </w:rPr>
        <w:endnoteReference w:id="582"/>
      </w:r>
      <w:r>
        <w:rPr>
          <w:rFonts w:cs="Arial"/>
        </w:rPr>
        <w:t xml:space="preserve"> </w:t>
      </w:r>
    </w:p>
    <w:p w14:paraId="4C1A9F8A" w14:textId="77777777" w:rsidR="000D1D92" w:rsidRDefault="000D1D92" w:rsidP="000D1D92">
      <w:pPr>
        <w:jc w:val="both"/>
      </w:pPr>
      <w:r>
        <w:rPr>
          <w:rFonts w:cs="Arial"/>
        </w:rPr>
        <w:t xml:space="preserve">Providing </w:t>
      </w:r>
      <w:r>
        <w:t>accommodation services that help children and their protective parent to be physically safe at home, both in the short and the longer term, must be prioritised.</w:t>
      </w:r>
    </w:p>
    <w:p w14:paraId="346755FD" w14:textId="77777777" w:rsidR="000D1D92" w:rsidRDefault="000D1D92" w:rsidP="000D1D92">
      <w:pPr>
        <w:jc w:val="both"/>
      </w:pPr>
      <w:r>
        <w:t xml:space="preserve">The Senate Committee’s recent report on family and domestic violence recognised that the longer-term housing needs of children and their mothers must be addressed, and recommended that: </w:t>
      </w:r>
    </w:p>
    <w:p w14:paraId="7B5A911D" w14:textId="77777777" w:rsidR="000D1D92" w:rsidRPr="003B7164" w:rsidRDefault="000D1D92" w:rsidP="000D1D92">
      <w:pPr>
        <w:ind w:left="720"/>
        <w:jc w:val="both"/>
      </w:pPr>
      <w:r>
        <w:rPr>
          <w:sz w:val="22"/>
          <w:szCs w:val="22"/>
        </w:rPr>
        <w:t>… the Commonwealth Government take a lead role in the provision of affordable housing solutions in Australia to meet long-term needs for those made homeless by domestic and family violence and in order to address the backlog of victims who cannot access affordable housing which stakeholders have identified during the inquiry.</w:t>
      </w:r>
      <w:r>
        <w:rPr>
          <w:rStyle w:val="EndnoteReference"/>
          <w:szCs w:val="22"/>
        </w:rPr>
        <w:endnoteReference w:id="583"/>
      </w:r>
    </w:p>
    <w:p w14:paraId="5C7E0D4E" w14:textId="77777777" w:rsidR="000D1D92" w:rsidRDefault="000D1D92" w:rsidP="000D1D92">
      <w:pPr>
        <w:pStyle w:val="Heading4"/>
        <w:jc w:val="both"/>
      </w:pPr>
      <w:r>
        <w:lastRenderedPageBreak/>
        <w:t xml:space="preserve"> Therapeutic services assisting children to manage the trauma associated with family and domestic violence; including programs that focus on reparation of parent-child relationships</w:t>
      </w:r>
    </w:p>
    <w:p w14:paraId="6AD14845" w14:textId="77777777" w:rsidR="000D1D92" w:rsidRDefault="000D1D92" w:rsidP="000D1D92">
      <w:pPr>
        <w:jc w:val="both"/>
      </w:pPr>
      <w:r>
        <w:t>T</w:t>
      </w:r>
      <w:r w:rsidRPr="005C495C">
        <w:t xml:space="preserve">herapeutic interventions targeted at children who experience </w:t>
      </w:r>
      <w:r>
        <w:t>f</w:t>
      </w:r>
      <w:r w:rsidRPr="005C495C">
        <w:t>amily</w:t>
      </w:r>
      <w:r>
        <w:t xml:space="preserve"> and domestic </w:t>
      </w:r>
      <w:r w:rsidRPr="005C495C">
        <w:t xml:space="preserve">violence </w:t>
      </w:r>
      <w:r>
        <w:t>are widely recognised as</w:t>
      </w:r>
      <w:r w:rsidRPr="005C495C">
        <w:t xml:space="preserve"> </w:t>
      </w:r>
      <w:r>
        <w:t>positively influencing outcomes for them.</w:t>
      </w:r>
    </w:p>
    <w:p w14:paraId="79CE5E39" w14:textId="77777777" w:rsidR="000D1D92" w:rsidRDefault="000D1D92" w:rsidP="000D1D92">
      <w:pPr>
        <w:jc w:val="both"/>
      </w:pPr>
      <w:r>
        <w:t>Participants at my roundtables and written submissions raised issues about the affordability, accessibility and availability of therapeutic services for children. The Dawn House Women’s Refuge in the Northern Territory, for example, stated that:</w:t>
      </w:r>
    </w:p>
    <w:p w14:paraId="7D01A4EB" w14:textId="77777777" w:rsidR="000D1D92" w:rsidRDefault="000D1D92" w:rsidP="000D1D92">
      <w:pPr>
        <w:ind w:left="720"/>
        <w:jc w:val="both"/>
        <w:rPr>
          <w:sz w:val="22"/>
          <w:szCs w:val="22"/>
        </w:rPr>
      </w:pPr>
      <w:r w:rsidRPr="00A20CBC">
        <w:rPr>
          <w:sz w:val="22"/>
          <w:szCs w:val="22"/>
        </w:rPr>
        <w:t>A significant barrier to service accessibility for children affected by DV&amp;FV tends to be the relatively complicated and protracted process for accessing affordable services that cover a child’s holistic needs</w:t>
      </w:r>
      <w:r>
        <w:rPr>
          <w:sz w:val="22"/>
          <w:szCs w:val="22"/>
        </w:rPr>
        <w:t>.</w:t>
      </w:r>
      <w:r>
        <w:rPr>
          <w:rStyle w:val="EndnoteReference"/>
          <w:szCs w:val="22"/>
        </w:rPr>
        <w:endnoteReference w:id="584"/>
      </w:r>
    </w:p>
    <w:p w14:paraId="4320C115" w14:textId="77777777" w:rsidR="000D1D92" w:rsidRDefault="000D1D92" w:rsidP="000D1D92">
      <w:pPr>
        <w:ind w:left="720"/>
        <w:jc w:val="both"/>
        <w:rPr>
          <w:sz w:val="22"/>
          <w:szCs w:val="22"/>
        </w:rPr>
      </w:pPr>
      <w:r w:rsidRPr="00A20CBC">
        <w:rPr>
          <w:sz w:val="22"/>
          <w:szCs w:val="22"/>
        </w:rPr>
        <w:t>A child with psychological, behavioural or developmental issues may require a multitude of specialist intervention, including: general practitioners for referrals, occupational therapy, speech pathologists, special education services and school intervention, complex paediatric assessments and diagnosis, child development services, medications, play therapists, counsellors or psychologists, recreational services, disability support services, respite and child care. Many services work in silos and have varying wait list times.</w:t>
      </w:r>
      <w:r>
        <w:rPr>
          <w:rStyle w:val="EndnoteReference"/>
          <w:szCs w:val="22"/>
        </w:rPr>
        <w:endnoteReference w:id="585"/>
      </w:r>
    </w:p>
    <w:p w14:paraId="5A9C2A41" w14:textId="77777777" w:rsidR="000D1D92" w:rsidRDefault="000D1D92" w:rsidP="000D1D92">
      <w:pPr>
        <w:jc w:val="both"/>
      </w:pPr>
      <w:r>
        <w:t>The submission made by the New South Wales Government raised the need for family and domestic violence services to operate from a trauma-informed framework.</w:t>
      </w:r>
      <w:r>
        <w:rPr>
          <w:rStyle w:val="EndnoteReference"/>
        </w:rPr>
        <w:endnoteReference w:id="586"/>
      </w:r>
    </w:p>
    <w:p w14:paraId="340DE178" w14:textId="77777777" w:rsidR="000D1D92" w:rsidRDefault="000D1D92" w:rsidP="000D1D92">
      <w:pPr>
        <w:autoSpaceDE w:val="0"/>
        <w:autoSpaceDN w:val="0"/>
        <w:adjustRightInd w:val="0"/>
        <w:spacing w:before="0" w:after="0"/>
        <w:jc w:val="both"/>
        <w:rPr>
          <w:rFonts w:cs="Arial"/>
        </w:rPr>
      </w:pPr>
      <w:r w:rsidRPr="001715AD">
        <w:rPr>
          <w:rFonts w:cs="Arial"/>
        </w:rPr>
        <w:t>The submission made by Berry Street reinforced the need for:</w:t>
      </w:r>
    </w:p>
    <w:p w14:paraId="138F9AFA" w14:textId="77777777" w:rsidR="000D1D92" w:rsidRDefault="000D1D92" w:rsidP="000D1D92">
      <w:pPr>
        <w:autoSpaceDE w:val="0"/>
        <w:autoSpaceDN w:val="0"/>
        <w:adjustRightInd w:val="0"/>
        <w:spacing w:before="0" w:after="0"/>
        <w:jc w:val="both"/>
        <w:rPr>
          <w:rFonts w:cs="Arial"/>
        </w:rPr>
      </w:pPr>
    </w:p>
    <w:p w14:paraId="07392F42" w14:textId="77777777" w:rsidR="000D1D92" w:rsidRPr="00482666" w:rsidRDefault="000D1D92" w:rsidP="000D1D92">
      <w:pPr>
        <w:autoSpaceDE w:val="0"/>
        <w:autoSpaceDN w:val="0"/>
        <w:adjustRightInd w:val="0"/>
        <w:spacing w:before="0" w:after="0"/>
        <w:ind w:left="720"/>
        <w:jc w:val="both"/>
        <w:rPr>
          <w:rFonts w:cs="Arial"/>
          <w:sz w:val="22"/>
          <w:szCs w:val="22"/>
        </w:rPr>
      </w:pPr>
      <w:r>
        <w:rPr>
          <w:rFonts w:cs="Arial"/>
          <w:sz w:val="22"/>
          <w:szCs w:val="22"/>
        </w:rPr>
        <w:t>Therapeutic options to aid children’s recovery from any traumatic impact of family violence</w:t>
      </w:r>
      <w:r>
        <w:rPr>
          <w:rStyle w:val="EndnoteReference"/>
          <w:rFonts w:cs="Arial"/>
          <w:szCs w:val="22"/>
        </w:rPr>
        <w:endnoteReference w:id="587"/>
      </w:r>
      <w:r>
        <w:rPr>
          <w:rFonts w:cs="Arial"/>
          <w:sz w:val="22"/>
          <w:szCs w:val="22"/>
        </w:rPr>
        <w:t>…clinical interventions targeting children living in families where there is pregnancy, high risk incidents and post-separation violence are lacking.</w:t>
      </w:r>
      <w:r>
        <w:rPr>
          <w:rStyle w:val="EndnoteReference"/>
          <w:rFonts w:cs="Arial"/>
          <w:szCs w:val="22"/>
        </w:rPr>
        <w:endnoteReference w:id="588"/>
      </w:r>
    </w:p>
    <w:p w14:paraId="37D6A090" w14:textId="77777777" w:rsidR="000D1D92" w:rsidRDefault="000D1D92" w:rsidP="000D1D92">
      <w:pPr>
        <w:jc w:val="both"/>
      </w:pPr>
      <w:r w:rsidRPr="00C370E4">
        <w:t>Ms Emma Giers</w:t>
      </w:r>
      <w:r>
        <w:t xml:space="preserve">chick, a mother of a child with disability, also pointed out to me that: </w:t>
      </w:r>
    </w:p>
    <w:p w14:paraId="3FDA86E2" w14:textId="77777777" w:rsidR="000D1D92" w:rsidRDefault="000D1D92" w:rsidP="000D1D92">
      <w:pPr>
        <w:ind w:left="720"/>
        <w:jc w:val="both"/>
        <w:rPr>
          <w:sz w:val="22"/>
          <w:szCs w:val="22"/>
        </w:rPr>
      </w:pPr>
      <w:r w:rsidRPr="00C370E4">
        <w:rPr>
          <w:sz w:val="22"/>
          <w:szCs w:val="22"/>
        </w:rPr>
        <w:t xml:space="preserve">It has often taken a long time to establish a suitable support network for a child with therapists, medical services and educational supports. There are often long waiting lists for such services. </w:t>
      </w:r>
    </w:p>
    <w:p w14:paraId="3D756C63" w14:textId="77777777" w:rsidR="000D1D92" w:rsidRDefault="000D1D92" w:rsidP="000D1D92">
      <w:pPr>
        <w:ind w:left="720"/>
        <w:jc w:val="both"/>
        <w:rPr>
          <w:sz w:val="22"/>
          <w:szCs w:val="22"/>
        </w:rPr>
      </w:pPr>
      <w:r w:rsidRPr="00C370E4">
        <w:rPr>
          <w:sz w:val="22"/>
          <w:szCs w:val="22"/>
        </w:rPr>
        <w:t>This is a consideration a mother has to make about relocating. It isn’t as easy as just going to a refuge and finding a new therapist.</w:t>
      </w:r>
      <w:r>
        <w:rPr>
          <w:rStyle w:val="EndnoteReference"/>
          <w:szCs w:val="22"/>
        </w:rPr>
        <w:endnoteReference w:id="589"/>
      </w:r>
    </w:p>
    <w:p w14:paraId="5CCBD519" w14:textId="77777777" w:rsidR="000D1D92" w:rsidRDefault="000D1D92" w:rsidP="000D1D92">
      <w:pPr>
        <w:autoSpaceDE w:val="0"/>
        <w:autoSpaceDN w:val="0"/>
        <w:adjustRightInd w:val="0"/>
        <w:spacing w:before="0" w:after="0"/>
        <w:jc w:val="both"/>
        <w:rPr>
          <w:rFonts w:cs="Arial"/>
        </w:rPr>
      </w:pPr>
      <w:r>
        <w:rPr>
          <w:rFonts w:cs="Arial"/>
        </w:rPr>
        <w:t>The NSW Government submission to my examination highlighted some of the factors impeding children’s engagement with services; including:</w:t>
      </w:r>
    </w:p>
    <w:p w14:paraId="12BB16B2" w14:textId="77777777" w:rsidR="000D1D92" w:rsidRDefault="000D1D92" w:rsidP="000D1D92">
      <w:pPr>
        <w:autoSpaceDE w:val="0"/>
        <w:autoSpaceDN w:val="0"/>
        <w:adjustRightInd w:val="0"/>
        <w:spacing w:before="0" w:after="0"/>
        <w:jc w:val="both"/>
        <w:rPr>
          <w:rFonts w:cs="Arial"/>
        </w:rPr>
      </w:pPr>
    </w:p>
    <w:p w14:paraId="2E6272BF" w14:textId="77777777" w:rsidR="000D1D92" w:rsidRPr="00EC7BCA" w:rsidRDefault="000D1D92" w:rsidP="000D1D92">
      <w:pPr>
        <w:pStyle w:val="ListParagraph"/>
        <w:numPr>
          <w:ilvl w:val="0"/>
          <w:numId w:val="29"/>
        </w:numPr>
        <w:autoSpaceDE w:val="0"/>
        <w:autoSpaceDN w:val="0"/>
        <w:adjustRightInd w:val="0"/>
        <w:spacing w:before="0" w:after="0"/>
        <w:jc w:val="both"/>
        <w:rPr>
          <w:rFonts w:cs="Arial"/>
          <w:sz w:val="22"/>
          <w:szCs w:val="22"/>
        </w:rPr>
      </w:pPr>
      <w:r w:rsidRPr="00EC7BCA">
        <w:rPr>
          <w:rFonts w:cs="Arial"/>
          <w:sz w:val="22"/>
          <w:szCs w:val="22"/>
        </w:rPr>
        <w:t>Location: access to services vary with children in metropolitan areas more likely to have better access than those in rural and remote areas</w:t>
      </w:r>
    </w:p>
    <w:p w14:paraId="11D8D930" w14:textId="77777777" w:rsidR="000D1D92" w:rsidRPr="00EC7BCA" w:rsidRDefault="000D1D92" w:rsidP="000D1D92">
      <w:pPr>
        <w:pStyle w:val="ListParagraph"/>
        <w:numPr>
          <w:ilvl w:val="0"/>
          <w:numId w:val="29"/>
        </w:numPr>
        <w:autoSpaceDE w:val="0"/>
        <w:autoSpaceDN w:val="0"/>
        <w:adjustRightInd w:val="0"/>
        <w:spacing w:before="0" w:after="0"/>
        <w:jc w:val="both"/>
        <w:rPr>
          <w:rFonts w:cs="Arial"/>
          <w:sz w:val="22"/>
          <w:szCs w:val="22"/>
        </w:rPr>
      </w:pPr>
      <w:r w:rsidRPr="00EC7BCA">
        <w:rPr>
          <w:rFonts w:cs="Arial"/>
          <w:sz w:val="22"/>
          <w:szCs w:val="22"/>
        </w:rPr>
        <w:t>Ethnicity: difficulties in accessing culturally appropriate services for Indigenous children and those from migrant and refugee backgrounds</w:t>
      </w:r>
    </w:p>
    <w:p w14:paraId="4710CB12" w14:textId="77777777" w:rsidR="000D1D92" w:rsidRPr="00EC7BCA" w:rsidRDefault="000D1D92" w:rsidP="000D1D92">
      <w:pPr>
        <w:pStyle w:val="ListParagraph"/>
        <w:numPr>
          <w:ilvl w:val="0"/>
          <w:numId w:val="29"/>
        </w:numPr>
        <w:autoSpaceDE w:val="0"/>
        <w:autoSpaceDN w:val="0"/>
        <w:adjustRightInd w:val="0"/>
        <w:spacing w:before="0" w:after="0"/>
        <w:jc w:val="both"/>
        <w:rPr>
          <w:rFonts w:cs="Arial"/>
          <w:sz w:val="22"/>
          <w:szCs w:val="22"/>
        </w:rPr>
      </w:pPr>
      <w:r w:rsidRPr="00EC7BCA">
        <w:rPr>
          <w:rFonts w:cs="Arial"/>
          <w:sz w:val="22"/>
          <w:szCs w:val="22"/>
        </w:rPr>
        <w:t>Socio-economic status where the costs of services can restrict ongoing access</w:t>
      </w:r>
    </w:p>
    <w:p w14:paraId="6A4B5A10" w14:textId="77777777" w:rsidR="000D1D92" w:rsidRDefault="000D1D92" w:rsidP="000D1D92">
      <w:pPr>
        <w:pStyle w:val="ListParagraph"/>
        <w:numPr>
          <w:ilvl w:val="0"/>
          <w:numId w:val="29"/>
        </w:numPr>
        <w:autoSpaceDE w:val="0"/>
        <w:autoSpaceDN w:val="0"/>
        <w:adjustRightInd w:val="0"/>
        <w:spacing w:before="0" w:after="0"/>
        <w:jc w:val="both"/>
        <w:rPr>
          <w:rFonts w:cs="Arial"/>
          <w:sz w:val="22"/>
          <w:szCs w:val="22"/>
        </w:rPr>
      </w:pPr>
      <w:r w:rsidRPr="00EC7BCA">
        <w:rPr>
          <w:rFonts w:cs="Arial"/>
          <w:sz w:val="22"/>
          <w:szCs w:val="22"/>
        </w:rPr>
        <w:t>Social isolation</w:t>
      </w:r>
    </w:p>
    <w:p w14:paraId="67CB008F" w14:textId="77777777" w:rsidR="000D1D92" w:rsidRPr="00B2626E" w:rsidRDefault="000D1D92" w:rsidP="000D1D92">
      <w:pPr>
        <w:pStyle w:val="ListParagraph"/>
        <w:numPr>
          <w:ilvl w:val="0"/>
          <w:numId w:val="29"/>
        </w:numPr>
        <w:autoSpaceDE w:val="0"/>
        <w:autoSpaceDN w:val="0"/>
        <w:adjustRightInd w:val="0"/>
        <w:spacing w:before="0" w:after="0"/>
        <w:jc w:val="both"/>
        <w:rPr>
          <w:rFonts w:cs="Arial"/>
          <w:sz w:val="22"/>
          <w:szCs w:val="22"/>
        </w:rPr>
      </w:pPr>
      <w:r w:rsidRPr="004F0023">
        <w:rPr>
          <w:sz w:val="22"/>
          <w:szCs w:val="22"/>
        </w:rPr>
        <w:t>Lack of integrated service models for mothers and their children which obstructs their access</w:t>
      </w:r>
      <w:r>
        <w:t>.</w:t>
      </w:r>
      <w:r>
        <w:rPr>
          <w:rStyle w:val="EndnoteReference"/>
          <w:rFonts w:cs="Arial"/>
        </w:rPr>
        <w:endnoteReference w:id="590"/>
      </w:r>
    </w:p>
    <w:p w14:paraId="71E16B9A" w14:textId="77777777" w:rsidR="000D1D92" w:rsidRDefault="000D1D92" w:rsidP="000D1D92">
      <w:pPr>
        <w:autoSpaceDE w:val="0"/>
        <w:autoSpaceDN w:val="0"/>
        <w:adjustRightInd w:val="0"/>
        <w:spacing w:before="0" w:after="0"/>
        <w:jc w:val="both"/>
        <w:rPr>
          <w:rFonts w:cs="Arial"/>
        </w:rPr>
      </w:pPr>
    </w:p>
    <w:p w14:paraId="6FE9E43C" w14:textId="77777777" w:rsidR="000D1D92" w:rsidRDefault="000D1D92" w:rsidP="000D1D92">
      <w:pPr>
        <w:autoSpaceDE w:val="0"/>
        <w:autoSpaceDN w:val="0"/>
        <w:adjustRightInd w:val="0"/>
        <w:spacing w:before="0" w:after="0"/>
        <w:jc w:val="both"/>
        <w:rPr>
          <w:rFonts w:cs="Arial"/>
        </w:rPr>
      </w:pPr>
      <w:r>
        <w:rPr>
          <w:rFonts w:cs="Arial"/>
        </w:rPr>
        <w:lastRenderedPageBreak/>
        <w:t>In terms of t</w:t>
      </w:r>
      <w:r w:rsidRPr="00E573E1">
        <w:rPr>
          <w:rFonts w:cs="Arial"/>
        </w:rPr>
        <w:t xml:space="preserve">herapeutic </w:t>
      </w:r>
      <w:r>
        <w:rPr>
          <w:rFonts w:cs="Arial"/>
        </w:rPr>
        <w:t xml:space="preserve">interventions, </w:t>
      </w:r>
      <w:r w:rsidRPr="00504BCB">
        <w:rPr>
          <w:rFonts w:cs="Arial"/>
          <w:b/>
        </w:rPr>
        <w:t>the importance of a supportive relationship for the child</w:t>
      </w:r>
      <w:r>
        <w:rPr>
          <w:rFonts w:cs="Arial"/>
        </w:rPr>
        <w:t xml:space="preserve"> was consistently raised. Mostly, but not solely, this related to the </w:t>
      </w:r>
      <w:r w:rsidRPr="00504BCB">
        <w:rPr>
          <w:rFonts w:cs="Arial"/>
          <w:b/>
        </w:rPr>
        <w:t>mother/child relationship</w:t>
      </w:r>
      <w:r>
        <w:rPr>
          <w:rFonts w:cs="Arial"/>
        </w:rPr>
        <w:t>.</w:t>
      </w:r>
      <w:r>
        <w:rPr>
          <w:rStyle w:val="EndnoteReference"/>
          <w:rFonts w:cs="Arial"/>
        </w:rPr>
        <w:endnoteReference w:id="591"/>
      </w:r>
    </w:p>
    <w:p w14:paraId="7AE5C436" w14:textId="77777777" w:rsidR="000D1D92" w:rsidRDefault="000D1D92" w:rsidP="000D1D92">
      <w:pPr>
        <w:autoSpaceDE w:val="0"/>
        <w:autoSpaceDN w:val="0"/>
        <w:adjustRightInd w:val="0"/>
        <w:spacing w:before="0" w:after="0"/>
        <w:jc w:val="both"/>
        <w:rPr>
          <w:rFonts w:cs="Arial"/>
        </w:rPr>
      </w:pPr>
    </w:p>
    <w:p w14:paraId="5BA5338B" w14:textId="77777777" w:rsidR="000D1D92" w:rsidRDefault="000D1D92" w:rsidP="000D1D92">
      <w:pPr>
        <w:autoSpaceDE w:val="0"/>
        <w:autoSpaceDN w:val="0"/>
        <w:adjustRightInd w:val="0"/>
        <w:spacing w:before="0" w:after="0"/>
        <w:jc w:val="both"/>
        <w:rPr>
          <w:rFonts w:cs="Arial"/>
        </w:rPr>
      </w:pPr>
      <w:r>
        <w:rPr>
          <w:rFonts w:cs="Arial"/>
        </w:rPr>
        <w:t>Relationships Australia told me:</w:t>
      </w:r>
    </w:p>
    <w:p w14:paraId="6BB732EF" w14:textId="77777777" w:rsidR="000D1D92" w:rsidRDefault="000D1D92" w:rsidP="000D1D92">
      <w:pPr>
        <w:autoSpaceDE w:val="0"/>
        <w:autoSpaceDN w:val="0"/>
        <w:adjustRightInd w:val="0"/>
        <w:spacing w:before="0" w:after="0"/>
        <w:jc w:val="both"/>
        <w:rPr>
          <w:rFonts w:cs="Arial"/>
        </w:rPr>
      </w:pPr>
    </w:p>
    <w:p w14:paraId="6E29FA0D" w14:textId="77777777" w:rsidR="000D1D92" w:rsidRPr="001B1AF7" w:rsidRDefault="000D1D92" w:rsidP="000D1D92">
      <w:pPr>
        <w:spacing w:before="0" w:after="0"/>
        <w:ind w:left="720"/>
        <w:jc w:val="both"/>
        <w:rPr>
          <w:sz w:val="22"/>
          <w:szCs w:val="22"/>
          <w:lang w:val="en-US"/>
        </w:rPr>
      </w:pPr>
      <w:r w:rsidRPr="001B1AF7">
        <w:rPr>
          <w:sz w:val="22"/>
          <w:szCs w:val="22"/>
          <w:lang w:val="en-US"/>
        </w:rPr>
        <w:t xml:space="preserve">It is extremely challenging for a child to feel safe in an environment where they are aware that their mother or care-giver may be in danger. Family violence has a significant impact on </w:t>
      </w:r>
      <w:r w:rsidRPr="00710BAB">
        <w:rPr>
          <w:sz w:val="22"/>
          <w:szCs w:val="22"/>
          <w:lang w:val="en-US"/>
        </w:rPr>
        <w:t>the mother/child relationship,</w:t>
      </w:r>
      <w:r w:rsidRPr="001B1AF7">
        <w:rPr>
          <w:sz w:val="22"/>
          <w:szCs w:val="22"/>
          <w:lang w:val="en-US"/>
        </w:rPr>
        <w:t xml:space="preserve"> which in turn can affect a child’s physical, emotional and intellectual development.</w:t>
      </w:r>
      <w:r>
        <w:rPr>
          <w:rStyle w:val="EndnoteReference"/>
          <w:szCs w:val="22"/>
          <w:lang w:val="en-US"/>
        </w:rPr>
        <w:endnoteReference w:id="592"/>
      </w:r>
    </w:p>
    <w:p w14:paraId="5B6AAF0B" w14:textId="77777777" w:rsidR="000D1D92" w:rsidRPr="00710BAB" w:rsidRDefault="000D1D92" w:rsidP="000D1D92">
      <w:pPr>
        <w:autoSpaceDE w:val="0"/>
        <w:autoSpaceDN w:val="0"/>
        <w:adjustRightInd w:val="0"/>
        <w:spacing w:before="0" w:after="0"/>
        <w:jc w:val="both"/>
        <w:rPr>
          <w:rFonts w:cs="Arial"/>
        </w:rPr>
      </w:pPr>
    </w:p>
    <w:p w14:paraId="26CA2F9C" w14:textId="77777777" w:rsidR="000D1D92" w:rsidRPr="00710BAB" w:rsidRDefault="000D1D92" w:rsidP="000D1D92">
      <w:pPr>
        <w:autoSpaceDE w:val="0"/>
        <w:autoSpaceDN w:val="0"/>
        <w:adjustRightInd w:val="0"/>
        <w:spacing w:before="0" w:after="0"/>
        <w:jc w:val="both"/>
        <w:rPr>
          <w:rFonts w:cs="Arial"/>
        </w:rPr>
      </w:pPr>
      <w:r w:rsidRPr="00710BAB">
        <w:rPr>
          <w:rFonts w:cs="Arial"/>
        </w:rPr>
        <w:t>The Kids Helpline emphasised to me that:</w:t>
      </w:r>
    </w:p>
    <w:p w14:paraId="35913BC1" w14:textId="77777777" w:rsidR="000D1D92" w:rsidRPr="00710BAB" w:rsidRDefault="000D1D92" w:rsidP="000D1D92">
      <w:pPr>
        <w:autoSpaceDE w:val="0"/>
        <w:autoSpaceDN w:val="0"/>
        <w:adjustRightInd w:val="0"/>
        <w:spacing w:before="0" w:after="0"/>
        <w:jc w:val="both"/>
        <w:rPr>
          <w:rFonts w:cs="Arial"/>
        </w:rPr>
      </w:pPr>
    </w:p>
    <w:p w14:paraId="1FAE2AEA" w14:textId="77777777" w:rsidR="000D1D92" w:rsidRPr="00DE4C38" w:rsidRDefault="000D1D92" w:rsidP="000D1D92">
      <w:pPr>
        <w:autoSpaceDE w:val="0"/>
        <w:autoSpaceDN w:val="0"/>
        <w:adjustRightInd w:val="0"/>
        <w:spacing w:before="0" w:after="0"/>
        <w:ind w:left="720"/>
        <w:jc w:val="both"/>
        <w:rPr>
          <w:rFonts w:cs="Arial"/>
          <w:sz w:val="22"/>
          <w:szCs w:val="22"/>
          <w:highlight w:val="yellow"/>
        </w:rPr>
      </w:pPr>
      <w:r w:rsidRPr="00710BAB">
        <w:rPr>
          <w:sz w:val="22"/>
          <w:szCs w:val="22"/>
        </w:rPr>
        <w:t>The quality of the mother-child attachment relationship is</w:t>
      </w:r>
      <w:r w:rsidRPr="0099208B">
        <w:rPr>
          <w:sz w:val="22"/>
          <w:szCs w:val="22"/>
        </w:rPr>
        <w:t xml:space="preserve"> compromised in situations of DFV. Both exposure to trauma and poor quality attachment relationships have serious long term negative impacts on children’s social, emotional and cognitive functioning, including difficulties with emotional self-regulation, impulse control, learning delays, low self-esteem, and difficulty understanding, trusting, and relating to others.</w:t>
      </w:r>
      <w:r>
        <w:rPr>
          <w:rStyle w:val="EndnoteReference"/>
          <w:szCs w:val="22"/>
        </w:rPr>
        <w:endnoteReference w:id="593"/>
      </w:r>
    </w:p>
    <w:p w14:paraId="77B117A4" w14:textId="77777777" w:rsidR="000D1D92" w:rsidRDefault="000D1D92" w:rsidP="000D1D92">
      <w:pPr>
        <w:autoSpaceDE w:val="0"/>
        <w:autoSpaceDN w:val="0"/>
        <w:adjustRightInd w:val="0"/>
        <w:spacing w:before="0" w:after="0"/>
        <w:ind w:left="720"/>
        <w:jc w:val="both"/>
        <w:rPr>
          <w:rFonts w:cs="Arial"/>
        </w:rPr>
      </w:pPr>
    </w:p>
    <w:p w14:paraId="5FE4D71A" w14:textId="77777777" w:rsidR="000D1D92" w:rsidRDefault="000D1D92" w:rsidP="000D1D92">
      <w:pPr>
        <w:autoSpaceDE w:val="0"/>
        <w:autoSpaceDN w:val="0"/>
        <w:adjustRightInd w:val="0"/>
        <w:spacing w:before="0" w:after="0"/>
        <w:jc w:val="both"/>
        <w:rPr>
          <w:rFonts w:cs="Arial"/>
        </w:rPr>
      </w:pPr>
      <w:r w:rsidRPr="00BF4311">
        <w:rPr>
          <w:rFonts w:cs="Arial"/>
        </w:rPr>
        <w:t>The submission by Melbourne Research Alliance to End Violence Against Women and their Children highlighted that</w:t>
      </w:r>
      <w:r>
        <w:rPr>
          <w:rFonts w:cs="Arial"/>
        </w:rPr>
        <w:t>:</w:t>
      </w:r>
    </w:p>
    <w:p w14:paraId="691CE945" w14:textId="77777777" w:rsidR="000D1D92" w:rsidRDefault="000D1D92" w:rsidP="000D1D92">
      <w:pPr>
        <w:autoSpaceDE w:val="0"/>
        <w:autoSpaceDN w:val="0"/>
        <w:adjustRightInd w:val="0"/>
        <w:spacing w:before="0" w:after="0"/>
        <w:jc w:val="both"/>
        <w:rPr>
          <w:rFonts w:cs="Arial"/>
        </w:rPr>
      </w:pPr>
    </w:p>
    <w:p w14:paraId="152DDA54" w14:textId="77777777" w:rsidR="000D1D92" w:rsidRDefault="000D1D92" w:rsidP="000D1D92">
      <w:pPr>
        <w:pStyle w:val="ListParagraph"/>
        <w:spacing w:before="0" w:after="0"/>
        <w:jc w:val="both"/>
        <w:rPr>
          <w:sz w:val="22"/>
          <w:szCs w:val="22"/>
        </w:rPr>
      </w:pPr>
      <w:r w:rsidRPr="00867D20">
        <w:rPr>
          <w:sz w:val="22"/>
          <w:szCs w:val="22"/>
        </w:rPr>
        <w:t xml:space="preserve">Strengthening the mother-child relationship in the aftermath of family violence is a key point of intervention. A significant aspect of family violence is the systematic attack on the mother-child relationship as one of the major tactics of abuse. </w:t>
      </w:r>
    </w:p>
    <w:p w14:paraId="1B1D8F53" w14:textId="77777777" w:rsidR="000D1D92" w:rsidRDefault="000D1D92" w:rsidP="000D1D92">
      <w:pPr>
        <w:pStyle w:val="ListParagraph"/>
        <w:spacing w:before="0" w:after="0"/>
        <w:jc w:val="both"/>
        <w:rPr>
          <w:sz w:val="22"/>
          <w:szCs w:val="22"/>
        </w:rPr>
      </w:pPr>
    </w:p>
    <w:p w14:paraId="58102F94" w14:textId="77777777" w:rsidR="000D1D92" w:rsidRDefault="000D1D92" w:rsidP="000D1D92">
      <w:pPr>
        <w:pStyle w:val="ListParagraph"/>
        <w:spacing w:before="0" w:after="0"/>
        <w:jc w:val="both"/>
        <w:rPr>
          <w:sz w:val="22"/>
          <w:szCs w:val="22"/>
        </w:rPr>
      </w:pPr>
      <w:r w:rsidRPr="00867D20">
        <w:rPr>
          <w:sz w:val="22"/>
          <w:szCs w:val="22"/>
        </w:rPr>
        <w:t xml:space="preserve">This may be a direct attack – coercing children to insult their mothers, undermining the woman’s mothering through criticism and actions which make it difficult for her to parent, ensuring that women are ‘punished’ for spending time with children particularly if it takes attention away from the man’s needs. </w:t>
      </w:r>
    </w:p>
    <w:p w14:paraId="7FFE2517" w14:textId="77777777" w:rsidR="000D1D92" w:rsidRDefault="000D1D92" w:rsidP="000D1D92">
      <w:pPr>
        <w:pStyle w:val="ListParagraph"/>
        <w:spacing w:before="0" w:after="0"/>
        <w:jc w:val="both"/>
        <w:rPr>
          <w:sz w:val="22"/>
          <w:szCs w:val="22"/>
        </w:rPr>
      </w:pPr>
    </w:p>
    <w:p w14:paraId="53E1EBE0" w14:textId="77777777" w:rsidR="000D1D92" w:rsidRDefault="000D1D92" w:rsidP="000D1D92">
      <w:pPr>
        <w:pStyle w:val="ListParagraph"/>
        <w:spacing w:before="0" w:after="0"/>
        <w:jc w:val="both"/>
        <w:rPr>
          <w:sz w:val="22"/>
          <w:szCs w:val="22"/>
        </w:rPr>
      </w:pPr>
      <w:r w:rsidRPr="00867D20">
        <w:rPr>
          <w:sz w:val="22"/>
          <w:szCs w:val="22"/>
        </w:rPr>
        <w:t xml:space="preserve">It also can be an indirect attack which disables the mother physically or emotionally so that she is unable to parent appropriately. </w:t>
      </w:r>
    </w:p>
    <w:p w14:paraId="1D22C86B" w14:textId="77777777" w:rsidR="000D1D92" w:rsidRDefault="000D1D92" w:rsidP="000D1D92">
      <w:pPr>
        <w:pStyle w:val="ListParagraph"/>
        <w:spacing w:before="0" w:after="0"/>
        <w:jc w:val="both"/>
        <w:rPr>
          <w:sz w:val="22"/>
          <w:szCs w:val="22"/>
        </w:rPr>
      </w:pPr>
    </w:p>
    <w:p w14:paraId="5A6F74C1" w14:textId="77777777" w:rsidR="000D1D92" w:rsidRPr="00867D20" w:rsidRDefault="000D1D92" w:rsidP="000D1D92">
      <w:pPr>
        <w:pStyle w:val="ListParagraph"/>
        <w:spacing w:before="0" w:after="0"/>
        <w:jc w:val="both"/>
        <w:rPr>
          <w:sz w:val="22"/>
          <w:szCs w:val="22"/>
        </w:rPr>
      </w:pPr>
      <w:r w:rsidRPr="00867D20">
        <w:rPr>
          <w:sz w:val="22"/>
          <w:szCs w:val="22"/>
        </w:rPr>
        <w:t>Interventions which work to actively strengthen the mother-child relationship in the aftermath of abuse are still in the early stages of development, although</w:t>
      </w:r>
      <w:r>
        <w:rPr>
          <w:sz w:val="22"/>
          <w:szCs w:val="22"/>
        </w:rPr>
        <w:t xml:space="preserve"> it is an area gaining traction.</w:t>
      </w:r>
    </w:p>
    <w:p w14:paraId="00DEFFB0" w14:textId="77777777" w:rsidR="000D1D92" w:rsidRPr="00867D20" w:rsidRDefault="000D1D92" w:rsidP="000D1D92">
      <w:pPr>
        <w:spacing w:before="0" w:after="0"/>
        <w:jc w:val="both"/>
        <w:rPr>
          <w:sz w:val="22"/>
          <w:szCs w:val="22"/>
        </w:rPr>
      </w:pPr>
    </w:p>
    <w:p w14:paraId="0603A1D0" w14:textId="77777777" w:rsidR="000D1D92" w:rsidRDefault="000D1D92" w:rsidP="000D1D92">
      <w:pPr>
        <w:pStyle w:val="ListParagraph"/>
        <w:spacing w:before="0" w:after="0"/>
        <w:jc w:val="both"/>
        <w:rPr>
          <w:sz w:val="22"/>
          <w:szCs w:val="22"/>
        </w:rPr>
      </w:pPr>
      <w:r w:rsidRPr="00867D20">
        <w:rPr>
          <w:sz w:val="22"/>
          <w:szCs w:val="22"/>
        </w:rPr>
        <w:t>Evidence is emerging that the most effective intervention response in the post-crisis period for both women and children is for them to work together, either in parallel children’s and women’s groups</w:t>
      </w:r>
      <w:r>
        <w:rPr>
          <w:sz w:val="22"/>
          <w:szCs w:val="22"/>
        </w:rPr>
        <w:t>…</w:t>
      </w:r>
      <w:r w:rsidRPr="00867D20">
        <w:rPr>
          <w:sz w:val="22"/>
          <w:szCs w:val="22"/>
        </w:rPr>
        <w:t xml:space="preserve"> and joint mother-child rather than individual counselling</w:t>
      </w:r>
      <w:r>
        <w:rPr>
          <w:sz w:val="22"/>
          <w:szCs w:val="22"/>
        </w:rPr>
        <w:t>.</w:t>
      </w:r>
      <w:r>
        <w:rPr>
          <w:rStyle w:val="EndnoteReference"/>
          <w:szCs w:val="22"/>
        </w:rPr>
        <w:endnoteReference w:id="594"/>
      </w:r>
    </w:p>
    <w:p w14:paraId="546355BF" w14:textId="77777777" w:rsidR="000D1D92" w:rsidRDefault="000D1D92" w:rsidP="000D1D92">
      <w:pPr>
        <w:autoSpaceDE w:val="0"/>
        <w:autoSpaceDN w:val="0"/>
        <w:adjustRightInd w:val="0"/>
        <w:spacing w:before="0" w:after="0"/>
        <w:jc w:val="both"/>
        <w:rPr>
          <w:rFonts w:cs="Arial"/>
        </w:rPr>
      </w:pPr>
    </w:p>
    <w:p w14:paraId="01DD53AB" w14:textId="77777777" w:rsidR="000D1D92" w:rsidRDefault="000D1D92" w:rsidP="000D1D92">
      <w:pPr>
        <w:autoSpaceDE w:val="0"/>
        <w:autoSpaceDN w:val="0"/>
        <w:adjustRightInd w:val="0"/>
        <w:spacing w:before="0" w:after="0"/>
        <w:jc w:val="both"/>
        <w:rPr>
          <w:rFonts w:cs="Arial"/>
        </w:rPr>
      </w:pPr>
      <w:r>
        <w:rPr>
          <w:rFonts w:cs="Arial"/>
        </w:rPr>
        <w:t>The submission provided by Relationships Australia informed me that:</w:t>
      </w:r>
    </w:p>
    <w:p w14:paraId="22DF8217" w14:textId="77777777" w:rsidR="000D1D92" w:rsidRDefault="000D1D92" w:rsidP="000D1D92">
      <w:pPr>
        <w:autoSpaceDE w:val="0"/>
        <w:autoSpaceDN w:val="0"/>
        <w:adjustRightInd w:val="0"/>
        <w:spacing w:before="0" w:after="0"/>
        <w:jc w:val="both"/>
        <w:rPr>
          <w:rFonts w:cs="Arial"/>
        </w:rPr>
      </w:pPr>
    </w:p>
    <w:p w14:paraId="738E8452" w14:textId="77777777" w:rsidR="000D1D92" w:rsidRDefault="000D1D92" w:rsidP="000D1D92">
      <w:pPr>
        <w:autoSpaceDE w:val="0"/>
        <w:autoSpaceDN w:val="0"/>
        <w:adjustRightInd w:val="0"/>
        <w:spacing w:before="0" w:after="0"/>
        <w:ind w:left="720"/>
        <w:jc w:val="both"/>
        <w:rPr>
          <w:sz w:val="22"/>
          <w:szCs w:val="22"/>
          <w:lang w:val="en-US"/>
        </w:rPr>
      </w:pPr>
      <w:r w:rsidRPr="00404477">
        <w:rPr>
          <w:sz w:val="22"/>
          <w:szCs w:val="22"/>
          <w:lang w:val="en-US"/>
        </w:rPr>
        <w:t>Child development and parenting research in the domestic violence context strongly cautions on the disadvantages of counselling and advocacy services working separately with mothers and children and that positive outcomes for mother and child can be achieved by working with them together to restore and repair the mother/child relationship that has been disrupted by the father’s abuse, denigration of the mother and control over the mother- child relationship. Keeping mother and child domestic violence services separate in fact replicates the separation and distancing and divisive effect of the father</w:t>
      </w:r>
      <w:r>
        <w:rPr>
          <w:sz w:val="22"/>
          <w:szCs w:val="22"/>
          <w:lang w:val="en-US"/>
        </w:rPr>
        <w:t>’s abuse to the family.</w:t>
      </w:r>
      <w:r>
        <w:rPr>
          <w:rStyle w:val="EndnoteReference"/>
          <w:szCs w:val="22"/>
          <w:lang w:val="en-US"/>
        </w:rPr>
        <w:endnoteReference w:id="595"/>
      </w:r>
    </w:p>
    <w:p w14:paraId="3D773813" w14:textId="77777777" w:rsidR="000D1D92" w:rsidRDefault="000D1D92" w:rsidP="000D1D92">
      <w:pPr>
        <w:autoSpaceDE w:val="0"/>
        <w:autoSpaceDN w:val="0"/>
        <w:adjustRightInd w:val="0"/>
        <w:spacing w:before="0" w:after="0"/>
        <w:ind w:left="720"/>
        <w:jc w:val="both"/>
        <w:rPr>
          <w:sz w:val="22"/>
          <w:szCs w:val="22"/>
          <w:lang w:val="en-US"/>
        </w:rPr>
      </w:pPr>
    </w:p>
    <w:p w14:paraId="21AEF52A" w14:textId="77777777" w:rsidR="000D1D92" w:rsidRDefault="000D1D92" w:rsidP="000D1D92">
      <w:pPr>
        <w:autoSpaceDE w:val="0"/>
        <w:autoSpaceDN w:val="0"/>
        <w:adjustRightInd w:val="0"/>
        <w:spacing w:before="0" w:after="0"/>
        <w:jc w:val="both"/>
        <w:rPr>
          <w:lang w:val="en-US"/>
        </w:rPr>
      </w:pPr>
      <w:r>
        <w:t>The Judith Lumley Centre at</w:t>
      </w:r>
      <w:r w:rsidRPr="00191F43">
        <w:t xml:space="preserve"> La Trobe University</w:t>
      </w:r>
      <w:r w:rsidRPr="0059692B">
        <w:rPr>
          <w:lang w:val="en-US"/>
        </w:rPr>
        <w:t xml:space="preserve"> </w:t>
      </w:r>
      <w:r>
        <w:rPr>
          <w:lang w:val="en-US"/>
        </w:rPr>
        <w:t>stressed to me that:</w:t>
      </w:r>
    </w:p>
    <w:p w14:paraId="500011F1" w14:textId="77777777" w:rsidR="000D1D92" w:rsidRDefault="000D1D92" w:rsidP="000D1D92">
      <w:pPr>
        <w:autoSpaceDE w:val="0"/>
        <w:autoSpaceDN w:val="0"/>
        <w:adjustRightInd w:val="0"/>
        <w:spacing w:before="0" w:after="0"/>
        <w:jc w:val="both"/>
        <w:rPr>
          <w:lang w:val="en-US"/>
        </w:rPr>
      </w:pPr>
    </w:p>
    <w:p w14:paraId="2DBD218B" w14:textId="77777777" w:rsidR="000D1D92" w:rsidRDefault="000D1D92" w:rsidP="000D1D92">
      <w:pPr>
        <w:autoSpaceDE w:val="0"/>
        <w:autoSpaceDN w:val="0"/>
        <w:adjustRightInd w:val="0"/>
        <w:spacing w:before="0" w:after="0"/>
        <w:ind w:left="720"/>
        <w:jc w:val="both"/>
        <w:rPr>
          <w:sz w:val="22"/>
          <w:szCs w:val="22"/>
          <w:lang w:val="en-US"/>
        </w:rPr>
      </w:pPr>
      <w:r w:rsidRPr="005C125E">
        <w:rPr>
          <w:sz w:val="22"/>
          <w:szCs w:val="22"/>
          <w:lang w:val="en-US"/>
        </w:rPr>
        <w:t>Silo operations where women are offered assistance through FDV services that offer a woman centred approach differ from child protection services that are child centred. Feminist researchers argue for interventions to help heal the mother-child relationship rather than offer separate</w:t>
      </w:r>
      <w:r>
        <w:rPr>
          <w:sz w:val="22"/>
          <w:szCs w:val="22"/>
          <w:lang w:val="en-US"/>
        </w:rPr>
        <w:t xml:space="preserve"> child and parent therapies</w:t>
      </w:r>
      <w:r w:rsidRPr="005C125E">
        <w:rPr>
          <w:sz w:val="22"/>
          <w:szCs w:val="22"/>
          <w:lang w:val="en-US"/>
        </w:rPr>
        <w:t xml:space="preserve">. The World Health Organisation now recommends children who have been subjected to intimate partner violence undergo both individual and group psychotherapeutic treatment </w:t>
      </w:r>
      <w:r>
        <w:rPr>
          <w:sz w:val="22"/>
          <w:szCs w:val="22"/>
          <w:lang w:val="en-US"/>
        </w:rPr>
        <w:t>sessions with their mothers</w:t>
      </w:r>
      <w:r w:rsidRPr="005C125E">
        <w:rPr>
          <w:sz w:val="22"/>
          <w:szCs w:val="22"/>
          <w:lang w:val="en-US"/>
        </w:rPr>
        <w:t>. Unfortunately, previous group work (in Melbourne) with mothers and children has not been sustained due to la</w:t>
      </w:r>
      <w:r>
        <w:rPr>
          <w:sz w:val="22"/>
          <w:szCs w:val="22"/>
          <w:lang w:val="en-US"/>
        </w:rPr>
        <w:t>ck of funding</w:t>
      </w:r>
      <w:r w:rsidRPr="005C125E">
        <w:rPr>
          <w:sz w:val="22"/>
          <w:szCs w:val="22"/>
          <w:lang w:val="en-US"/>
        </w:rPr>
        <w:t xml:space="preserve">. More research and intervention work is needed to support the mother-child </w:t>
      </w:r>
      <w:r>
        <w:rPr>
          <w:sz w:val="22"/>
          <w:szCs w:val="22"/>
          <w:lang w:val="en-US"/>
        </w:rPr>
        <w:t>bond in the aftermath of FDV.</w:t>
      </w:r>
      <w:r>
        <w:rPr>
          <w:rStyle w:val="EndnoteReference"/>
          <w:szCs w:val="22"/>
          <w:lang w:val="en-US"/>
        </w:rPr>
        <w:endnoteReference w:id="596"/>
      </w:r>
    </w:p>
    <w:p w14:paraId="4BBCA6EA" w14:textId="77777777" w:rsidR="000D1D92" w:rsidRDefault="000D1D92" w:rsidP="000D1D92">
      <w:pPr>
        <w:autoSpaceDE w:val="0"/>
        <w:autoSpaceDN w:val="0"/>
        <w:adjustRightInd w:val="0"/>
        <w:spacing w:before="0" w:after="0"/>
        <w:jc w:val="both"/>
        <w:rPr>
          <w:sz w:val="22"/>
          <w:szCs w:val="22"/>
          <w:lang w:val="en-US"/>
        </w:rPr>
      </w:pPr>
    </w:p>
    <w:p w14:paraId="1F5C3B8C" w14:textId="77777777" w:rsidR="000D1D92" w:rsidRDefault="000D1D92" w:rsidP="000D1D92">
      <w:pPr>
        <w:autoSpaceDE w:val="0"/>
        <w:autoSpaceDN w:val="0"/>
        <w:adjustRightInd w:val="0"/>
        <w:spacing w:before="0" w:after="0"/>
        <w:jc w:val="both"/>
        <w:rPr>
          <w:sz w:val="22"/>
          <w:szCs w:val="22"/>
          <w:lang w:val="en-US"/>
        </w:rPr>
      </w:pPr>
      <w:r>
        <w:t>The submission made by Dawn House Women’s Refuge in</w:t>
      </w:r>
      <w:r w:rsidRPr="00314E61">
        <w:t xml:space="preserve"> Northern Territory</w:t>
      </w:r>
      <w:r>
        <w:t xml:space="preserve"> reinforced this to me:</w:t>
      </w:r>
    </w:p>
    <w:p w14:paraId="306529D9" w14:textId="77777777" w:rsidR="000D1D92" w:rsidRDefault="000D1D92" w:rsidP="000D1D92">
      <w:pPr>
        <w:autoSpaceDE w:val="0"/>
        <w:autoSpaceDN w:val="0"/>
        <w:adjustRightInd w:val="0"/>
        <w:spacing w:before="0" w:after="0"/>
        <w:ind w:left="720"/>
        <w:jc w:val="both"/>
        <w:rPr>
          <w:sz w:val="22"/>
          <w:szCs w:val="22"/>
          <w:lang w:val="en-US"/>
        </w:rPr>
      </w:pPr>
    </w:p>
    <w:p w14:paraId="34034851" w14:textId="77777777" w:rsidR="000D1D92" w:rsidRDefault="000D1D92" w:rsidP="000D1D92">
      <w:pPr>
        <w:pStyle w:val="ListParagraph"/>
        <w:spacing w:before="0" w:after="0"/>
        <w:jc w:val="both"/>
        <w:rPr>
          <w:sz w:val="22"/>
          <w:szCs w:val="22"/>
          <w:lang w:val="en-US"/>
        </w:rPr>
      </w:pPr>
      <w:r w:rsidRPr="00946DA4">
        <w:rPr>
          <w:sz w:val="22"/>
          <w:szCs w:val="22"/>
          <w:lang w:val="en-US"/>
        </w:rPr>
        <w:t>We find there are limited therapeutic services that can work with women and children on attachment and relationship strengthening. The same sentiment applies to sibling attachment relationships</w:t>
      </w:r>
      <w:r>
        <w:rPr>
          <w:sz w:val="22"/>
          <w:szCs w:val="22"/>
          <w:lang w:val="en-US"/>
        </w:rPr>
        <w:t>,</w:t>
      </w:r>
      <w:r w:rsidRPr="00946DA4">
        <w:rPr>
          <w:sz w:val="22"/>
          <w:szCs w:val="22"/>
          <w:lang w:val="en-US"/>
        </w:rPr>
        <w:t xml:space="preserve"> which are often also negatively affected. Services tend to be targeting at individual needs, without engaging the entire family system. Women may also see this type of service as low down on the priority scale with so many other competing needs.</w:t>
      </w:r>
      <w:r>
        <w:rPr>
          <w:rStyle w:val="EndnoteReference"/>
          <w:szCs w:val="22"/>
          <w:lang w:val="en-US"/>
        </w:rPr>
        <w:endnoteReference w:id="597"/>
      </w:r>
    </w:p>
    <w:p w14:paraId="7CFA2722" w14:textId="77777777" w:rsidR="000D1D92" w:rsidRDefault="000D1D92" w:rsidP="000D1D92">
      <w:pPr>
        <w:pStyle w:val="ListParagraph"/>
        <w:spacing w:before="0" w:after="0"/>
        <w:ind w:left="0"/>
        <w:jc w:val="both"/>
        <w:rPr>
          <w:sz w:val="22"/>
          <w:szCs w:val="22"/>
          <w:lang w:val="en-US"/>
        </w:rPr>
      </w:pPr>
    </w:p>
    <w:p w14:paraId="23BC5025" w14:textId="77777777" w:rsidR="000D1D92" w:rsidRDefault="000D1D92" w:rsidP="000D1D92">
      <w:pPr>
        <w:pStyle w:val="ListParagraph"/>
        <w:spacing w:before="0" w:after="0"/>
        <w:ind w:left="0"/>
        <w:jc w:val="both"/>
      </w:pPr>
      <w:r>
        <w:t>The Public Health Association of Australia suggested to me that:</w:t>
      </w:r>
    </w:p>
    <w:p w14:paraId="0A5B5A9C" w14:textId="77777777" w:rsidR="000D1D92" w:rsidRDefault="000D1D92" w:rsidP="000D1D92">
      <w:pPr>
        <w:pStyle w:val="ListParagraph"/>
        <w:spacing w:before="0" w:after="0"/>
        <w:ind w:left="0"/>
        <w:jc w:val="both"/>
        <w:rPr>
          <w:sz w:val="22"/>
          <w:szCs w:val="22"/>
          <w:lang w:val="en-US"/>
        </w:rPr>
      </w:pPr>
    </w:p>
    <w:p w14:paraId="6DAFCADE" w14:textId="77777777" w:rsidR="000D1D92" w:rsidRPr="003E074C" w:rsidRDefault="000D1D92" w:rsidP="000D1D92">
      <w:pPr>
        <w:autoSpaceDE w:val="0"/>
        <w:autoSpaceDN w:val="0"/>
        <w:adjustRightInd w:val="0"/>
        <w:spacing w:before="0" w:after="30"/>
        <w:ind w:left="720"/>
        <w:jc w:val="both"/>
        <w:rPr>
          <w:rFonts w:cs="Arial"/>
          <w:color w:val="000000"/>
          <w:sz w:val="22"/>
          <w:szCs w:val="22"/>
        </w:rPr>
      </w:pPr>
      <w:r w:rsidRPr="004A0251">
        <w:rPr>
          <w:rFonts w:cs="Arial"/>
          <w:color w:val="000000"/>
          <w:sz w:val="22"/>
          <w:szCs w:val="22"/>
        </w:rPr>
        <w:t xml:space="preserve">Based on the evidence to date, supporting and strengthening relationships between the protective parent or protective caregiver/s may be helpful. Reducing the impact of FDV on the protective parent may also increase their capacity to parent and also </w:t>
      </w:r>
      <w:r w:rsidRPr="003E074C">
        <w:rPr>
          <w:rFonts w:cs="Arial"/>
          <w:color w:val="000000"/>
          <w:sz w:val="22"/>
          <w:szCs w:val="22"/>
        </w:rPr>
        <w:t>reduce the likelihood of the protective parent engaging in risk-taking behaviour such as alcohol and drug misuse.</w:t>
      </w:r>
      <w:r w:rsidRPr="003E074C">
        <w:rPr>
          <w:rStyle w:val="EndnoteReference"/>
          <w:rFonts w:cs="Arial"/>
          <w:color w:val="000000"/>
        </w:rPr>
        <w:t xml:space="preserve"> </w:t>
      </w:r>
      <w:r w:rsidRPr="003E074C">
        <w:rPr>
          <w:rStyle w:val="EndnoteReference"/>
          <w:rFonts w:cs="Arial"/>
          <w:color w:val="000000"/>
        </w:rPr>
        <w:endnoteReference w:id="598"/>
      </w:r>
      <w:r w:rsidRPr="003E074C">
        <w:rPr>
          <w:rFonts w:cs="Arial"/>
          <w:color w:val="000000"/>
          <w:sz w:val="22"/>
          <w:szCs w:val="22"/>
        </w:rPr>
        <w:t xml:space="preserve"> </w:t>
      </w:r>
    </w:p>
    <w:p w14:paraId="0C068955" w14:textId="77777777" w:rsidR="000D1D92" w:rsidRPr="003E074C" w:rsidRDefault="000D1D92" w:rsidP="000D1D92">
      <w:pPr>
        <w:autoSpaceDE w:val="0"/>
        <w:autoSpaceDN w:val="0"/>
        <w:adjustRightInd w:val="0"/>
        <w:spacing w:before="0" w:after="0"/>
        <w:jc w:val="both"/>
        <w:rPr>
          <w:rFonts w:cs="Arial"/>
        </w:rPr>
      </w:pPr>
    </w:p>
    <w:p w14:paraId="71CF3DE5" w14:textId="77777777" w:rsidR="000D1D92" w:rsidRDefault="000D1D92" w:rsidP="000D1D92">
      <w:pPr>
        <w:autoSpaceDE w:val="0"/>
        <w:autoSpaceDN w:val="0"/>
        <w:adjustRightInd w:val="0"/>
        <w:spacing w:before="0" w:after="0"/>
        <w:jc w:val="both"/>
        <w:rPr>
          <w:rFonts w:cs="Arial"/>
        </w:rPr>
      </w:pPr>
      <w:r>
        <w:rPr>
          <w:rFonts w:cs="Arial"/>
        </w:rPr>
        <w:t>BoysTown uses the Expressive Therapies Program,</w:t>
      </w:r>
      <w:r w:rsidRPr="003E074C">
        <w:rPr>
          <w:rFonts w:cs="Arial"/>
        </w:rPr>
        <w:t xml:space="preserve"> a trauma and attachment informed program of creative arts and play therapy</w:t>
      </w:r>
      <w:r>
        <w:rPr>
          <w:rFonts w:cs="Arial"/>
        </w:rPr>
        <w:t xml:space="preserve">. It </w:t>
      </w:r>
      <w:r w:rsidRPr="003E074C">
        <w:rPr>
          <w:rFonts w:cs="Arial"/>
        </w:rPr>
        <w:t xml:space="preserve">provides one-on-one support to children and their </w:t>
      </w:r>
      <w:r>
        <w:rPr>
          <w:rFonts w:cs="Arial"/>
        </w:rPr>
        <w:t xml:space="preserve">protective </w:t>
      </w:r>
      <w:r w:rsidRPr="003E074C">
        <w:rPr>
          <w:rFonts w:cs="Arial"/>
        </w:rPr>
        <w:t>parent to facilitate children’s social-emotional wellbeing and competence, behavioural adjustment, attachment relationship with the parent, and self-esteem.</w:t>
      </w:r>
    </w:p>
    <w:p w14:paraId="368666FD" w14:textId="77777777" w:rsidR="000D1D92" w:rsidRDefault="000D1D92" w:rsidP="000D1D92">
      <w:pPr>
        <w:autoSpaceDE w:val="0"/>
        <w:autoSpaceDN w:val="0"/>
        <w:adjustRightInd w:val="0"/>
        <w:spacing w:before="0" w:after="0"/>
        <w:jc w:val="both"/>
        <w:rPr>
          <w:rFonts w:cs="Arial"/>
        </w:rPr>
      </w:pPr>
    </w:p>
    <w:p w14:paraId="5D29C7DB" w14:textId="77777777" w:rsidR="000D1D92" w:rsidRDefault="000D1D92" w:rsidP="000D1D92">
      <w:pPr>
        <w:autoSpaceDE w:val="0"/>
        <w:autoSpaceDN w:val="0"/>
        <w:adjustRightInd w:val="0"/>
        <w:spacing w:before="0" w:after="0"/>
        <w:jc w:val="both"/>
        <w:rPr>
          <w:rFonts w:cs="Arial"/>
        </w:rPr>
      </w:pPr>
      <w:r>
        <w:rPr>
          <w:rFonts w:cs="Arial"/>
        </w:rPr>
        <w:t>The Expressive Therapies Program was evaluated by BoysTown in 2015. Fifty-six children were assessed at entry to the refuge using the Child Behaviour Checklist, which provides a measure of internalising and externalising behaviours.</w:t>
      </w:r>
    </w:p>
    <w:p w14:paraId="26E5157F" w14:textId="77777777" w:rsidR="000D1D92" w:rsidRDefault="000D1D92" w:rsidP="000D1D92">
      <w:pPr>
        <w:autoSpaceDE w:val="0"/>
        <w:autoSpaceDN w:val="0"/>
        <w:adjustRightInd w:val="0"/>
        <w:spacing w:before="0" w:after="0"/>
        <w:jc w:val="both"/>
        <w:rPr>
          <w:rFonts w:cs="Arial"/>
        </w:rPr>
      </w:pPr>
    </w:p>
    <w:p w14:paraId="3D76630F" w14:textId="77777777" w:rsidR="000D1D92" w:rsidRDefault="000D1D92" w:rsidP="000D1D92">
      <w:pPr>
        <w:autoSpaceDE w:val="0"/>
        <w:autoSpaceDN w:val="0"/>
        <w:adjustRightInd w:val="0"/>
        <w:spacing w:before="0" w:after="0"/>
        <w:jc w:val="both"/>
        <w:rPr>
          <w:rFonts w:cs="Arial"/>
        </w:rPr>
      </w:pPr>
      <w:r>
        <w:rPr>
          <w:rFonts w:cs="Arial"/>
        </w:rPr>
        <w:t xml:space="preserve">On entry, over 60% of the children who completed the program fell into the clinical range for problem behaviours. At exit from the program, their parent reported significant improvement, with the number of children in the clinical range dropping to 23%. </w:t>
      </w:r>
    </w:p>
    <w:p w14:paraId="01C2F997" w14:textId="77777777" w:rsidR="000D1D92" w:rsidRDefault="000D1D92" w:rsidP="000D1D92">
      <w:pPr>
        <w:autoSpaceDE w:val="0"/>
        <w:autoSpaceDN w:val="0"/>
        <w:adjustRightInd w:val="0"/>
        <w:spacing w:before="0" w:after="0"/>
        <w:jc w:val="both"/>
        <w:rPr>
          <w:rFonts w:cs="Arial"/>
        </w:rPr>
      </w:pPr>
    </w:p>
    <w:p w14:paraId="2FEDBFBE" w14:textId="77777777" w:rsidR="000D1D92" w:rsidRDefault="000D1D92" w:rsidP="000D1D92">
      <w:pPr>
        <w:autoSpaceDE w:val="0"/>
        <w:autoSpaceDN w:val="0"/>
        <w:adjustRightInd w:val="0"/>
        <w:spacing w:before="0" w:after="0"/>
        <w:jc w:val="both"/>
        <w:rPr>
          <w:rFonts w:cs="Arial"/>
        </w:rPr>
      </w:pPr>
      <w:r>
        <w:rPr>
          <w:rFonts w:cs="Arial"/>
        </w:rPr>
        <w:t>BoysTown acknowledges that it cannot directly link the children’s improvement with the Expressive Therapies Program given that it did not have a control group to compare with. However, q</w:t>
      </w:r>
      <w:r w:rsidRPr="00413960">
        <w:rPr>
          <w:rFonts w:cs="Arial"/>
        </w:rPr>
        <w:t>ualitative insights</w:t>
      </w:r>
      <w:r>
        <w:rPr>
          <w:rFonts w:cs="Arial"/>
        </w:rPr>
        <w:t xml:space="preserve"> from</w:t>
      </w:r>
      <w:r w:rsidRPr="00413960">
        <w:rPr>
          <w:rFonts w:cs="Arial"/>
        </w:rPr>
        <w:t xml:space="preserve"> </w:t>
      </w:r>
      <w:r>
        <w:rPr>
          <w:rFonts w:cs="Arial"/>
        </w:rPr>
        <w:t>parents and therapists suggest</w:t>
      </w:r>
      <w:r w:rsidRPr="00413960">
        <w:rPr>
          <w:rFonts w:cs="Arial"/>
        </w:rPr>
        <w:t xml:space="preserve"> connections between specific elements of </w:t>
      </w:r>
      <w:r>
        <w:rPr>
          <w:rFonts w:cs="Arial"/>
        </w:rPr>
        <w:t xml:space="preserve">the </w:t>
      </w:r>
      <w:r w:rsidRPr="00413960">
        <w:rPr>
          <w:rFonts w:cs="Arial"/>
        </w:rPr>
        <w:t>Expressive Therapies</w:t>
      </w:r>
      <w:r>
        <w:rPr>
          <w:rFonts w:cs="Arial"/>
        </w:rPr>
        <w:t xml:space="preserve"> Program</w:t>
      </w:r>
      <w:r w:rsidRPr="00413960">
        <w:rPr>
          <w:rFonts w:cs="Arial"/>
        </w:rPr>
        <w:t xml:space="preserve"> and changes in</w:t>
      </w:r>
      <w:r>
        <w:rPr>
          <w:rFonts w:cs="Arial"/>
        </w:rPr>
        <w:t xml:space="preserve"> the</w:t>
      </w:r>
      <w:r w:rsidRPr="00413960">
        <w:rPr>
          <w:rFonts w:cs="Arial"/>
        </w:rPr>
        <w:t xml:space="preserve"> chil</w:t>
      </w:r>
      <w:r>
        <w:rPr>
          <w:rFonts w:cs="Arial"/>
        </w:rPr>
        <w:t>dren’s behaviour and well</w:t>
      </w:r>
      <w:r w:rsidRPr="00413960">
        <w:rPr>
          <w:rFonts w:cs="Arial"/>
        </w:rPr>
        <w:t>being.</w:t>
      </w:r>
      <w:r w:rsidRPr="00413960">
        <w:rPr>
          <w:rStyle w:val="EndnoteReference"/>
          <w:rFonts w:cs="Arial"/>
          <w:sz w:val="24"/>
        </w:rPr>
        <w:endnoteReference w:id="599"/>
      </w:r>
    </w:p>
    <w:p w14:paraId="4EE1A41B" w14:textId="77777777" w:rsidR="000D1D92" w:rsidRDefault="000D1D92" w:rsidP="000D1D92">
      <w:pPr>
        <w:autoSpaceDE w:val="0"/>
        <w:autoSpaceDN w:val="0"/>
        <w:adjustRightInd w:val="0"/>
        <w:spacing w:before="0" w:after="0"/>
        <w:jc w:val="both"/>
        <w:rPr>
          <w:rFonts w:cs="Arial"/>
        </w:rPr>
      </w:pPr>
    </w:p>
    <w:p w14:paraId="4161869C" w14:textId="77777777" w:rsidR="000D1D92" w:rsidRDefault="000D1D92" w:rsidP="000D1D92">
      <w:pPr>
        <w:autoSpaceDE w:val="0"/>
        <w:autoSpaceDN w:val="0"/>
        <w:adjustRightInd w:val="0"/>
        <w:spacing w:before="0" w:after="0"/>
        <w:jc w:val="both"/>
        <w:rPr>
          <w:rFonts w:cs="Arial"/>
        </w:rPr>
      </w:pPr>
      <w:r>
        <w:rPr>
          <w:rFonts w:cs="Arial"/>
        </w:rPr>
        <w:lastRenderedPageBreak/>
        <w:t>Ms Wendy Bunston, PhD candidate and Associate Lecturer at La Trobe University, submitted a summary of evaluations relating to four infant/child and parent interventions to address family and domestic violence. Ms Bunston provided evaluation summaries about The Peek-a-Boo Club, Dads on Board, Parents Accepting Responsibility Kids are Safe, and Building Up Bonds (BuBs) On Board.</w:t>
      </w:r>
      <w:r>
        <w:rPr>
          <w:rStyle w:val="EndnoteReference"/>
          <w:rFonts w:cs="Arial"/>
        </w:rPr>
        <w:endnoteReference w:id="600"/>
      </w:r>
      <w:r>
        <w:rPr>
          <w:rFonts w:cs="Arial"/>
        </w:rPr>
        <w:t xml:space="preserve"> </w:t>
      </w:r>
    </w:p>
    <w:p w14:paraId="5575F09A" w14:textId="77777777" w:rsidR="000D1D92" w:rsidRDefault="000D1D92" w:rsidP="000D1D92">
      <w:pPr>
        <w:autoSpaceDE w:val="0"/>
        <w:autoSpaceDN w:val="0"/>
        <w:adjustRightInd w:val="0"/>
        <w:spacing w:before="0" w:after="0"/>
        <w:jc w:val="both"/>
        <w:rPr>
          <w:rFonts w:cs="Arial"/>
        </w:rPr>
      </w:pPr>
    </w:p>
    <w:p w14:paraId="289C2D4C" w14:textId="77777777" w:rsidR="000D1D92" w:rsidRDefault="000D1D92" w:rsidP="000D1D92">
      <w:pPr>
        <w:autoSpaceDE w:val="0"/>
        <w:autoSpaceDN w:val="0"/>
        <w:adjustRightInd w:val="0"/>
        <w:spacing w:before="0" w:after="0"/>
        <w:jc w:val="both"/>
        <w:rPr>
          <w:rFonts w:cs="Arial"/>
        </w:rPr>
      </w:pPr>
      <w:r>
        <w:rPr>
          <w:rFonts w:cs="Arial"/>
        </w:rPr>
        <w:t xml:space="preserve">Ms Bunston reported there were some positive indicators in a number of these programs in terms of child-wellbeing and functioning, and parent/child relationships. </w:t>
      </w:r>
    </w:p>
    <w:p w14:paraId="0A827EED" w14:textId="77777777" w:rsidR="000D1D92" w:rsidRDefault="000D1D92" w:rsidP="000D1D92">
      <w:pPr>
        <w:autoSpaceDE w:val="0"/>
        <w:autoSpaceDN w:val="0"/>
        <w:adjustRightInd w:val="0"/>
        <w:spacing w:before="0" w:after="0"/>
        <w:jc w:val="both"/>
        <w:rPr>
          <w:rFonts w:cs="Arial"/>
        </w:rPr>
      </w:pPr>
    </w:p>
    <w:p w14:paraId="4B4BF40F" w14:textId="77777777" w:rsidR="000D1D92" w:rsidRDefault="000D1D92" w:rsidP="000D1D92">
      <w:pPr>
        <w:autoSpaceDE w:val="0"/>
        <w:autoSpaceDN w:val="0"/>
        <w:adjustRightInd w:val="0"/>
        <w:spacing w:before="0" w:after="0"/>
        <w:jc w:val="both"/>
        <w:rPr>
          <w:rFonts w:cs="Arial"/>
        </w:rPr>
      </w:pPr>
      <w:r>
        <w:rPr>
          <w:rFonts w:cs="Arial"/>
        </w:rPr>
        <w:t>Again, the small sample sizes and lack of control groups prevent definitive conclusions about efficacy.</w:t>
      </w:r>
      <w:r>
        <w:rPr>
          <w:rStyle w:val="EndnoteReference"/>
          <w:rFonts w:cs="Arial"/>
        </w:rPr>
        <w:endnoteReference w:id="601"/>
      </w:r>
    </w:p>
    <w:p w14:paraId="3BDEB280" w14:textId="77777777" w:rsidR="000D1D92" w:rsidRDefault="000D1D92" w:rsidP="000D1D92">
      <w:pPr>
        <w:jc w:val="both"/>
      </w:pPr>
      <w:r>
        <w:t xml:space="preserve">While programs and services to support children affected by family and domestic violence were raised throughout my examination, </w:t>
      </w:r>
      <w:r w:rsidRPr="00594893">
        <w:t>relatively little information</w:t>
      </w:r>
      <w:r>
        <w:t xml:space="preserve"> is </w:t>
      </w:r>
      <w:r w:rsidRPr="00594893">
        <w:t>available about the extent of children’s access to such services</w:t>
      </w:r>
      <w:r>
        <w:t xml:space="preserve"> or</w:t>
      </w:r>
      <w:r w:rsidRPr="00594893">
        <w:t xml:space="preserve"> evidence of actual outcomes for children</w:t>
      </w:r>
      <w:r>
        <w:t>.</w:t>
      </w:r>
    </w:p>
    <w:p w14:paraId="6972A42D" w14:textId="77777777" w:rsidR="000D1D92" w:rsidRDefault="000D1D92" w:rsidP="000D1D92">
      <w:pPr>
        <w:jc w:val="both"/>
      </w:pPr>
      <w:r>
        <w:t>A recent review of family violence prevention, early intervention and response services found that in Australia there is limited evidence for the efficacy of programs for children aged 0 to 8 years.</w:t>
      </w:r>
      <w:r>
        <w:rPr>
          <w:rStyle w:val="EndnoteReference"/>
        </w:rPr>
        <w:endnoteReference w:id="602"/>
      </w:r>
    </w:p>
    <w:p w14:paraId="6E113DB8" w14:textId="77777777" w:rsidR="000D1D92" w:rsidRDefault="000D1D92" w:rsidP="000D1D92">
      <w:pPr>
        <w:autoSpaceDE w:val="0"/>
        <w:autoSpaceDN w:val="0"/>
        <w:adjustRightInd w:val="0"/>
        <w:spacing w:before="0" w:after="0"/>
        <w:jc w:val="both"/>
        <w:rPr>
          <w:rFonts w:cs="Arial"/>
        </w:rPr>
      </w:pPr>
      <w:r>
        <w:t>Work by Bromfield, Arney, and Higgins indicated that:</w:t>
      </w:r>
    </w:p>
    <w:p w14:paraId="2679A0D9" w14:textId="77777777" w:rsidR="000D1D92" w:rsidRDefault="000D1D92" w:rsidP="000D1D92">
      <w:pPr>
        <w:autoSpaceDE w:val="0"/>
        <w:autoSpaceDN w:val="0"/>
        <w:adjustRightInd w:val="0"/>
        <w:spacing w:before="0" w:after="0"/>
        <w:jc w:val="both"/>
        <w:rPr>
          <w:rFonts w:cs="Arial"/>
        </w:rPr>
      </w:pPr>
    </w:p>
    <w:p w14:paraId="231C78FB" w14:textId="77777777" w:rsidR="000D1D92" w:rsidRDefault="000D1D92" w:rsidP="000D1D92">
      <w:pPr>
        <w:autoSpaceDE w:val="0"/>
        <w:autoSpaceDN w:val="0"/>
        <w:adjustRightInd w:val="0"/>
        <w:spacing w:before="0" w:after="0"/>
        <w:ind w:left="720"/>
        <w:jc w:val="both"/>
        <w:rPr>
          <w:rFonts w:cs="Arial"/>
        </w:rPr>
      </w:pPr>
      <w:r w:rsidRPr="00A17AB8">
        <w:rPr>
          <w:rFonts w:cs="Arial"/>
          <w:sz w:val="22"/>
          <w:szCs w:val="22"/>
        </w:rPr>
        <w:t>In Australia, there is a significant gap between “what we know and what we do”, with many family support services being funded without a clear practice or program model and without being underpinned by an evidence base</w:t>
      </w:r>
      <w:r w:rsidRPr="0027678C">
        <w:rPr>
          <w:rFonts w:cs="Arial"/>
        </w:rPr>
        <w:t>.</w:t>
      </w:r>
      <w:r>
        <w:rPr>
          <w:rStyle w:val="EndnoteReference"/>
          <w:rFonts w:cs="Arial"/>
        </w:rPr>
        <w:endnoteReference w:id="603"/>
      </w:r>
    </w:p>
    <w:p w14:paraId="1659E7FD" w14:textId="77777777" w:rsidR="000D1D92" w:rsidRDefault="000D1D92" w:rsidP="000D1D92">
      <w:pPr>
        <w:autoSpaceDE w:val="0"/>
        <w:autoSpaceDN w:val="0"/>
        <w:adjustRightInd w:val="0"/>
        <w:spacing w:before="0" w:after="0"/>
        <w:jc w:val="both"/>
        <w:rPr>
          <w:rFonts w:cs="Arial"/>
        </w:rPr>
      </w:pPr>
    </w:p>
    <w:p w14:paraId="12258E3C" w14:textId="77777777" w:rsidR="000D1D92" w:rsidRDefault="000D1D92" w:rsidP="000D1D92">
      <w:pPr>
        <w:autoSpaceDE w:val="0"/>
        <w:autoSpaceDN w:val="0"/>
        <w:adjustRightInd w:val="0"/>
        <w:spacing w:before="0" w:after="0"/>
        <w:jc w:val="both"/>
        <w:rPr>
          <w:rFonts w:cs="Arial"/>
        </w:rPr>
      </w:pPr>
      <w:r>
        <w:rPr>
          <w:rFonts w:cs="Arial"/>
        </w:rPr>
        <w:t xml:space="preserve">The implications of this are very serious in terms of making sure that interventions are adding value to children’s lives. </w:t>
      </w:r>
    </w:p>
    <w:p w14:paraId="45CE458D" w14:textId="77777777" w:rsidR="000D1D92" w:rsidRDefault="000D1D92" w:rsidP="000D1D92">
      <w:pPr>
        <w:autoSpaceDE w:val="0"/>
        <w:autoSpaceDN w:val="0"/>
        <w:adjustRightInd w:val="0"/>
        <w:spacing w:before="0" w:after="0"/>
        <w:jc w:val="both"/>
        <w:rPr>
          <w:rFonts w:cs="Arial"/>
        </w:rPr>
      </w:pPr>
    </w:p>
    <w:p w14:paraId="154EFD14" w14:textId="77777777" w:rsidR="000D1D92" w:rsidRDefault="000D1D92" w:rsidP="000D1D92">
      <w:pPr>
        <w:autoSpaceDE w:val="0"/>
        <w:autoSpaceDN w:val="0"/>
        <w:adjustRightInd w:val="0"/>
        <w:spacing w:before="0" w:after="0"/>
        <w:jc w:val="both"/>
      </w:pPr>
      <w:r>
        <w:rPr>
          <w:rFonts w:cs="Arial"/>
        </w:rPr>
        <w:t xml:space="preserve">As the joint submission made by the </w:t>
      </w:r>
      <w:r>
        <w:t>Australian Institute of Family Studies (AIFS) and Australia’s National Research Organisation for Women’s Safety Ltd (ANROWS) noted that:</w:t>
      </w:r>
    </w:p>
    <w:p w14:paraId="124FAD5A" w14:textId="77777777" w:rsidR="000D1D92" w:rsidRPr="00D66CF1" w:rsidRDefault="000D1D92" w:rsidP="000D1D92">
      <w:pPr>
        <w:autoSpaceDE w:val="0"/>
        <w:autoSpaceDN w:val="0"/>
        <w:adjustRightInd w:val="0"/>
        <w:spacing w:before="0" w:after="0"/>
        <w:jc w:val="both"/>
        <w:rPr>
          <w:rFonts w:cs="Arial"/>
        </w:rPr>
      </w:pPr>
    </w:p>
    <w:p w14:paraId="15BA1B4E" w14:textId="77777777" w:rsidR="000D1D92" w:rsidRPr="00B2626E" w:rsidRDefault="000D1D92" w:rsidP="000D1D92">
      <w:pPr>
        <w:autoSpaceDE w:val="0"/>
        <w:autoSpaceDN w:val="0"/>
        <w:adjustRightInd w:val="0"/>
        <w:spacing w:before="0" w:after="0"/>
        <w:ind w:left="720"/>
        <w:jc w:val="both"/>
        <w:rPr>
          <w:rFonts w:cs="Arial"/>
          <w:sz w:val="22"/>
          <w:szCs w:val="22"/>
        </w:rPr>
      </w:pPr>
      <w:r w:rsidRPr="00A17AB8">
        <w:rPr>
          <w:rFonts w:cs="Arial"/>
          <w:sz w:val="22"/>
          <w:szCs w:val="22"/>
        </w:rPr>
        <w:t>Overall, there is a lack of evidence about the outcomes for children affected by DFV who engage with services, programs and support. This is largely due to a lack of rigorous evaluation of DFV services. DFV services often lack the resources to undertake or participate in evaluation. There is, however, a significant amount of high quality practice knowledge within the sector about the best approaches to take with children affected by DFV.</w:t>
      </w:r>
      <w:r w:rsidRPr="00A17AB8">
        <w:rPr>
          <w:rStyle w:val="EndnoteReference"/>
          <w:rFonts w:cs="Arial"/>
          <w:sz w:val="22"/>
          <w:szCs w:val="22"/>
        </w:rPr>
        <w:endnoteReference w:id="604"/>
      </w:r>
    </w:p>
    <w:p w14:paraId="1FB64F5D" w14:textId="77777777" w:rsidR="000D1D92" w:rsidRDefault="000D1D92" w:rsidP="000D1D92">
      <w:pPr>
        <w:autoSpaceDE w:val="0"/>
        <w:autoSpaceDN w:val="0"/>
        <w:adjustRightInd w:val="0"/>
        <w:spacing w:before="0" w:after="0"/>
        <w:jc w:val="both"/>
        <w:rPr>
          <w:rFonts w:cs="Arial"/>
        </w:rPr>
      </w:pPr>
    </w:p>
    <w:p w14:paraId="300F55F6" w14:textId="77777777" w:rsidR="000D1D92" w:rsidRDefault="000D1D92" w:rsidP="000D1D92">
      <w:pPr>
        <w:autoSpaceDE w:val="0"/>
        <w:autoSpaceDN w:val="0"/>
        <w:adjustRightInd w:val="0"/>
        <w:spacing w:before="0" w:after="0"/>
        <w:jc w:val="both"/>
        <w:rPr>
          <w:rFonts w:cs="Arial"/>
        </w:rPr>
      </w:pPr>
      <w:r>
        <w:rPr>
          <w:rFonts w:cs="Arial"/>
        </w:rPr>
        <w:t>Academic, Nicky Stanley points out that:</w:t>
      </w:r>
    </w:p>
    <w:p w14:paraId="57619A87" w14:textId="77777777" w:rsidR="000D1D92" w:rsidRDefault="000D1D92" w:rsidP="000D1D92">
      <w:pPr>
        <w:autoSpaceDE w:val="0"/>
        <w:autoSpaceDN w:val="0"/>
        <w:adjustRightInd w:val="0"/>
        <w:spacing w:before="0" w:after="0"/>
        <w:ind w:left="720"/>
        <w:jc w:val="both"/>
      </w:pPr>
    </w:p>
    <w:p w14:paraId="567216EA" w14:textId="77777777" w:rsidR="000D1D92" w:rsidRDefault="000D1D92" w:rsidP="000D1D92">
      <w:pPr>
        <w:autoSpaceDE w:val="0"/>
        <w:autoSpaceDN w:val="0"/>
        <w:adjustRightInd w:val="0"/>
        <w:spacing w:before="0" w:after="0"/>
        <w:ind w:left="720"/>
        <w:jc w:val="both"/>
        <w:rPr>
          <w:rFonts w:cs="Arial"/>
          <w:sz w:val="22"/>
          <w:szCs w:val="22"/>
        </w:rPr>
      </w:pPr>
      <w:r w:rsidRPr="00A17AB8">
        <w:rPr>
          <w:rFonts w:cs="Arial"/>
          <w:sz w:val="22"/>
          <w:szCs w:val="22"/>
        </w:rPr>
        <w:t xml:space="preserve">While the accumulating body of evidence concerning the harmful effects of domestic violence on children’s emotional well-being and development has been widely disseminated, there is much less knowledge and understanding of how children can be protected from those effects or which interventions are most successful in ending domestic violence. </w:t>
      </w:r>
    </w:p>
    <w:p w14:paraId="71E60218" w14:textId="77777777" w:rsidR="000D1D92" w:rsidRDefault="000D1D92" w:rsidP="000D1D92">
      <w:pPr>
        <w:autoSpaceDE w:val="0"/>
        <w:autoSpaceDN w:val="0"/>
        <w:adjustRightInd w:val="0"/>
        <w:spacing w:before="0" w:after="0"/>
        <w:ind w:left="720"/>
        <w:jc w:val="both"/>
        <w:rPr>
          <w:rFonts w:cs="Arial"/>
          <w:sz w:val="22"/>
          <w:szCs w:val="22"/>
        </w:rPr>
      </w:pPr>
    </w:p>
    <w:p w14:paraId="1FEB52EC" w14:textId="77777777" w:rsidR="000D1D92" w:rsidRDefault="000D1D92" w:rsidP="000D1D92">
      <w:pPr>
        <w:autoSpaceDE w:val="0"/>
        <w:autoSpaceDN w:val="0"/>
        <w:adjustRightInd w:val="0"/>
        <w:spacing w:before="0" w:after="0"/>
        <w:ind w:left="720"/>
        <w:jc w:val="both"/>
        <w:rPr>
          <w:rFonts w:cs="Arial"/>
        </w:rPr>
      </w:pPr>
      <w:r w:rsidRPr="00A17AB8">
        <w:rPr>
          <w:rFonts w:cs="Arial"/>
          <w:sz w:val="22"/>
          <w:szCs w:val="22"/>
        </w:rPr>
        <w:t>It is increasingly recognised that interventions that only target the victim or even those aimed at mothers and children may ‘miss the mark’ by omitting to engage with fathers who are the perpetrators of the most severe and frequent forms of domestic violence.</w:t>
      </w:r>
      <w:r w:rsidRPr="00A17AB8">
        <w:rPr>
          <w:rStyle w:val="EndnoteReference"/>
          <w:rFonts w:cs="Arial"/>
          <w:sz w:val="22"/>
          <w:szCs w:val="22"/>
        </w:rPr>
        <w:endnoteReference w:id="605"/>
      </w:r>
      <w:r w:rsidRPr="00A17AB8">
        <w:rPr>
          <w:rFonts w:cs="Arial"/>
          <w:sz w:val="22"/>
          <w:szCs w:val="22"/>
        </w:rPr>
        <w:t xml:space="preserve">…interventions aimed at protecting children from domestic violence </w:t>
      </w:r>
      <w:r w:rsidRPr="00A17AB8">
        <w:rPr>
          <w:rFonts w:cs="Arial"/>
          <w:sz w:val="22"/>
          <w:szCs w:val="22"/>
        </w:rPr>
        <w:lastRenderedPageBreak/>
        <w:t>should focus on promoting mother-child attachments. Other supportive adults, such as grandparents, aunts or older siblings, can also offer supportive relationships that convey continuity, security and a sense of being loved</w:t>
      </w:r>
      <w:r w:rsidRPr="00EF7FF6">
        <w:rPr>
          <w:rFonts w:cs="Arial"/>
        </w:rPr>
        <w:t>.</w:t>
      </w:r>
      <w:r>
        <w:rPr>
          <w:rStyle w:val="EndnoteReference"/>
          <w:rFonts w:cs="Arial"/>
        </w:rPr>
        <w:endnoteReference w:id="606"/>
      </w:r>
    </w:p>
    <w:p w14:paraId="21D8F97C" w14:textId="77777777" w:rsidR="000D1D92" w:rsidRPr="00BB0405" w:rsidRDefault="000D1D92" w:rsidP="000D1D92">
      <w:pPr>
        <w:pStyle w:val="Heading4"/>
      </w:pPr>
      <w:r>
        <w:t>P</w:t>
      </w:r>
      <w:r w:rsidRPr="00354AA1">
        <w:t>erpetrator intervention</w:t>
      </w:r>
      <w:r>
        <w:t>s for behaviour change</w:t>
      </w:r>
    </w:p>
    <w:p w14:paraId="1BE7C40B" w14:textId="77777777" w:rsidR="000D1D92" w:rsidRDefault="000D1D92" w:rsidP="000D1D92">
      <w:pPr>
        <w:autoSpaceDE w:val="0"/>
        <w:autoSpaceDN w:val="0"/>
        <w:adjustRightInd w:val="0"/>
        <w:spacing w:before="0" w:after="0"/>
        <w:jc w:val="both"/>
        <w:rPr>
          <w:rFonts w:cs="Arial"/>
        </w:rPr>
      </w:pPr>
      <w:r>
        <w:rPr>
          <w:rFonts w:cs="Arial"/>
        </w:rPr>
        <w:t>In the main, men who use family and domestic violence ‘remain a strong presence in the lives of their children’.</w:t>
      </w:r>
      <w:r>
        <w:rPr>
          <w:rStyle w:val="EndnoteReference"/>
          <w:rFonts w:cs="Arial"/>
        </w:rPr>
        <w:endnoteReference w:id="607"/>
      </w:r>
    </w:p>
    <w:p w14:paraId="2558A41A" w14:textId="77777777" w:rsidR="000D1D92" w:rsidRDefault="000D1D92" w:rsidP="000D1D92">
      <w:pPr>
        <w:autoSpaceDE w:val="0"/>
        <w:autoSpaceDN w:val="0"/>
        <w:adjustRightInd w:val="0"/>
        <w:spacing w:before="0" w:after="0"/>
        <w:jc w:val="both"/>
        <w:rPr>
          <w:rFonts w:cs="Arial"/>
        </w:rPr>
      </w:pPr>
    </w:p>
    <w:p w14:paraId="549C4592" w14:textId="77777777" w:rsidR="000D1D92" w:rsidRDefault="000D1D92" w:rsidP="000D1D92">
      <w:pPr>
        <w:autoSpaceDE w:val="0"/>
        <w:autoSpaceDN w:val="0"/>
        <w:adjustRightInd w:val="0"/>
        <w:spacing w:before="0" w:after="0"/>
        <w:jc w:val="both"/>
        <w:rPr>
          <w:rFonts w:cs="Arial"/>
        </w:rPr>
      </w:pPr>
      <w:r>
        <w:rPr>
          <w:rFonts w:cs="Arial"/>
        </w:rPr>
        <w:t xml:space="preserve">Given this reality, the role of perpetrator interventions to create opportunities for behaviour change was raised in a number of submissions and also at my roundtables. For example, Relationships Australia noted in its submission: </w:t>
      </w:r>
    </w:p>
    <w:p w14:paraId="0A25E0DD" w14:textId="77777777" w:rsidR="000D1D92" w:rsidRDefault="000D1D92" w:rsidP="000D1D92">
      <w:pPr>
        <w:autoSpaceDE w:val="0"/>
        <w:autoSpaceDN w:val="0"/>
        <w:adjustRightInd w:val="0"/>
        <w:spacing w:before="0" w:after="0"/>
        <w:jc w:val="both"/>
        <w:rPr>
          <w:rFonts w:cs="Arial"/>
        </w:rPr>
      </w:pPr>
    </w:p>
    <w:p w14:paraId="6A302432" w14:textId="77777777" w:rsidR="000D1D92" w:rsidRPr="00101E5A" w:rsidRDefault="000D1D92" w:rsidP="000D1D92">
      <w:pPr>
        <w:autoSpaceDE w:val="0"/>
        <w:autoSpaceDN w:val="0"/>
        <w:adjustRightInd w:val="0"/>
        <w:spacing w:before="0" w:after="0"/>
        <w:ind w:left="720"/>
        <w:jc w:val="both"/>
        <w:rPr>
          <w:rFonts w:cs="Arial"/>
          <w:sz w:val="22"/>
          <w:szCs w:val="22"/>
        </w:rPr>
      </w:pPr>
      <w:r w:rsidRPr="00101E5A">
        <w:rPr>
          <w:rFonts w:cs="Arial"/>
          <w:sz w:val="22"/>
          <w:szCs w:val="22"/>
        </w:rPr>
        <w:t>Research suggests that timely interventions can create opportunities for behaviour change. This includes fathers’ desires to maintain and improve relationships with their children which can be a significant leverage point through which the impact of their violent behaviour can be realised and confronted.</w:t>
      </w:r>
      <w:r>
        <w:rPr>
          <w:rStyle w:val="EndnoteReference"/>
          <w:rFonts w:cs="Arial"/>
          <w:szCs w:val="22"/>
        </w:rPr>
        <w:endnoteReference w:id="608"/>
      </w:r>
    </w:p>
    <w:p w14:paraId="53E98EEB" w14:textId="77777777" w:rsidR="000D1D92" w:rsidRDefault="000D1D92" w:rsidP="000D1D92">
      <w:pPr>
        <w:autoSpaceDE w:val="0"/>
        <w:autoSpaceDN w:val="0"/>
        <w:adjustRightInd w:val="0"/>
        <w:spacing w:before="0" w:after="0"/>
        <w:jc w:val="both"/>
        <w:rPr>
          <w:rFonts w:cs="Arial"/>
        </w:rPr>
      </w:pPr>
    </w:p>
    <w:p w14:paraId="421CB7C5" w14:textId="77777777" w:rsidR="000D1D92" w:rsidRDefault="000D1D92" w:rsidP="000D1D92">
      <w:pPr>
        <w:autoSpaceDE w:val="0"/>
        <w:autoSpaceDN w:val="0"/>
        <w:adjustRightInd w:val="0"/>
        <w:spacing w:before="0" w:after="0"/>
        <w:jc w:val="both"/>
        <w:rPr>
          <w:rFonts w:cs="Arial"/>
        </w:rPr>
      </w:pPr>
      <w:r>
        <w:rPr>
          <w:rFonts w:cs="Arial"/>
        </w:rPr>
        <w:t>The Melbourne Alliance to End Violence Against Women and their Children argued that:</w:t>
      </w:r>
    </w:p>
    <w:p w14:paraId="62C2D7B5" w14:textId="77777777" w:rsidR="000D1D92" w:rsidRDefault="000D1D92" w:rsidP="000D1D92">
      <w:pPr>
        <w:autoSpaceDE w:val="0"/>
        <w:autoSpaceDN w:val="0"/>
        <w:adjustRightInd w:val="0"/>
        <w:spacing w:before="0" w:after="0"/>
        <w:jc w:val="both"/>
        <w:rPr>
          <w:rFonts w:cs="Arial"/>
        </w:rPr>
      </w:pPr>
    </w:p>
    <w:p w14:paraId="67DA1E1B" w14:textId="77777777" w:rsidR="000D1D92" w:rsidRPr="005717A3" w:rsidRDefault="000D1D92" w:rsidP="000D1D92">
      <w:pPr>
        <w:autoSpaceDE w:val="0"/>
        <w:autoSpaceDN w:val="0"/>
        <w:adjustRightInd w:val="0"/>
        <w:spacing w:before="0" w:after="0"/>
        <w:ind w:left="720"/>
        <w:jc w:val="both"/>
        <w:rPr>
          <w:rFonts w:cs="Arial"/>
          <w:sz w:val="22"/>
          <w:szCs w:val="22"/>
        </w:rPr>
      </w:pPr>
      <w:r w:rsidRPr="005717A3">
        <w:rPr>
          <w:rFonts w:cs="Arial"/>
          <w:sz w:val="22"/>
          <w:szCs w:val="22"/>
        </w:rPr>
        <w:t>primary prevention strategies which support respectful and equal relationships between men and women and their children are central to family violence intervention. We recognise that this work is of primary importance and foundational to an effective response to family violence.</w:t>
      </w:r>
      <w:r w:rsidRPr="005717A3">
        <w:rPr>
          <w:rStyle w:val="EndnoteReference"/>
          <w:rFonts w:cs="Arial"/>
          <w:sz w:val="22"/>
          <w:szCs w:val="22"/>
        </w:rPr>
        <w:endnoteReference w:id="609"/>
      </w:r>
    </w:p>
    <w:p w14:paraId="35C1EC78" w14:textId="77777777" w:rsidR="000D1D92" w:rsidRDefault="000D1D92" w:rsidP="000D1D92">
      <w:pPr>
        <w:autoSpaceDE w:val="0"/>
        <w:autoSpaceDN w:val="0"/>
        <w:adjustRightInd w:val="0"/>
        <w:spacing w:before="0" w:after="0"/>
        <w:jc w:val="both"/>
        <w:rPr>
          <w:rFonts w:cs="Arial"/>
        </w:rPr>
      </w:pPr>
    </w:p>
    <w:p w14:paraId="6B997854" w14:textId="77777777" w:rsidR="000D1D92" w:rsidRDefault="000D1D92" w:rsidP="000D1D92">
      <w:pPr>
        <w:autoSpaceDE w:val="0"/>
        <w:autoSpaceDN w:val="0"/>
        <w:adjustRightInd w:val="0"/>
        <w:spacing w:before="0" w:after="0"/>
        <w:jc w:val="both"/>
        <w:rPr>
          <w:rFonts w:cs="Arial"/>
        </w:rPr>
      </w:pPr>
      <w:r>
        <w:rPr>
          <w:rFonts w:cs="Arial"/>
        </w:rPr>
        <w:t xml:space="preserve">An example of a men’s behaviour change program was described by Relationships Australia New South Wales in its submission to me: </w:t>
      </w:r>
    </w:p>
    <w:p w14:paraId="79AA2C51" w14:textId="77777777" w:rsidR="000D1D92" w:rsidRDefault="000D1D92" w:rsidP="000D1D92">
      <w:pPr>
        <w:autoSpaceDE w:val="0"/>
        <w:autoSpaceDN w:val="0"/>
        <w:adjustRightInd w:val="0"/>
        <w:spacing w:before="0" w:after="0"/>
        <w:jc w:val="both"/>
        <w:rPr>
          <w:rFonts w:cs="Arial"/>
        </w:rPr>
      </w:pPr>
    </w:p>
    <w:p w14:paraId="10731EBB" w14:textId="77777777" w:rsidR="000D1D92" w:rsidRPr="00D729B7" w:rsidRDefault="000D1D92" w:rsidP="000D1D92">
      <w:pPr>
        <w:autoSpaceDE w:val="0"/>
        <w:autoSpaceDN w:val="0"/>
        <w:adjustRightInd w:val="0"/>
        <w:spacing w:before="0" w:after="0"/>
        <w:ind w:left="720"/>
        <w:jc w:val="both"/>
        <w:rPr>
          <w:rFonts w:cs="Arial"/>
          <w:sz w:val="22"/>
          <w:szCs w:val="22"/>
        </w:rPr>
      </w:pPr>
      <w:r w:rsidRPr="00D729B7">
        <w:rPr>
          <w:rFonts w:cs="Arial"/>
          <w:sz w:val="22"/>
          <w:szCs w:val="22"/>
        </w:rPr>
        <w:t xml:space="preserve">Taking Responsibility, a Men’s Behaviour Change Program, [developed] over the past twenty years… is one of the leading programs in this state, with robust referral pathways in place via judges and magistrates, police professionals, family law professionals, and clinical service providers. </w:t>
      </w:r>
    </w:p>
    <w:p w14:paraId="2B6EB6CA" w14:textId="77777777" w:rsidR="000D1D92" w:rsidRPr="00D729B7" w:rsidRDefault="000D1D92" w:rsidP="000D1D92">
      <w:pPr>
        <w:autoSpaceDE w:val="0"/>
        <w:autoSpaceDN w:val="0"/>
        <w:adjustRightInd w:val="0"/>
        <w:spacing w:before="0" w:after="0"/>
        <w:ind w:left="720"/>
        <w:jc w:val="both"/>
        <w:rPr>
          <w:rFonts w:cs="Arial"/>
          <w:sz w:val="22"/>
          <w:szCs w:val="22"/>
        </w:rPr>
      </w:pPr>
    </w:p>
    <w:p w14:paraId="51672877" w14:textId="77777777" w:rsidR="000D1D92" w:rsidRPr="00D729B7" w:rsidRDefault="000D1D92" w:rsidP="000D1D92">
      <w:pPr>
        <w:autoSpaceDE w:val="0"/>
        <w:autoSpaceDN w:val="0"/>
        <w:adjustRightInd w:val="0"/>
        <w:spacing w:before="0" w:after="0"/>
        <w:ind w:left="720"/>
        <w:jc w:val="both"/>
        <w:rPr>
          <w:rFonts w:cs="Arial"/>
          <w:sz w:val="22"/>
          <w:szCs w:val="22"/>
        </w:rPr>
      </w:pPr>
      <w:r w:rsidRPr="00D729B7">
        <w:rPr>
          <w:rFonts w:cs="Arial"/>
          <w:sz w:val="22"/>
          <w:szCs w:val="22"/>
        </w:rPr>
        <w:t>Significantly, a large proportion of our clients self-direct to this program, and our clients are therefore made up of both voluntary and mandated clients. The program is guided by nearly ten years of research based evaluations, and this activity has helped us develop the clinical objectives and expertise for our Family Safety Programs.</w:t>
      </w:r>
      <w:r w:rsidRPr="00D729B7">
        <w:rPr>
          <w:rStyle w:val="EndnoteReference"/>
          <w:rFonts w:cs="Arial"/>
          <w:sz w:val="22"/>
          <w:szCs w:val="22"/>
        </w:rPr>
        <w:endnoteReference w:id="610"/>
      </w:r>
    </w:p>
    <w:p w14:paraId="7D884933" w14:textId="77777777" w:rsidR="000D1D92" w:rsidRDefault="000D1D92" w:rsidP="000D1D92">
      <w:pPr>
        <w:autoSpaceDE w:val="0"/>
        <w:autoSpaceDN w:val="0"/>
        <w:adjustRightInd w:val="0"/>
        <w:spacing w:before="0" w:after="0"/>
        <w:jc w:val="both"/>
        <w:rPr>
          <w:rFonts w:cs="Arial"/>
        </w:rPr>
      </w:pPr>
    </w:p>
    <w:p w14:paraId="706D1FE9" w14:textId="77777777" w:rsidR="000D1D92" w:rsidRDefault="000D1D92" w:rsidP="000D1D92">
      <w:pPr>
        <w:autoSpaceDE w:val="0"/>
        <w:autoSpaceDN w:val="0"/>
        <w:adjustRightInd w:val="0"/>
        <w:spacing w:before="0" w:after="0"/>
        <w:jc w:val="both"/>
        <w:rPr>
          <w:rFonts w:cs="Arial"/>
        </w:rPr>
      </w:pPr>
      <w:r>
        <w:rPr>
          <w:rFonts w:cs="Arial"/>
        </w:rPr>
        <w:t>Relationships Australia New South Wales further indicated that its research about men’s behaviour change programs shows that:</w:t>
      </w:r>
    </w:p>
    <w:p w14:paraId="256E2D8D" w14:textId="77777777" w:rsidR="000D1D92" w:rsidRDefault="000D1D92" w:rsidP="000D1D92">
      <w:pPr>
        <w:autoSpaceDE w:val="0"/>
        <w:autoSpaceDN w:val="0"/>
        <w:adjustRightInd w:val="0"/>
        <w:spacing w:before="0" w:after="0"/>
        <w:jc w:val="both"/>
        <w:rPr>
          <w:rFonts w:cs="Arial"/>
        </w:rPr>
      </w:pPr>
    </w:p>
    <w:p w14:paraId="0ED63019" w14:textId="77777777" w:rsidR="000D1D92" w:rsidRPr="00EE5553" w:rsidRDefault="000D1D92" w:rsidP="000D1D92">
      <w:pPr>
        <w:autoSpaceDE w:val="0"/>
        <w:autoSpaceDN w:val="0"/>
        <w:adjustRightInd w:val="0"/>
        <w:spacing w:before="0" w:after="0"/>
        <w:ind w:left="720"/>
        <w:jc w:val="both"/>
        <w:rPr>
          <w:rFonts w:cs="Arial"/>
          <w:sz w:val="22"/>
          <w:szCs w:val="22"/>
        </w:rPr>
      </w:pPr>
      <w:r>
        <w:rPr>
          <w:rFonts w:cs="Arial"/>
          <w:sz w:val="22"/>
          <w:szCs w:val="22"/>
        </w:rPr>
        <w:t xml:space="preserve">… </w:t>
      </w:r>
      <w:r w:rsidRPr="00EE5553">
        <w:rPr>
          <w:rFonts w:cs="Arial"/>
          <w:sz w:val="22"/>
          <w:szCs w:val="22"/>
        </w:rPr>
        <w:t>the most personally meaningful changes the men had made, and those that they were most proud of, related to improved relationships with their children…The engagement of men in behaviour change programs</w:t>
      </w:r>
      <w:r>
        <w:rPr>
          <w:rFonts w:cs="Arial"/>
          <w:sz w:val="22"/>
          <w:szCs w:val="22"/>
        </w:rPr>
        <w:t xml:space="preserve"> therefore </w:t>
      </w:r>
      <w:r w:rsidRPr="00EE5553">
        <w:rPr>
          <w:rFonts w:cs="Arial"/>
          <w:sz w:val="22"/>
          <w:szCs w:val="22"/>
        </w:rPr>
        <w:t>appears to have flow on benefits for their children, not only in terms of improved father child relationships, but also the motivation to continually invest in these relationships and maintain positive interactions</w:t>
      </w:r>
      <w:r>
        <w:rPr>
          <w:rFonts w:cs="Arial"/>
          <w:sz w:val="22"/>
          <w:szCs w:val="22"/>
        </w:rPr>
        <w:t>.</w:t>
      </w:r>
      <w:r>
        <w:rPr>
          <w:rStyle w:val="EndnoteReference"/>
          <w:rFonts w:cs="Arial"/>
          <w:szCs w:val="22"/>
        </w:rPr>
        <w:endnoteReference w:id="611"/>
      </w:r>
    </w:p>
    <w:p w14:paraId="49FFF98F" w14:textId="77777777" w:rsidR="000D1D92" w:rsidRDefault="000D1D92" w:rsidP="000D1D92">
      <w:pPr>
        <w:autoSpaceDE w:val="0"/>
        <w:autoSpaceDN w:val="0"/>
        <w:adjustRightInd w:val="0"/>
        <w:spacing w:before="0" w:after="0"/>
        <w:jc w:val="both"/>
        <w:rPr>
          <w:rFonts w:cs="Arial"/>
        </w:rPr>
      </w:pPr>
    </w:p>
    <w:p w14:paraId="7C15D1EA" w14:textId="77777777" w:rsidR="000D1D92" w:rsidRDefault="000D1D92" w:rsidP="000D1D92">
      <w:pPr>
        <w:autoSpaceDE w:val="0"/>
        <w:autoSpaceDN w:val="0"/>
        <w:adjustRightInd w:val="0"/>
        <w:spacing w:before="0" w:after="0"/>
        <w:jc w:val="both"/>
        <w:rPr>
          <w:rFonts w:cs="Arial"/>
        </w:rPr>
      </w:pPr>
      <w:r>
        <w:rPr>
          <w:rFonts w:cs="Arial"/>
        </w:rPr>
        <w:t>The submission by the North Australian Aboriginal Family Legal Service recommended that attendance at accredited behaviour change programs be court mandated for perpetrators.</w:t>
      </w:r>
      <w:r>
        <w:rPr>
          <w:rStyle w:val="EndnoteReference"/>
          <w:rFonts w:cs="Arial"/>
          <w:szCs w:val="22"/>
        </w:rPr>
        <w:endnoteReference w:id="612"/>
      </w:r>
    </w:p>
    <w:p w14:paraId="6C22FE95" w14:textId="77777777" w:rsidR="000D1D92" w:rsidRDefault="000D1D92" w:rsidP="000D1D92">
      <w:pPr>
        <w:autoSpaceDE w:val="0"/>
        <w:autoSpaceDN w:val="0"/>
        <w:adjustRightInd w:val="0"/>
        <w:spacing w:before="0" w:after="0"/>
        <w:jc w:val="both"/>
        <w:rPr>
          <w:rFonts w:cs="Arial"/>
        </w:rPr>
      </w:pPr>
    </w:p>
    <w:p w14:paraId="158D8EA5" w14:textId="77777777" w:rsidR="000D1D92" w:rsidRDefault="000D1D92" w:rsidP="000D1D92">
      <w:pPr>
        <w:autoSpaceDE w:val="0"/>
        <w:autoSpaceDN w:val="0"/>
        <w:adjustRightInd w:val="0"/>
        <w:spacing w:before="0" w:after="0"/>
        <w:jc w:val="both"/>
        <w:rPr>
          <w:rFonts w:cs="Arial"/>
        </w:rPr>
      </w:pPr>
      <w:r>
        <w:rPr>
          <w:rFonts w:cs="Arial"/>
        </w:rPr>
        <w:lastRenderedPageBreak/>
        <w:t>Court mandated parenting and male behaviour change programs were also supported by the Australian Association of Social Workers (AASW) in its submission to me.</w:t>
      </w:r>
      <w:r>
        <w:rPr>
          <w:rStyle w:val="EndnoteReference"/>
          <w:rFonts w:cs="Arial"/>
        </w:rPr>
        <w:endnoteReference w:id="613"/>
      </w:r>
      <w:r>
        <w:rPr>
          <w:rFonts w:cs="Arial"/>
        </w:rPr>
        <w:t xml:space="preserve"> </w:t>
      </w:r>
    </w:p>
    <w:p w14:paraId="72A614CC" w14:textId="77777777" w:rsidR="000D1D92" w:rsidRDefault="000D1D92" w:rsidP="000D1D92">
      <w:pPr>
        <w:autoSpaceDE w:val="0"/>
        <w:autoSpaceDN w:val="0"/>
        <w:adjustRightInd w:val="0"/>
        <w:spacing w:before="0" w:after="0"/>
        <w:jc w:val="both"/>
        <w:rPr>
          <w:rFonts w:cs="Arial"/>
        </w:rPr>
      </w:pPr>
    </w:p>
    <w:p w14:paraId="6878D38A" w14:textId="77777777" w:rsidR="000D1D92" w:rsidRDefault="000D1D92" w:rsidP="000D1D92">
      <w:pPr>
        <w:autoSpaceDE w:val="0"/>
        <w:autoSpaceDN w:val="0"/>
        <w:adjustRightInd w:val="0"/>
        <w:spacing w:before="0" w:after="0"/>
        <w:jc w:val="both"/>
        <w:rPr>
          <w:rFonts w:cs="Arial"/>
        </w:rPr>
      </w:pPr>
      <w:r>
        <w:rPr>
          <w:rFonts w:cs="Arial"/>
        </w:rPr>
        <w:t xml:space="preserve">Additionally, the AASW submission referred to a study of violent men’s perceptions of themselves as fathers, which: </w:t>
      </w:r>
    </w:p>
    <w:p w14:paraId="7E5831AA" w14:textId="77777777" w:rsidR="000D1D92" w:rsidRDefault="000D1D92" w:rsidP="000D1D92">
      <w:pPr>
        <w:autoSpaceDE w:val="0"/>
        <w:autoSpaceDN w:val="0"/>
        <w:adjustRightInd w:val="0"/>
        <w:spacing w:before="0" w:after="0"/>
        <w:jc w:val="both"/>
        <w:rPr>
          <w:rFonts w:cs="Arial"/>
        </w:rPr>
      </w:pPr>
    </w:p>
    <w:p w14:paraId="1876537A" w14:textId="77777777" w:rsidR="000D1D92" w:rsidRDefault="000D1D92" w:rsidP="000D1D92">
      <w:pPr>
        <w:autoSpaceDE w:val="0"/>
        <w:autoSpaceDN w:val="0"/>
        <w:adjustRightInd w:val="0"/>
        <w:spacing w:before="0" w:after="0"/>
        <w:ind w:left="720"/>
        <w:jc w:val="both"/>
        <w:rPr>
          <w:rFonts w:cs="Arial"/>
          <w:sz w:val="22"/>
          <w:szCs w:val="22"/>
        </w:rPr>
      </w:pPr>
      <w:r>
        <w:rPr>
          <w:rFonts w:cs="Arial"/>
          <w:sz w:val="22"/>
          <w:szCs w:val="22"/>
        </w:rPr>
        <w:t xml:space="preserve">… </w:t>
      </w:r>
      <w:r w:rsidRPr="009D0FCE">
        <w:rPr>
          <w:rFonts w:cs="Arial"/>
          <w:sz w:val="22"/>
          <w:szCs w:val="22"/>
        </w:rPr>
        <w:t xml:space="preserve">uncovered a disturbing picture of what these men understood as good fathering. </w:t>
      </w:r>
    </w:p>
    <w:p w14:paraId="0E6D2798" w14:textId="77777777" w:rsidR="000D1D92" w:rsidRDefault="000D1D92" w:rsidP="000D1D92">
      <w:pPr>
        <w:autoSpaceDE w:val="0"/>
        <w:autoSpaceDN w:val="0"/>
        <w:adjustRightInd w:val="0"/>
        <w:spacing w:before="0" w:after="0"/>
        <w:ind w:left="720"/>
        <w:jc w:val="both"/>
        <w:rPr>
          <w:rFonts w:cs="Arial"/>
          <w:sz w:val="22"/>
          <w:szCs w:val="22"/>
        </w:rPr>
      </w:pPr>
    </w:p>
    <w:p w14:paraId="0C94B582" w14:textId="77777777" w:rsidR="000D1D92" w:rsidRDefault="000D1D92" w:rsidP="000D1D92">
      <w:pPr>
        <w:autoSpaceDE w:val="0"/>
        <w:autoSpaceDN w:val="0"/>
        <w:adjustRightInd w:val="0"/>
        <w:spacing w:before="0" w:after="0"/>
        <w:ind w:left="720"/>
        <w:jc w:val="both"/>
        <w:rPr>
          <w:rFonts w:cs="Arial"/>
          <w:sz w:val="22"/>
          <w:szCs w:val="22"/>
        </w:rPr>
      </w:pPr>
      <w:r w:rsidRPr="009D0FCE">
        <w:rPr>
          <w:rFonts w:cs="Arial"/>
          <w:sz w:val="22"/>
          <w:szCs w:val="22"/>
        </w:rPr>
        <w:t xml:space="preserve">A number of violent men who were involved in men’s behaviour change programs were interviewed. The study found that they continued to blame their partners for their violence. These men did not display any insight into their behaviour nor the impact it may have had on the partner or the children. Instead they were self-absorbed and felt a sense of entitlement. </w:t>
      </w:r>
    </w:p>
    <w:p w14:paraId="4003F40C" w14:textId="77777777" w:rsidR="000D1D92" w:rsidRDefault="000D1D92" w:rsidP="000D1D92">
      <w:pPr>
        <w:autoSpaceDE w:val="0"/>
        <w:autoSpaceDN w:val="0"/>
        <w:adjustRightInd w:val="0"/>
        <w:spacing w:before="0" w:after="0"/>
        <w:ind w:left="720"/>
        <w:jc w:val="both"/>
        <w:rPr>
          <w:rFonts w:cs="Arial"/>
          <w:sz w:val="22"/>
          <w:szCs w:val="22"/>
        </w:rPr>
      </w:pPr>
    </w:p>
    <w:p w14:paraId="72B6568F" w14:textId="77777777" w:rsidR="000D1D92" w:rsidRPr="009D0FCE" w:rsidRDefault="000D1D92" w:rsidP="000D1D92">
      <w:pPr>
        <w:autoSpaceDE w:val="0"/>
        <w:autoSpaceDN w:val="0"/>
        <w:adjustRightInd w:val="0"/>
        <w:spacing w:before="0" w:after="0"/>
        <w:ind w:left="720"/>
        <w:jc w:val="both"/>
        <w:rPr>
          <w:rFonts w:cs="Arial"/>
          <w:sz w:val="22"/>
          <w:szCs w:val="22"/>
        </w:rPr>
      </w:pPr>
      <w:r w:rsidRPr="009D0FCE">
        <w:rPr>
          <w:rFonts w:cs="Arial"/>
          <w:sz w:val="22"/>
          <w:szCs w:val="22"/>
        </w:rPr>
        <w:t>All but one of the fathers believed they had been and were good fathers to their children while at the same time minimising the impact of their own violence. Their perception of themselves as good fathers was directly related to their ability to economically provide for the children and did not relate to support, nurture or care.</w:t>
      </w:r>
      <w:r>
        <w:rPr>
          <w:rStyle w:val="EndnoteReference"/>
          <w:rFonts w:cs="Arial"/>
          <w:szCs w:val="22"/>
        </w:rPr>
        <w:endnoteReference w:id="614"/>
      </w:r>
    </w:p>
    <w:p w14:paraId="5823A2DC" w14:textId="77777777" w:rsidR="000D1D92" w:rsidRDefault="000D1D92" w:rsidP="000D1D92">
      <w:pPr>
        <w:autoSpaceDE w:val="0"/>
        <w:autoSpaceDN w:val="0"/>
        <w:adjustRightInd w:val="0"/>
        <w:spacing w:before="0" w:after="0"/>
        <w:jc w:val="both"/>
        <w:rPr>
          <w:rFonts w:cs="Arial"/>
        </w:rPr>
      </w:pPr>
    </w:p>
    <w:p w14:paraId="6A2BB5F3" w14:textId="77777777" w:rsidR="000D1D92" w:rsidRDefault="000D1D92" w:rsidP="000D1D92">
      <w:pPr>
        <w:autoSpaceDE w:val="0"/>
        <w:autoSpaceDN w:val="0"/>
        <w:adjustRightInd w:val="0"/>
        <w:spacing w:before="0" w:after="0"/>
        <w:jc w:val="both"/>
        <w:rPr>
          <w:rFonts w:cs="Arial"/>
        </w:rPr>
      </w:pPr>
      <w:r>
        <w:rPr>
          <w:rFonts w:cs="Arial"/>
        </w:rPr>
        <w:t>In its submission to me, the Government of Western Australia referred to research currently underway to ‘investigate how and under what circumstances fathers who use violence are parenting and what the key fathering issues are that need to be addressed within these programs’.</w:t>
      </w:r>
      <w:r>
        <w:rPr>
          <w:rStyle w:val="EndnoteReference"/>
          <w:rFonts w:cs="Arial"/>
        </w:rPr>
        <w:endnoteReference w:id="615"/>
      </w:r>
    </w:p>
    <w:p w14:paraId="29F017ED" w14:textId="77777777" w:rsidR="000D1D92" w:rsidRDefault="000D1D92" w:rsidP="000D1D92">
      <w:pPr>
        <w:autoSpaceDE w:val="0"/>
        <w:autoSpaceDN w:val="0"/>
        <w:adjustRightInd w:val="0"/>
        <w:spacing w:before="0" w:after="0"/>
        <w:jc w:val="both"/>
        <w:rPr>
          <w:rFonts w:cs="Arial"/>
        </w:rPr>
      </w:pPr>
    </w:p>
    <w:p w14:paraId="7AD2A11B" w14:textId="77777777" w:rsidR="000D1D92" w:rsidRDefault="000D1D92" w:rsidP="000D1D92">
      <w:pPr>
        <w:autoSpaceDE w:val="0"/>
        <w:autoSpaceDN w:val="0"/>
        <w:adjustRightInd w:val="0"/>
        <w:spacing w:before="0" w:after="0"/>
        <w:jc w:val="both"/>
        <w:rPr>
          <w:rFonts w:cs="Arial"/>
        </w:rPr>
      </w:pPr>
      <w:r>
        <w:rPr>
          <w:rFonts w:cs="Arial"/>
        </w:rPr>
        <w:t>This research is being conducted by the Universities of Western Australia, Melbourne and South Australia, with approximately 30 industry partners, and is funded until 2016. I look forward to reading the findings from this important work.</w:t>
      </w:r>
      <w:r>
        <w:rPr>
          <w:rStyle w:val="EndnoteReference"/>
          <w:rFonts w:cs="Arial"/>
        </w:rPr>
        <w:endnoteReference w:id="616"/>
      </w:r>
    </w:p>
    <w:p w14:paraId="7D7B89FB" w14:textId="77777777" w:rsidR="000D1D92" w:rsidRDefault="000D1D92" w:rsidP="000D1D92">
      <w:pPr>
        <w:autoSpaceDE w:val="0"/>
        <w:autoSpaceDN w:val="0"/>
        <w:adjustRightInd w:val="0"/>
        <w:spacing w:before="0" w:after="0"/>
        <w:jc w:val="both"/>
        <w:rPr>
          <w:rFonts w:cs="Arial"/>
        </w:rPr>
      </w:pPr>
    </w:p>
    <w:tbl>
      <w:tblPr>
        <w:tblStyle w:val="TableGrid"/>
        <w:tblW w:w="0" w:type="auto"/>
        <w:shd w:val="clear" w:color="auto" w:fill="000000" w:themeFill="text1"/>
        <w:tblLook w:val="04A0" w:firstRow="1" w:lastRow="0" w:firstColumn="1" w:lastColumn="0" w:noHBand="0" w:noVBand="1"/>
      </w:tblPr>
      <w:tblGrid>
        <w:gridCol w:w="9060"/>
      </w:tblGrid>
      <w:tr w:rsidR="000D1D92" w:rsidRPr="007407A6" w14:paraId="7D152BEE" w14:textId="77777777" w:rsidTr="00684616">
        <w:trPr>
          <w:trHeight w:val="1006"/>
        </w:trPr>
        <w:tc>
          <w:tcPr>
            <w:tcW w:w="9060" w:type="dxa"/>
            <w:shd w:val="clear" w:color="auto" w:fill="F2F2F2" w:themeFill="background1" w:themeFillShade="F2"/>
            <w:vAlign w:val="center"/>
          </w:tcPr>
          <w:p w14:paraId="07696816" w14:textId="77777777" w:rsidR="000D1D92" w:rsidRDefault="000D1D92" w:rsidP="00684616">
            <w:pPr>
              <w:spacing w:before="0" w:after="0"/>
              <w:rPr>
                <w:b/>
              </w:rPr>
            </w:pPr>
          </w:p>
          <w:p w14:paraId="71CAB7E1" w14:textId="77777777" w:rsidR="000D1D92" w:rsidRDefault="000D1D92" w:rsidP="00684616">
            <w:pPr>
              <w:spacing w:before="0" w:after="0"/>
              <w:rPr>
                <w:b/>
              </w:rPr>
            </w:pPr>
            <w:r>
              <w:rPr>
                <w:b/>
              </w:rPr>
              <w:t>Summary</w:t>
            </w:r>
          </w:p>
          <w:p w14:paraId="08FD332B" w14:textId="77777777" w:rsidR="000D1D92" w:rsidRDefault="000D1D92" w:rsidP="00684616">
            <w:pPr>
              <w:spacing w:before="0" w:after="0"/>
              <w:rPr>
                <w:b/>
              </w:rPr>
            </w:pPr>
          </w:p>
          <w:p w14:paraId="74A0B8FB" w14:textId="77777777" w:rsidR="000D1D92" w:rsidRDefault="000D1D92" w:rsidP="00684616">
            <w:pPr>
              <w:spacing w:before="0" w:after="0"/>
              <w:jc w:val="both"/>
              <w:rPr>
                <w:b/>
              </w:rPr>
            </w:pPr>
            <w:r w:rsidRPr="00B80226">
              <w:rPr>
                <w:b/>
              </w:rPr>
              <w:t>What services, programs and support currently exist for children experiencing family and domestic violence?</w:t>
            </w:r>
          </w:p>
          <w:p w14:paraId="54E57682" w14:textId="77777777" w:rsidR="000D1D92" w:rsidRDefault="000D1D92" w:rsidP="00684616">
            <w:pPr>
              <w:spacing w:before="0" w:after="0"/>
              <w:rPr>
                <w:b/>
              </w:rPr>
            </w:pPr>
          </w:p>
          <w:p w14:paraId="020046DA" w14:textId="77777777" w:rsidR="000D1D92" w:rsidRPr="00B80226" w:rsidRDefault="000D1D92" w:rsidP="00684616">
            <w:pPr>
              <w:spacing w:before="0" w:after="0"/>
              <w:jc w:val="both"/>
            </w:pPr>
            <w:r w:rsidRPr="00B80226">
              <w:t>While there appears to be a number of promising initiatives to support children affected by family and domestic violence, limited information exists about the extent that these are made available to or accessed by children, or of the outcomes for children who utilise such services.</w:t>
            </w:r>
          </w:p>
          <w:p w14:paraId="5FAAC2B4" w14:textId="77777777" w:rsidR="000D1D92" w:rsidRPr="00B80226" w:rsidRDefault="000D1D92" w:rsidP="00684616">
            <w:pPr>
              <w:spacing w:before="0" w:after="0"/>
              <w:jc w:val="both"/>
            </w:pPr>
          </w:p>
          <w:p w14:paraId="34FC655C" w14:textId="77777777" w:rsidR="000D1D92" w:rsidRPr="00B80226" w:rsidRDefault="000D1D92" w:rsidP="00684616">
            <w:pPr>
              <w:spacing w:before="0" w:after="0"/>
              <w:jc w:val="both"/>
            </w:pPr>
            <w:r w:rsidRPr="00B80226">
              <w:t>In the main, children are supported in the context of the needs of the parent escaping family and domestic violence, rather than in response to their specific therapeutic needs.</w:t>
            </w:r>
          </w:p>
          <w:p w14:paraId="51C94F77" w14:textId="77777777" w:rsidR="000D1D92" w:rsidRPr="00B80226" w:rsidRDefault="000D1D92" w:rsidP="00684616">
            <w:pPr>
              <w:spacing w:before="0" w:after="0"/>
              <w:jc w:val="both"/>
            </w:pPr>
          </w:p>
          <w:p w14:paraId="32FA684A" w14:textId="77777777" w:rsidR="000D1D92" w:rsidRPr="00B80226" w:rsidRDefault="000D1D92" w:rsidP="00684616">
            <w:pPr>
              <w:spacing w:before="0" w:after="0"/>
              <w:jc w:val="both"/>
            </w:pPr>
            <w:r w:rsidRPr="00B80226">
              <w:t>Evidence is emerging that suggests strategies to engage men as fathers may motivate behaviour change and prevent further acts of violence.</w:t>
            </w:r>
            <w:r w:rsidRPr="00B80226">
              <w:rPr>
                <w:vertAlign w:val="superscript"/>
              </w:rPr>
              <w:endnoteReference w:id="617"/>
            </w:r>
          </w:p>
          <w:p w14:paraId="4B7FB37A" w14:textId="77777777" w:rsidR="000D1D92" w:rsidRPr="007407A6" w:rsidRDefault="000D1D92" w:rsidP="00684616">
            <w:pPr>
              <w:spacing w:before="0" w:after="0"/>
              <w:rPr>
                <w:b/>
              </w:rPr>
            </w:pPr>
          </w:p>
        </w:tc>
      </w:tr>
    </w:tbl>
    <w:p w14:paraId="304336C8" w14:textId="77777777" w:rsidR="000D1D92" w:rsidRDefault="000D1D92" w:rsidP="000D1D92">
      <w:pPr>
        <w:pStyle w:val="Heading3"/>
        <w:jc w:val="both"/>
      </w:pPr>
      <w:bookmarkStart w:id="187" w:name="_Toc430702119"/>
      <w:bookmarkStart w:id="188" w:name="_Toc432061275"/>
      <w:r w:rsidRPr="00D95135">
        <w:lastRenderedPageBreak/>
        <w:t xml:space="preserve">What </w:t>
      </w:r>
      <w:r>
        <w:t xml:space="preserve">are the current </w:t>
      </w:r>
      <w:r w:rsidRPr="00D95135">
        <w:t xml:space="preserve">public policy approaches and educational campaigns targeting </w:t>
      </w:r>
      <w:r>
        <w:t xml:space="preserve">children’s experiences of </w:t>
      </w:r>
      <w:r w:rsidRPr="00D95135">
        <w:t>family and domestic violence?</w:t>
      </w:r>
      <w:bookmarkEnd w:id="187"/>
      <w:bookmarkEnd w:id="188"/>
    </w:p>
    <w:p w14:paraId="1D997119" w14:textId="77777777" w:rsidR="000D1D92" w:rsidRDefault="000D1D92" w:rsidP="000D1D92">
      <w:pPr>
        <w:autoSpaceDE w:val="0"/>
        <w:autoSpaceDN w:val="0"/>
        <w:adjustRightInd w:val="0"/>
        <w:spacing w:before="0" w:after="0"/>
        <w:jc w:val="both"/>
      </w:pPr>
      <w:r>
        <w:t>Both the National Framework for Protecting Australia’s Children and the National Plan to Reduce Violence against Women and their Children aim to adopt a public health approach.</w:t>
      </w:r>
    </w:p>
    <w:p w14:paraId="229488C7" w14:textId="77777777" w:rsidR="000D1D92" w:rsidRDefault="000D1D92" w:rsidP="000D1D92">
      <w:pPr>
        <w:autoSpaceDE w:val="0"/>
        <w:autoSpaceDN w:val="0"/>
        <w:adjustRightInd w:val="0"/>
        <w:spacing w:before="0" w:after="0"/>
        <w:jc w:val="both"/>
      </w:pPr>
    </w:p>
    <w:p w14:paraId="374FF2B7" w14:textId="77777777" w:rsidR="000D1D92" w:rsidRDefault="000D1D92" w:rsidP="000D1D92">
      <w:pPr>
        <w:autoSpaceDE w:val="0"/>
        <w:autoSpaceDN w:val="0"/>
        <w:adjustRightInd w:val="0"/>
        <w:spacing w:before="0" w:after="0"/>
        <w:jc w:val="both"/>
      </w:pPr>
      <w:r>
        <w:t xml:space="preserve">The Public Health Association of Australia outlined the importance of a public health approach in relation to family and domestic violence: </w:t>
      </w:r>
    </w:p>
    <w:p w14:paraId="111F27B5" w14:textId="77777777" w:rsidR="000D1D92" w:rsidRDefault="000D1D92" w:rsidP="000D1D92">
      <w:pPr>
        <w:autoSpaceDE w:val="0"/>
        <w:autoSpaceDN w:val="0"/>
        <w:adjustRightInd w:val="0"/>
        <w:spacing w:before="0" w:after="0"/>
        <w:jc w:val="both"/>
      </w:pPr>
    </w:p>
    <w:p w14:paraId="7342FA55" w14:textId="77777777" w:rsidR="000D1D92" w:rsidRDefault="000D1D92" w:rsidP="000D1D92">
      <w:pPr>
        <w:autoSpaceDE w:val="0"/>
        <w:autoSpaceDN w:val="0"/>
        <w:adjustRightInd w:val="0"/>
        <w:spacing w:before="0" w:after="0"/>
        <w:ind w:left="720"/>
        <w:jc w:val="both"/>
        <w:rPr>
          <w:sz w:val="22"/>
          <w:szCs w:val="22"/>
        </w:rPr>
      </w:pPr>
      <w:r w:rsidRPr="00A17AB8">
        <w:rPr>
          <w:sz w:val="22"/>
          <w:szCs w:val="22"/>
        </w:rPr>
        <w:t xml:space="preserve">A public health approach to reducing violence against women and children would mean preventing violence in the first place. A public health approach includes primary prevention (before any violence has occurred), secondary prevention (support and services for at-risk populations) and tertiary prevention (support to reduce effects of violence and prevent recurrence). </w:t>
      </w:r>
    </w:p>
    <w:p w14:paraId="6B8A75D4" w14:textId="77777777" w:rsidR="000D1D92" w:rsidRDefault="000D1D92" w:rsidP="000D1D92">
      <w:pPr>
        <w:autoSpaceDE w:val="0"/>
        <w:autoSpaceDN w:val="0"/>
        <w:adjustRightInd w:val="0"/>
        <w:spacing w:before="0" w:after="0"/>
        <w:ind w:left="720"/>
        <w:jc w:val="both"/>
        <w:rPr>
          <w:sz w:val="22"/>
          <w:szCs w:val="22"/>
        </w:rPr>
      </w:pPr>
    </w:p>
    <w:p w14:paraId="39D73609" w14:textId="77777777" w:rsidR="000D1D92" w:rsidRPr="00A17AB8" w:rsidRDefault="000D1D92" w:rsidP="000D1D92">
      <w:pPr>
        <w:autoSpaceDE w:val="0"/>
        <w:autoSpaceDN w:val="0"/>
        <w:adjustRightInd w:val="0"/>
        <w:spacing w:before="0" w:after="0"/>
        <w:ind w:left="720"/>
        <w:jc w:val="both"/>
        <w:rPr>
          <w:sz w:val="22"/>
          <w:szCs w:val="22"/>
        </w:rPr>
      </w:pPr>
      <w:r w:rsidRPr="00A17AB8">
        <w:rPr>
          <w:sz w:val="22"/>
          <w:szCs w:val="22"/>
        </w:rPr>
        <w:t>The ideal is primary prevention, which aims to bring about a cultural shift toward gender equality, changing cultural norms toward non-acceptance of violence against women and redistributing resources to promote access to services for all. Public health education campaigns may be useful, but other public health approaches that lead to structural change are needed to support attitudinal change.</w:t>
      </w:r>
    </w:p>
    <w:p w14:paraId="1040C007" w14:textId="77777777" w:rsidR="000D1D92" w:rsidRDefault="000D1D92" w:rsidP="000D1D92">
      <w:pPr>
        <w:autoSpaceDE w:val="0"/>
        <w:autoSpaceDN w:val="0"/>
        <w:adjustRightInd w:val="0"/>
        <w:spacing w:before="0" w:after="0"/>
        <w:jc w:val="both"/>
      </w:pPr>
    </w:p>
    <w:p w14:paraId="1F138E55" w14:textId="77777777" w:rsidR="000D1D92" w:rsidRDefault="000D1D92" w:rsidP="000D1D92">
      <w:pPr>
        <w:autoSpaceDE w:val="0"/>
        <w:autoSpaceDN w:val="0"/>
        <w:adjustRightInd w:val="0"/>
        <w:spacing w:before="0" w:after="0"/>
        <w:jc w:val="both"/>
      </w:pPr>
      <w:r>
        <w:t xml:space="preserve">Arguably, the needs of children affected by family and domestic violence have been somewhat </w:t>
      </w:r>
      <w:r w:rsidRPr="00CC36A5">
        <w:t>incidental</w:t>
      </w:r>
      <w:r>
        <w:t xml:space="preserve"> or peripheral to the public policy approach to family and domestic violence, and increasingly folded into child protection responses.</w:t>
      </w:r>
    </w:p>
    <w:p w14:paraId="4C4818C9" w14:textId="77777777" w:rsidR="000D1D92" w:rsidRPr="00D95135" w:rsidRDefault="000D1D92" w:rsidP="000D1D92">
      <w:pPr>
        <w:autoSpaceDE w:val="0"/>
        <w:autoSpaceDN w:val="0"/>
        <w:adjustRightInd w:val="0"/>
        <w:spacing w:before="0" w:after="0"/>
        <w:ind w:left="720" w:hanging="720"/>
        <w:jc w:val="both"/>
        <w:rPr>
          <w:b/>
        </w:rPr>
      </w:pPr>
    </w:p>
    <w:p w14:paraId="04EBC2EC" w14:textId="77777777" w:rsidR="000D1D92" w:rsidRDefault="000D1D92" w:rsidP="000D1D92">
      <w:pPr>
        <w:autoSpaceDE w:val="0"/>
        <w:autoSpaceDN w:val="0"/>
        <w:adjustRightInd w:val="0"/>
        <w:spacing w:before="0" w:after="0"/>
        <w:jc w:val="both"/>
      </w:pPr>
      <w:r>
        <w:t>As researchers, Bromfield, Arney, and Higgins argue:</w:t>
      </w:r>
    </w:p>
    <w:p w14:paraId="63A17A6D" w14:textId="77777777" w:rsidR="000D1D92" w:rsidRDefault="000D1D92" w:rsidP="000D1D92">
      <w:pPr>
        <w:autoSpaceDE w:val="0"/>
        <w:autoSpaceDN w:val="0"/>
        <w:adjustRightInd w:val="0"/>
        <w:spacing w:before="0" w:after="0"/>
        <w:jc w:val="both"/>
      </w:pPr>
    </w:p>
    <w:p w14:paraId="44E28542" w14:textId="77777777" w:rsidR="000D1D92" w:rsidRDefault="000D1D92" w:rsidP="000D1D92">
      <w:pPr>
        <w:autoSpaceDE w:val="0"/>
        <w:autoSpaceDN w:val="0"/>
        <w:adjustRightInd w:val="0"/>
        <w:spacing w:before="0" w:after="0"/>
        <w:ind w:left="720"/>
        <w:jc w:val="both"/>
        <w:rPr>
          <w:rFonts w:cs="Arial"/>
        </w:rPr>
      </w:pPr>
      <w:r w:rsidRPr="00A17AB8">
        <w:rPr>
          <w:rFonts w:cs="Arial"/>
          <w:sz w:val="22"/>
          <w:szCs w:val="22"/>
        </w:rPr>
        <w:t>The degree to which the rhetoric of Australia’s public health approach to child protection actually equates with a public health model is debatable. Its apparent failure is a function of the limited forms in which a public health approach has been applied to child protection rather than the public health approach per se…The key elements of a public health approach need to be re-examined as it pertains to child welfare reform in Australia, and missing elements need to be systematically implemented to complement existing reforms</w:t>
      </w:r>
      <w:r>
        <w:rPr>
          <w:rFonts w:cs="Arial"/>
          <w:sz w:val="22"/>
          <w:szCs w:val="22"/>
        </w:rPr>
        <w:t>.</w:t>
      </w:r>
      <w:r>
        <w:rPr>
          <w:rStyle w:val="EndnoteReference"/>
          <w:rFonts w:cs="Arial"/>
        </w:rPr>
        <w:endnoteReference w:id="618"/>
      </w:r>
    </w:p>
    <w:p w14:paraId="411F10C4" w14:textId="77777777" w:rsidR="000D1D92" w:rsidRDefault="000D1D92" w:rsidP="000D1D92">
      <w:pPr>
        <w:autoSpaceDE w:val="0"/>
        <w:autoSpaceDN w:val="0"/>
        <w:adjustRightInd w:val="0"/>
        <w:spacing w:before="0" w:after="0"/>
        <w:jc w:val="both"/>
      </w:pPr>
    </w:p>
    <w:p w14:paraId="5FD2F63C" w14:textId="77777777" w:rsidR="000D1D92" w:rsidRDefault="000D1D92" w:rsidP="000D1D92">
      <w:pPr>
        <w:autoSpaceDE w:val="0"/>
        <w:autoSpaceDN w:val="0"/>
        <w:adjustRightInd w:val="0"/>
        <w:spacing w:before="0" w:after="0"/>
        <w:jc w:val="both"/>
      </w:pPr>
      <w:r>
        <w:t>It is my view that children’s experiences of family and domestic violence must be understood in their own right and not just as part of an adult situation.</w:t>
      </w:r>
    </w:p>
    <w:p w14:paraId="3B3D3D21" w14:textId="77777777" w:rsidR="000D1D92" w:rsidRDefault="000D1D92" w:rsidP="000D1D92">
      <w:pPr>
        <w:spacing w:before="0" w:after="0"/>
        <w:jc w:val="both"/>
        <w:rPr>
          <w:rFonts w:cs="Arial"/>
        </w:rPr>
      </w:pPr>
    </w:p>
    <w:p w14:paraId="375EF2F4" w14:textId="77777777" w:rsidR="000D1D92" w:rsidRDefault="000D1D92" w:rsidP="000D1D92">
      <w:pPr>
        <w:autoSpaceDE w:val="0"/>
        <w:autoSpaceDN w:val="0"/>
        <w:adjustRightInd w:val="0"/>
        <w:spacing w:before="0" w:after="0"/>
        <w:jc w:val="both"/>
      </w:pPr>
      <w:r>
        <w:t>Save the Children commented on the need for public policy approaches to adopt a greater focus on primary prevention to improve outcomes for children, for example, through education, awareness raising activities and the promotion of equality in our society:</w:t>
      </w:r>
    </w:p>
    <w:p w14:paraId="509B5DEC" w14:textId="77777777" w:rsidR="000D1D92" w:rsidRDefault="000D1D92" w:rsidP="000D1D92">
      <w:pPr>
        <w:autoSpaceDE w:val="0"/>
        <w:autoSpaceDN w:val="0"/>
        <w:adjustRightInd w:val="0"/>
        <w:spacing w:before="0" w:after="0"/>
        <w:jc w:val="both"/>
      </w:pPr>
    </w:p>
    <w:p w14:paraId="736EF40F" w14:textId="77777777" w:rsidR="000D1D92" w:rsidRPr="00BC6ECF" w:rsidRDefault="000D1D92" w:rsidP="000D1D92">
      <w:pPr>
        <w:autoSpaceDE w:val="0"/>
        <w:autoSpaceDN w:val="0"/>
        <w:adjustRightInd w:val="0"/>
        <w:spacing w:before="0" w:after="0"/>
        <w:ind w:left="720"/>
        <w:jc w:val="both"/>
        <w:rPr>
          <w:sz w:val="22"/>
          <w:szCs w:val="22"/>
        </w:rPr>
      </w:pPr>
      <w:r w:rsidRPr="00BC6ECF">
        <w:rPr>
          <w:sz w:val="22"/>
          <w:szCs w:val="22"/>
        </w:rPr>
        <w:t>…there is no one-size-fits-all solution to issues of family violence. There are many complex issues, including why women may not leave a violent relationship.</w:t>
      </w:r>
    </w:p>
    <w:p w14:paraId="0295CEAD" w14:textId="77777777" w:rsidR="000D1D92" w:rsidRPr="00BC6ECF" w:rsidRDefault="000D1D92" w:rsidP="000D1D92">
      <w:pPr>
        <w:autoSpaceDE w:val="0"/>
        <w:autoSpaceDN w:val="0"/>
        <w:adjustRightInd w:val="0"/>
        <w:spacing w:before="0" w:after="0"/>
        <w:ind w:left="720"/>
        <w:jc w:val="both"/>
        <w:rPr>
          <w:sz w:val="22"/>
          <w:szCs w:val="22"/>
        </w:rPr>
      </w:pPr>
    </w:p>
    <w:p w14:paraId="482673A0" w14:textId="77777777" w:rsidR="000D1D92" w:rsidRPr="00BC6ECF" w:rsidRDefault="000D1D92" w:rsidP="000D1D92">
      <w:pPr>
        <w:autoSpaceDE w:val="0"/>
        <w:autoSpaceDN w:val="0"/>
        <w:adjustRightInd w:val="0"/>
        <w:spacing w:before="0" w:after="0"/>
        <w:ind w:left="720"/>
        <w:jc w:val="both"/>
        <w:rPr>
          <w:sz w:val="22"/>
          <w:szCs w:val="22"/>
        </w:rPr>
      </w:pPr>
      <w:r w:rsidRPr="00BC6ECF">
        <w:rPr>
          <w:sz w:val="22"/>
          <w:szCs w:val="22"/>
        </w:rPr>
        <w:t>Unless we start taking a primary prevention approach to eliminating family violence in our community, the work of Save the Children and many other organisations to support women and their children will remain reactive not preventative.</w:t>
      </w:r>
      <w:r w:rsidRPr="00BC6ECF">
        <w:rPr>
          <w:rStyle w:val="EndnoteReference"/>
          <w:sz w:val="22"/>
          <w:szCs w:val="22"/>
        </w:rPr>
        <w:endnoteReference w:id="619"/>
      </w:r>
    </w:p>
    <w:p w14:paraId="062EA47C" w14:textId="77777777" w:rsidR="000D1D92" w:rsidRDefault="000D1D92" w:rsidP="000D1D92">
      <w:pPr>
        <w:autoSpaceDE w:val="0"/>
        <w:autoSpaceDN w:val="0"/>
        <w:adjustRightInd w:val="0"/>
        <w:spacing w:before="0" w:after="0"/>
        <w:jc w:val="both"/>
      </w:pPr>
    </w:p>
    <w:p w14:paraId="4668EDFB" w14:textId="77777777" w:rsidR="000D1D92" w:rsidRDefault="000D1D92" w:rsidP="000D1D92">
      <w:pPr>
        <w:autoSpaceDE w:val="0"/>
        <w:autoSpaceDN w:val="0"/>
        <w:adjustRightInd w:val="0"/>
        <w:spacing w:before="0" w:after="0"/>
        <w:jc w:val="both"/>
      </w:pPr>
      <w:r>
        <w:t>Relationships Australia stated in its submission that:</w:t>
      </w:r>
    </w:p>
    <w:p w14:paraId="427E9438" w14:textId="77777777" w:rsidR="000D1D92" w:rsidRDefault="000D1D92" w:rsidP="000D1D92">
      <w:pPr>
        <w:autoSpaceDE w:val="0"/>
        <w:autoSpaceDN w:val="0"/>
        <w:adjustRightInd w:val="0"/>
        <w:spacing w:before="0" w:after="0"/>
        <w:jc w:val="both"/>
      </w:pPr>
    </w:p>
    <w:p w14:paraId="0D09009D" w14:textId="77777777" w:rsidR="000D1D92" w:rsidRDefault="000D1D92" w:rsidP="000D1D92">
      <w:pPr>
        <w:autoSpaceDE w:val="0"/>
        <w:autoSpaceDN w:val="0"/>
        <w:adjustRightInd w:val="0"/>
        <w:spacing w:before="0" w:after="0"/>
        <w:ind w:left="720"/>
        <w:jc w:val="both"/>
        <w:rPr>
          <w:sz w:val="22"/>
          <w:szCs w:val="22"/>
        </w:rPr>
      </w:pPr>
      <w:r w:rsidRPr="00EE1F80">
        <w:rPr>
          <w:sz w:val="22"/>
          <w:szCs w:val="22"/>
        </w:rPr>
        <w:t>Public policy approaches should be clear about the behaviours they are aspiring to change and the outcomes they are seeking to achieve. For example, general public awareness campaigns that feature women successfully leaving violent relationships may place victims still living in these relationships in greater danger, especially when delivered without links to appropriate support services.</w:t>
      </w:r>
      <w:r w:rsidRPr="00EE1F80">
        <w:rPr>
          <w:rStyle w:val="EndnoteReference"/>
          <w:sz w:val="22"/>
          <w:szCs w:val="22"/>
        </w:rPr>
        <w:endnoteReference w:id="620"/>
      </w:r>
    </w:p>
    <w:p w14:paraId="2D693977" w14:textId="77777777" w:rsidR="000D1D92" w:rsidRDefault="000D1D92" w:rsidP="000D1D92">
      <w:pPr>
        <w:jc w:val="both"/>
      </w:pPr>
      <w:r>
        <w:t>Berry Street emphasised the need for a public health approach to family and domestic violence:</w:t>
      </w:r>
    </w:p>
    <w:p w14:paraId="38CE4713" w14:textId="77777777" w:rsidR="000D1D92" w:rsidRDefault="000D1D92" w:rsidP="000D1D92">
      <w:pPr>
        <w:ind w:left="720"/>
        <w:jc w:val="both"/>
        <w:rPr>
          <w:sz w:val="22"/>
          <w:szCs w:val="22"/>
        </w:rPr>
      </w:pPr>
      <w:r w:rsidRPr="00B37725">
        <w:rPr>
          <w:sz w:val="22"/>
          <w:szCs w:val="22"/>
        </w:rPr>
        <w:t>The response to family violence in</w:t>
      </w:r>
      <w:r>
        <w:rPr>
          <w:sz w:val="22"/>
          <w:szCs w:val="22"/>
        </w:rPr>
        <w:t xml:space="preserve"> the</w:t>
      </w:r>
      <w:r w:rsidRPr="00B37725">
        <w:rPr>
          <w:sz w:val="22"/>
          <w:szCs w:val="22"/>
        </w:rPr>
        <w:t xml:space="preserve"> public health model of prevention includes a sustained and balanced primary, secondary and tertiary response with significant and sufficient investment at each point of this continuum.</w:t>
      </w:r>
      <w:r>
        <w:rPr>
          <w:rStyle w:val="EndnoteReference"/>
          <w:szCs w:val="22"/>
        </w:rPr>
        <w:endnoteReference w:id="621"/>
      </w:r>
      <w:r>
        <w:rPr>
          <w:sz w:val="22"/>
          <w:szCs w:val="22"/>
        </w:rPr>
        <w:t xml:space="preserve"> </w:t>
      </w:r>
    </w:p>
    <w:p w14:paraId="5C896A42" w14:textId="77777777" w:rsidR="000D1D92" w:rsidRDefault="000D1D92" w:rsidP="000D1D92">
      <w:pPr>
        <w:jc w:val="both"/>
      </w:pPr>
      <w:r>
        <w:t>The submission made by the NSW Government told me that:</w:t>
      </w:r>
    </w:p>
    <w:p w14:paraId="1EBE5553" w14:textId="77777777" w:rsidR="000D1D92" w:rsidRDefault="000D1D92" w:rsidP="000D1D92">
      <w:pPr>
        <w:autoSpaceDE w:val="0"/>
        <w:autoSpaceDN w:val="0"/>
        <w:adjustRightInd w:val="0"/>
        <w:spacing w:before="0" w:after="0"/>
        <w:ind w:left="720"/>
        <w:jc w:val="both"/>
        <w:rPr>
          <w:sz w:val="22"/>
          <w:szCs w:val="22"/>
        </w:rPr>
      </w:pPr>
      <w:r w:rsidRPr="00D606F2">
        <w:rPr>
          <w:sz w:val="22"/>
          <w:szCs w:val="22"/>
        </w:rPr>
        <w:t xml:space="preserve">Given the intergenerational transference of domestic and family violence, successful outcomes for children are affected by the availability of co-occurring primary, secondary and tertiary prevention strategies. Early identification and response to children is critical in order to protect and prevent further violence. </w:t>
      </w:r>
    </w:p>
    <w:p w14:paraId="06DC017C" w14:textId="77777777" w:rsidR="000D1D92" w:rsidRDefault="000D1D92" w:rsidP="000D1D92">
      <w:pPr>
        <w:autoSpaceDE w:val="0"/>
        <w:autoSpaceDN w:val="0"/>
        <w:adjustRightInd w:val="0"/>
        <w:spacing w:before="0" w:after="0"/>
        <w:ind w:left="720"/>
        <w:jc w:val="both"/>
        <w:rPr>
          <w:sz w:val="22"/>
          <w:szCs w:val="22"/>
        </w:rPr>
      </w:pPr>
    </w:p>
    <w:p w14:paraId="4131AB98" w14:textId="77777777" w:rsidR="000D1D92" w:rsidRPr="00BD0D8B" w:rsidRDefault="000D1D92" w:rsidP="000D1D92">
      <w:pPr>
        <w:autoSpaceDE w:val="0"/>
        <w:autoSpaceDN w:val="0"/>
        <w:adjustRightInd w:val="0"/>
        <w:spacing w:before="0" w:after="0"/>
        <w:ind w:left="720"/>
        <w:jc w:val="both"/>
        <w:rPr>
          <w:sz w:val="22"/>
          <w:szCs w:val="22"/>
        </w:rPr>
      </w:pPr>
      <w:r w:rsidRPr="00D606F2">
        <w:rPr>
          <w:sz w:val="22"/>
          <w:szCs w:val="22"/>
        </w:rPr>
        <w:t>A service system which is invested in all three types of prevention is most likely to succeed in addressing the immediate needs of children and influencing their future relati</w:t>
      </w:r>
      <w:r>
        <w:rPr>
          <w:sz w:val="22"/>
          <w:szCs w:val="22"/>
        </w:rPr>
        <w:t>onship choices and behaviours.</w:t>
      </w:r>
      <w:r w:rsidRPr="00D606F2">
        <w:rPr>
          <w:rStyle w:val="Heading3Char"/>
          <w:rFonts w:cs="Arial"/>
          <w:sz w:val="22"/>
          <w:szCs w:val="22"/>
          <w:lang w:val="en-US"/>
        </w:rPr>
        <w:t xml:space="preserve"> </w:t>
      </w:r>
      <w:r w:rsidRPr="00AE40E4">
        <w:rPr>
          <w:rStyle w:val="EndnoteReference"/>
          <w:rFonts w:cs="Arial"/>
          <w:sz w:val="22"/>
          <w:szCs w:val="22"/>
          <w:lang w:val="en-US"/>
        </w:rPr>
        <w:endnoteReference w:id="622"/>
      </w:r>
    </w:p>
    <w:p w14:paraId="2990ACE1" w14:textId="77777777" w:rsidR="000D1D92" w:rsidRDefault="000D1D92" w:rsidP="000D1D92">
      <w:pPr>
        <w:spacing w:before="0" w:after="0"/>
        <w:jc w:val="both"/>
      </w:pPr>
    </w:p>
    <w:p w14:paraId="2E44F23B" w14:textId="77777777" w:rsidR="000D1D92" w:rsidRPr="0071481B" w:rsidRDefault="000D1D92" w:rsidP="000D1D92">
      <w:pPr>
        <w:spacing w:before="0" w:after="0"/>
        <w:jc w:val="both"/>
      </w:pPr>
      <w:r w:rsidRPr="0071481B">
        <w:t xml:space="preserve">The joint submission by the Australian Institute of Family Studies </w:t>
      </w:r>
      <w:r>
        <w:t xml:space="preserve">(AIFS) </w:t>
      </w:r>
      <w:r w:rsidRPr="0071481B">
        <w:t xml:space="preserve">and Australia’s National Research Organisation for Women’s Safety </w:t>
      </w:r>
      <w:r>
        <w:t xml:space="preserve">(ANROWS) </w:t>
      </w:r>
      <w:r w:rsidRPr="0071481B">
        <w:t>emphasised the need for:</w:t>
      </w:r>
    </w:p>
    <w:p w14:paraId="260D87A5" w14:textId="77777777" w:rsidR="000D1D92" w:rsidRDefault="000D1D92" w:rsidP="000D1D92">
      <w:pPr>
        <w:spacing w:before="0" w:after="0"/>
        <w:jc w:val="both"/>
        <w:rPr>
          <w:sz w:val="22"/>
          <w:szCs w:val="22"/>
        </w:rPr>
      </w:pPr>
    </w:p>
    <w:p w14:paraId="70197FFB" w14:textId="77777777" w:rsidR="000D1D92" w:rsidRDefault="000D1D92" w:rsidP="000D1D92">
      <w:pPr>
        <w:spacing w:before="0" w:after="0"/>
        <w:ind w:left="720"/>
        <w:jc w:val="both"/>
        <w:rPr>
          <w:sz w:val="22"/>
          <w:szCs w:val="22"/>
        </w:rPr>
      </w:pPr>
      <w:r>
        <w:rPr>
          <w:sz w:val="22"/>
          <w:szCs w:val="22"/>
        </w:rPr>
        <w:t>A comprehensive and coherent policy framework to support understanding and practice of [family and domestic violence] responses, prevention and early intervention for children affected.</w:t>
      </w:r>
      <w:r>
        <w:rPr>
          <w:rStyle w:val="EndnoteReference"/>
          <w:szCs w:val="22"/>
        </w:rPr>
        <w:endnoteReference w:id="623"/>
      </w:r>
      <w:r>
        <w:rPr>
          <w:sz w:val="22"/>
          <w:szCs w:val="22"/>
        </w:rPr>
        <w:t xml:space="preserve"> </w:t>
      </w:r>
    </w:p>
    <w:p w14:paraId="1D4FC57C" w14:textId="77777777" w:rsidR="000D1D92" w:rsidRDefault="000D1D92" w:rsidP="000D1D92">
      <w:pPr>
        <w:pStyle w:val="ListParagraph"/>
        <w:spacing w:before="0" w:after="0"/>
        <w:jc w:val="both"/>
        <w:rPr>
          <w:sz w:val="22"/>
          <w:szCs w:val="22"/>
        </w:rPr>
      </w:pPr>
    </w:p>
    <w:p w14:paraId="1857DEEC" w14:textId="77777777" w:rsidR="000D1D92" w:rsidRDefault="000D1D92" w:rsidP="000D1D92">
      <w:pPr>
        <w:autoSpaceDE w:val="0"/>
        <w:autoSpaceDN w:val="0"/>
        <w:adjustRightInd w:val="0"/>
        <w:spacing w:before="0" w:after="0"/>
        <w:jc w:val="both"/>
      </w:pPr>
      <w:r>
        <w:t xml:space="preserve">AIFS and ANROWS also stated in their joint submission that: </w:t>
      </w:r>
    </w:p>
    <w:p w14:paraId="7E0FB209" w14:textId="77777777" w:rsidR="000D1D92" w:rsidRDefault="000D1D92" w:rsidP="000D1D92">
      <w:pPr>
        <w:autoSpaceDE w:val="0"/>
        <w:autoSpaceDN w:val="0"/>
        <w:adjustRightInd w:val="0"/>
        <w:spacing w:before="0" w:after="0"/>
        <w:jc w:val="both"/>
      </w:pPr>
    </w:p>
    <w:p w14:paraId="3B2E0D37" w14:textId="77777777" w:rsidR="000D1D92" w:rsidRDefault="000D1D92" w:rsidP="000D1D92">
      <w:pPr>
        <w:autoSpaceDE w:val="0"/>
        <w:autoSpaceDN w:val="0"/>
        <w:adjustRightInd w:val="0"/>
        <w:spacing w:before="0" w:after="0"/>
        <w:ind w:left="720"/>
        <w:jc w:val="both"/>
        <w:rPr>
          <w:sz w:val="22"/>
          <w:szCs w:val="22"/>
        </w:rPr>
      </w:pPr>
      <w:r w:rsidRPr="007F1237">
        <w:rPr>
          <w:sz w:val="22"/>
          <w:szCs w:val="22"/>
        </w:rPr>
        <w:t>Throughout Australia, there are differing levels of integration of approaches to the issue of DFV and related service provision</w:t>
      </w:r>
      <w:r>
        <w:rPr>
          <w:sz w:val="22"/>
          <w:szCs w:val="22"/>
        </w:rPr>
        <w:t>…</w:t>
      </w:r>
      <w:r w:rsidRPr="007F1237">
        <w:rPr>
          <w:sz w:val="22"/>
          <w:szCs w:val="22"/>
        </w:rPr>
        <w:t xml:space="preserve"> </w:t>
      </w:r>
    </w:p>
    <w:p w14:paraId="70BDB9E4" w14:textId="77777777" w:rsidR="000D1D92" w:rsidRDefault="000D1D92" w:rsidP="000D1D92">
      <w:pPr>
        <w:autoSpaceDE w:val="0"/>
        <w:autoSpaceDN w:val="0"/>
        <w:adjustRightInd w:val="0"/>
        <w:spacing w:before="0" w:after="0"/>
        <w:jc w:val="both"/>
        <w:rPr>
          <w:sz w:val="22"/>
          <w:szCs w:val="22"/>
        </w:rPr>
      </w:pPr>
    </w:p>
    <w:p w14:paraId="39914189" w14:textId="77777777" w:rsidR="000D1D92" w:rsidRDefault="000D1D92" w:rsidP="000D1D92">
      <w:pPr>
        <w:autoSpaceDE w:val="0"/>
        <w:autoSpaceDN w:val="0"/>
        <w:adjustRightInd w:val="0"/>
        <w:spacing w:before="0" w:after="0"/>
        <w:ind w:left="720"/>
        <w:jc w:val="both"/>
        <w:rPr>
          <w:sz w:val="22"/>
          <w:szCs w:val="22"/>
        </w:rPr>
      </w:pPr>
      <w:r w:rsidRPr="007F1237">
        <w:rPr>
          <w:sz w:val="22"/>
          <w:szCs w:val="22"/>
        </w:rPr>
        <w:t xml:space="preserve">The DFV Children Report suggests a significant need for better integration of services for children, including better communication and integration between family violence services and other systems, including the child protection system, the state-based justice system, family support systems such as those that deliver maternal and child health services, and the education system. </w:t>
      </w:r>
    </w:p>
    <w:p w14:paraId="148BF937" w14:textId="77777777" w:rsidR="000D1D92" w:rsidRDefault="000D1D92" w:rsidP="000D1D92">
      <w:pPr>
        <w:autoSpaceDE w:val="0"/>
        <w:autoSpaceDN w:val="0"/>
        <w:adjustRightInd w:val="0"/>
        <w:spacing w:before="0" w:after="0"/>
        <w:ind w:left="720"/>
        <w:jc w:val="both"/>
        <w:rPr>
          <w:sz w:val="22"/>
          <w:szCs w:val="22"/>
        </w:rPr>
      </w:pPr>
    </w:p>
    <w:p w14:paraId="58E481A7" w14:textId="77777777" w:rsidR="000D1D92" w:rsidRDefault="000D1D92" w:rsidP="000D1D92">
      <w:pPr>
        <w:autoSpaceDE w:val="0"/>
        <w:autoSpaceDN w:val="0"/>
        <w:adjustRightInd w:val="0"/>
        <w:spacing w:before="0" w:after="0"/>
        <w:ind w:left="720"/>
        <w:jc w:val="both"/>
      </w:pPr>
      <w:r w:rsidRPr="007F1237">
        <w:rPr>
          <w:sz w:val="22"/>
          <w:szCs w:val="22"/>
        </w:rPr>
        <w:t>A clear and coherent policy framework is needed at state and federal levels to support understanding and practice of DFV responses, prevention and early intervention to better enable discrete service sectors to work towards common goals and ensure children’s needs are met across the various sectors</w:t>
      </w:r>
      <w:r>
        <w:rPr>
          <w:sz w:val="22"/>
          <w:szCs w:val="22"/>
        </w:rPr>
        <w:t>.</w:t>
      </w:r>
      <w:r>
        <w:rPr>
          <w:rStyle w:val="EndnoteReference"/>
          <w:szCs w:val="22"/>
        </w:rPr>
        <w:endnoteReference w:id="624"/>
      </w:r>
    </w:p>
    <w:p w14:paraId="514ED93B" w14:textId="77777777" w:rsidR="000D1D92" w:rsidRDefault="000D1D92" w:rsidP="000D1D92">
      <w:pPr>
        <w:autoSpaceDE w:val="0"/>
        <w:autoSpaceDN w:val="0"/>
        <w:adjustRightInd w:val="0"/>
        <w:spacing w:before="0" w:after="0"/>
        <w:jc w:val="both"/>
        <w:rPr>
          <w:b/>
        </w:rPr>
      </w:pPr>
    </w:p>
    <w:tbl>
      <w:tblPr>
        <w:tblStyle w:val="TableGrid"/>
        <w:tblW w:w="0" w:type="auto"/>
        <w:shd w:val="clear" w:color="auto" w:fill="F2F2F2" w:themeFill="background1" w:themeFillShade="F2"/>
        <w:tblLook w:val="04A0" w:firstRow="1" w:lastRow="0" w:firstColumn="1" w:lastColumn="0" w:noHBand="0" w:noVBand="1"/>
      </w:tblPr>
      <w:tblGrid>
        <w:gridCol w:w="9060"/>
      </w:tblGrid>
      <w:tr w:rsidR="000D1D92" w14:paraId="7F366A29" w14:textId="77777777" w:rsidTr="00684616">
        <w:tc>
          <w:tcPr>
            <w:tcW w:w="9060" w:type="dxa"/>
            <w:shd w:val="clear" w:color="auto" w:fill="F2F2F2" w:themeFill="background1" w:themeFillShade="F2"/>
          </w:tcPr>
          <w:p w14:paraId="58F0860C" w14:textId="77777777" w:rsidR="000D1D92" w:rsidRDefault="000D1D92" w:rsidP="00684616">
            <w:pPr>
              <w:jc w:val="both"/>
              <w:rPr>
                <w:b/>
              </w:rPr>
            </w:pPr>
            <w:r>
              <w:rPr>
                <w:b/>
              </w:rPr>
              <w:t xml:space="preserve">Recommendation 9: </w:t>
            </w:r>
          </w:p>
          <w:p w14:paraId="1E535D7E" w14:textId="77777777" w:rsidR="000D1D92" w:rsidRPr="007B24AB" w:rsidRDefault="000D1D92" w:rsidP="00684616">
            <w:pPr>
              <w:jc w:val="both"/>
              <w:rPr>
                <w:b/>
              </w:rPr>
            </w:pPr>
            <w:r>
              <w:rPr>
                <w:b/>
              </w:rPr>
              <w:t xml:space="preserve">The Council of Australian Governments </w:t>
            </w:r>
            <w:r w:rsidRPr="00B42C86">
              <w:rPr>
                <w:b/>
              </w:rPr>
              <w:t xml:space="preserve">prioritise the development of a </w:t>
            </w:r>
            <w:r>
              <w:rPr>
                <w:b/>
              </w:rPr>
              <w:t xml:space="preserve">child-focused </w:t>
            </w:r>
            <w:r w:rsidRPr="00B42C86">
              <w:rPr>
                <w:b/>
              </w:rPr>
              <w:t xml:space="preserve">policy framework for responses </w:t>
            </w:r>
            <w:r>
              <w:rPr>
                <w:b/>
              </w:rPr>
              <w:t>to family and domestic violence.</w:t>
            </w:r>
          </w:p>
        </w:tc>
      </w:tr>
    </w:tbl>
    <w:p w14:paraId="65939A5B" w14:textId="77777777" w:rsidR="000D1D92" w:rsidRDefault="000D1D92" w:rsidP="000D1D92">
      <w:pPr>
        <w:pStyle w:val="Heading4"/>
      </w:pPr>
      <w:r w:rsidRPr="00E12111">
        <w:lastRenderedPageBreak/>
        <w:t xml:space="preserve">Educational </w:t>
      </w:r>
      <w:r>
        <w:t xml:space="preserve">policies and </w:t>
      </w:r>
      <w:r w:rsidRPr="00E12111">
        <w:t>campaigns</w:t>
      </w:r>
    </w:p>
    <w:p w14:paraId="6A9591D0" w14:textId="77777777" w:rsidR="000D1D92" w:rsidRDefault="000D1D92" w:rsidP="000D1D92">
      <w:pPr>
        <w:autoSpaceDE w:val="0"/>
        <w:autoSpaceDN w:val="0"/>
        <w:adjustRightInd w:val="0"/>
        <w:spacing w:after="200"/>
        <w:jc w:val="both"/>
      </w:pPr>
      <w:r>
        <w:t>In April 2015, COAG agreed to a national campaign for reducing violence against women and their children. In July 2015, COAG agreed that the national campaign would focus on:</w:t>
      </w:r>
    </w:p>
    <w:p w14:paraId="0707C2F7" w14:textId="77777777" w:rsidR="000D1D92" w:rsidRDefault="000D1D92" w:rsidP="000D1D92">
      <w:pPr>
        <w:autoSpaceDE w:val="0"/>
        <w:autoSpaceDN w:val="0"/>
        <w:adjustRightInd w:val="0"/>
        <w:spacing w:after="200"/>
        <w:ind w:left="720"/>
        <w:jc w:val="both"/>
        <w:rPr>
          <w:sz w:val="22"/>
          <w:szCs w:val="22"/>
        </w:rPr>
      </w:pPr>
      <w:r w:rsidRPr="00E34409">
        <w:rPr>
          <w:sz w:val="22"/>
          <w:szCs w:val="22"/>
        </w:rPr>
        <w:t>galvanising the community to change the attitudes of young people to violence. This campaign focus responds to worrying data on young people’s attitudes. Currently, for example</w:t>
      </w:r>
      <w:r>
        <w:rPr>
          <w:sz w:val="22"/>
          <w:szCs w:val="22"/>
        </w:rPr>
        <w:t>, one in four young men believe</w:t>
      </w:r>
      <w:r w:rsidRPr="00E34409">
        <w:rPr>
          <w:sz w:val="22"/>
          <w:szCs w:val="22"/>
        </w:rPr>
        <w:t xml:space="preserve"> that controlling and violent behaviour is a sign of male strength</w:t>
      </w:r>
      <w:r>
        <w:rPr>
          <w:sz w:val="22"/>
          <w:szCs w:val="22"/>
        </w:rPr>
        <w:t>…</w:t>
      </w:r>
    </w:p>
    <w:p w14:paraId="4FCF2E82" w14:textId="77777777" w:rsidR="000D1D92" w:rsidRDefault="000D1D92" w:rsidP="000D1D92">
      <w:pPr>
        <w:autoSpaceDE w:val="0"/>
        <w:autoSpaceDN w:val="0"/>
        <w:adjustRightInd w:val="0"/>
        <w:spacing w:after="200"/>
        <w:ind w:left="720"/>
        <w:jc w:val="both"/>
        <w:rPr>
          <w:rFonts w:cs="Arial"/>
        </w:rPr>
      </w:pPr>
      <w:r w:rsidRPr="00EB0227">
        <w:rPr>
          <w:sz w:val="22"/>
          <w:szCs w:val="22"/>
        </w:rPr>
        <w:t>COAG agreed to hear expert advice at its next meeting on the campaign messaging and how to target it. The campaign will be tailored to address the circumstances in each state and territory.</w:t>
      </w:r>
      <w:r w:rsidRPr="00EB0227">
        <w:rPr>
          <w:rStyle w:val="EndnoteReference"/>
          <w:rFonts w:cs="Arial"/>
        </w:rPr>
        <w:t xml:space="preserve"> </w:t>
      </w:r>
      <w:r>
        <w:rPr>
          <w:rStyle w:val="EndnoteReference"/>
          <w:rFonts w:cs="Arial"/>
        </w:rPr>
        <w:endnoteReference w:id="625"/>
      </w:r>
    </w:p>
    <w:p w14:paraId="5A381495" w14:textId="77777777" w:rsidR="000D1D92" w:rsidRDefault="000D1D92" w:rsidP="000D1D92">
      <w:pPr>
        <w:spacing w:before="0" w:after="0"/>
        <w:jc w:val="both"/>
      </w:pPr>
      <w:r>
        <w:t xml:space="preserve">Earlier in the year, when first announcing the new national campaign, Senator the Hon Michaelia Cash reinforced the need for attitudinal change within the community by </w:t>
      </w:r>
      <w:r w:rsidRPr="00E00661">
        <w:t>emphasising that violence is a crime regardless of whether there is a ‘domestic’ or ‘family’ in front of it. She stated: ‘violence is violence. It’s a crime. Full stop’</w:t>
      </w:r>
      <w:r>
        <w:t>.</w:t>
      </w:r>
      <w:r>
        <w:rPr>
          <w:rStyle w:val="EndnoteReference"/>
        </w:rPr>
        <w:endnoteReference w:id="626"/>
      </w:r>
      <w:r>
        <w:t xml:space="preserve"> </w:t>
      </w:r>
    </w:p>
    <w:p w14:paraId="347A6C6D" w14:textId="77777777" w:rsidR="000D1D92" w:rsidRDefault="000D1D92" w:rsidP="000D1D92">
      <w:pPr>
        <w:spacing w:before="0" w:after="0"/>
      </w:pPr>
    </w:p>
    <w:p w14:paraId="579E5256" w14:textId="77777777" w:rsidR="000D1D92" w:rsidRDefault="000D1D92" w:rsidP="000D1D92">
      <w:pPr>
        <w:pStyle w:val="Default"/>
        <w:jc w:val="both"/>
        <w:rPr>
          <w:rFonts w:ascii="Arial" w:hAnsi="Arial" w:cs="Arial"/>
        </w:rPr>
      </w:pPr>
      <w:r>
        <w:rPr>
          <w:rFonts w:ascii="Arial" w:hAnsi="Arial" w:cs="Arial"/>
        </w:rPr>
        <w:t>My examination has therefore provided a timely opportunity to canvas the views of experts about the nature and value of educational campaigns and their potential role as part of a broader public health approach to family and domestic violence.</w:t>
      </w:r>
    </w:p>
    <w:p w14:paraId="6FC984AE" w14:textId="77777777" w:rsidR="000D1D92" w:rsidRDefault="000D1D92" w:rsidP="000D1D92">
      <w:pPr>
        <w:pStyle w:val="Default"/>
        <w:jc w:val="both"/>
        <w:rPr>
          <w:rFonts w:ascii="Arial" w:hAnsi="Arial" w:cs="Arial"/>
        </w:rPr>
      </w:pPr>
    </w:p>
    <w:p w14:paraId="20F40671" w14:textId="77777777" w:rsidR="000D1D92" w:rsidRDefault="000D1D92" w:rsidP="000D1D92">
      <w:pPr>
        <w:spacing w:before="0" w:after="0"/>
      </w:pPr>
      <w:r>
        <w:t>I will continue to engage with Senator Cash and the Australian Government about the outcomes of the national campaign, including for children.</w:t>
      </w:r>
    </w:p>
    <w:p w14:paraId="4CA7E103" w14:textId="77777777" w:rsidR="000D1D92" w:rsidRDefault="000D1D92" w:rsidP="000D1D92">
      <w:pPr>
        <w:spacing w:before="0" w:after="0"/>
      </w:pPr>
    </w:p>
    <w:p w14:paraId="5F700043" w14:textId="77777777" w:rsidR="000D1D92" w:rsidRDefault="000D1D92" w:rsidP="000D1D92">
      <w:pPr>
        <w:spacing w:before="0" w:after="0"/>
        <w:jc w:val="both"/>
        <w:rPr>
          <w:rFonts w:cs="Arial"/>
        </w:rPr>
      </w:pPr>
      <w:r w:rsidRPr="008D111E">
        <w:rPr>
          <w:rFonts w:cs="Arial"/>
        </w:rPr>
        <w:t>The Australian Association of Social Workers suggested that public policy approaches will ‘fail’ children affected by family and domestic violence if they do not ‘lead to wide attitudinal and behavioural change in society’.</w:t>
      </w:r>
      <w:r w:rsidRPr="008D111E">
        <w:rPr>
          <w:rStyle w:val="EndnoteReference"/>
          <w:rFonts w:cs="Arial"/>
          <w:sz w:val="24"/>
        </w:rPr>
        <w:endnoteReference w:id="627"/>
      </w:r>
    </w:p>
    <w:p w14:paraId="66C6F1D0" w14:textId="77777777" w:rsidR="000D1D92" w:rsidRDefault="000D1D92" w:rsidP="000D1D92">
      <w:pPr>
        <w:spacing w:before="0" w:after="0"/>
      </w:pPr>
    </w:p>
    <w:p w14:paraId="7937B2D8" w14:textId="77777777" w:rsidR="000D1D92" w:rsidRDefault="000D1D92" w:rsidP="000D1D92">
      <w:pPr>
        <w:spacing w:before="0" w:after="0"/>
        <w:jc w:val="both"/>
      </w:pPr>
      <w:r>
        <w:t>The need to lift community understanding is evidenced by recent research commissioned by OurWatch in 2015 which confirms a significant number of young people continue to hold views that accept or tolerate violence. This survey of 3000 young people aged between 12 and 24 shows, for example, that one in four young men believe that controlling and violent behaviours are signs of male strength</w:t>
      </w:r>
      <w:r>
        <w:rPr>
          <w:sz w:val="28"/>
        </w:rPr>
        <w:t>,</w:t>
      </w:r>
      <w:r w:rsidRPr="00114222">
        <w:t xml:space="preserve"> and</w:t>
      </w:r>
      <w:r>
        <w:t xml:space="preserve"> one in four young people do not think it is serious if a guy, who is normally gentle, sometimes slaps his girlfriend when he is drunk and they are arguing.</w:t>
      </w:r>
      <w:r>
        <w:rPr>
          <w:rStyle w:val="EndnoteReference"/>
          <w:rFonts w:cs="Arial"/>
        </w:rPr>
        <w:endnoteReference w:id="628"/>
      </w:r>
    </w:p>
    <w:p w14:paraId="68D4F317" w14:textId="77777777" w:rsidR="000D1D92" w:rsidRDefault="000D1D92" w:rsidP="000D1D92">
      <w:pPr>
        <w:spacing w:before="0" w:after="0"/>
        <w:jc w:val="both"/>
      </w:pPr>
    </w:p>
    <w:p w14:paraId="4C7EA57A" w14:textId="77777777" w:rsidR="000D1D92" w:rsidRDefault="000D1D92" w:rsidP="000D1D92">
      <w:pPr>
        <w:autoSpaceDE w:val="0"/>
        <w:autoSpaceDN w:val="0"/>
        <w:adjustRightInd w:val="0"/>
        <w:spacing w:before="0" w:after="0"/>
        <w:jc w:val="both"/>
      </w:pPr>
      <w:r>
        <w:t xml:space="preserve">A report released by VicHealth in September 2015 also found that young Australians aged between 16 and 24 had a higher level of attitudinal support for violence against women than those aged 35-64, as well as: </w:t>
      </w:r>
    </w:p>
    <w:p w14:paraId="319F1748" w14:textId="77777777" w:rsidR="000D1D92" w:rsidRDefault="000D1D92" w:rsidP="000D1D92">
      <w:pPr>
        <w:autoSpaceDE w:val="0"/>
        <w:autoSpaceDN w:val="0"/>
        <w:adjustRightInd w:val="0"/>
        <w:spacing w:before="0" w:after="0"/>
        <w:ind w:left="720"/>
        <w:jc w:val="both"/>
        <w:rPr>
          <w:sz w:val="22"/>
          <w:szCs w:val="22"/>
        </w:rPr>
      </w:pPr>
    </w:p>
    <w:p w14:paraId="3F4CF674" w14:textId="77777777" w:rsidR="000D1D92" w:rsidRDefault="000D1D92" w:rsidP="000D1D92">
      <w:pPr>
        <w:autoSpaceDE w:val="0"/>
        <w:autoSpaceDN w:val="0"/>
        <w:adjustRightInd w:val="0"/>
        <w:spacing w:before="0" w:after="0"/>
        <w:ind w:left="720"/>
        <w:jc w:val="both"/>
        <w:rPr>
          <w:sz w:val="22"/>
          <w:szCs w:val="22"/>
        </w:rPr>
      </w:pPr>
      <w:r>
        <w:rPr>
          <w:sz w:val="22"/>
          <w:szCs w:val="22"/>
        </w:rPr>
        <w:t>…a</w:t>
      </w:r>
      <w:r w:rsidRPr="002130AD">
        <w:rPr>
          <w:sz w:val="22"/>
          <w:szCs w:val="22"/>
        </w:rPr>
        <w:t xml:space="preserve"> lower level of understanding that violence is more than physical violence and forced sex, and are less likely to support gender equality in relationships</w:t>
      </w:r>
      <w:r>
        <w:rPr>
          <w:sz w:val="22"/>
          <w:szCs w:val="22"/>
        </w:rPr>
        <w:t>.</w:t>
      </w:r>
      <w:r>
        <w:rPr>
          <w:rStyle w:val="EndnoteReference"/>
          <w:szCs w:val="22"/>
        </w:rPr>
        <w:endnoteReference w:id="629"/>
      </w:r>
    </w:p>
    <w:p w14:paraId="06979D0E" w14:textId="77777777" w:rsidR="000D1D92" w:rsidRDefault="000D1D92" w:rsidP="000D1D92">
      <w:pPr>
        <w:autoSpaceDE w:val="0"/>
        <w:autoSpaceDN w:val="0"/>
        <w:adjustRightInd w:val="0"/>
        <w:spacing w:before="0" w:after="0"/>
        <w:ind w:left="720"/>
        <w:jc w:val="both"/>
        <w:rPr>
          <w:sz w:val="22"/>
          <w:szCs w:val="22"/>
        </w:rPr>
      </w:pPr>
    </w:p>
    <w:p w14:paraId="0170DE8F" w14:textId="77777777" w:rsidR="000D1D92" w:rsidRDefault="000D1D92" w:rsidP="000D1D92">
      <w:pPr>
        <w:pStyle w:val="Default"/>
        <w:jc w:val="both"/>
        <w:rPr>
          <w:rFonts w:ascii="Arial" w:hAnsi="Arial" w:cs="Arial"/>
        </w:rPr>
      </w:pPr>
      <w:r w:rsidRPr="00825C50">
        <w:rPr>
          <w:rFonts w:ascii="Arial" w:hAnsi="Arial" w:cs="Arial"/>
        </w:rPr>
        <w:t>Relationships Australia</w:t>
      </w:r>
      <w:r>
        <w:rPr>
          <w:rFonts w:ascii="Arial" w:hAnsi="Arial" w:cs="Arial"/>
        </w:rPr>
        <w:t xml:space="preserve"> highlighted some of the difficulties with achieving and monitoring positive outcomes from educational campaigns, stating that it is:</w:t>
      </w:r>
    </w:p>
    <w:p w14:paraId="6216B777" w14:textId="77777777" w:rsidR="000D1D92" w:rsidRDefault="000D1D92" w:rsidP="000D1D92">
      <w:pPr>
        <w:pStyle w:val="ListParagraph"/>
        <w:spacing w:before="0" w:after="0"/>
        <w:jc w:val="both"/>
        <w:rPr>
          <w:sz w:val="22"/>
          <w:szCs w:val="22"/>
        </w:rPr>
      </w:pPr>
    </w:p>
    <w:p w14:paraId="1C892DD2" w14:textId="77777777" w:rsidR="000D1D92" w:rsidRPr="00825C50" w:rsidRDefault="000D1D92" w:rsidP="000D1D92">
      <w:pPr>
        <w:pStyle w:val="ListParagraph"/>
        <w:spacing w:before="0" w:after="0"/>
        <w:jc w:val="both"/>
        <w:rPr>
          <w:sz w:val="22"/>
          <w:szCs w:val="22"/>
        </w:rPr>
      </w:pPr>
      <w:r>
        <w:rPr>
          <w:sz w:val="22"/>
          <w:szCs w:val="22"/>
        </w:rPr>
        <w:t>…</w:t>
      </w:r>
      <w:r w:rsidRPr="00825C50">
        <w:rPr>
          <w:sz w:val="22"/>
          <w:szCs w:val="22"/>
        </w:rPr>
        <w:t>challenging to ascertain whether any positive outcomes are specifically related to educational campaigns at school or increased community awareness through the current featuring of domestic violence in the media.</w:t>
      </w:r>
    </w:p>
    <w:p w14:paraId="55AF8B35" w14:textId="77777777" w:rsidR="000D1D92" w:rsidRPr="00825C50" w:rsidRDefault="000D1D92" w:rsidP="000D1D92">
      <w:pPr>
        <w:spacing w:before="0" w:after="0"/>
        <w:jc w:val="both"/>
        <w:rPr>
          <w:sz w:val="22"/>
          <w:szCs w:val="22"/>
        </w:rPr>
      </w:pPr>
    </w:p>
    <w:p w14:paraId="4A7C59C1" w14:textId="77777777" w:rsidR="000D1D92" w:rsidRDefault="000D1D92" w:rsidP="000D1D92">
      <w:pPr>
        <w:pStyle w:val="ListParagraph"/>
        <w:spacing w:before="0" w:after="0"/>
        <w:jc w:val="both"/>
        <w:rPr>
          <w:sz w:val="22"/>
          <w:szCs w:val="22"/>
        </w:rPr>
      </w:pPr>
      <w:r w:rsidRPr="00825C50">
        <w:rPr>
          <w:sz w:val="22"/>
          <w:szCs w:val="22"/>
        </w:rPr>
        <w:lastRenderedPageBreak/>
        <w:t>Similarly, these difficulties in assessing impact of education programs exist at the community level. Funding rarely includes a component for evaluation, and service delivery experts do not have the resources or skills to conduct rigorous evaluation and research and this has resulted in an incomplete evidence base on which to inform future campaigns.</w:t>
      </w:r>
      <w:r>
        <w:rPr>
          <w:rStyle w:val="EndnoteReference"/>
          <w:szCs w:val="22"/>
        </w:rPr>
        <w:endnoteReference w:id="630"/>
      </w:r>
    </w:p>
    <w:p w14:paraId="1F8C115D" w14:textId="77777777" w:rsidR="000D1D92" w:rsidRDefault="000D1D92" w:rsidP="000D1D92">
      <w:pPr>
        <w:spacing w:before="0" w:after="0"/>
        <w:jc w:val="both"/>
      </w:pPr>
    </w:p>
    <w:p w14:paraId="5B82E4DD" w14:textId="77777777" w:rsidR="000D1D92" w:rsidRDefault="000D1D92" w:rsidP="000D1D92">
      <w:pPr>
        <w:spacing w:before="0" w:after="0"/>
        <w:jc w:val="both"/>
      </w:pPr>
      <w:r>
        <w:t xml:space="preserve">Participants at my roundtables and written submissions warned against a one-size fits all approach to public education campaigns about family and domestic violence. The need to target approaches to certain community groups was consistently raised, for example, Aboriginal and Torres Strait Islander children and families, culturally and linguistically diverse children and families and those who are LGBTI.  </w:t>
      </w:r>
    </w:p>
    <w:p w14:paraId="4792E872" w14:textId="77777777" w:rsidR="000D1D92" w:rsidRDefault="000D1D92" w:rsidP="000D1D92">
      <w:pPr>
        <w:spacing w:before="0" w:after="0"/>
      </w:pPr>
    </w:p>
    <w:p w14:paraId="69EC4869" w14:textId="77777777" w:rsidR="000D1D92" w:rsidRDefault="000D1D92" w:rsidP="000D1D92">
      <w:pPr>
        <w:spacing w:before="0" w:after="0"/>
        <w:jc w:val="both"/>
      </w:pPr>
      <w:r>
        <w:t>The Menzies School of Health Research provided information about social marketing campaigns and community approaches to promoting the safety of children in the Northern Territory:</w:t>
      </w:r>
    </w:p>
    <w:p w14:paraId="28A2CCAC" w14:textId="77777777" w:rsidR="000D1D92" w:rsidRPr="00E00D04" w:rsidRDefault="000D1D92" w:rsidP="000D1D92">
      <w:pPr>
        <w:spacing w:before="0" w:after="0"/>
        <w:rPr>
          <w:sz w:val="22"/>
          <w:szCs w:val="22"/>
        </w:rPr>
      </w:pPr>
    </w:p>
    <w:p w14:paraId="0892A4E0" w14:textId="77777777" w:rsidR="000D1D92" w:rsidRDefault="000D1D92" w:rsidP="000D1D92">
      <w:pPr>
        <w:autoSpaceDE w:val="0"/>
        <w:autoSpaceDN w:val="0"/>
        <w:adjustRightInd w:val="0"/>
        <w:spacing w:before="0" w:after="0"/>
        <w:ind w:left="720"/>
        <w:jc w:val="both"/>
        <w:rPr>
          <w:sz w:val="22"/>
          <w:szCs w:val="22"/>
        </w:rPr>
      </w:pPr>
      <w:r w:rsidRPr="00E00D04">
        <w:rPr>
          <w:sz w:val="22"/>
          <w:szCs w:val="22"/>
        </w:rPr>
        <w:t>Families, communities and practitioners require more information about what constitutes child abuse and neglect, its impact and how it can be prevented. Due to the over-representation of Abor</w:t>
      </w:r>
      <w:r>
        <w:rPr>
          <w:sz w:val="22"/>
          <w:szCs w:val="22"/>
        </w:rPr>
        <w:t>iginal children in the NT statutor</w:t>
      </w:r>
      <w:r w:rsidRPr="00E00D04">
        <w:rPr>
          <w:sz w:val="22"/>
          <w:szCs w:val="22"/>
        </w:rPr>
        <w:t>y child protection system it is imperative that community educati</w:t>
      </w:r>
      <w:r>
        <w:rPr>
          <w:sz w:val="22"/>
          <w:szCs w:val="22"/>
        </w:rPr>
        <w:t>on strategies resonate with Abor</w:t>
      </w:r>
      <w:r w:rsidRPr="00E00D04">
        <w:rPr>
          <w:sz w:val="22"/>
          <w:szCs w:val="22"/>
        </w:rPr>
        <w:t>iginal families and communities.</w:t>
      </w:r>
      <w:r w:rsidRPr="00E00D04">
        <w:rPr>
          <w:rStyle w:val="EndnoteReference"/>
          <w:sz w:val="22"/>
          <w:szCs w:val="22"/>
        </w:rPr>
        <w:endnoteReference w:id="631"/>
      </w:r>
    </w:p>
    <w:p w14:paraId="7CCBD64D" w14:textId="77777777" w:rsidR="000D1D92" w:rsidRDefault="000D1D92" w:rsidP="000D1D92">
      <w:pPr>
        <w:autoSpaceDE w:val="0"/>
        <w:autoSpaceDN w:val="0"/>
        <w:adjustRightInd w:val="0"/>
        <w:spacing w:before="0" w:after="0"/>
        <w:ind w:left="720"/>
        <w:jc w:val="both"/>
      </w:pPr>
    </w:p>
    <w:p w14:paraId="32E93944" w14:textId="77777777" w:rsidR="000D1D92" w:rsidRDefault="000D1D92" w:rsidP="000D1D92">
      <w:pPr>
        <w:autoSpaceDE w:val="0"/>
        <w:autoSpaceDN w:val="0"/>
        <w:adjustRightInd w:val="0"/>
        <w:spacing w:before="0" w:after="0"/>
        <w:jc w:val="both"/>
      </w:pPr>
      <w:r>
        <w:t>T</w:t>
      </w:r>
      <w:r w:rsidRPr="0049786F">
        <w:t xml:space="preserve">he Aboriginal Family Law Services (WA) </w:t>
      </w:r>
      <w:r>
        <w:t xml:space="preserve">also </w:t>
      </w:r>
      <w:r w:rsidRPr="0049786F">
        <w:t>identified</w:t>
      </w:r>
      <w:r>
        <w:t xml:space="preserve"> the need for targeted campaigns:</w:t>
      </w:r>
    </w:p>
    <w:p w14:paraId="3846B1C2" w14:textId="77777777" w:rsidR="000D1D92" w:rsidRDefault="000D1D92" w:rsidP="000D1D92">
      <w:pPr>
        <w:autoSpaceDE w:val="0"/>
        <w:autoSpaceDN w:val="0"/>
        <w:adjustRightInd w:val="0"/>
        <w:spacing w:before="0" w:after="0"/>
        <w:jc w:val="both"/>
      </w:pPr>
    </w:p>
    <w:p w14:paraId="0B1E20F8" w14:textId="77777777" w:rsidR="000D1D92" w:rsidRDefault="000D1D92" w:rsidP="000D1D92">
      <w:pPr>
        <w:autoSpaceDE w:val="0"/>
        <w:autoSpaceDN w:val="0"/>
        <w:adjustRightInd w:val="0"/>
        <w:spacing w:before="0" w:after="0"/>
        <w:ind w:left="720"/>
        <w:jc w:val="both"/>
      </w:pPr>
      <w:r>
        <w:rPr>
          <w:sz w:val="22"/>
          <w:szCs w:val="22"/>
        </w:rPr>
        <w:t>…</w:t>
      </w:r>
      <w:r w:rsidRPr="00A17AB8">
        <w:rPr>
          <w:sz w:val="22"/>
          <w:szCs w:val="22"/>
        </w:rPr>
        <w:t>focussing on the impact of family and domestic violence on Aboriginal men, women and children. We realised the gap in existing campaigns which focused on gender issues, were mainstream in their approach and may not have had the reach that an Indigenous specific campaign could achieve</w:t>
      </w:r>
      <w:r w:rsidRPr="0049786F">
        <w:t>.</w:t>
      </w:r>
      <w:r>
        <w:rPr>
          <w:rStyle w:val="EndnoteReference"/>
        </w:rPr>
        <w:endnoteReference w:id="632"/>
      </w:r>
    </w:p>
    <w:p w14:paraId="1DE37422" w14:textId="77777777" w:rsidR="000D1D92" w:rsidRDefault="000D1D92" w:rsidP="000D1D92">
      <w:pPr>
        <w:spacing w:before="0" w:after="0"/>
      </w:pPr>
      <w:r w:rsidRPr="000A6B2C">
        <w:t xml:space="preserve"> </w:t>
      </w:r>
    </w:p>
    <w:p w14:paraId="39EAEC02" w14:textId="77777777" w:rsidR="000D1D92" w:rsidRDefault="000D1D92" w:rsidP="000D1D92">
      <w:pPr>
        <w:spacing w:before="0" w:after="0"/>
        <w:jc w:val="both"/>
      </w:pPr>
      <w:r>
        <w:t>The National LGBTI Alliance also reinforced the need for nuanced approaches targeting groups with different experiences and needs:</w:t>
      </w:r>
    </w:p>
    <w:p w14:paraId="046CD049" w14:textId="77777777" w:rsidR="000D1D92" w:rsidRDefault="000D1D92" w:rsidP="000D1D92">
      <w:pPr>
        <w:spacing w:before="0" w:after="0"/>
      </w:pPr>
      <w:r>
        <w:t xml:space="preserve"> </w:t>
      </w:r>
    </w:p>
    <w:p w14:paraId="5D7F45E7" w14:textId="77777777" w:rsidR="000D1D92" w:rsidRDefault="000D1D92" w:rsidP="000D1D92">
      <w:pPr>
        <w:spacing w:before="0" w:after="0"/>
        <w:ind w:left="720"/>
        <w:rPr>
          <w:sz w:val="22"/>
          <w:szCs w:val="22"/>
        </w:rPr>
      </w:pPr>
      <w:r w:rsidRPr="00F969CA">
        <w:rPr>
          <w:sz w:val="22"/>
          <w:szCs w:val="22"/>
        </w:rPr>
        <w:t>Our respondents identified multiple adverse outcomes of public policy approaches and educational campaigns that claim to address family and domestic violence without addressing the needs of LGBTI young people.</w:t>
      </w:r>
      <w:r>
        <w:rPr>
          <w:sz w:val="22"/>
          <w:szCs w:val="22"/>
        </w:rPr>
        <w:t xml:space="preserve"> Similarly, </w:t>
      </w:r>
      <w:r w:rsidRPr="00F969CA">
        <w:rPr>
          <w:sz w:val="22"/>
          <w:szCs w:val="22"/>
        </w:rPr>
        <w:t>many respondents felt that LGBTI specific resources did not consistently or adequately address the family and domestic violence needs of LGBTI young people.</w:t>
      </w:r>
      <w:r>
        <w:rPr>
          <w:rStyle w:val="EndnoteReference"/>
          <w:szCs w:val="22"/>
        </w:rPr>
        <w:endnoteReference w:id="633"/>
      </w:r>
    </w:p>
    <w:p w14:paraId="76A99066" w14:textId="77777777" w:rsidR="000D1D92" w:rsidRDefault="000D1D92" w:rsidP="000D1D92">
      <w:pPr>
        <w:autoSpaceDE w:val="0"/>
        <w:autoSpaceDN w:val="0"/>
        <w:adjustRightInd w:val="0"/>
        <w:spacing w:before="0" w:after="0"/>
        <w:jc w:val="both"/>
        <w:rPr>
          <w:rFonts w:cs="Arial"/>
        </w:rPr>
      </w:pPr>
    </w:p>
    <w:p w14:paraId="62157EF5" w14:textId="77777777" w:rsidR="000D1D92" w:rsidRDefault="000D1D92" w:rsidP="000D1D92">
      <w:pPr>
        <w:autoSpaceDE w:val="0"/>
        <w:autoSpaceDN w:val="0"/>
        <w:adjustRightInd w:val="0"/>
        <w:spacing w:before="0" w:after="0"/>
        <w:jc w:val="both"/>
        <w:rPr>
          <w:rFonts w:cs="Arial"/>
        </w:rPr>
      </w:pPr>
      <w:r w:rsidRPr="005D622F">
        <w:rPr>
          <w:rFonts w:cs="Arial"/>
        </w:rPr>
        <w:t xml:space="preserve">The submission from the NSW Government highlighted the key elements of </w:t>
      </w:r>
      <w:r>
        <w:rPr>
          <w:rFonts w:cs="Arial"/>
        </w:rPr>
        <w:t xml:space="preserve">its effective child protection and parenting education practices for newly arrived migrant and refugee communities: </w:t>
      </w:r>
    </w:p>
    <w:p w14:paraId="6DB4580A" w14:textId="77777777" w:rsidR="000D1D92" w:rsidRDefault="000D1D92" w:rsidP="000D1D92">
      <w:pPr>
        <w:autoSpaceDE w:val="0"/>
        <w:autoSpaceDN w:val="0"/>
        <w:adjustRightInd w:val="0"/>
        <w:spacing w:before="0" w:after="0"/>
        <w:jc w:val="both"/>
        <w:rPr>
          <w:rFonts w:cs="Arial"/>
        </w:rPr>
      </w:pPr>
    </w:p>
    <w:p w14:paraId="3AA26C12" w14:textId="77777777" w:rsidR="000D1D92" w:rsidRPr="00EB050A" w:rsidRDefault="000D1D92" w:rsidP="000D1D92">
      <w:pPr>
        <w:pStyle w:val="ListParagraph"/>
        <w:numPr>
          <w:ilvl w:val="0"/>
          <w:numId w:val="75"/>
        </w:numPr>
        <w:autoSpaceDE w:val="0"/>
        <w:autoSpaceDN w:val="0"/>
        <w:adjustRightInd w:val="0"/>
        <w:spacing w:before="0" w:after="0"/>
        <w:jc w:val="both"/>
        <w:rPr>
          <w:rFonts w:cs="Arial"/>
          <w:sz w:val="22"/>
          <w:szCs w:val="22"/>
        </w:rPr>
      </w:pPr>
      <w:r w:rsidRPr="00EB050A">
        <w:rPr>
          <w:rFonts w:cs="Arial"/>
          <w:sz w:val="22"/>
          <w:szCs w:val="22"/>
        </w:rPr>
        <w:t xml:space="preserve">grassroots, including engagement with key community members. An example of a successful program is the </w:t>
      </w:r>
      <w:r>
        <w:rPr>
          <w:rFonts w:cs="Arial"/>
          <w:sz w:val="22"/>
          <w:szCs w:val="22"/>
        </w:rPr>
        <w:t>n</w:t>
      </w:r>
      <w:r w:rsidRPr="00EB050A">
        <w:rPr>
          <w:rFonts w:cs="Arial"/>
          <w:sz w:val="22"/>
          <w:szCs w:val="22"/>
        </w:rPr>
        <w:t>ationally recognised We All Say No project funded by FACS</w:t>
      </w:r>
    </w:p>
    <w:p w14:paraId="0418D2DF" w14:textId="77777777" w:rsidR="000D1D92" w:rsidRPr="00EB050A" w:rsidRDefault="000D1D92" w:rsidP="000D1D92">
      <w:pPr>
        <w:pStyle w:val="ListParagraph"/>
        <w:numPr>
          <w:ilvl w:val="0"/>
          <w:numId w:val="75"/>
        </w:numPr>
        <w:autoSpaceDE w:val="0"/>
        <w:autoSpaceDN w:val="0"/>
        <w:adjustRightInd w:val="0"/>
        <w:spacing w:before="0" w:after="0"/>
        <w:jc w:val="both"/>
        <w:rPr>
          <w:rFonts w:cs="Arial"/>
          <w:sz w:val="22"/>
          <w:szCs w:val="22"/>
        </w:rPr>
      </w:pPr>
      <w:r w:rsidRPr="00EB050A">
        <w:rPr>
          <w:rFonts w:cs="Arial"/>
          <w:sz w:val="22"/>
          <w:szCs w:val="22"/>
        </w:rPr>
        <w:t>use of experienced casework practitioners or experts who have knowledge of an area such as child protection in partnership with workers who are well connected with the target community and culture</w:t>
      </w:r>
    </w:p>
    <w:p w14:paraId="475E70CE" w14:textId="77777777" w:rsidR="000D1D92" w:rsidRPr="00EB050A" w:rsidRDefault="000D1D92" w:rsidP="000D1D92">
      <w:pPr>
        <w:pStyle w:val="ListParagraph"/>
        <w:numPr>
          <w:ilvl w:val="0"/>
          <w:numId w:val="75"/>
        </w:numPr>
        <w:autoSpaceDE w:val="0"/>
        <w:autoSpaceDN w:val="0"/>
        <w:adjustRightInd w:val="0"/>
        <w:spacing w:before="0" w:after="0"/>
        <w:jc w:val="both"/>
        <w:rPr>
          <w:rFonts w:cs="Arial"/>
          <w:sz w:val="22"/>
          <w:szCs w:val="22"/>
        </w:rPr>
      </w:pPr>
      <w:r w:rsidRPr="00EB050A">
        <w:rPr>
          <w:rFonts w:cs="Arial"/>
          <w:sz w:val="22"/>
          <w:szCs w:val="22"/>
        </w:rPr>
        <w:t>training and use of bilingual community educators to deliver information.</w:t>
      </w:r>
      <w:r>
        <w:rPr>
          <w:rStyle w:val="EndnoteReference"/>
          <w:rFonts w:cs="Arial"/>
          <w:szCs w:val="22"/>
        </w:rPr>
        <w:endnoteReference w:id="634"/>
      </w:r>
    </w:p>
    <w:p w14:paraId="0D1A66BB" w14:textId="77777777" w:rsidR="000D1D92" w:rsidRDefault="000D1D92" w:rsidP="000D1D92">
      <w:pPr>
        <w:autoSpaceDE w:val="0"/>
        <w:autoSpaceDN w:val="0"/>
        <w:adjustRightInd w:val="0"/>
        <w:spacing w:before="0" w:after="0"/>
        <w:jc w:val="both"/>
        <w:rPr>
          <w:rFonts w:cs="Arial"/>
        </w:rPr>
      </w:pPr>
    </w:p>
    <w:p w14:paraId="48E3C9E2" w14:textId="77777777" w:rsidR="000D1D92" w:rsidRPr="00B02D8E" w:rsidRDefault="000D1D92" w:rsidP="000D1D92">
      <w:pPr>
        <w:autoSpaceDE w:val="0"/>
        <w:autoSpaceDN w:val="0"/>
        <w:adjustRightInd w:val="0"/>
        <w:spacing w:before="0" w:after="0"/>
        <w:jc w:val="both"/>
        <w:rPr>
          <w:rFonts w:cs="Arial"/>
          <w:bCs/>
        </w:rPr>
      </w:pPr>
      <w:r w:rsidRPr="00B02D8E">
        <w:rPr>
          <w:rFonts w:cs="Arial"/>
          <w:lang w:val="en"/>
        </w:rPr>
        <w:t xml:space="preserve">The </w:t>
      </w:r>
      <w:r>
        <w:rPr>
          <w:rFonts w:cs="Arial"/>
          <w:lang w:val="en"/>
        </w:rPr>
        <w:t>I</w:t>
      </w:r>
      <w:r w:rsidRPr="00B02D8E">
        <w:rPr>
          <w:rFonts w:cs="Arial"/>
          <w:lang w:val="en"/>
        </w:rPr>
        <w:t xml:space="preserve">nterim </w:t>
      </w:r>
      <w:r>
        <w:rPr>
          <w:rFonts w:cs="Arial"/>
          <w:lang w:val="en"/>
        </w:rPr>
        <w:t>R</w:t>
      </w:r>
      <w:r w:rsidRPr="00B02D8E">
        <w:rPr>
          <w:rFonts w:cs="Arial"/>
          <w:lang w:val="en"/>
        </w:rPr>
        <w:t>eport on domestic violence in Australia prepared by the Finance and Public Administration References</w:t>
      </w:r>
      <w:r>
        <w:rPr>
          <w:rFonts w:cs="Arial"/>
          <w:lang w:val="en"/>
        </w:rPr>
        <w:t xml:space="preserve"> Senate</w:t>
      </w:r>
      <w:r w:rsidRPr="00B02D8E">
        <w:rPr>
          <w:rFonts w:cs="Arial"/>
          <w:lang w:val="en"/>
        </w:rPr>
        <w:t xml:space="preserve"> Committee re</w:t>
      </w:r>
      <w:r>
        <w:rPr>
          <w:rFonts w:cs="Arial"/>
          <w:lang w:val="en"/>
        </w:rPr>
        <w:t xml:space="preserve">leased in March 2015 </w:t>
      </w:r>
      <w:r>
        <w:rPr>
          <w:rFonts w:cs="Arial"/>
          <w:lang w:val="en"/>
        </w:rPr>
        <w:lastRenderedPageBreak/>
        <w:t xml:space="preserve">included a recommendation supporting </w:t>
      </w:r>
      <w:r w:rsidRPr="00B02D8E">
        <w:rPr>
          <w:rFonts w:cs="Arial"/>
          <w:bCs/>
        </w:rPr>
        <w:t>the inclusion of respectful relationships education in the national curriculum.</w:t>
      </w:r>
      <w:r w:rsidRPr="00B02D8E">
        <w:rPr>
          <w:rFonts w:cs="Arial"/>
          <w:bCs/>
          <w:sz w:val="20"/>
          <w:vertAlign w:val="superscript"/>
        </w:rPr>
        <w:t xml:space="preserve"> </w:t>
      </w:r>
      <w:r w:rsidRPr="00B02D8E">
        <w:rPr>
          <w:rFonts w:cs="Arial"/>
          <w:bCs/>
          <w:sz w:val="20"/>
          <w:vertAlign w:val="superscript"/>
        </w:rPr>
        <w:endnoteReference w:id="635"/>
      </w:r>
    </w:p>
    <w:p w14:paraId="65C4B48C" w14:textId="77777777" w:rsidR="000D1D92" w:rsidRPr="00B02D8E" w:rsidRDefault="000D1D92" w:rsidP="000D1D92">
      <w:pPr>
        <w:autoSpaceDE w:val="0"/>
        <w:autoSpaceDN w:val="0"/>
        <w:adjustRightInd w:val="0"/>
        <w:spacing w:before="0" w:after="0"/>
        <w:jc w:val="both"/>
        <w:rPr>
          <w:rFonts w:cs="Arial"/>
          <w:bCs/>
        </w:rPr>
      </w:pPr>
    </w:p>
    <w:p w14:paraId="464F49B5" w14:textId="77777777" w:rsidR="000D1D92" w:rsidRPr="00B02D8E" w:rsidRDefault="000D1D92" w:rsidP="000D1D92">
      <w:pPr>
        <w:autoSpaceDE w:val="0"/>
        <w:autoSpaceDN w:val="0"/>
        <w:adjustRightInd w:val="0"/>
        <w:spacing w:before="0" w:after="0"/>
        <w:jc w:val="both"/>
        <w:rPr>
          <w:rFonts w:cs="Arial"/>
          <w:bCs/>
        </w:rPr>
      </w:pPr>
      <w:r w:rsidRPr="00B02D8E">
        <w:rPr>
          <w:rFonts w:cs="Arial"/>
          <w:bCs/>
        </w:rPr>
        <w:t>The</w:t>
      </w:r>
      <w:r>
        <w:rPr>
          <w:rFonts w:cs="Arial"/>
          <w:bCs/>
        </w:rPr>
        <w:t xml:space="preserve"> Senate Committee’s F</w:t>
      </w:r>
      <w:r w:rsidRPr="00B02D8E">
        <w:rPr>
          <w:rFonts w:cs="Arial"/>
          <w:bCs/>
        </w:rPr>
        <w:t xml:space="preserve">inal </w:t>
      </w:r>
      <w:r>
        <w:rPr>
          <w:rFonts w:cs="Arial"/>
          <w:bCs/>
        </w:rPr>
        <w:t>R</w:t>
      </w:r>
      <w:r w:rsidRPr="00B02D8E">
        <w:rPr>
          <w:rFonts w:cs="Arial"/>
          <w:bCs/>
        </w:rPr>
        <w:t xml:space="preserve">eport released in August 2015 </w:t>
      </w:r>
      <w:r>
        <w:rPr>
          <w:rFonts w:cs="Arial"/>
          <w:bCs/>
        </w:rPr>
        <w:t>recommended that</w:t>
      </w:r>
      <w:r w:rsidRPr="00B02D8E">
        <w:rPr>
          <w:rFonts w:cs="Arial"/>
          <w:bCs/>
        </w:rPr>
        <w:t>:</w:t>
      </w:r>
    </w:p>
    <w:p w14:paraId="6ACB7F57" w14:textId="77777777" w:rsidR="000D1D92" w:rsidRPr="00B02D8E" w:rsidRDefault="000D1D92" w:rsidP="000D1D92">
      <w:pPr>
        <w:autoSpaceDE w:val="0"/>
        <w:autoSpaceDN w:val="0"/>
        <w:adjustRightInd w:val="0"/>
        <w:spacing w:before="0" w:after="0"/>
        <w:jc w:val="both"/>
        <w:rPr>
          <w:rFonts w:cs="Arial"/>
          <w:bCs/>
        </w:rPr>
      </w:pPr>
    </w:p>
    <w:p w14:paraId="1BE11D9A" w14:textId="77777777" w:rsidR="000D1D92" w:rsidRPr="00B02D8E" w:rsidRDefault="000D1D92" w:rsidP="000D1D92">
      <w:pPr>
        <w:autoSpaceDE w:val="0"/>
        <w:autoSpaceDN w:val="0"/>
        <w:adjustRightInd w:val="0"/>
        <w:spacing w:before="0" w:after="0"/>
        <w:ind w:left="720"/>
        <w:jc w:val="both"/>
        <w:rPr>
          <w:rFonts w:cs="Arial"/>
          <w:bCs/>
        </w:rPr>
      </w:pPr>
      <w:r>
        <w:rPr>
          <w:rFonts w:cs="Arial"/>
          <w:bCs/>
        </w:rPr>
        <w:t>T</w:t>
      </w:r>
      <w:r w:rsidRPr="00B02D8E">
        <w:rPr>
          <w:rFonts w:cs="Arial"/>
          <w:bCs/>
        </w:rPr>
        <w:t>he Commonwealth Government consider focusing on work that reinforces the value of school based education across all age groups on respectful relationships and responses to domestic and family violence.</w:t>
      </w:r>
      <w:r w:rsidRPr="00B02D8E">
        <w:rPr>
          <w:rFonts w:cs="Arial"/>
          <w:bCs/>
          <w:sz w:val="20"/>
          <w:vertAlign w:val="superscript"/>
        </w:rPr>
        <w:endnoteReference w:id="636"/>
      </w:r>
    </w:p>
    <w:p w14:paraId="26394D20" w14:textId="77777777" w:rsidR="000D1D92" w:rsidRDefault="000D1D92" w:rsidP="000D1D92">
      <w:pPr>
        <w:autoSpaceDE w:val="0"/>
        <w:autoSpaceDN w:val="0"/>
        <w:adjustRightInd w:val="0"/>
        <w:spacing w:before="0" w:after="0"/>
        <w:jc w:val="both"/>
        <w:rPr>
          <w:rFonts w:cs="Arial"/>
        </w:rPr>
      </w:pPr>
    </w:p>
    <w:p w14:paraId="7F509698" w14:textId="77777777" w:rsidR="000D1D92" w:rsidRPr="00B02D8E" w:rsidRDefault="000D1D92" w:rsidP="000D1D92">
      <w:pPr>
        <w:autoSpaceDE w:val="0"/>
        <w:autoSpaceDN w:val="0"/>
        <w:adjustRightInd w:val="0"/>
        <w:spacing w:before="0" w:after="0"/>
        <w:jc w:val="both"/>
        <w:rPr>
          <w:rFonts w:cs="Arial"/>
        </w:rPr>
      </w:pPr>
      <w:r w:rsidRPr="00B02D8E">
        <w:rPr>
          <w:rFonts w:cs="Arial"/>
        </w:rPr>
        <w:t xml:space="preserve">The Australian Institute of Family Studies (AIFS) and Australia’s National Research Organisation for Women’s Safety Ltd. (ANROWS) state in their </w:t>
      </w:r>
      <w:r>
        <w:rPr>
          <w:rFonts w:cs="Arial"/>
        </w:rPr>
        <w:t xml:space="preserve">joint </w:t>
      </w:r>
      <w:r w:rsidRPr="00B02D8E">
        <w:rPr>
          <w:rFonts w:cs="Arial"/>
        </w:rPr>
        <w:t>submission:</w:t>
      </w:r>
    </w:p>
    <w:p w14:paraId="51AE3A7B" w14:textId="77777777" w:rsidR="000D1D92" w:rsidRPr="00B02D8E" w:rsidRDefault="000D1D92" w:rsidP="000D1D92">
      <w:pPr>
        <w:autoSpaceDE w:val="0"/>
        <w:autoSpaceDN w:val="0"/>
        <w:adjustRightInd w:val="0"/>
        <w:spacing w:before="0" w:after="0"/>
        <w:jc w:val="both"/>
        <w:rPr>
          <w:rFonts w:cs="Arial"/>
        </w:rPr>
      </w:pPr>
    </w:p>
    <w:p w14:paraId="240664DD" w14:textId="77777777" w:rsidR="000D1D92" w:rsidRDefault="000D1D92" w:rsidP="000D1D92">
      <w:pPr>
        <w:autoSpaceDE w:val="0"/>
        <w:autoSpaceDN w:val="0"/>
        <w:adjustRightInd w:val="0"/>
        <w:spacing w:before="0" w:after="0"/>
        <w:ind w:left="720"/>
        <w:jc w:val="both"/>
        <w:rPr>
          <w:rFonts w:cs="Arial"/>
        </w:rPr>
      </w:pPr>
      <w:r w:rsidRPr="00B02D8E">
        <w:rPr>
          <w:rFonts w:cs="Arial"/>
          <w:sz w:val="22"/>
          <w:szCs w:val="22"/>
        </w:rPr>
        <w:t>Most school-based prevention programs are delivered in secondary schools. There is little evidence about effective practice with younger children; however, there is a strong argument for primary prevention to begin in pre- and primary school levels given that attitudes towards gender and violence may already be ingrained by the time children reach secondary school age</w:t>
      </w:r>
      <w:r w:rsidRPr="00B02D8E">
        <w:rPr>
          <w:rFonts w:cs="Arial"/>
        </w:rPr>
        <w:t>.</w:t>
      </w:r>
      <w:r w:rsidRPr="00B02D8E">
        <w:rPr>
          <w:rFonts w:cs="Arial"/>
          <w:vertAlign w:val="superscript"/>
        </w:rPr>
        <w:endnoteReference w:id="637"/>
      </w:r>
    </w:p>
    <w:p w14:paraId="24584682" w14:textId="77777777" w:rsidR="000D1D92" w:rsidRDefault="000D1D92" w:rsidP="000D1D92">
      <w:pPr>
        <w:autoSpaceDE w:val="0"/>
        <w:autoSpaceDN w:val="0"/>
        <w:adjustRightInd w:val="0"/>
        <w:spacing w:before="0" w:after="0"/>
        <w:ind w:left="720"/>
        <w:jc w:val="both"/>
        <w:rPr>
          <w:rFonts w:cs="Arial"/>
        </w:rPr>
      </w:pPr>
    </w:p>
    <w:p w14:paraId="6995A2FE" w14:textId="77777777" w:rsidR="000D1D92" w:rsidRDefault="000D1D92" w:rsidP="000D1D92">
      <w:pPr>
        <w:autoSpaceDE w:val="0"/>
        <w:autoSpaceDN w:val="0"/>
        <w:adjustRightInd w:val="0"/>
        <w:spacing w:before="0" w:after="0"/>
        <w:jc w:val="both"/>
      </w:pPr>
      <w:r>
        <w:t>In its submission to me, the NSW Government also noted the lack of evidence about effective education campaigns for younger children:</w:t>
      </w:r>
    </w:p>
    <w:p w14:paraId="2C9AEC33" w14:textId="77777777" w:rsidR="000D1D92" w:rsidRDefault="000D1D92" w:rsidP="000D1D92">
      <w:pPr>
        <w:autoSpaceDE w:val="0"/>
        <w:autoSpaceDN w:val="0"/>
        <w:adjustRightInd w:val="0"/>
        <w:spacing w:before="0" w:after="0"/>
        <w:jc w:val="both"/>
        <w:rPr>
          <w:b/>
        </w:rPr>
      </w:pPr>
      <w:r>
        <w:rPr>
          <w:b/>
        </w:rPr>
        <w:t xml:space="preserve"> </w:t>
      </w:r>
    </w:p>
    <w:p w14:paraId="4E643904" w14:textId="77777777" w:rsidR="000D1D92" w:rsidRPr="005D622F" w:rsidRDefault="000D1D92" w:rsidP="000D1D92">
      <w:pPr>
        <w:autoSpaceDE w:val="0"/>
        <w:autoSpaceDN w:val="0"/>
        <w:adjustRightInd w:val="0"/>
        <w:spacing w:before="0" w:after="0"/>
        <w:ind w:left="720"/>
        <w:jc w:val="both"/>
        <w:rPr>
          <w:sz w:val="22"/>
          <w:szCs w:val="22"/>
        </w:rPr>
      </w:pPr>
      <w:r w:rsidRPr="005D622F">
        <w:rPr>
          <w:sz w:val="22"/>
          <w:szCs w:val="22"/>
        </w:rPr>
        <w:t>The rationale for primary prevention work with children, including education campaigns, is premised on t</w:t>
      </w:r>
      <w:r>
        <w:rPr>
          <w:sz w:val="22"/>
          <w:szCs w:val="22"/>
        </w:rPr>
        <w:t>he theory that attitudes to gen</w:t>
      </w:r>
      <w:r w:rsidRPr="005D622F">
        <w:rPr>
          <w:sz w:val="22"/>
          <w:szCs w:val="22"/>
        </w:rPr>
        <w:t>der equality and violence are formed in ea</w:t>
      </w:r>
      <w:r>
        <w:rPr>
          <w:sz w:val="22"/>
          <w:szCs w:val="22"/>
        </w:rPr>
        <w:t>r</w:t>
      </w:r>
      <w:r w:rsidRPr="005D622F">
        <w:rPr>
          <w:sz w:val="22"/>
          <w:szCs w:val="22"/>
        </w:rPr>
        <w:t>ly childhood. However, there is relatively</w:t>
      </w:r>
      <w:r>
        <w:rPr>
          <w:sz w:val="22"/>
          <w:szCs w:val="22"/>
        </w:rPr>
        <w:t xml:space="preserve"> little evidence for the efficac</w:t>
      </w:r>
      <w:r w:rsidRPr="005D622F">
        <w:rPr>
          <w:sz w:val="22"/>
          <w:szCs w:val="22"/>
        </w:rPr>
        <w:t>y of primary prevention prog</w:t>
      </w:r>
      <w:r>
        <w:rPr>
          <w:sz w:val="22"/>
          <w:szCs w:val="22"/>
        </w:rPr>
        <w:t>rams for children, as most eval</w:t>
      </w:r>
      <w:r w:rsidRPr="005D622F">
        <w:rPr>
          <w:sz w:val="22"/>
          <w:szCs w:val="22"/>
        </w:rPr>
        <w:t>uated programs are delivered to secondary school students.</w:t>
      </w:r>
      <w:r>
        <w:rPr>
          <w:rStyle w:val="EndnoteReference"/>
          <w:szCs w:val="22"/>
        </w:rPr>
        <w:endnoteReference w:id="638"/>
      </w:r>
    </w:p>
    <w:p w14:paraId="75EC3C25" w14:textId="77777777" w:rsidR="000D1D92" w:rsidRPr="00B02D8E" w:rsidRDefault="000D1D92" w:rsidP="000D1D92">
      <w:pPr>
        <w:autoSpaceDE w:val="0"/>
        <w:autoSpaceDN w:val="0"/>
        <w:adjustRightInd w:val="0"/>
        <w:spacing w:before="0" w:after="0"/>
        <w:ind w:left="720"/>
        <w:jc w:val="both"/>
        <w:rPr>
          <w:sz w:val="22"/>
          <w:szCs w:val="22"/>
        </w:rPr>
      </w:pPr>
    </w:p>
    <w:p w14:paraId="02CC54A7" w14:textId="77777777" w:rsidR="000D1D92" w:rsidRDefault="000D1D92" w:rsidP="000D1D92">
      <w:pPr>
        <w:spacing w:before="0" w:after="0"/>
        <w:jc w:val="both"/>
      </w:pPr>
      <w:r>
        <w:t>Submissions referred to a range of existing programs that promote healthy relationships to school-aged children.</w:t>
      </w:r>
    </w:p>
    <w:p w14:paraId="73D82BDC" w14:textId="77777777" w:rsidR="000D1D92" w:rsidRDefault="000D1D92" w:rsidP="000D1D92">
      <w:pPr>
        <w:spacing w:before="0" w:after="0"/>
        <w:jc w:val="both"/>
      </w:pPr>
    </w:p>
    <w:p w14:paraId="471782AC" w14:textId="77777777" w:rsidR="000D1D92" w:rsidRDefault="000D1D92" w:rsidP="000D1D92">
      <w:pPr>
        <w:spacing w:before="0" w:after="0"/>
        <w:jc w:val="both"/>
      </w:pPr>
      <w:r>
        <w:t xml:space="preserve">The National Association for the Prevention of Child Abuse and Neglect (NAPCAN), for example, runs LOVEBiTES, which is a school based family and domestic violence and sexual assault prevention program for 15 to 17 year olds. Respectful Relationships, also run by NAPCAN, offers programs for preschool, primary school and high school. </w:t>
      </w:r>
    </w:p>
    <w:p w14:paraId="6BFCD2AE" w14:textId="77777777" w:rsidR="000D1D92" w:rsidRDefault="000D1D92" w:rsidP="000D1D92">
      <w:pPr>
        <w:spacing w:before="0" w:after="0"/>
      </w:pPr>
    </w:p>
    <w:p w14:paraId="5D2B4104" w14:textId="77777777" w:rsidR="000D1D92" w:rsidRDefault="000D1D92" w:rsidP="000D1D92">
      <w:pPr>
        <w:spacing w:before="0" w:after="0"/>
        <w:jc w:val="both"/>
      </w:pPr>
      <w:r>
        <w:t>The submission from the North Australian Aboriginal Family Legal Service is supportive of programs like LOVEBiTES:</w:t>
      </w:r>
    </w:p>
    <w:p w14:paraId="5F6A0E31" w14:textId="77777777" w:rsidR="000D1D92" w:rsidRDefault="000D1D92" w:rsidP="000D1D92">
      <w:pPr>
        <w:spacing w:before="0" w:after="0"/>
      </w:pPr>
    </w:p>
    <w:p w14:paraId="02AF628B" w14:textId="77777777" w:rsidR="000D1D92" w:rsidRPr="00294A68" w:rsidRDefault="000D1D92" w:rsidP="000D1D92">
      <w:pPr>
        <w:spacing w:before="0" w:after="0"/>
        <w:ind w:left="720"/>
        <w:jc w:val="both"/>
        <w:rPr>
          <w:sz w:val="22"/>
          <w:szCs w:val="22"/>
        </w:rPr>
      </w:pPr>
      <w:r w:rsidRPr="00294A68">
        <w:rPr>
          <w:sz w:val="22"/>
          <w:szCs w:val="22"/>
        </w:rPr>
        <w:t>A more integrated program, such as the Love B</w:t>
      </w:r>
      <w:r>
        <w:rPr>
          <w:sz w:val="22"/>
          <w:szCs w:val="22"/>
        </w:rPr>
        <w:t>i</w:t>
      </w:r>
      <w:r w:rsidRPr="00294A68">
        <w:rPr>
          <w:sz w:val="22"/>
          <w:szCs w:val="22"/>
        </w:rPr>
        <w:t>tes program offered by N</w:t>
      </w:r>
      <w:r>
        <w:rPr>
          <w:sz w:val="22"/>
          <w:szCs w:val="22"/>
        </w:rPr>
        <w:t>A</w:t>
      </w:r>
      <w:r w:rsidRPr="00294A68">
        <w:rPr>
          <w:sz w:val="22"/>
          <w:szCs w:val="22"/>
        </w:rPr>
        <w:t xml:space="preserve">PCAN is recommended </w:t>
      </w:r>
      <w:r>
        <w:rPr>
          <w:sz w:val="22"/>
          <w:szCs w:val="22"/>
        </w:rPr>
        <w:t>for delivery in schools throughout the Norther</w:t>
      </w:r>
      <w:r w:rsidRPr="00294A68">
        <w:rPr>
          <w:sz w:val="22"/>
          <w:szCs w:val="22"/>
        </w:rPr>
        <w:t>n Territory. Ideally, respectful relation</w:t>
      </w:r>
      <w:r>
        <w:rPr>
          <w:sz w:val="22"/>
          <w:szCs w:val="22"/>
        </w:rPr>
        <w:t xml:space="preserve">ships programs should commence </w:t>
      </w:r>
      <w:r w:rsidRPr="00294A68">
        <w:rPr>
          <w:sz w:val="22"/>
          <w:szCs w:val="22"/>
        </w:rPr>
        <w:t>as early as possible in pr</w:t>
      </w:r>
      <w:r>
        <w:rPr>
          <w:sz w:val="22"/>
          <w:szCs w:val="22"/>
        </w:rPr>
        <w:t>i</w:t>
      </w:r>
      <w:r w:rsidRPr="00294A68">
        <w:rPr>
          <w:sz w:val="22"/>
          <w:szCs w:val="22"/>
        </w:rPr>
        <w:t xml:space="preserve">mary school and progress in an age appropriate manner throughout </w:t>
      </w:r>
      <w:r>
        <w:rPr>
          <w:sz w:val="22"/>
          <w:szCs w:val="22"/>
        </w:rPr>
        <w:t>each chi</w:t>
      </w:r>
      <w:r w:rsidRPr="00294A68">
        <w:rPr>
          <w:sz w:val="22"/>
          <w:szCs w:val="22"/>
        </w:rPr>
        <w:t>ld’s schooling years.</w:t>
      </w:r>
      <w:r>
        <w:rPr>
          <w:rStyle w:val="EndnoteReference"/>
          <w:szCs w:val="22"/>
        </w:rPr>
        <w:endnoteReference w:id="639"/>
      </w:r>
    </w:p>
    <w:p w14:paraId="1D6421D3" w14:textId="77777777" w:rsidR="000D1D92" w:rsidRPr="00D762F9" w:rsidRDefault="000D1D92" w:rsidP="000D1D92">
      <w:pPr>
        <w:spacing w:before="0" w:after="0"/>
      </w:pPr>
    </w:p>
    <w:p w14:paraId="25725F64" w14:textId="77777777" w:rsidR="000D1D92" w:rsidRDefault="000D1D92" w:rsidP="000D1D92">
      <w:pPr>
        <w:spacing w:before="0" w:after="0"/>
      </w:pPr>
      <w:r w:rsidRPr="00D762F9">
        <w:t>An evaluation of the LOVEBiTES program (among Year 10 students) and Respectful Relationships program (among Year 7 students) reported ‘uneven findings’</w:t>
      </w:r>
      <w:r>
        <w:t xml:space="preserve"> based on the 135 survey responses collected from students</w:t>
      </w:r>
      <w:r w:rsidRPr="00D762F9">
        <w:t xml:space="preserve"> and suggested that the program</w:t>
      </w:r>
      <w:r>
        <w:t>s</w:t>
      </w:r>
      <w:r w:rsidRPr="00D762F9">
        <w:t xml:space="preserve"> are ‘more effective in changing students’ attitudes in some domains than in others’.</w:t>
      </w:r>
      <w:r>
        <w:rPr>
          <w:rStyle w:val="EndnoteReference"/>
          <w:szCs w:val="22"/>
        </w:rPr>
        <w:endnoteReference w:id="640"/>
      </w:r>
      <w:r w:rsidRPr="00C5234B">
        <w:rPr>
          <w:sz w:val="22"/>
          <w:szCs w:val="22"/>
        </w:rPr>
        <w:t xml:space="preserve"> </w:t>
      </w:r>
      <w:r w:rsidRPr="00D762F9">
        <w:t xml:space="preserve"> </w:t>
      </w:r>
    </w:p>
    <w:p w14:paraId="2FC2519A" w14:textId="77777777" w:rsidR="000D1D92" w:rsidRDefault="000D1D92" w:rsidP="000D1D92">
      <w:pPr>
        <w:spacing w:before="0" w:after="0"/>
      </w:pPr>
    </w:p>
    <w:p w14:paraId="4CC1455B" w14:textId="77777777" w:rsidR="000D1D92" w:rsidRDefault="000D1D92" w:rsidP="000D1D92">
      <w:pPr>
        <w:spacing w:before="0" w:after="0"/>
      </w:pPr>
      <w:r w:rsidRPr="00D762F9">
        <w:t>The evaluation reported, for example, that:</w:t>
      </w:r>
    </w:p>
    <w:p w14:paraId="2D8E87AE" w14:textId="77777777" w:rsidR="000D1D92" w:rsidRPr="00C5234B" w:rsidRDefault="000D1D92" w:rsidP="000D1D92">
      <w:pPr>
        <w:spacing w:before="0" w:after="0"/>
        <w:rPr>
          <w:sz w:val="22"/>
          <w:szCs w:val="22"/>
        </w:rPr>
      </w:pPr>
    </w:p>
    <w:p w14:paraId="4FF7ECF6" w14:textId="77777777" w:rsidR="000D1D92" w:rsidRDefault="000D1D92" w:rsidP="000D1D92">
      <w:pPr>
        <w:spacing w:before="0" w:after="0"/>
        <w:ind w:left="720"/>
        <w:jc w:val="both"/>
        <w:rPr>
          <w:sz w:val="22"/>
          <w:szCs w:val="22"/>
        </w:rPr>
      </w:pPr>
      <w:r w:rsidRPr="00C5234B">
        <w:rPr>
          <w:sz w:val="22"/>
          <w:szCs w:val="22"/>
        </w:rPr>
        <w:lastRenderedPageBreak/>
        <w:t xml:space="preserve">The LOVEBiTES and Respectful Relationships programs had a significant and positive impact on students’ attitudes towards domestic violence, attitudes towards gender relations, and skills in having respectful relationships. Students who participated in the two violence prevention programs showed significant improvements in their attitudes and skills in these areas. </w:t>
      </w:r>
    </w:p>
    <w:p w14:paraId="754A6F88" w14:textId="77777777" w:rsidR="000D1D92" w:rsidRDefault="000D1D92" w:rsidP="000D1D92">
      <w:pPr>
        <w:spacing w:before="0" w:after="0"/>
        <w:ind w:left="720"/>
        <w:jc w:val="both"/>
        <w:rPr>
          <w:sz w:val="22"/>
          <w:szCs w:val="22"/>
        </w:rPr>
      </w:pPr>
    </w:p>
    <w:p w14:paraId="43A5B043" w14:textId="77777777" w:rsidR="000D1D92" w:rsidRPr="00C5234B" w:rsidRDefault="000D1D92" w:rsidP="000D1D92">
      <w:pPr>
        <w:spacing w:before="0" w:after="0"/>
        <w:ind w:left="720"/>
        <w:jc w:val="both"/>
        <w:rPr>
          <w:sz w:val="22"/>
          <w:szCs w:val="22"/>
        </w:rPr>
      </w:pPr>
      <w:r w:rsidRPr="00C5234B">
        <w:rPr>
          <w:sz w:val="22"/>
          <w:szCs w:val="22"/>
        </w:rPr>
        <w:t>On the other hand, the programs had little or no impact on Year 7 or Year 10 students’ attitudes towards aggression and alternatives to aggression, no impact on Year 10 female students’ attitudes towards dating violence and a mixed impact on males’ attitudes, a mixed impact on Year 10 students’ perceptions of various abusive or coercive behaviours as violence, and a negative impact on Year 7 female students’ attitudes towards bullying.</w:t>
      </w:r>
      <w:r>
        <w:rPr>
          <w:rStyle w:val="EndnoteReference"/>
          <w:szCs w:val="22"/>
        </w:rPr>
        <w:endnoteReference w:id="641"/>
      </w:r>
      <w:r w:rsidRPr="00C5234B">
        <w:rPr>
          <w:sz w:val="22"/>
          <w:szCs w:val="22"/>
        </w:rPr>
        <w:t xml:space="preserve"> </w:t>
      </w:r>
    </w:p>
    <w:p w14:paraId="4667DDEB" w14:textId="77777777" w:rsidR="000D1D92" w:rsidRDefault="000D1D92" w:rsidP="000D1D92">
      <w:pPr>
        <w:autoSpaceDE w:val="0"/>
        <w:autoSpaceDN w:val="0"/>
        <w:adjustRightInd w:val="0"/>
        <w:spacing w:before="0" w:after="0"/>
        <w:ind w:left="720"/>
        <w:jc w:val="both"/>
        <w:rPr>
          <w:sz w:val="22"/>
          <w:szCs w:val="22"/>
        </w:rPr>
      </w:pPr>
    </w:p>
    <w:p w14:paraId="19B96993" w14:textId="77777777" w:rsidR="000D1D92" w:rsidRDefault="000D1D92" w:rsidP="000D1D92">
      <w:pPr>
        <w:autoSpaceDE w:val="0"/>
        <w:autoSpaceDN w:val="0"/>
        <w:adjustRightInd w:val="0"/>
        <w:spacing w:before="0" w:after="0"/>
        <w:jc w:val="both"/>
        <w:rPr>
          <w:rFonts w:cs="Arial"/>
        </w:rPr>
      </w:pPr>
      <w:r>
        <w:rPr>
          <w:rFonts w:cs="Arial"/>
        </w:rPr>
        <w:t>I welcome the joint-announcement by the Prime Minister, Senator Cash, Rosie Batty and Ken Lay on 24 September 2015 that respectful relationships programs will be rolled out in schools across Australia from Kindergarten to Year 10 no later than 2017.</w:t>
      </w:r>
      <w:r>
        <w:rPr>
          <w:rStyle w:val="EndnoteReference"/>
          <w:rFonts w:cs="Arial"/>
        </w:rPr>
        <w:endnoteReference w:id="642"/>
      </w:r>
    </w:p>
    <w:p w14:paraId="7913E0C6" w14:textId="77777777" w:rsidR="000D1D92" w:rsidRDefault="000D1D92" w:rsidP="000D1D92">
      <w:pPr>
        <w:autoSpaceDE w:val="0"/>
        <w:autoSpaceDN w:val="0"/>
        <w:adjustRightInd w:val="0"/>
        <w:spacing w:before="0" w:after="0"/>
        <w:jc w:val="both"/>
        <w:rPr>
          <w:rFonts w:cs="Arial"/>
        </w:rPr>
      </w:pPr>
    </w:p>
    <w:p w14:paraId="0AA30ADD" w14:textId="77777777" w:rsidR="000D1D92" w:rsidRDefault="000D1D92" w:rsidP="000D1D92">
      <w:pPr>
        <w:autoSpaceDE w:val="0"/>
        <w:autoSpaceDN w:val="0"/>
        <w:adjustRightInd w:val="0"/>
        <w:spacing w:before="0" w:after="0"/>
        <w:jc w:val="both"/>
        <w:rPr>
          <w:rFonts w:cs="Arial"/>
        </w:rPr>
      </w:pPr>
      <w:r>
        <w:rPr>
          <w:rFonts w:cs="Arial"/>
        </w:rPr>
        <w:t xml:space="preserve">I am pleased that respectful relationships programs will commence as early as Kindergarten and continue through to secondary schooling. </w:t>
      </w:r>
    </w:p>
    <w:p w14:paraId="2BE46860" w14:textId="77777777" w:rsidR="000D1D92" w:rsidRDefault="000D1D92" w:rsidP="000D1D92">
      <w:pPr>
        <w:autoSpaceDE w:val="0"/>
        <w:autoSpaceDN w:val="0"/>
        <w:adjustRightInd w:val="0"/>
        <w:spacing w:before="0" w:after="0"/>
        <w:jc w:val="both"/>
        <w:rPr>
          <w:rFonts w:cs="Arial"/>
        </w:rPr>
      </w:pPr>
    </w:p>
    <w:p w14:paraId="7484E52B" w14:textId="77777777" w:rsidR="000D1D92" w:rsidRDefault="000D1D92" w:rsidP="000D1D92">
      <w:pPr>
        <w:autoSpaceDE w:val="0"/>
        <w:autoSpaceDN w:val="0"/>
        <w:adjustRightInd w:val="0"/>
        <w:spacing w:before="0" w:after="0"/>
        <w:jc w:val="both"/>
      </w:pPr>
      <w:r>
        <w:t>School-based educational programs alone, however,</w:t>
      </w:r>
      <w:r w:rsidRPr="00294A68">
        <w:t xml:space="preserve"> cannot address attitudinal change</w:t>
      </w:r>
      <w:r>
        <w:t>. C</w:t>
      </w:r>
      <w:r w:rsidRPr="00294A68">
        <w:t>ertain groups</w:t>
      </w:r>
      <w:r>
        <w:t xml:space="preserve"> of children and their families</w:t>
      </w:r>
      <w:r w:rsidRPr="00294A68">
        <w:t xml:space="preserve"> will </w:t>
      </w:r>
      <w:r>
        <w:t xml:space="preserve">require </w:t>
      </w:r>
      <w:r w:rsidRPr="00294A68">
        <w:t>targeted comm</w:t>
      </w:r>
      <w:r>
        <w:t xml:space="preserve">unity-led and community based initiatives to effect </w:t>
      </w:r>
      <w:r w:rsidRPr="00294A68">
        <w:t>change in attitudes and behaviours.</w:t>
      </w:r>
      <w:r>
        <w:t xml:space="preserve"> </w:t>
      </w:r>
    </w:p>
    <w:p w14:paraId="2958889A" w14:textId="77777777" w:rsidR="000D1D92" w:rsidRDefault="000D1D92" w:rsidP="000D1D92">
      <w:pPr>
        <w:autoSpaceDE w:val="0"/>
        <w:autoSpaceDN w:val="0"/>
        <w:adjustRightInd w:val="0"/>
        <w:spacing w:before="0" w:after="0"/>
        <w:jc w:val="both"/>
      </w:pPr>
    </w:p>
    <w:p w14:paraId="447D37AA" w14:textId="77777777" w:rsidR="000D1D92" w:rsidRDefault="000D1D92" w:rsidP="000D1D92">
      <w:pPr>
        <w:autoSpaceDE w:val="0"/>
        <w:autoSpaceDN w:val="0"/>
        <w:adjustRightInd w:val="0"/>
        <w:spacing w:before="0" w:after="0"/>
        <w:jc w:val="both"/>
      </w:pPr>
      <w:r>
        <w:t>P</w:t>
      </w:r>
      <w:r w:rsidRPr="00294A68">
        <w:t>rograms to influence the values and behaviour</w:t>
      </w:r>
      <w:r>
        <w:t>s</w:t>
      </w:r>
      <w:r w:rsidRPr="00294A68">
        <w:t xml:space="preserve"> of children should </w:t>
      </w:r>
      <w:r>
        <w:t>directly involve children</w:t>
      </w:r>
      <w:r w:rsidRPr="00294A68">
        <w:t xml:space="preserve"> in their design</w:t>
      </w:r>
      <w:r>
        <w:t>, delivery and evaluation, and be grounded in a child rights framework that promotes dignity and respect.</w:t>
      </w:r>
    </w:p>
    <w:p w14:paraId="12CD45AF" w14:textId="77777777" w:rsidR="000D1D92" w:rsidRDefault="000D1D92" w:rsidP="000D1D92">
      <w:pPr>
        <w:autoSpaceDE w:val="0"/>
        <w:autoSpaceDN w:val="0"/>
        <w:adjustRightInd w:val="0"/>
        <w:spacing w:before="0" w:after="0"/>
        <w:jc w:val="both"/>
      </w:pPr>
    </w:p>
    <w:tbl>
      <w:tblPr>
        <w:tblStyle w:val="TableGrid"/>
        <w:tblW w:w="0" w:type="auto"/>
        <w:shd w:val="clear" w:color="auto" w:fill="000000" w:themeFill="text1"/>
        <w:tblLook w:val="04A0" w:firstRow="1" w:lastRow="0" w:firstColumn="1" w:lastColumn="0" w:noHBand="0" w:noVBand="1"/>
      </w:tblPr>
      <w:tblGrid>
        <w:gridCol w:w="9060"/>
      </w:tblGrid>
      <w:tr w:rsidR="000D1D92" w:rsidRPr="007407A6" w14:paraId="5257F7F3" w14:textId="77777777" w:rsidTr="00684616">
        <w:trPr>
          <w:trHeight w:val="1006"/>
        </w:trPr>
        <w:tc>
          <w:tcPr>
            <w:tcW w:w="9060" w:type="dxa"/>
            <w:shd w:val="clear" w:color="auto" w:fill="F2F2F2" w:themeFill="background1" w:themeFillShade="F2"/>
            <w:vAlign w:val="center"/>
          </w:tcPr>
          <w:p w14:paraId="67F704A4" w14:textId="77777777" w:rsidR="000D1D92" w:rsidRDefault="000D1D92" w:rsidP="00684616">
            <w:pPr>
              <w:spacing w:before="0" w:after="0"/>
              <w:rPr>
                <w:b/>
              </w:rPr>
            </w:pPr>
          </w:p>
          <w:p w14:paraId="0A79FF04" w14:textId="77777777" w:rsidR="000D1D92" w:rsidRDefault="000D1D92" w:rsidP="00684616">
            <w:pPr>
              <w:spacing w:before="0" w:after="0"/>
              <w:rPr>
                <w:b/>
              </w:rPr>
            </w:pPr>
            <w:r>
              <w:rPr>
                <w:b/>
              </w:rPr>
              <w:t>Summary</w:t>
            </w:r>
          </w:p>
          <w:p w14:paraId="05390477" w14:textId="77777777" w:rsidR="000D1D92" w:rsidRDefault="000D1D92" w:rsidP="00684616">
            <w:pPr>
              <w:spacing w:before="0" w:after="0"/>
              <w:rPr>
                <w:b/>
              </w:rPr>
            </w:pPr>
          </w:p>
          <w:p w14:paraId="776CEBB2" w14:textId="77777777" w:rsidR="000D1D92" w:rsidRDefault="000D1D92" w:rsidP="00684616">
            <w:pPr>
              <w:spacing w:before="0" w:after="0"/>
              <w:rPr>
                <w:b/>
              </w:rPr>
            </w:pPr>
            <w:r w:rsidRPr="00B80226">
              <w:rPr>
                <w:b/>
              </w:rPr>
              <w:t>What are the current public policy approaches and educational campaigns targeting children’s experiences of family and domestic violence?</w:t>
            </w:r>
          </w:p>
          <w:p w14:paraId="289AFAC9" w14:textId="77777777" w:rsidR="000D1D92" w:rsidRDefault="000D1D92" w:rsidP="00684616">
            <w:pPr>
              <w:spacing w:before="0" w:after="0"/>
              <w:rPr>
                <w:b/>
              </w:rPr>
            </w:pPr>
          </w:p>
          <w:p w14:paraId="5C93B2E1" w14:textId="77777777" w:rsidR="000D1D92" w:rsidRPr="00830F85" w:rsidRDefault="000D1D92" w:rsidP="00684616">
            <w:pPr>
              <w:spacing w:before="0" w:after="0"/>
              <w:jc w:val="both"/>
            </w:pPr>
            <w:r w:rsidRPr="00830F85">
              <w:t>Overall there is no coherent public policy approach to children affected by family and domestic violence. This results in uncoordinated and poorly directed responses</w:t>
            </w:r>
            <w:r>
              <w:t xml:space="preserve"> to children who experience family and domestic violence</w:t>
            </w:r>
            <w:r w:rsidRPr="00830F85">
              <w:t>.</w:t>
            </w:r>
          </w:p>
          <w:p w14:paraId="294254FB" w14:textId="77777777" w:rsidR="000D1D92" w:rsidRPr="00830F85" w:rsidRDefault="000D1D92" w:rsidP="00684616">
            <w:pPr>
              <w:spacing w:before="0" w:after="0"/>
              <w:jc w:val="both"/>
            </w:pPr>
          </w:p>
          <w:p w14:paraId="70C2E298" w14:textId="77777777" w:rsidR="000D1D92" w:rsidRPr="00830F85" w:rsidRDefault="000D1D92" w:rsidP="00684616">
            <w:pPr>
              <w:spacing w:before="0" w:after="0"/>
              <w:jc w:val="both"/>
            </w:pPr>
            <w:r w:rsidRPr="00830F85">
              <w:t>Children’s experiences of family and domestic violence must be understood in their own right and not just as part of an adult situation.</w:t>
            </w:r>
          </w:p>
          <w:p w14:paraId="7F7BD102" w14:textId="77777777" w:rsidR="000D1D92" w:rsidRPr="00830F85" w:rsidRDefault="000D1D92" w:rsidP="00684616">
            <w:pPr>
              <w:spacing w:before="0" w:after="0"/>
              <w:jc w:val="both"/>
            </w:pPr>
          </w:p>
          <w:p w14:paraId="4C0E3A3A" w14:textId="77777777" w:rsidR="000D1D92" w:rsidRPr="00830F85" w:rsidRDefault="000D1D92" w:rsidP="00684616">
            <w:pPr>
              <w:spacing w:before="0" w:after="0"/>
              <w:jc w:val="both"/>
            </w:pPr>
            <w:r w:rsidRPr="00830F85">
              <w:t>Most school-based prevention programs are delivered in secondary schools. There is little evidence about effective practice with younger children.</w:t>
            </w:r>
          </w:p>
          <w:p w14:paraId="58DCB0B0" w14:textId="77777777" w:rsidR="000D1D92" w:rsidRPr="00830F85" w:rsidRDefault="000D1D92" w:rsidP="00684616">
            <w:pPr>
              <w:spacing w:before="0" w:after="0"/>
              <w:jc w:val="both"/>
            </w:pPr>
          </w:p>
          <w:p w14:paraId="2573462D" w14:textId="77777777" w:rsidR="000D1D92" w:rsidRPr="007848D1" w:rsidRDefault="000D1D92" w:rsidP="00684616">
            <w:pPr>
              <w:spacing w:before="0" w:after="0"/>
              <w:jc w:val="both"/>
            </w:pPr>
            <w:r w:rsidRPr="00830F85">
              <w:t>Children and young people should be directly involved in the development and evaluation of programs designed to achieve attitudinal and behavioural change.</w:t>
            </w:r>
          </w:p>
        </w:tc>
      </w:tr>
    </w:tbl>
    <w:p w14:paraId="13D009AF" w14:textId="77777777" w:rsidR="000D1D92" w:rsidRDefault="000D1D92" w:rsidP="000D1D92">
      <w:pPr>
        <w:pStyle w:val="Heading3"/>
        <w:jc w:val="both"/>
      </w:pPr>
      <w:bookmarkStart w:id="189" w:name="_Toc430702120"/>
      <w:bookmarkStart w:id="190" w:name="_Toc432061276"/>
      <w:r>
        <w:lastRenderedPageBreak/>
        <w:t>Children affected by family and domestic violence who are involved with the family law system</w:t>
      </w:r>
      <w:bookmarkEnd w:id="189"/>
      <w:bookmarkEnd w:id="190"/>
    </w:p>
    <w:p w14:paraId="2F104156" w14:textId="77777777" w:rsidR="000D1D92" w:rsidRDefault="000D1D92" w:rsidP="000D1D92">
      <w:pPr>
        <w:spacing w:before="0" w:after="0"/>
        <w:jc w:val="both"/>
      </w:pPr>
      <w:r>
        <w:t xml:space="preserve">Since beginning my term as National Children’s Commissioner in March 2013, the issue of family and domestic violence in the context of the family law system has been raised with me by children, by adults on behalf of children, and by adults reflecting on their childhood experiences. </w:t>
      </w:r>
    </w:p>
    <w:p w14:paraId="1DA75404" w14:textId="77777777" w:rsidR="000D1D92" w:rsidRPr="00115131" w:rsidRDefault="000D1D92" w:rsidP="000D1D92">
      <w:pPr>
        <w:autoSpaceDE w:val="0"/>
        <w:autoSpaceDN w:val="0"/>
        <w:adjustRightInd w:val="0"/>
        <w:spacing w:before="0" w:after="0"/>
        <w:jc w:val="both"/>
        <w:rPr>
          <w:sz w:val="22"/>
          <w:szCs w:val="22"/>
        </w:rPr>
      </w:pPr>
    </w:p>
    <w:p w14:paraId="374ED3C7" w14:textId="77777777" w:rsidR="000D1D92" w:rsidRDefault="000D1D92" w:rsidP="000D1D92">
      <w:pPr>
        <w:spacing w:before="0" w:after="0"/>
        <w:jc w:val="both"/>
      </w:pPr>
      <w:r>
        <w:t>Concerns about family and domestic violence in relation to the family court system were raised in 18 submissions provided to my current examination.</w:t>
      </w:r>
    </w:p>
    <w:p w14:paraId="661F4737" w14:textId="77777777" w:rsidR="000D1D92" w:rsidRDefault="000D1D92" w:rsidP="000D1D92">
      <w:pPr>
        <w:spacing w:before="0" w:after="0"/>
        <w:jc w:val="both"/>
      </w:pPr>
    </w:p>
    <w:p w14:paraId="58FC0596" w14:textId="77777777" w:rsidR="000D1D92" w:rsidRDefault="000D1D92" w:rsidP="000D1D92">
      <w:pPr>
        <w:spacing w:before="0" w:after="0"/>
        <w:jc w:val="both"/>
      </w:pPr>
      <w:r>
        <w:t xml:space="preserve">Expert participants at each of my eight roundtables raised similar concerns. </w:t>
      </w:r>
    </w:p>
    <w:p w14:paraId="576F27F4" w14:textId="77777777" w:rsidR="000D1D92" w:rsidRDefault="000D1D92" w:rsidP="000D1D92">
      <w:pPr>
        <w:spacing w:before="0" w:after="0"/>
        <w:jc w:val="both"/>
      </w:pPr>
    </w:p>
    <w:p w14:paraId="5E5C9B06" w14:textId="77777777" w:rsidR="000D1D92" w:rsidRDefault="000D1D92" w:rsidP="000D1D92">
      <w:pPr>
        <w:spacing w:before="0" w:after="0"/>
        <w:jc w:val="both"/>
      </w:pPr>
      <w:r>
        <w:t xml:space="preserve">The types of concerns raised in my examination included: a lack of understanding and inappropriate responses to family and domestic violence by those working in the family law system; </w:t>
      </w:r>
      <w:r>
        <w:rPr>
          <w:rStyle w:val="EndnoteReference"/>
        </w:rPr>
        <w:endnoteReference w:id="643"/>
      </w:r>
      <w:r>
        <w:t xml:space="preserve"> </w:t>
      </w:r>
      <w:r>
        <w:rPr>
          <w:rStyle w:val="EndnoteReference"/>
        </w:rPr>
        <w:endnoteReference w:id="644"/>
      </w:r>
      <w:r>
        <w:t xml:space="preserve"> </w:t>
      </w:r>
      <w:r>
        <w:rPr>
          <w:rStyle w:val="EndnoteReference"/>
        </w:rPr>
        <w:endnoteReference w:id="645"/>
      </w:r>
      <w:r>
        <w:t xml:space="preserve"> a conflict between the right of parental contact and the rights and best interests of the child and their non-violent parent; </w:t>
      </w:r>
      <w:r>
        <w:rPr>
          <w:rStyle w:val="EndnoteReference"/>
        </w:rPr>
        <w:endnoteReference w:id="646"/>
      </w:r>
      <w:r>
        <w:t xml:space="preserve"> </w:t>
      </w:r>
      <w:r>
        <w:rPr>
          <w:rStyle w:val="EndnoteReference"/>
        </w:rPr>
        <w:endnoteReference w:id="647"/>
      </w:r>
      <w:r>
        <w:t xml:space="preserve"> court decisions which do not yet fully reflect the amendments to the Family Law Act in 2012; </w:t>
      </w:r>
      <w:r>
        <w:rPr>
          <w:rStyle w:val="EndnoteReference"/>
        </w:rPr>
        <w:endnoteReference w:id="648"/>
      </w:r>
      <w:r>
        <w:t xml:space="preserve"> and the inappropriate use of mediation for these families. </w:t>
      </w:r>
      <w:r>
        <w:rPr>
          <w:rStyle w:val="EndnoteReference"/>
        </w:rPr>
        <w:endnoteReference w:id="649"/>
      </w:r>
      <w:r>
        <w:t xml:space="preserve"> </w:t>
      </w:r>
      <w:r>
        <w:rPr>
          <w:rStyle w:val="EndnoteReference"/>
        </w:rPr>
        <w:endnoteReference w:id="650"/>
      </w:r>
      <w:r>
        <w:t xml:space="preserve"> </w:t>
      </w:r>
    </w:p>
    <w:p w14:paraId="21B417CA" w14:textId="77777777" w:rsidR="000D1D92" w:rsidRDefault="000D1D92" w:rsidP="000D1D92">
      <w:pPr>
        <w:spacing w:before="0" w:after="0"/>
        <w:jc w:val="both"/>
      </w:pPr>
    </w:p>
    <w:p w14:paraId="1501555C" w14:textId="77777777" w:rsidR="000D1D92" w:rsidRDefault="000D1D92" w:rsidP="000D1D92">
      <w:pPr>
        <w:spacing w:before="0" w:after="0"/>
        <w:jc w:val="both"/>
      </w:pPr>
      <w:r>
        <w:t>Also highlighted was the manipulation of court decisions by some perpetrators of family and domestic violence as a means to continue to control and inflict abuse and violence on their ex-partner which invariably impacts on their children, often for prolonged periods.</w:t>
      </w:r>
      <w:r>
        <w:rPr>
          <w:rStyle w:val="EndnoteReference"/>
        </w:rPr>
        <w:endnoteReference w:id="651"/>
      </w:r>
    </w:p>
    <w:p w14:paraId="6F346E01" w14:textId="77777777" w:rsidR="000D1D92" w:rsidRDefault="000D1D92" w:rsidP="000D1D92">
      <w:pPr>
        <w:spacing w:before="0" w:after="0"/>
        <w:jc w:val="both"/>
        <w:rPr>
          <w:rFonts w:cs="Arial"/>
        </w:rPr>
      </w:pPr>
    </w:p>
    <w:p w14:paraId="496D166C" w14:textId="77777777" w:rsidR="000D1D92" w:rsidRPr="00E038AC" w:rsidRDefault="000D1D92" w:rsidP="000D1D92">
      <w:pPr>
        <w:spacing w:before="0" w:after="0"/>
        <w:jc w:val="both"/>
        <w:rPr>
          <w:rFonts w:cs="Arial"/>
        </w:rPr>
      </w:pPr>
      <w:r w:rsidRPr="00E038AC">
        <w:rPr>
          <w:rFonts w:cs="Arial"/>
        </w:rPr>
        <w:t>Post-separation violence in families was identified as a serious problem.</w:t>
      </w:r>
      <w:r w:rsidRPr="00E038AC">
        <w:rPr>
          <w:rStyle w:val="EndnoteReference"/>
          <w:rFonts w:cs="Arial"/>
        </w:rPr>
        <w:endnoteReference w:id="652"/>
      </w:r>
      <w:r w:rsidRPr="00E038AC">
        <w:rPr>
          <w:rFonts w:cs="Arial"/>
        </w:rPr>
        <w:t xml:space="preserve"> </w:t>
      </w:r>
      <w:r w:rsidRPr="00E038AC">
        <w:rPr>
          <w:rStyle w:val="EndnoteReference"/>
          <w:rFonts w:cs="Arial"/>
        </w:rPr>
        <w:endnoteReference w:id="653"/>
      </w:r>
      <w:r w:rsidRPr="00E038AC">
        <w:rPr>
          <w:rFonts w:cs="Arial"/>
        </w:rPr>
        <w:t xml:space="preserve"> </w:t>
      </w:r>
      <w:r w:rsidRPr="00E038AC">
        <w:rPr>
          <w:rStyle w:val="EndnoteReference"/>
          <w:rFonts w:cs="Arial"/>
        </w:rPr>
        <w:endnoteReference w:id="654"/>
      </w:r>
      <w:r w:rsidRPr="00E038AC">
        <w:rPr>
          <w:rFonts w:cs="Arial"/>
        </w:rPr>
        <w:t xml:space="preserve"> </w:t>
      </w:r>
      <w:r w:rsidRPr="00E038AC">
        <w:rPr>
          <w:rStyle w:val="EndnoteReference"/>
          <w:rFonts w:cs="Arial"/>
        </w:rPr>
        <w:endnoteReference w:id="655"/>
      </w:r>
      <w:r w:rsidRPr="00E038AC">
        <w:rPr>
          <w:rFonts w:cs="Arial"/>
        </w:rPr>
        <w:t xml:space="preserve"> </w:t>
      </w:r>
      <w:r w:rsidRPr="00E038AC">
        <w:rPr>
          <w:rStyle w:val="EndnoteReference"/>
          <w:rFonts w:cs="Arial"/>
        </w:rPr>
        <w:endnoteReference w:id="656"/>
      </w:r>
      <w:r w:rsidRPr="00E038AC">
        <w:rPr>
          <w:rFonts w:cs="Arial"/>
        </w:rPr>
        <w:t xml:space="preserve"> </w:t>
      </w:r>
    </w:p>
    <w:p w14:paraId="79020306" w14:textId="77777777" w:rsidR="000D1D92" w:rsidRPr="00DD1562" w:rsidRDefault="000D1D92" w:rsidP="000D1D92">
      <w:pPr>
        <w:spacing w:before="0" w:after="0"/>
        <w:jc w:val="both"/>
      </w:pPr>
      <w:r w:rsidRPr="00E038AC">
        <w:rPr>
          <w:rFonts w:cs="Arial"/>
        </w:rPr>
        <w:t>The submission by Melbourne Research Alliance to End Violence Against Women and their Children suggested that:</w:t>
      </w:r>
      <w:r>
        <w:rPr>
          <w:rFonts w:cs="Arial"/>
        </w:rPr>
        <w:t xml:space="preserve"> </w:t>
      </w:r>
    </w:p>
    <w:p w14:paraId="5D3AFC8E" w14:textId="77777777" w:rsidR="000D1D92" w:rsidRDefault="000D1D92" w:rsidP="000D1D92">
      <w:pPr>
        <w:spacing w:before="0" w:after="0"/>
        <w:jc w:val="both"/>
        <w:rPr>
          <w:rFonts w:cs="Arial"/>
        </w:rPr>
      </w:pPr>
    </w:p>
    <w:p w14:paraId="3AF7CBB2" w14:textId="77777777" w:rsidR="000D1D92" w:rsidRPr="00EB41AE" w:rsidRDefault="000D1D92" w:rsidP="000D1D92">
      <w:pPr>
        <w:spacing w:before="0" w:after="0"/>
        <w:ind w:left="720"/>
        <w:jc w:val="both"/>
        <w:rPr>
          <w:sz w:val="22"/>
          <w:szCs w:val="22"/>
        </w:rPr>
      </w:pPr>
      <w:r w:rsidRPr="006A3191">
        <w:rPr>
          <w:sz w:val="22"/>
          <w:szCs w:val="22"/>
        </w:rPr>
        <w:t>The pathway to children’s safety through separation is currently marred by the Family Law response which is frequently unresponsive to the on-going dangers and threats to the well-being of children who are continuing to live with post-separation violence.</w:t>
      </w:r>
      <w:r w:rsidRPr="006A3191">
        <w:rPr>
          <w:rStyle w:val="EndnoteReference"/>
          <w:sz w:val="22"/>
          <w:szCs w:val="22"/>
        </w:rPr>
        <w:endnoteReference w:id="657"/>
      </w:r>
    </w:p>
    <w:p w14:paraId="4F4E4C05" w14:textId="77777777" w:rsidR="000D1D92" w:rsidRDefault="000D1D92" w:rsidP="000D1D92">
      <w:pPr>
        <w:spacing w:before="0" w:after="0"/>
        <w:jc w:val="both"/>
      </w:pPr>
    </w:p>
    <w:p w14:paraId="09C74C4A" w14:textId="77777777" w:rsidR="000D1D92" w:rsidRDefault="000D1D92" w:rsidP="000D1D92">
      <w:pPr>
        <w:spacing w:before="0" w:after="0"/>
        <w:jc w:val="both"/>
      </w:pPr>
      <w:r>
        <w:t>The submission by the NSW Government stated:</w:t>
      </w:r>
    </w:p>
    <w:p w14:paraId="3DC658A6" w14:textId="77777777" w:rsidR="000D1D92" w:rsidRPr="00462319" w:rsidRDefault="000D1D92" w:rsidP="000D1D92">
      <w:pPr>
        <w:ind w:left="720"/>
        <w:jc w:val="both"/>
        <w:rPr>
          <w:rFonts w:cs="Arial"/>
          <w:sz w:val="22"/>
          <w:szCs w:val="22"/>
        </w:rPr>
      </w:pPr>
      <w:r w:rsidRPr="0032232D">
        <w:rPr>
          <w:rFonts w:cs="Arial"/>
          <w:sz w:val="22"/>
          <w:szCs w:val="22"/>
        </w:rPr>
        <w:t xml:space="preserve">In </w:t>
      </w:r>
      <w:r>
        <w:rPr>
          <w:rFonts w:cs="Arial"/>
          <w:sz w:val="22"/>
          <w:szCs w:val="22"/>
        </w:rPr>
        <w:t>abusive</w:t>
      </w:r>
      <w:r w:rsidRPr="0032232D">
        <w:rPr>
          <w:rFonts w:cs="Arial"/>
          <w:sz w:val="22"/>
          <w:szCs w:val="22"/>
        </w:rPr>
        <w:t xml:space="preserve"> relationships, domestic</w:t>
      </w:r>
      <w:r>
        <w:rPr>
          <w:rFonts w:cs="Arial"/>
          <w:sz w:val="22"/>
          <w:szCs w:val="22"/>
        </w:rPr>
        <w:t xml:space="preserve"> and family</w:t>
      </w:r>
      <w:r w:rsidRPr="0032232D">
        <w:rPr>
          <w:rFonts w:cs="Arial"/>
          <w:sz w:val="22"/>
          <w:szCs w:val="22"/>
        </w:rPr>
        <w:t xml:space="preserve"> violence does not end with separation and in fact can escalate to lethal violence. Children may be subjected to increased exposure to domestic</w:t>
      </w:r>
      <w:r>
        <w:rPr>
          <w:rFonts w:cs="Arial"/>
          <w:sz w:val="22"/>
          <w:szCs w:val="22"/>
        </w:rPr>
        <w:t xml:space="preserve"> and family</w:t>
      </w:r>
      <w:r w:rsidRPr="0032232D">
        <w:rPr>
          <w:rFonts w:cs="Arial"/>
          <w:sz w:val="22"/>
          <w:szCs w:val="22"/>
        </w:rPr>
        <w:t xml:space="preserve"> violence after separation, since this may be the only context in which the violent partner has access to his victim. As such, it is vital that the family law system identifies and responds appropriately to domestic</w:t>
      </w:r>
      <w:r>
        <w:rPr>
          <w:rFonts w:cs="Arial"/>
          <w:sz w:val="22"/>
          <w:szCs w:val="22"/>
        </w:rPr>
        <w:t xml:space="preserve"> and family</w:t>
      </w:r>
      <w:r w:rsidRPr="0032232D">
        <w:rPr>
          <w:rFonts w:cs="Arial"/>
          <w:sz w:val="22"/>
          <w:szCs w:val="22"/>
        </w:rPr>
        <w:t xml:space="preserve"> violence to ensure the safety and wellbeing of women and children.</w:t>
      </w:r>
      <w:r w:rsidRPr="000D6A74">
        <w:rPr>
          <w:rStyle w:val="EndnoteReference"/>
          <w:rFonts w:cs="Arial"/>
        </w:rPr>
        <w:t xml:space="preserve"> </w:t>
      </w:r>
      <w:r>
        <w:rPr>
          <w:rStyle w:val="EndnoteReference"/>
          <w:rFonts w:cs="Arial"/>
        </w:rPr>
        <w:endnoteReference w:id="658"/>
      </w:r>
    </w:p>
    <w:p w14:paraId="7D43A0C2" w14:textId="77777777" w:rsidR="000D1D92" w:rsidRPr="006B3F72" w:rsidRDefault="000D1D92" w:rsidP="000D1D92">
      <w:pPr>
        <w:spacing w:before="0" w:after="0"/>
        <w:jc w:val="both"/>
      </w:pPr>
      <w:r w:rsidRPr="006B3F72">
        <w:t xml:space="preserve">The </w:t>
      </w:r>
      <w:r>
        <w:t xml:space="preserve">submission made by the </w:t>
      </w:r>
      <w:r w:rsidRPr="006B3F72">
        <w:t xml:space="preserve">Australian Association of Social Workers </w:t>
      </w:r>
      <w:r>
        <w:t>cautioned me that</w:t>
      </w:r>
      <w:r w:rsidRPr="006B3F72">
        <w:t>:</w:t>
      </w:r>
    </w:p>
    <w:p w14:paraId="267B251E" w14:textId="77777777" w:rsidR="000D1D92" w:rsidRDefault="000D1D92" w:rsidP="000D1D92">
      <w:pPr>
        <w:spacing w:before="0" w:after="0"/>
        <w:ind w:left="720"/>
        <w:jc w:val="both"/>
        <w:rPr>
          <w:sz w:val="22"/>
          <w:szCs w:val="22"/>
        </w:rPr>
      </w:pPr>
    </w:p>
    <w:p w14:paraId="5D4BC670" w14:textId="77777777" w:rsidR="000D1D92" w:rsidRPr="007F5C4B" w:rsidRDefault="000D1D92" w:rsidP="000D1D92">
      <w:pPr>
        <w:spacing w:before="0" w:after="0"/>
        <w:ind w:left="720"/>
        <w:jc w:val="both"/>
        <w:rPr>
          <w:sz w:val="22"/>
          <w:szCs w:val="22"/>
        </w:rPr>
      </w:pPr>
      <w:r w:rsidRPr="00607F67">
        <w:rPr>
          <w:sz w:val="22"/>
          <w:szCs w:val="22"/>
        </w:rPr>
        <w:t>Care should be taken when there are high levels of threats and violence to limit the contact between the violent parent and any children</w:t>
      </w:r>
      <w:r w:rsidRPr="003E639A">
        <w:rPr>
          <w:sz w:val="22"/>
          <w:szCs w:val="22"/>
        </w:rPr>
        <w:t>.</w:t>
      </w:r>
      <w:r>
        <w:rPr>
          <w:rStyle w:val="EndnoteReference"/>
          <w:szCs w:val="20"/>
        </w:rPr>
        <w:endnoteReference w:id="659"/>
      </w:r>
    </w:p>
    <w:p w14:paraId="3F08AF06" w14:textId="77777777" w:rsidR="000D1D92" w:rsidRDefault="000D1D92" w:rsidP="000D1D92">
      <w:pPr>
        <w:autoSpaceDE w:val="0"/>
        <w:autoSpaceDN w:val="0"/>
        <w:adjustRightInd w:val="0"/>
        <w:spacing w:before="0" w:after="0"/>
        <w:jc w:val="both"/>
      </w:pPr>
    </w:p>
    <w:p w14:paraId="4B2F4814" w14:textId="77777777" w:rsidR="000D1D92" w:rsidRDefault="000D1D92" w:rsidP="000D1D92">
      <w:pPr>
        <w:autoSpaceDE w:val="0"/>
        <w:autoSpaceDN w:val="0"/>
        <w:adjustRightInd w:val="0"/>
        <w:spacing w:before="0" w:after="0"/>
        <w:jc w:val="both"/>
      </w:pPr>
      <w:r w:rsidRPr="00E471EE">
        <w:t xml:space="preserve">During my </w:t>
      </w:r>
      <w:r>
        <w:t>consultations</w:t>
      </w:r>
      <w:r w:rsidRPr="00E471EE">
        <w:t>, I met with Ms Kristy McKellar. Ms McKellar shared with me her personal experience</w:t>
      </w:r>
      <w:r>
        <w:t>s with the family court system.</w:t>
      </w:r>
    </w:p>
    <w:p w14:paraId="6FED0B5E" w14:textId="77777777" w:rsidR="000D1D92" w:rsidRDefault="000D1D92" w:rsidP="000D1D92">
      <w:pPr>
        <w:autoSpaceDE w:val="0"/>
        <w:autoSpaceDN w:val="0"/>
        <w:adjustRightInd w:val="0"/>
        <w:spacing w:before="0" w:after="0"/>
        <w:jc w:val="both"/>
      </w:pPr>
    </w:p>
    <w:tbl>
      <w:tblPr>
        <w:tblStyle w:val="TableGrid"/>
        <w:tblW w:w="0" w:type="auto"/>
        <w:shd w:val="clear" w:color="auto" w:fill="F2F2F2" w:themeFill="background1" w:themeFillShade="F2"/>
        <w:tblLook w:val="04A0" w:firstRow="1" w:lastRow="0" w:firstColumn="1" w:lastColumn="0" w:noHBand="0" w:noVBand="1"/>
      </w:tblPr>
      <w:tblGrid>
        <w:gridCol w:w="9286"/>
      </w:tblGrid>
      <w:tr w:rsidR="000D1D92" w:rsidRPr="00605DD9" w14:paraId="67ADC111" w14:textId="77777777" w:rsidTr="00684616">
        <w:tc>
          <w:tcPr>
            <w:tcW w:w="9286" w:type="dxa"/>
            <w:shd w:val="clear" w:color="auto" w:fill="F2F2F2" w:themeFill="background1" w:themeFillShade="F2"/>
          </w:tcPr>
          <w:p w14:paraId="73DA08C3" w14:textId="77777777" w:rsidR="000D1D92" w:rsidRDefault="000D1D92" w:rsidP="00684616">
            <w:pPr>
              <w:spacing w:before="0" w:after="0"/>
              <w:jc w:val="both"/>
              <w:rPr>
                <w:b/>
              </w:rPr>
            </w:pPr>
          </w:p>
          <w:p w14:paraId="0E8F052C" w14:textId="77777777" w:rsidR="000D1D92" w:rsidRPr="00830F85" w:rsidRDefault="000D1D92" w:rsidP="00684616">
            <w:pPr>
              <w:spacing w:before="0" w:after="0"/>
              <w:jc w:val="both"/>
              <w:rPr>
                <w:b/>
              </w:rPr>
            </w:pPr>
            <w:r w:rsidRPr="00830F85">
              <w:rPr>
                <w:b/>
              </w:rPr>
              <w:lastRenderedPageBreak/>
              <w:t>Extract from Ms McKellar’s written submission</w:t>
            </w:r>
            <w:r w:rsidRPr="00830F85">
              <w:rPr>
                <w:b/>
                <w:vertAlign w:val="superscript"/>
              </w:rPr>
              <w:endnoteReference w:id="660"/>
            </w:r>
          </w:p>
          <w:p w14:paraId="1FC624DB" w14:textId="77777777" w:rsidR="000D1D92" w:rsidRPr="00605DD9" w:rsidRDefault="000D1D92" w:rsidP="00684616">
            <w:pPr>
              <w:spacing w:before="0" w:after="0"/>
              <w:jc w:val="both"/>
            </w:pPr>
          </w:p>
          <w:p w14:paraId="0F809E0F" w14:textId="77777777" w:rsidR="000D1D92" w:rsidRPr="00830F85" w:rsidRDefault="000D1D92" w:rsidP="00684616">
            <w:pPr>
              <w:spacing w:before="0" w:after="0"/>
              <w:jc w:val="both"/>
            </w:pPr>
            <w:r w:rsidRPr="00830F85">
              <w:t xml:space="preserve">On the final assault the perpetrator raised a glass vase lid above my daughter whilst she lay in her cot, gesturing to throw it at us, I stood with my arms outstretched across the cot as I was shaking knowing that if he was to throw it at us, it would hit me and hopefully I could protect </w:t>
            </w:r>
            <w:r>
              <w:t xml:space="preserve">the </w:t>
            </w:r>
            <w:r w:rsidRPr="00830F85">
              <w:t>majority of the impact for my daughter. Further on the final assault he threw a book at the wall next to my daughter’s cot, this book landed in her cot hitting her feet.</w:t>
            </w:r>
          </w:p>
          <w:p w14:paraId="543C5747" w14:textId="77777777" w:rsidR="000D1D92" w:rsidRPr="00830F85" w:rsidRDefault="000D1D92" w:rsidP="00684616">
            <w:pPr>
              <w:spacing w:before="0" w:after="0"/>
              <w:jc w:val="both"/>
            </w:pPr>
          </w:p>
          <w:p w14:paraId="06A33E5D" w14:textId="527FE6CF" w:rsidR="000D1D92" w:rsidRPr="00830F85" w:rsidRDefault="000D1D92" w:rsidP="00684616">
            <w:pPr>
              <w:spacing w:before="0" w:after="0"/>
              <w:jc w:val="both"/>
            </w:pPr>
            <w:r w:rsidRPr="00830F85">
              <w:t>After the final assault I was too terrified to apply for an intervention order, the police actioned a complaint and warrant intervention order on behalf of myself and my daughter for one year in 2012 and then I obtained a 5 year intervention order for both my daughter and I</w:t>
            </w:r>
            <w:r>
              <w:t>, as the perpetrator was found</w:t>
            </w:r>
            <w:r w:rsidRPr="00830F85">
              <w:t xml:space="preserve"> guilty of contravening this family violence intervention order on six occasions.</w:t>
            </w:r>
          </w:p>
          <w:p w14:paraId="3F9C3BC5" w14:textId="0AF0C9F1" w:rsidR="000D1D92" w:rsidRPr="00605DD9" w:rsidRDefault="000D1D92" w:rsidP="00684616">
            <w:pPr>
              <w:spacing w:before="0" w:after="0"/>
              <w:jc w:val="both"/>
            </w:pPr>
          </w:p>
        </w:tc>
      </w:tr>
    </w:tbl>
    <w:p w14:paraId="0FD4947A" w14:textId="77777777" w:rsidR="000D1D92" w:rsidRPr="00395F87" w:rsidRDefault="000D1D92" w:rsidP="000D1D92">
      <w:pPr>
        <w:pStyle w:val="Heading4"/>
      </w:pPr>
      <w:r w:rsidRPr="00395F87">
        <w:lastRenderedPageBreak/>
        <w:t>Family Violence Amendments</w:t>
      </w:r>
      <w:r>
        <w:t xml:space="preserve"> in 2012</w:t>
      </w:r>
    </w:p>
    <w:p w14:paraId="6950C3FD" w14:textId="77777777" w:rsidR="000D1D92" w:rsidRDefault="000D1D92" w:rsidP="000D1D92">
      <w:pPr>
        <w:autoSpaceDE w:val="0"/>
        <w:autoSpaceDN w:val="0"/>
        <w:adjustRightInd w:val="0"/>
        <w:spacing w:before="0" w:after="0"/>
        <w:jc w:val="both"/>
      </w:pPr>
      <w:r>
        <w:t xml:space="preserve">The </w:t>
      </w:r>
      <w:r w:rsidRPr="00106572">
        <w:rPr>
          <w:i/>
        </w:rPr>
        <w:t>Family Law Legislation Amendment (Family Violence and Other Measures) Act</w:t>
      </w:r>
      <w:r w:rsidRPr="00106572">
        <w:t xml:space="preserve"> </w:t>
      </w:r>
      <w:r>
        <w:t xml:space="preserve">was passed by the Senate on 24 November 2011 and the amendments came into effect on 7 June 2012. </w:t>
      </w:r>
    </w:p>
    <w:p w14:paraId="5A7BBF8A" w14:textId="77777777" w:rsidR="000D1D92" w:rsidRDefault="000D1D92" w:rsidP="000D1D92">
      <w:pPr>
        <w:autoSpaceDE w:val="0"/>
        <w:autoSpaceDN w:val="0"/>
        <w:adjustRightInd w:val="0"/>
        <w:spacing w:before="0" w:after="0"/>
        <w:jc w:val="both"/>
      </w:pPr>
    </w:p>
    <w:p w14:paraId="586FE9EC" w14:textId="77777777" w:rsidR="000D1D92" w:rsidRPr="007B732B" w:rsidRDefault="000D1D92" w:rsidP="000D1D92">
      <w:pPr>
        <w:autoSpaceDE w:val="0"/>
        <w:autoSpaceDN w:val="0"/>
        <w:adjustRightInd w:val="0"/>
        <w:spacing w:before="0" w:after="0"/>
        <w:jc w:val="both"/>
      </w:pPr>
      <w:r>
        <w:t xml:space="preserve">The amendments, which commenced on 7 June 2012, apply to proceedings issued on or after that date. Where proceedings commenced prior to 7 June 2012, the majority of amendments do not apply. </w:t>
      </w:r>
    </w:p>
    <w:p w14:paraId="586DE5F0" w14:textId="77777777" w:rsidR="000D1D92" w:rsidRDefault="000D1D92" w:rsidP="000D1D92">
      <w:pPr>
        <w:autoSpaceDE w:val="0"/>
        <w:autoSpaceDN w:val="0"/>
        <w:adjustRightInd w:val="0"/>
        <w:spacing w:before="0" w:after="0"/>
        <w:jc w:val="both"/>
      </w:pPr>
    </w:p>
    <w:p w14:paraId="0B1B14E9" w14:textId="77777777" w:rsidR="000D1D92" w:rsidRDefault="000D1D92" w:rsidP="000D1D92">
      <w:pPr>
        <w:autoSpaceDE w:val="0"/>
        <w:autoSpaceDN w:val="0"/>
        <w:adjustRightInd w:val="0"/>
        <w:spacing w:before="0" w:after="0"/>
        <w:jc w:val="both"/>
      </w:pPr>
      <w:r>
        <w:t>The 2012 amendments included:</w:t>
      </w:r>
    </w:p>
    <w:p w14:paraId="28FDF7A0" w14:textId="77777777" w:rsidR="000D1D92" w:rsidRDefault="000D1D92" w:rsidP="000D1D92">
      <w:pPr>
        <w:autoSpaceDE w:val="0"/>
        <w:autoSpaceDN w:val="0"/>
        <w:adjustRightInd w:val="0"/>
        <w:spacing w:before="0" w:after="0"/>
        <w:jc w:val="both"/>
      </w:pPr>
    </w:p>
    <w:p w14:paraId="32118BD1" w14:textId="77777777" w:rsidR="000D1D92" w:rsidRDefault="000D1D92" w:rsidP="000D1D92">
      <w:pPr>
        <w:pStyle w:val="ListParagraph"/>
        <w:numPr>
          <w:ilvl w:val="0"/>
          <w:numId w:val="39"/>
        </w:numPr>
        <w:autoSpaceDE w:val="0"/>
        <w:autoSpaceDN w:val="0"/>
        <w:adjustRightInd w:val="0"/>
        <w:spacing w:before="0" w:after="0"/>
        <w:jc w:val="both"/>
      </w:pPr>
      <w:r>
        <w:t xml:space="preserve">a </w:t>
      </w:r>
      <w:r w:rsidRPr="00430663">
        <w:t xml:space="preserve">broader </w:t>
      </w:r>
      <w:r>
        <w:t>definition of family violence (section 4AB)</w:t>
      </w:r>
    </w:p>
    <w:p w14:paraId="662DB0D5" w14:textId="77777777" w:rsidR="000D1D92" w:rsidRDefault="000D1D92" w:rsidP="000D1D92">
      <w:pPr>
        <w:pStyle w:val="ListParagraph"/>
        <w:numPr>
          <w:ilvl w:val="0"/>
          <w:numId w:val="39"/>
        </w:numPr>
        <w:autoSpaceDE w:val="0"/>
        <w:autoSpaceDN w:val="0"/>
        <w:adjustRightInd w:val="0"/>
        <w:spacing w:before="0" w:after="0"/>
        <w:jc w:val="both"/>
      </w:pPr>
      <w:r>
        <w:t>a broader definition of abuse (section 4(1))</w:t>
      </w:r>
    </w:p>
    <w:p w14:paraId="01E5C867" w14:textId="77777777" w:rsidR="000D1D92" w:rsidRPr="007D44DE" w:rsidRDefault="000D1D92" w:rsidP="000D1D92">
      <w:pPr>
        <w:pStyle w:val="ListParagraph"/>
        <w:numPr>
          <w:ilvl w:val="0"/>
          <w:numId w:val="39"/>
        </w:numPr>
        <w:autoSpaceDE w:val="0"/>
        <w:autoSpaceDN w:val="0"/>
        <w:adjustRightInd w:val="0"/>
        <w:spacing w:before="0" w:after="0"/>
        <w:jc w:val="both"/>
      </w:pPr>
      <w:r w:rsidRPr="007D44DE">
        <w:t>giving greater weight to child safety (section 60CC2A)</w:t>
      </w:r>
    </w:p>
    <w:p w14:paraId="6745D5E8" w14:textId="77777777" w:rsidR="000D1D92" w:rsidRPr="007D44DE" w:rsidRDefault="000D1D92" w:rsidP="000D1D92">
      <w:pPr>
        <w:pStyle w:val="ListParagraph"/>
        <w:numPr>
          <w:ilvl w:val="0"/>
          <w:numId w:val="39"/>
        </w:numPr>
        <w:autoSpaceDE w:val="0"/>
        <w:autoSpaceDN w:val="0"/>
        <w:adjustRightInd w:val="0"/>
        <w:spacing w:before="0" w:after="0"/>
        <w:jc w:val="both"/>
      </w:pPr>
      <w:r w:rsidRPr="0015756F">
        <w:t xml:space="preserve">requiring the court to actively ask each party about family violence </w:t>
      </w:r>
      <w:r w:rsidRPr="007D44DE">
        <w:t>(section 69ZQ(1)(aa))</w:t>
      </w:r>
    </w:p>
    <w:p w14:paraId="7D2C11DA" w14:textId="77777777" w:rsidR="000D1D92" w:rsidRPr="007D44DE" w:rsidRDefault="000D1D92" w:rsidP="000D1D92">
      <w:pPr>
        <w:pStyle w:val="ListParagraph"/>
        <w:numPr>
          <w:ilvl w:val="0"/>
          <w:numId w:val="39"/>
        </w:numPr>
        <w:autoSpaceDE w:val="0"/>
        <w:autoSpaceDN w:val="0"/>
        <w:adjustRightInd w:val="0"/>
        <w:spacing w:before="0" w:after="0"/>
        <w:jc w:val="both"/>
      </w:pPr>
      <w:r w:rsidRPr="00B44336">
        <w:t>empowering courts to arrange for children to see a family consultant</w:t>
      </w:r>
      <w:r>
        <w:t xml:space="preserve"> </w:t>
      </w:r>
      <w:r w:rsidRPr="007D44DE">
        <w:t>(section 11F(1)</w:t>
      </w:r>
      <w:r>
        <w:t>)</w:t>
      </w:r>
    </w:p>
    <w:p w14:paraId="1EB5D09C" w14:textId="77777777" w:rsidR="000D1D92" w:rsidRDefault="000D1D92" w:rsidP="000D1D92">
      <w:pPr>
        <w:pStyle w:val="ListParagraph"/>
        <w:numPr>
          <w:ilvl w:val="0"/>
          <w:numId w:val="39"/>
        </w:numPr>
        <w:autoSpaceDE w:val="0"/>
        <w:autoSpaceDN w:val="0"/>
        <w:adjustRightInd w:val="0"/>
        <w:spacing w:before="0" w:after="0"/>
        <w:jc w:val="both"/>
      </w:pPr>
      <w:r w:rsidRPr="00C364E9">
        <w:t>removing ‘friendly parent’ provision</w:t>
      </w:r>
      <w:r>
        <w:t xml:space="preserve"> (repealed section </w:t>
      </w:r>
      <w:r w:rsidRPr="00D91C85">
        <w:t>60CC(3)(c), (4) &amp; (4A)</w:t>
      </w:r>
      <w:r>
        <w:t>)</w:t>
      </w:r>
    </w:p>
    <w:p w14:paraId="4010A040" w14:textId="77777777" w:rsidR="000D1D92" w:rsidRDefault="000D1D92" w:rsidP="000D1D92">
      <w:pPr>
        <w:pStyle w:val="ListParagraph"/>
        <w:numPr>
          <w:ilvl w:val="0"/>
          <w:numId w:val="39"/>
        </w:numPr>
        <w:autoSpaceDE w:val="0"/>
        <w:autoSpaceDN w:val="0"/>
        <w:adjustRightInd w:val="0"/>
        <w:spacing w:before="0" w:after="0"/>
        <w:jc w:val="both"/>
      </w:pPr>
      <w:r>
        <w:t>new consideration of parental involvement (section 60CC(3)(c) and (ca))</w:t>
      </w:r>
    </w:p>
    <w:p w14:paraId="58E09E33" w14:textId="77777777" w:rsidR="000D1D92" w:rsidRDefault="000D1D92" w:rsidP="000D1D92">
      <w:pPr>
        <w:pStyle w:val="ListParagraph"/>
        <w:numPr>
          <w:ilvl w:val="0"/>
          <w:numId w:val="39"/>
        </w:numPr>
        <w:autoSpaceDE w:val="0"/>
        <w:autoSpaceDN w:val="0"/>
        <w:adjustRightInd w:val="0"/>
        <w:spacing w:before="0" w:after="0"/>
        <w:jc w:val="both"/>
      </w:pPr>
      <w:r>
        <w:t>broader scope of family violence orders (</w:t>
      </w:r>
      <w:r w:rsidRPr="00C364E9">
        <w:t>s</w:t>
      </w:r>
      <w:r>
        <w:t xml:space="preserve">ection </w:t>
      </w:r>
      <w:r w:rsidRPr="00C364E9">
        <w:t>60CC(3)(k)</w:t>
      </w:r>
      <w:r>
        <w:t>)</w:t>
      </w:r>
    </w:p>
    <w:p w14:paraId="3C21FA65" w14:textId="77777777" w:rsidR="000D1D92" w:rsidRDefault="000D1D92" w:rsidP="000D1D92">
      <w:pPr>
        <w:pStyle w:val="ListParagraph"/>
        <w:numPr>
          <w:ilvl w:val="0"/>
          <w:numId w:val="39"/>
        </w:numPr>
        <w:autoSpaceDE w:val="0"/>
        <w:autoSpaceDN w:val="0"/>
        <w:adjustRightInd w:val="0"/>
        <w:spacing w:before="0" w:after="0"/>
        <w:jc w:val="both"/>
      </w:pPr>
      <w:r>
        <w:t>new advisors applications (section 60D)</w:t>
      </w:r>
    </w:p>
    <w:p w14:paraId="7E8FD5CC" w14:textId="77777777" w:rsidR="000D1D92" w:rsidRDefault="000D1D92" w:rsidP="000D1D92">
      <w:pPr>
        <w:pStyle w:val="ListParagraph"/>
        <w:numPr>
          <w:ilvl w:val="0"/>
          <w:numId w:val="39"/>
        </w:numPr>
        <w:autoSpaceDE w:val="0"/>
        <w:autoSpaceDN w:val="0"/>
        <w:adjustRightInd w:val="0"/>
        <w:spacing w:before="0" w:after="0"/>
        <w:jc w:val="both"/>
      </w:pPr>
      <w:r>
        <w:t xml:space="preserve">disclosure of family violence (repeal of section 60K and adding of sections </w:t>
      </w:r>
      <w:r w:rsidRPr="00244628">
        <w:t>67ZBA &amp; 67ZBB</w:t>
      </w:r>
      <w:r>
        <w:t>)</w:t>
      </w:r>
    </w:p>
    <w:p w14:paraId="6F09DC88" w14:textId="77777777" w:rsidR="000D1D92" w:rsidRDefault="000D1D92" w:rsidP="000D1D92">
      <w:pPr>
        <w:pStyle w:val="ListParagraph"/>
        <w:numPr>
          <w:ilvl w:val="0"/>
          <w:numId w:val="39"/>
        </w:numPr>
        <w:autoSpaceDE w:val="0"/>
        <w:autoSpaceDN w:val="0"/>
        <w:adjustRightInd w:val="0"/>
        <w:spacing w:before="0" w:after="0"/>
        <w:jc w:val="both"/>
      </w:pPr>
      <w:r>
        <w:t>n</w:t>
      </w:r>
      <w:r w:rsidRPr="00244628">
        <w:t>ew requirement to disclose child protection matters</w:t>
      </w:r>
      <w:r>
        <w:t xml:space="preserve"> (</w:t>
      </w:r>
      <w:r w:rsidRPr="00244628">
        <w:t>s</w:t>
      </w:r>
      <w:r>
        <w:t xml:space="preserve">ection 60CH &amp; section </w:t>
      </w:r>
      <w:r w:rsidRPr="00244628">
        <w:t>60CI</w:t>
      </w:r>
      <w:r>
        <w:t>)</w:t>
      </w:r>
    </w:p>
    <w:p w14:paraId="685E3D1F" w14:textId="77777777" w:rsidR="000D1D92" w:rsidRDefault="000D1D92" w:rsidP="000D1D92">
      <w:pPr>
        <w:pStyle w:val="ListParagraph"/>
        <w:numPr>
          <w:ilvl w:val="0"/>
          <w:numId w:val="39"/>
        </w:numPr>
        <w:autoSpaceDE w:val="0"/>
        <w:autoSpaceDN w:val="0"/>
        <w:adjustRightInd w:val="0"/>
        <w:spacing w:before="0" w:after="0"/>
        <w:jc w:val="both"/>
      </w:pPr>
      <w:r>
        <w:t>r</w:t>
      </w:r>
      <w:r w:rsidRPr="0021404B">
        <w:t>emoval of mandatory cost orders</w:t>
      </w:r>
      <w:r>
        <w:t xml:space="preserve"> (repeal of section </w:t>
      </w:r>
      <w:r w:rsidRPr="0021404B">
        <w:t>117AB</w:t>
      </w:r>
      <w:r>
        <w:t>)</w:t>
      </w:r>
    </w:p>
    <w:p w14:paraId="025BC7E0" w14:textId="77777777" w:rsidR="000D1D92" w:rsidRDefault="000D1D92" w:rsidP="000D1D92">
      <w:pPr>
        <w:pStyle w:val="ListParagraph"/>
        <w:numPr>
          <w:ilvl w:val="0"/>
          <w:numId w:val="39"/>
        </w:numPr>
        <w:autoSpaceDE w:val="0"/>
        <w:autoSpaceDN w:val="0"/>
        <w:adjustRightInd w:val="0"/>
        <w:spacing w:before="0" w:after="0"/>
        <w:jc w:val="both"/>
      </w:pPr>
      <w:r>
        <w:t>i</w:t>
      </w:r>
      <w:r w:rsidRPr="0021404B">
        <w:t>mmunity from costs order for state, territory or commonwealth child protection authorities</w:t>
      </w:r>
      <w:r>
        <w:t xml:space="preserve"> (section </w:t>
      </w:r>
      <w:r w:rsidRPr="0021404B">
        <w:t>117</w:t>
      </w:r>
      <w:r>
        <w:t>)</w:t>
      </w:r>
    </w:p>
    <w:p w14:paraId="160F8849" w14:textId="77777777" w:rsidR="000D1D92" w:rsidRDefault="000D1D92" w:rsidP="000D1D92">
      <w:pPr>
        <w:pStyle w:val="ListParagraph"/>
        <w:numPr>
          <w:ilvl w:val="0"/>
          <w:numId w:val="39"/>
        </w:numPr>
        <w:autoSpaceDE w:val="0"/>
        <w:autoSpaceDN w:val="0"/>
        <w:adjustRightInd w:val="0"/>
        <w:spacing w:before="0" w:after="0"/>
        <w:jc w:val="both"/>
      </w:pPr>
      <w:r>
        <w:t>g</w:t>
      </w:r>
      <w:r w:rsidRPr="00244628">
        <w:t>iving effect to the Convention on the Rights of the Child</w:t>
      </w:r>
      <w:r>
        <w:t xml:space="preserve"> (section 60B).</w:t>
      </w:r>
    </w:p>
    <w:p w14:paraId="6CEC1CEE" w14:textId="77777777" w:rsidR="000D1D92" w:rsidRDefault="000D1D92" w:rsidP="000D1D92">
      <w:pPr>
        <w:autoSpaceDE w:val="0"/>
        <w:autoSpaceDN w:val="0"/>
        <w:adjustRightInd w:val="0"/>
        <w:spacing w:before="0" w:after="0"/>
        <w:jc w:val="both"/>
      </w:pPr>
    </w:p>
    <w:p w14:paraId="391EC116" w14:textId="77777777" w:rsidR="000D1D92" w:rsidRDefault="000D1D92" w:rsidP="000D1D92">
      <w:pPr>
        <w:autoSpaceDE w:val="0"/>
        <w:autoSpaceDN w:val="0"/>
        <w:adjustRightInd w:val="0"/>
        <w:spacing w:before="0" w:after="0"/>
        <w:jc w:val="both"/>
        <w:rPr>
          <w:rFonts w:cs="Arial"/>
        </w:rPr>
      </w:pPr>
      <w:r>
        <w:t xml:space="preserve">In the context of the 2012 amendments, </w:t>
      </w:r>
      <w:r>
        <w:rPr>
          <w:rFonts w:cs="Arial"/>
        </w:rPr>
        <w:t xml:space="preserve">Fehlberg, Kaspiew, Millbank, Kelly and </w:t>
      </w:r>
      <w:r w:rsidRPr="00BF4311">
        <w:rPr>
          <w:rFonts w:cs="Arial"/>
        </w:rPr>
        <w:t>Behrens</w:t>
      </w:r>
      <w:r>
        <w:rPr>
          <w:rFonts w:cs="Arial"/>
        </w:rPr>
        <w:t xml:space="preserve"> note that:</w:t>
      </w:r>
    </w:p>
    <w:p w14:paraId="6BE22EC0" w14:textId="77777777" w:rsidR="000D1D92" w:rsidRPr="004C0F9B" w:rsidRDefault="000D1D92" w:rsidP="000D1D92">
      <w:pPr>
        <w:autoSpaceDE w:val="0"/>
        <w:autoSpaceDN w:val="0"/>
        <w:adjustRightInd w:val="0"/>
        <w:spacing w:before="0" w:after="0"/>
        <w:jc w:val="both"/>
      </w:pPr>
    </w:p>
    <w:p w14:paraId="5F2859B5" w14:textId="77777777" w:rsidR="000D1D92" w:rsidRDefault="000D1D92" w:rsidP="000D1D92">
      <w:pPr>
        <w:autoSpaceDE w:val="0"/>
        <w:autoSpaceDN w:val="0"/>
        <w:adjustRightInd w:val="0"/>
        <w:spacing w:before="0" w:after="0"/>
        <w:ind w:left="720"/>
        <w:jc w:val="both"/>
        <w:rPr>
          <w:sz w:val="22"/>
          <w:szCs w:val="22"/>
        </w:rPr>
      </w:pPr>
      <w:r w:rsidRPr="004C0F9B">
        <w:rPr>
          <w:sz w:val="22"/>
          <w:szCs w:val="22"/>
        </w:rPr>
        <w:t>It remains to be seen how this recognition of the exposure of children to family violence will play out in practice.</w:t>
      </w:r>
      <w:r w:rsidRPr="004C0F9B">
        <w:rPr>
          <w:rStyle w:val="EndnoteReference"/>
          <w:szCs w:val="22"/>
        </w:rPr>
        <w:endnoteReference w:id="661"/>
      </w:r>
    </w:p>
    <w:p w14:paraId="2A066C91" w14:textId="77777777" w:rsidR="000D1D92" w:rsidRDefault="000D1D92" w:rsidP="000D1D92">
      <w:pPr>
        <w:autoSpaceDE w:val="0"/>
        <w:autoSpaceDN w:val="0"/>
        <w:adjustRightInd w:val="0"/>
        <w:spacing w:before="0" w:after="0"/>
        <w:jc w:val="both"/>
        <w:rPr>
          <w:rFonts w:cs="Arial"/>
        </w:rPr>
      </w:pPr>
    </w:p>
    <w:p w14:paraId="537FBB29" w14:textId="77777777" w:rsidR="000D1D92" w:rsidRDefault="000D1D92" w:rsidP="000D1D92">
      <w:pPr>
        <w:autoSpaceDE w:val="0"/>
        <w:autoSpaceDN w:val="0"/>
        <w:adjustRightInd w:val="0"/>
        <w:spacing w:before="0" w:after="0"/>
        <w:jc w:val="both"/>
        <w:rPr>
          <w:rFonts w:cs="Arial"/>
        </w:rPr>
      </w:pPr>
      <w:r>
        <w:rPr>
          <w:rFonts w:cs="Arial"/>
        </w:rPr>
        <w:t>Recently, the Australian Institute of Family Studies (AIFS) completed a project evaluating the 2012 Family Violence Amendments.</w:t>
      </w:r>
      <w:r w:rsidRPr="007F5252">
        <w:t xml:space="preserve"> </w:t>
      </w:r>
      <w:r w:rsidRPr="007F5252">
        <w:rPr>
          <w:rFonts w:cs="Arial"/>
        </w:rPr>
        <w:t>The project has three parts:</w:t>
      </w:r>
    </w:p>
    <w:p w14:paraId="663BEE7B" w14:textId="77777777" w:rsidR="000D1D92" w:rsidRPr="007F5252" w:rsidRDefault="000D1D92" w:rsidP="000D1D92">
      <w:pPr>
        <w:autoSpaceDE w:val="0"/>
        <w:autoSpaceDN w:val="0"/>
        <w:adjustRightInd w:val="0"/>
        <w:spacing w:before="0" w:after="0"/>
        <w:jc w:val="both"/>
        <w:rPr>
          <w:rFonts w:cs="Arial"/>
        </w:rPr>
      </w:pPr>
    </w:p>
    <w:p w14:paraId="2438D5AD" w14:textId="77777777" w:rsidR="000D1D92" w:rsidRDefault="000D1D92" w:rsidP="000D1D92">
      <w:pPr>
        <w:pStyle w:val="ListParagraph"/>
        <w:numPr>
          <w:ilvl w:val="0"/>
          <w:numId w:val="40"/>
        </w:numPr>
        <w:autoSpaceDE w:val="0"/>
        <w:autoSpaceDN w:val="0"/>
        <w:adjustRightInd w:val="0"/>
        <w:spacing w:before="0" w:after="0"/>
        <w:jc w:val="both"/>
        <w:rPr>
          <w:rFonts w:cs="Arial"/>
        </w:rPr>
      </w:pPr>
      <w:r w:rsidRPr="007F5252">
        <w:rPr>
          <w:rFonts w:cs="Arial"/>
        </w:rPr>
        <w:t>Responding to Family Violence - A survey of family law practices and expe</w:t>
      </w:r>
      <w:r>
        <w:rPr>
          <w:rFonts w:cs="Arial"/>
        </w:rPr>
        <w:t>riences, which primarily involve</w:t>
      </w:r>
      <w:r w:rsidRPr="007F5252">
        <w:rPr>
          <w:rFonts w:cs="Arial"/>
        </w:rPr>
        <w:t xml:space="preserve"> online surveys of professional practices and perspectives</w:t>
      </w:r>
    </w:p>
    <w:p w14:paraId="336A2464" w14:textId="77777777" w:rsidR="000D1D92" w:rsidRDefault="000D1D92" w:rsidP="000D1D92">
      <w:pPr>
        <w:pStyle w:val="ListParagraph"/>
        <w:autoSpaceDE w:val="0"/>
        <w:autoSpaceDN w:val="0"/>
        <w:adjustRightInd w:val="0"/>
        <w:spacing w:before="0" w:after="0"/>
        <w:jc w:val="both"/>
        <w:rPr>
          <w:rFonts w:cs="Arial"/>
        </w:rPr>
      </w:pPr>
    </w:p>
    <w:p w14:paraId="0A02E24E" w14:textId="77777777" w:rsidR="000D1D92" w:rsidRDefault="000D1D92" w:rsidP="000D1D92">
      <w:pPr>
        <w:pStyle w:val="ListParagraph"/>
        <w:numPr>
          <w:ilvl w:val="0"/>
          <w:numId w:val="40"/>
        </w:numPr>
        <w:autoSpaceDE w:val="0"/>
        <w:autoSpaceDN w:val="0"/>
        <w:adjustRightInd w:val="0"/>
        <w:spacing w:before="0" w:after="0"/>
        <w:jc w:val="both"/>
        <w:rPr>
          <w:rFonts w:cs="Arial"/>
        </w:rPr>
      </w:pPr>
      <w:r>
        <w:rPr>
          <w:rFonts w:cs="Arial"/>
        </w:rPr>
        <w:t xml:space="preserve">A </w:t>
      </w:r>
      <w:r w:rsidRPr="007F5252">
        <w:rPr>
          <w:rFonts w:cs="Arial"/>
        </w:rPr>
        <w:t>Survey of Recently Separated Parents 2014</w:t>
      </w:r>
      <w:r>
        <w:rPr>
          <w:rFonts w:cs="Arial"/>
        </w:rPr>
        <w:t>,</w:t>
      </w:r>
      <w:r w:rsidRPr="007F5252">
        <w:rPr>
          <w:rFonts w:cs="Arial"/>
        </w:rPr>
        <w:t xml:space="preserve"> based on a large-scale survey of parents’ experiences and perspectives</w:t>
      </w:r>
    </w:p>
    <w:p w14:paraId="2BB072E0" w14:textId="77777777" w:rsidR="000D1D92" w:rsidRPr="007F5252" w:rsidRDefault="000D1D92" w:rsidP="000D1D92">
      <w:pPr>
        <w:pStyle w:val="ListParagraph"/>
        <w:jc w:val="both"/>
        <w:rPr>
          <w:rFonts w:cs="Arial"/>
        </w:rPr>
      </w:pPr>
    </w:p>
    <w:p w14:paraId="2B33B91E" w14:textId="77777777" w:rsidR="000D1D92" w:rsidRPr="007F5252" w:rsidRDefault="000D1D92" w:rsidP="000D1D92">
      <w:pPr>
        <w:pStyle w:val="ListParagraph"/>
        <w:numPr>
          <w:ilvl w:val="0"/>
          <w:numId w:val="40"/>
        </w:numPr>
        <w:autoSpaceDE w:val="0"/>
        <w:autoSpaceDN w:val="0"/>
        <w:adjustRightInd w:val="0"/>
        <w:spacing w:before="0" w:after="0"/>
        <w:jc w:val="both"/>
        <w:rPr>
          <w:rFonts w:cs="Arial"/>
        </w:rPr>
      </w:pPr>
      <w:r>
        <w:rPr>
          <w:rFonts w:cs="Arial"/>
        </w:rPr>
        <w:t xml:space="preserve">A </w:t>
      </w:r>
      <w:r w:rsidRPr="007F5252">
        <w:rPr>
          <w:rFonts w:cs="Arial"/>
        </w:rPr>
        <w:t>Court Outcomes Project involving:</w:t>
      </w:r>
    </w:p>
    <w:p w14:paraId="7A518125" w14:textId="77777777" w:rsidR="000D1D92" w:rsidRDefault="000D1D92" w:rsidP="000D1D92">
      <w:pPr>
        <w:pStyle w:val="ListParagraph"/>
        <w:numPr>
          <w:ilvl w:val="1"/>
          <w:numId w:val="40"/>
        </w:numPr>
        <w:autoSpaceDE w:val="0"/>
        <w:autoSpaceDN w:val="0"/>
        <w:adjustRightInd w:val="0"/>
        <w:spacing w:before="0" w:after="0"/>
        <w:jc w:val="both"/>
        <w:rPr>
          <w:rFonts w:cs="Arial"/>
        </w:rPr>
      </w:pPr>
      <w:r w:rsidRPr="007F5252">
        <w:rPr>
          <w:rFonts w:cs="Arial"/>
        </w:rPr>
        <w:t>a quantitative analysis of patterns in orders for parental responsibility and time made in the Family Court of Australia (FCoA), the Federal Circuit Court of Australia (FCCoA) and the Family Co</w:t>
      </w:r>
      <w:r>
        <w:rPr>
          <w:rFonts w:cs="Arial"/>
        </w:rPr>
        <w:t>urt of Western Australia (FCoWA)</w:t>
      </w:r>
    </w:p>
    <w:p w14:paraId="23D47310" w14:textId="77777777" w:rsidR="000D1D92" w:rsidRDefault="000D1D92" w:rsidP="000D1D92">
      <w:pPr>
        <w:pStyle w:val="ListParagraph"/>
        <w:numPr>
          <w:ilvl w:val="1"/>
          <w:numId w:val="40"/>
        </w:numPr>
        <w:autoSpaceDE w:val="0"/>
        <w:autoSpaceDN w:val="0"/>
        <w:adjustRightInd w:val="0"/>
        <w:spacing w:before="0" w:after="0"/>
        <w:jc w:val="both"/>
        <w:rPr>
          <w:rFonts w:cs="Arial"/>
        </w:rPr>
      </w:pPr>
      <w:r>
        <w:rPr>
          <w:rFonts w:cs="Arial"/>
        </w:rPr>
        <w:t xml:space="preserve">a national </w:t>
      </w:r>
      <w:r w:rsidRPr="007F5252">
        <w:rPr>
          <w:rFonts w:cs="Arial"/>
        </w:rPr>
        <w:t>analysis of court filings data provided by the FCoA, the FCCoA and the FCoWA</w:t>
      </w:r>
    </w:p>
    <w:p w14:paraId="284EE1CA" w14:textId="77777777" w:rsidR="000D1D92" w:rsidRDefault="000D1D92" w:rsidP="000D1D92">
      <w:pPr>
        <w:pStyle w:val="ListParagraph"/>
        <w:numPr>
          <w:ilvl w:val="1"/>
          <w:numId w:val="40"/>
        </w:numPr>
        <w:autoSpaceDE w:val="0"/>
        <w:autoSpaceDN w:val="0"/>
        <w:adjustRightInd w:val="0"/>
        <w:spacing w:before="0" w:after="0"/>
        <w:jc w:val="both"/>
        <w:rPr>
          <w:rFonts w:cs="Arial"/>
        </w:rPr>
      </w:pPr>
      <w:r w:rsidRPr="007F5252">
        <w:rPr>
          <w:rFonts w:cs="Arial"/>
        </w:rPr>
        <w:t>an analysis of published judgments</w:t>
      </w:r>
      <w:r>
        <w:rPr>
          <w:rFonts w:cs="Arial"/>
        </w:rPr>
        <w:t>.</w:t>
      </w:r>
    </w:p>
    <w:p w14:paraId="7538C5F7" w14:textId="77777777" w:rsidR="000D1D92" w:rsidRDefault="000D1D92" w:rsidP="000D1D92">
      <w:pPr>
        <w:autoSpaceDE w:val="0"/>
        <w:autoSpaceDN w:val="0"/>
        <w:adjustRightInd w:val="0"/>
        <w:spacing w:before="0" w:after="0"/>
        <w:jc w:val="both"/>
        <w:rPr>
          <w:rFonts w:cs="Arial"/>
        </w:rPr>
      </w:pPr>
    </w:p>
    <w:p w14:paraId="6A54E510" w14:textId="77777777" w:rsidR="006F6917" w:rsidRDefault="000D1D92" w:rsidP="000D1D92">
      <w:pPr>
        <w:autoSpaceDE w:val="0"/>
        <w:autoSpaceDN w:val="0"/>
        <w:adjustRightInd w:val="0"/>
        <w:spacing w:before="0" w:after="0"/>
        <w:jc w:val="both"/>
        <w:rPr>
          <w:rFonts w:cs="Arial"/>
        </w:rPr>
      </w:pPr>
      <w:r>
        <w:rPr>
          <w:rFonts w:cs="Arial"/>
        </w:rPr>
        <w:t>A report on the results of this project was provided to the Commonwealth Attorney General at the beginning of August 2015.</w:t>
      </w:r>
    </w:p>
    <w:p w14:paraId="3DB0440E" w14:textId="77777777" w:rsidR="006F6917" w:rsidRDefault="006F6917" w:rsidP="000D1D92">
      <w:pPr>
        <w:autoSpaceDE w:val="0"/>
        <w:autoSpaceDN w:val="0"/>
        <w:adjustRightInd w:val="0"/>
        <w:spacing w:before="0" w:after="0"/>
        <w:jc w:val="both"/>
        <w:rPr>
          <w:rFonts w:cs="Arial"/>
        </w:rPr>
      </w:pPr>
    </w:p>
    <w:p w14:paraId="254BAF12" w14:textId="60F15ABF" w:rsidR="00795CDB" w:rsidRDefault="006F6917" w:rsidP="000D1D92">
      <w:pPr>
        <w:autoSpaceDE w:val="0"/>
        <w:autoSpaceDN w:val="0"/>
        <w:adjustRightInd w:val="0"/>
        <w:spacing w:before="0" w:after="0"/>
        <w:jc w:val="both"/>
        <w:rPr>
          <w:rFonts w:cs="Arial"/>
        </w:rPr>
      </w:pPr>
      <w:r>
        <w:rPr>
          <w:rFonts w:cs="Arial"/>
        </w:rPr>
        <w:t xml:space="preserve">The AIFS </w:t>
      </w:r>
      <w:r w:rsidR="00795CDB">
        <w:rPr>
          <w:rFonts w:cs="Arial"/>
        </w:rPr>
        <w:t xml:space="preserve">evaluation </w:t>
      </w:r>
      <w:r>
        <w:rPr>
          <w:rFonts w:cs="Arial"/>
        </w:rPr>
        <w:t>report was publicly released on 12 October 2015</w:t>
      </w:r>
      <w:r w:rsidR="001A5BDA">
        <w:rPr>
          <w:rFonts w:cs="Arial"/>
        </w:rPr>
        <w:t xml:space="preserve">, two days before </w:t>
      </w:r>
      <w:r w:rsidR="00795CDB">
        <w:rPr>
          <w:rFonts w:cs="Arial"/>
        </w:rPr>
        <w:t>I transmitted</w:t>
      </w:r>
      <w:r w:rsidR="001A5BDA">
        <w:rPr>
          <w:rFonts w:cs="Arial"/>
        </w:rPr>
        <w:t xml:space="preserve"> m</w:t>
      </w:r>
      <w:r w:rsidR="00795CDB">
        <w:rPr>
          <w:rFonts w:cs="Arial"/>
        </w:rPr>
        <w:t xml:space="preserve">y report to the Attorney-General. </w:t>
      </w:r>
    </w:p>
    <w:p w14:paraId="77B5A315" w14:textId="77777777" w:rsidR="00795CDB" w:rsidRDefault="00795CDB" w:rsidP="000D1D92">
      <w:pPr>
        <w:autoSpaceDE w:val="0"/>
        <w:autoSpaceDN w:val="0"/>
        <w:adjustRightInd w:val="0"/>
        <w:spacing w:before="0" w:after="0"/>
        <w:jc w:val="both"/>
        <w:rPr>
          <w:rFonts w:cs="Arial"/>
        </w:rPr>
      </w:pPr>
    </w:p>
    <w:p w14:paraId="63B57198" w14:textId="0D4F36B5" w:rsidR="00795CDB" w:rsidRDefault="00795CDB" w:rsidP="00795CDB">
      <w:pPr>
        <w:autoSpaceDE w:val="0"/>
        <w:autoSpaceDN w:val="0"/>
        <w:adjustRightInd w:val="0"/>
        <w:spacing w:before="0" w:after="0"/>
        <w:jc w:val="both"/>
        <w:rPr>
          <w:rFonts w:cs="Arial"/>
        </w:rPr>
      </w:pPr>
      <w:r>
        <w:rPr>
          <w:rFonts w:cs="Arial"/>
        </w:rPr>
        <w:t>AIFS acknowledges that its evaluation occurred two years after the family law reforms were implemented and notes that ‘this is a comparatively short period of time for change to unfold’.</w:t>
      </w:r>
      <w:r>
        <w:rPr>
          <w:rStyle w:val="EndnoteReference"/>
          <w:rFonts w:cs="Arial"/>
          <w:szCs w:val="22"/>
        </w:rPr>
        <w:endnoteReference w:id="662"/>
      </w:r>
    </w:p>
    <w:p w14:paraId="2DDBF98D" w14:textId="77777777" w:rsidR="00795CDB" w:rsidRDefault="00795CDB" w:rsidP="00795CDB">
      <w:pPr>
        <w:autoSpaceDE w:val="0"/>
        <w:autoSpaceDN w:val="0"/>
        <w:adjustRightInd w:val="0"/>
        <w:spacing w:before="0" w:after="0"/>
        <w:jc w:val="both"/>
        <w:rPr>
          <w:rFonts w:cs="Arial"/>
        </w:rPr>
      </w:pPr>
    </w:p>
    <w:p w14:paraId="6FFEE248" w14:textId="627AF125" w:rsidR="006F6917" w:rsidRDefault="00795CDB" w:rsidP="000D1D92">
      <w:pPr>
        <w:autoSpaceDE w:val="0"/>
        <w:autoSpaceDN w:val="0"/>
        <w:adjustRightInd w:val="0"/>
        <w:spacing w:before="0" w:after="0"/>
        <w:jc w:val="both"/>
        <w:rPr>
          <w:rFonts w:cs="Arial"/>
        </w:rPr>
      </w:pPr>
      <w:r>
        <w:rPr>
          <w:rFonts w:cs="Arial"/>
        </w:rPr>
        <w:t xml:space="preserve">The AIFS report </w:t>
      </w:r>
      <w:r w:rsidR="006F6917">
        <w:rPr>
          <w:rFonts w:cs="Arial"/>
        </w:rPr>
        <w:t xml:space="preserve">concluded that: </w:t>
      </w:r>
    </w:p>
    <w:p w14:paraId="358C058C" w14:textId="77777777" w:rsidR="006F6917" w:rsidRDefault="006F6917" w:rsidP="000D1D92">
      <w:pPr>
        <w:autoSpaceDE w:val="0"/>
        <w:autoSpaceDN w:val="0"/>
        <w:adjustRightInd w:val="0"/>
        <w:spacing w:before="0" w:after="0"/>
        <w:jc w:val="both"/>
        <w:rPr>
          <w:rFonts w:cs="Arial"/>
        </w:rPr>
      </w:pPr>
    </w:p>
    <w:p w14:paraId="1E0F8ECB" w14:textId="2182004B" w:rsidR="000D1D92" w:rsidRDefault="006F6917" w:rsidP="006F6917">
      <w:pPr>
        <w:autoSpaceDE w:val="0"/>
        <w:autoSpaceDN w:val="0"/>
        <w:adjustRightInd w:val="0"/>
        <w:spacing w:before="0" w:after="0"/>
        <w:ind w:left="720"/>
        <w:jc w:val="both"/>
        <w:rPr>
          <w:rFonts w:cs="Arial"/>
          <w:sz w:val="22"/>
          <w:szCs w:val="22"/>
        </w:rPr>
      </w:pPr>
      <w:r w:rsidRPr="006F6917">
        <w:rPr>
          <w:rFonts w:cs="Arial"/>
          <w:sz w:val="22"/>
          <w:szCs w:val="22"/>
        </w:rPr>
        <w:t>Practice continues to evolve and it is likely that greater effects of the reforms will unfold over time.</w:t>
      </w:r>
      <w:r w:rsidR="001A5BDA">
        <w:rPr>
          <w:rStyle w:val="EndnoteReference"/>
          <w:rFonts w:cs="Arial"/>
          <w:szCs w:val="22"/>
        </w:rPr>
        <w:endnoteReference w:id="663"/>
      </w:r>
    </w:p>
    <w:p w14:paraId="4876B626" w14:textId="77777777" w:rsidR="001A5BDA" w:rsidRDefault="001A5BDA" w:rsidP="006F6917">
      <w:pPr>
        <w:autoSpaceDE w:val="0"/>
        <w:autoSpaceDN w:val="0"/>
        <w:adjustRightInd w:val="0"/>
        <w:spacing w:before="0" w:after="0"/>
        <w:ind w:left="720"/>
        <w:jc w:val="both"/>
        <w:rPr>
          <w:rFonts w:cs="Arial"/>
          <w:sz w:val="22"/>
          <w:szCs w:val="22"/>
        </w:rPr>
      </w:pPr>
    </w:p>
    <w:p w14:paraId="0D36A18E" w14:textId="131AC91D" w:rsidR="001A5BDA" w:rsidRPr="006F6917" w:rsidRDefault="001A5BDA" w:rsidP="001A5BDA">
      <w:pPr>
        <w:autoSpaceDE w:val="0"/>
        <w:autoSpaceDN w:val="0"/>
        <w:adjustRightInd w:val="0"/>
        <w:spacing w:before="0" w:after="0"/>
        <w:jc w:val="both"/>
        <w:rPr>
          <w:rFonts w:cs="Arial"/>
          <w:sz w:val="22"/>
          <w:szCs w:val="22"/>
        </w:rPr>
      </w:pPr>
      <w:r>
        <w:rPr>
          <w:rFonts w:cs="Arial"/>
        </w:rPr>
        <w:t>I look forward to reading the report in full, especially the issues it raises in relation to children’s safety and the family law system.</w:t>
      </w:r>
    </w:p>
    <w:p w14:paraId="6DA79588" w14:textId="77777777" w:rsidR="000D1D92" w:rsidRPr="00395F87" w:rsidRDefault="000D1D92" w:rsidP="000D1D92">
      <w:pPr>
        <w:pStyle w:val="Heading4"/>
      </w:pPr>
      <w:r w:rsidRPr="00395F87">
        <w:t>The Magellan Program</w:t>
      </w:r>
    </w:p>
    <w:p w14:paraId="512062C3" w14:textId="77777777" w:rsidR="000D1D92" w:rsidRDefault="000D1D92" w:rsidP="000D1D92">
      <w:pPr>
        <w:spacing w:before="0" w:after="0"/>
        <w:jc w:val="both"/>
        <w:rPr>
          <w:rFonts w:cs="Arial"/>
        </w:rPr>
      </w:pPr>
      <w:r>
        <w:t xml:space="preserve">Another issue brought to my attention </w:t>
      </w:r>
      <w:r w:rsidRPr="004D73B8">
        <w:t>is</w:t>
      </w:r>
      <w:r>
        <w:rPr>
          <w:sz w:val="22"/>
          <w:szCs w:val="22"/>
        </w:rPr>
        <w:t xml:space="preserve"> </w:t>
      </w:r>
      <w:r>
        <w:t xml:space="preserve">the operation of the </w:t>
      </w:r>
      <w:r>
        <w:rPr>
          <w:rFonts w:cs="Arial"/>
        </w:rPr>
        <w:t>Magellan Program</w:t>
      </w:r>
      <w:r>
        <w:rPr>
          <w:rStyle w:val="EndnoteReference"/>
          <w:rFonts w:cs="Arial"/>
        </w:rPr>
        <w:endnoteReference w:id="664"/>
      </w:r>
      <w:r>
        <w:rPr>
          <w:rFonts w:cs="Arial"/>
        </w:rPr>
        <w:t xml:space="preserve"> in the Family Court of Australia.</w:t>
      </w:r>
      <w:r w:rsidRPr="000B5A9C">
        <w:rPr>
          <w:rStyle w:val="EndnoteReference"/>
          <w:sz w:val="22"/>
          <w:szCs w:val="22"/>
        </w:rPr>
        <w:t xml:space="preserve"> </w:t>
      </w:r>
      <w:r w:rsidRPr="00940D62">
        <w:rPr>
          <w:rStyle w:val="EndnoteReference"/>
          <w:sz w:val="22"/>
          <w:szCs w:val="22"/>
        </w:rPr>
        <w:endnoteReference w:id="665"/>
      </w:r>
      <w:r w:rsidRPr="00940D62">
        <w:rPr>
          <w:sz w:val="22"/>
          <w:szCs w:val="22"/>
        </w:rPr>
        <w:t xml:space="preserve"> </w:t>
      </w:r>
      <w:r>
        <w:rPr>
          <w:rFonts w:cs="Arial"/>
        </w:rPr>
        <w:t>At present this program includes children who have experienced ‘serious physical abuse or sexual abuse’ only. The Family Court of Australia’s Annual Report 2013-2014 states that:</w:t>
      </w:r>
    </w:p>
    <w:p w14:paraId="6279C375" w14:textId="77777777" w:rsidR="000D1D92" w:rsidRDefault="000D1D92" w:rsidP="000D1D92">
      <w:pPr>
        <w:spacing w:before="0" w:after="0"/>
        <w:jc w:val="both"/>
        <w:rPr>
          <w:rFonts w:cs="Arial"/>
        </w:rPr>
      </w:pPr>
    </w:p>
    <w:p w14:paraId="744C3991" w14:textId="77777777" w:rsidR="000D1D92" w:rsidRDefault="000D1D92" w:rsidP="000D1D92">
      <w:pPr>
        <w:spacing w:before="0" w:after="0"/>
        <w:ind w:left="720"/>
        <w:jc w:val="both"/>
        <w:rPr>
          <w:sz w:val="22"/>
          <w:szCs w:val="22"/>
        </w:rPr>
      </w:pPr>
      <w:r w:rsidRPr="00EF5C2D">
        <w:rPr>
          <w:sz w:val="22"/>
          <w:szCs w:val="22"/>
        </w:rPr>
        <w:t xml:space="preserve">Magellan cases involve allegations of serious physical abuse or sexual abuse of a child and undergo special case management. When a Magellan case is identified, it is managed by a small team consisting of a judge, a registrar and a family consultant. </w:t>
      </w:r>
      <w:r w:rsidRPr="00EF5C2D">
        <w:rPr>
          <w:sz w:val="22"/>
          <w:szCs w:val="22"/>
        </w:rPr>
        <w:lastRenderedPageBreak/>
        <w:t>Magellan case management relies on collaborative and highly coordinated processes and procedures. A crucial aspect is strong interagency coordination, in particular with state and territory child protection agencies. This ensures that problems are dealt with efficiently and that high-quality information is shared. An independent children’s lawyer is appointed in every Magellan case, for which legal aid is uncapped</w:t>
      </w:r>
      <w:r>
        <w:rPr>
          <w:sz w:val="22"/>
          <w:szCs w:val="22"/>
        </w:rPr>
        <w:t xml:space="preserve">… </w:t>
      </w:r>
      <w:r w:rsidRPr="00990428">
        <w:rPr>
          <w:sz w:val="22"/>
          <w:szCs w:val="22"/>
        </w:rPr>
        <w:t>not all notices will necessarily result in the case being classified as a Magellan matter. The Court assesses and determines from the issues raised the matters that are managed under the Magellan program.</w:t>
      </w:r>
      <w:r>
        <w:rPr>
          <w:rStyle w:val="EndnoteReference"/>
          <w:szCs w:val="22"/>
        </w:rPr>
        <w:endnoteReference w:id="666"/>
      </w:r>
    </w:p>
    <w:p w14:paraId="2B495641" w14:textId="77777777" w:rsidR="000D1D92" w:rsidRDefault="000D1D92" w:rsidP="000D1D92">
      <w:pPr>
        <w:autoSpaceDE w:val="0"/>
        <w:autoSpaceDN w:val="0"/>
        <w:adjustRightInd w:val="0"/>
        <w:spacing w:before="0" w:after="0"/>
        <w:jc w:val="both"/>
        <w:rPr>
          <w:rFonts w:cs="Arial"/>
        </w:rPr>
      </w:pPr>
    </w:p>
    <w:p w14:paraId="377EC8B7" w14:textId="77777777" w:rsidR="000D1D92" w:rsidRDefault="000D1D92" w:rsidP="000D1D92">
      <w:pPr>
        <w:autoSpaceDE w:val="0"/>
        <w:autoSpaceDN w:val="0"/>
        <w:adjustRightInd w:val="0"/>
        <w:spacing w:before="0" w:after="0"/>
        <w:jc w:val="both"/>
        <w:rPr>
          <w:rFonts w:cs="Arial"/>
        </w:rPr>
      </w:pPr>
      <w:r>
        <w:rPr>
          <w:rFonts w:cs="Arial"/>
        </w:rPr>
        <w:t xml:space="preserve">Given the known impact of all types of family and domestic violence on children, and the complexity of cases that now present to the Family Court of Australia and the Federal Circuit Court of Australia, consideration should be given to expanding the </w:t>
      </w:r>
      <w:r w:rsidRPr="001B7BBD">
        <w:rPr>
          <w:rFonts w:cs="Arial"/>
        </w:rPr>
        <w:t xml:space="preserve">Magellan program </w:t>
      </w:r>
      <w:r>
        <w:rPr>
          <w:rFonts w:cs="Arial"/>
        </w:rPr>
        <w:t>to incorporate the broader definitions of family violence and abuse as reflected in the 2012 amendments.</w:t>
      </w:r>
    </w:p>
    <w:p w14:paraId="15E6EACD" w14:textId="77777777" w:rsidR="000D1D92" w:rsidRDefault="000D1D92" w:rsidP="000D1D92">
      <w:pPr>
        <w:autoSpaceDE w:val="0"/>
        <w:autoSpaceDN w:val="0"/>
        <w:adjustRightInd w:val="0"/>
        <w:spacing w:before="0" w:after="0"/>
        <w:jc w:val="both"/>
        <w:rPr>
          <w:rFonts w:cs="Arial"/>
        </w:rPr>
      </w:pPr>
    </w:p>
    <w:p w14:paraId="56CA778A" w14:textId="77777777" w:rsidR="000D1D92" w:rsidRDefault="000D1D92" w:rsidP="000D1D92">
      <w:pPr>
        <w:autoSpaceDE w:val="0"/>
        <w:autoSpaceDN w:val="0"/>
        <w:adjustRightInd w:val="0"/>
        <w:spacing w:before="0" w:after="0"/>
        <w:jc w:val="both"/>
        <w:rPr>
          <w:rFonts w:cs="Arial"/>
        </w:rPr>
      </w:pPr>
      <w:r>
        <w:rPr>
          <w:rFonts w:cs="Arial"/>
        </w:rPr>
        <w:t>This approach is supported by Professor Easteal and Dimian Grey who argue that:</w:t>
      </w:r>
    </w:p>
    <w:p w14:paraId="3058C466" w14:textId="77777777" w:rsidR="000D1D92" w:rsidRDefault="000D1D92" w:rsidP="000D1D92">
      <w:pPr>
        <w:autoSpaceDE w:val="0"/>
        <w:autoSpaceDN w:val="0"/>
        <w:adjustRightInd w:val="0"/>
        <w:spacing w:before="0" w:after="0"/>
        <w:ind w:left="720"/>
        <w:jc w:val="both"/>
        <w:rPr>
          <w:rFonts w:cs="Arial"/>
        </w:rPr>
      </w:pPr>
    </w:p>
    <w:p w14:paraId="587339AC" w14:textId="77777777" w:rsidR="000D1D92" w:rsidRDefault="000D1D92" w:rsidP="000D1D92">
      <w:pPr>
        <w:autoSpaceDE w:val="0"/>
        <w:autoSpaceDN w:val="0"/>
        <w:adjustRightInd w:val="0"/>
        <w:spacing w:before="0" w:after="0"/>
        <w:ind w:left="720"/>
        <w:jc w:val="both"/>
        <w:rPr>
          <w:rFonts w:cs="Arial"/>
        </w:rPr>
      </w:pPr>
      <w:r w:rsidRPr="00F32D2D">
        <w:rPr>
          <w:rFonts w:cs="Arial"/>
          <w:sz w:val="22"/>
          <w:szCs w:val="22"/>
        </w:rPr>
        <w:t>Exposure to family violence, or its after effects, does not seem to be attributed the same level of potential harm to children as direct abuse, especially sexual interference with a child…</w:t>
      </w:r>
      <w:r w:rsidRPr="00F32D2D">
        <w:rPr>
          <w:sz w:val="22"/>
          <w:szCs w:val="22"/>
        </w:rPr>
        <w:t xml:space="preserve"> </w:t>
      </w:r>
      <w:r w:rsidRPr="00F32D2D">
        <w:rPr>
          <w:rFonts w:cs="Arial"/>
          <w:sz w:val="22"/>
          <w:szCs w:val="22"/>
        </w:rPr>
        <w:t>This is despite research clearly showing that exposure to family violence is extremely harmful to children and that family violence is correlated with a heightened risk of child abuse</w:t>
      </w:r>
      <w:r w:rsidRPr="00DF0C25">
        <w:rPr>
          <w:rStyle w:val="EndnoteReference"/>
          <w:sz w:val="22"/>
          <w:szCs w:val="22"/>
        </w:rPr>
        <w:t xml:space="preserve"> </w:t>
      </w:r>
      <w:r w:rsidRPr="00940D62">
        <w:rPr>
          <w:rStyle w:val="EndnoteReference"/>
          <w:sz w:val="22"/>
          <w:szCs w:val="22"/>
        </w:rPr>
        <w:endnoteReference w:id="667"/>
      </w:r>
      <w:r>
        <w:rPr>
          <w:sz w:val="22"/>
          <w:szCs w:val="22"/>
        </w:rPr>
        <w:t>…</w:t>
      </w:r>
      <w:r w:rsidRPr="00F32D2D">
        <w:rPr>
          <w:rFonts w:cs="Arial"/>
        </w:rPr>
        <w:t xml:space="preserve"> </w:t>
      </w:r>
      <w:r w:rsidRPr="00F32D2D">
        <w:rPr>
          <w:rFonts w:cs="Arial"/>
          <w:sz w:val="22"/>
          <w:szCs w:val="22"/>
        </w:rPr>
        <w:t>The Magellan program should be expanded to include family violence matters in which the harms of exposure are an issue. A uniform integrated response would better ensure that informed investigation of individual cases would take place, translating into more in-depth and uniform child welfare expert evidence to better inform judicial perceptions of risk of harm.</w:t>
      </w:r>
      <w:r w:rsidRPr="00F32D2D">
        <w:rPr>
          <w:rStyle w:val="EndnoteReference"/>
          <w:sz w:val="22"/>
          <w:szCs w:val="22"/>
        </w:rPr>
        <w:t xml:space="preserve"> </w:t>
      </w:r>
      <w:r w:rsidRPr="00940D62">
        <w:rPr>
          <w:rStyle w:val="EndnoteReference"/>
          <w:sz w:val="22"/>
          <w:szCs w:val="22"/>
        </w:rPr>
        <w:endnoteReference w:id="668"/>
      </w:r>
    </w:p>
    <w:p w14:paraId="5778534D" w14:textId="77777777" w:rsidR="000D1D92" w:rsidRDefault="000D1D92" w:rsidP="000D1D92">
      <w:pPr>
        <w:autoSpaceDE w:val="0"/>
        <w:autoSpaceDN w:val="0"/>
        <w:adjustRightInd w:val="0"/>
        <w:spacing w:before="0" w:after="0"/>
        <w:jc w:val="both"/>
        <w:rPr>
          <w:rFonts w:cs="Arial"/>
        </w:rPr>
      </w:pPr>
    </w:p>
    <w:p w14:paraId="3E208651" w14:textId="77777777" w:rsidR="000D1D92" w:rsidRDefault="000D1D92" w:rsidP="000D1D92">
      <w:pPr>
        <w:autoSpaceDE w:val="0"/>
        <w:autoSpaceDN w:val="0"/>
        <w:adjustRightInd w:val="0"/>
        <w:spacing w:before="0" w:after="0"/>
        <w:jc w:val="both"/>
        <w:rPr>
          <w:rFonts w:cs="Arial"/>
        </w:rPr>
      </w:pPr>
      <w:r>
        <w:rPr>
          <w:rFonts w:cs="Arial"/>
        </w:rPr>
        <w:t>While I understand that amending the criteria for access to the Magellan program has resource implications for child protection agencies and the family law system, it also has the capacity to promote and protect the wellbeing of significantly more children affected by family violence.</w:t>
      </w:r>
    </w:p>
    <w:p w14:paraId="00CDA700" w14:textId="77777777" w:rsidR="000D1D92" w:rsidRDefault="000D1D92" w:rsidP="000D1D92">
      <w:pPr>
        <w:autoSpaceDE w:val="0"/>
        <w:autoSpaceDN w:val="0"/>
        <w:adjustRightInd w:val="0"/>
        <w:spacing w:before="0" w:after="0"/>
        <w:jc w:val="both"/>
        <w:rPr>
          <w:rFonts w:cs="Arial"/>
        </w:rPr>
      </w:pPr>
    </w:p>
    <w:tbl>
      <w:tblPr>
        <w:tblStyle w:val="TableGrid"/>
        <w:tblW w:w="0" w:type="auto"/>
        <w:shd w:val="clear" w:color="auto" w:fill="F2F2F2" w:themeFill="background1" w:themeFillShade="F2"/>
        <w:tblLook w:val="04A0" w:firstRow="1" w:lastRow="0" w:firstColumn="1" w:lastColumn="0" w:noHBand="0" w:noVBand="1"/>
      </w:tblPr>
      <w:tblGrid>
        <w:gridCol w:w="9286"/>
      </w:tblGrid>
      <w:tr w:rsidR="000D1D92" w14:paraId="4DA45932" w14:textId="77777777" w:rsidTr="00684616">
        <w:tc>
          <w:tcPr>
            <w:tcW w:w="9286" w:type="dxa"/>
            <w:shd w:val="clear" w:color="auto" w:fill="F2F2F2" w:themeFill="background1" w:themeFillShade="F2"/>
          </w:tcPr>
          <w:p w14:paraId="6C8C48BF" w14:textId="77777777" w:rsidR="000D1D92" w:rsidRDefault="000D1D92" w:rsidP="00684616">
            <w:pPr>
              <w:spacing w:before="0" w:after="0"/>
              <w:jc w:val="both"/>
              <w:rPr>
                <w:b/>
              </w:rPr>
            </w:pPr>
          </w:p>
          <w:p w14:paraId="5CCFA57F" w14:textId="77777777" w:rsidR="000D1D92" w:rsidRDefault="000D1D92" w:rsidP="00684616">
            <w:pPr>
              <w:spacing w:before="0" w:after="0"/>
              <w:jc w:val="both"/>
              <w:rPr>
                <w:b/>
              </w:rPr>
            </w:pPr>
            <w:r w:rsidRPr="00830F85">
              <w:rPr>
                <w:b/>
              </w:rPr>
              <w:t xml:space="preserve">Recommendation </w:t>
            </w:r>
            <w:r>
              <w:rPr>
                <w:b/>
              </w:rPr>
              <w:t>10</w:t>
            </w:r>
            <w:r w:rsidRPr="00830F85">
              <w:rPr>
                <w:b/>
              </w:rPr>
              <w:t xml:space="preserve">: </w:t>
            </w:r>
          </w:p>
          <w:p w14:paraId="250CE3E9" w14:textId="77777777" w:rsidR="000D1D92" w:rsidRDefault="000D1D92" w:rsidP="00684616">
            <w:pPr>
              <w:spacing w:before="0" w:after="0"/>
              <w:jc w:val="both"/>
              <w:rPr>
                <w:b/>
              </w:rPr>
            </w:pPr>
          </w:p>
          <w:p w14:paraId="7A903543" w14:textId="77777777" w:rsidR="000D1D92" w:rsidRDefault="000D1D92" w:rsidP="00684616">
            <w:pPr>
              <w:spacing w:before="0" w:after="0"/>
              <w:jc w:val="both"/>
              <w:rPr>
                <w:b/>
              </w:rPr>
            </w:pPr>
            <w:r>
              <w:rPr>
                <w:b/>
              </w:rPr>
              <w:t xml:space="preserve">A </w:t>
            </w:r>
            <w:r w:rsidRPr="00830F85">
              <w:rPr>
                <w:b/>
              </w:rPr>
              <w:t xml:space="preserve">review of the criteria for entry into the Magellan program </w:t>
            </w:r>
            <w:r>
              <w:rPr>
                <w:b/>
              </w:rPr>
              <w:t xml:space="preserve">should </w:t>
            </w:r>
            <w:r w:rsidRPr="00830F85">
              <w:rPr>
                <w:b/>
              </w:rPr>
              <w:t>be undertaken by the Family Court of Australia or another appropriate entity</w:t>
            </w:r>
            <w:r>
              <w:rPr>
                <w:b/>
              </w:rPr>
              <w:t>.</w:t>
            </w:r>
          </w:p>
          <w:p w14:paraId="09584075" w14:textId="77777777" w:rsidR="000D1D92" w:rsidRDefault="000D1D92" w:rsidP="00684616">
            <w:pPr>
              <w:spacing w:before="0" w:after="0"/>
              <w:jc w:val="both"/>
              <w:rPr>
                <w:b/>
              </w:rPr>
            </w:pPr>
          </w:p>
          <w:p w14:paraId="19AD7863" w14:textId="77777777" w:rsidR="000D1D92" w:rsidRDefault="000D1D92" w:rsidP="00684616">
            <w:pPr>
              <w:spacing w:before="0" w:after="0"/>
              <w:jc w:val="both"/>
              <w:rPr>
                <w:b/>
              </w:rPr>
            </w:pPr>
            <w:r>
              <w:rPr>
                <w:b/>
              </w:rPr>
              <w:t>Regard</w:t>
            </w:r>
            <w:r w:rsidRPr="00830F85">
              <w:rPr>
                <w:b/>
              </w:rPr>
              <w:t xml:space="preserve"> </w:t>
            </w:r>
            <w:r>
              <w:rPr>
                <w:b/>
              </w:rPr>
              <w:t>should be</w:t>
            </w:r>
            <w:r w:rsidRPr="00830F85">
              <w:rPr>
                <w:b/>
              </w:rPr>
              <w:t xml:space="preserve"> given to the findings and recommendations of the Victorian Royal Commission into Family Violence and also the Family Law Council </w:t>
            </w:r>
            <w:r>
              <w:rPr>
                <w:b/>
              </w:rPr>
              <w:t>Inquiry into</w:t>
            </w:r>
            <w:r w:rsidRPr="00830F85">
              <w:rPr>
                <w:b/>
              </w:rPr>
              <w:t xml:space="preserve"> families with complex needs and the intersection of the family law and child protection systems.</w:t>
            </w:r>
          </w:p>
          <w:p w14:paraId="2EF02410" w14:textId="77777777" w:rsidR="000D1D92" w:rsidRDefault="000D1D92" w:rsidP="00684616">
            <w:pPr>
              <w:spacing w:before="0" w:after="0"/>
              <w:jc w:val="both"/>
            </w:pPr>
          </w:p>
        </w:tc>
      </w:tr>
    </w:tbl>
    <w:p w14:paraId="34FEB5C5" w14:textId="77777777" w:rsidR="000D1D92" w:rsidRPr="00DD4518" w:rsidRDefault="000D1D92" w:rsidP="000D1D92">
      <w:pPr>
        <w:pStyle w:val="Heading4"/>
      </w:pPr>
      <w:r>
        <w:t>The work of the Family Law Council</w:t>
      </w:r>
    </w:p>
    <w:p w14:paraId="2A9021E8" w14:textId="77777777" w:rsidR="000D1D92" w:rsidRDefault="000D1D92" w:rsidP="000D1D92">
      <w:pPr>
        <w:spacing w:before="0" w:after="0"/>
        <w:jc w:val="both"/>
      </w:pPr>
      <w:r>
        <w:t xml:space="preserve">Currently, the Family Law Council is preparing a report on families with complex needs and the intersection of the family law and child protection systems. An interim report was released by the Commonwealth Attorney General on 21 August 2015, with the final report due by 30 June 2016. </w:t>
      </w:r>
    </w:p>
    <w:p w14:paraId="767184DD" w14:textId="77777777" w:rsidR="000D1D92" w:rsidRDefault="000D1D92" w:rsidP="000D1D92">
      <w:pPr>
        <w:spacing w:before="0" w:after="0"/>
        <w:jc w:val="both"/>
      </w:pPr>
    </w:p>
    <w:p w14:paraId="7C030C57" w14:textId="77777777" w:rsidR="000D1D92" w:rsidRDefault="000D1D92" w:rsidP="000D1D92">
      <w:pPr>
        <w:spacing w:before="0" w:after="0"/>
        <w:jc w:val="both"/>
      </w:pPr>
      <w:r>
        <w:lastRenderedPageBreak/>
        <w:t>In its Interim Report, the Family Law Council, through its review of research data and submissions, found that two aspects of the current legal system impede the protection of children. These are:</w:t>
      </w:r>
    </w:p>
    <w:p w14:paraId="1BFD61C4" w14:textId="77777777" w:rsidR="000D1D92" w:rsidRDefault="000D1D92" w:rsidP="000D1D92">
      <w:pPr>
        <w:spacing w:before="0" w:after="0"/>
        <w:jc w:val="both"/>
      </w:pPr>
    </w:p>
    <w:p w14:paraId="629C4EEE" w14:textId="77777777" w:rsidR="000D1D92" w:rsidRDefault="000D1D92" w:rsidP="000D1D92">
      <w:pPr>
        <w:pStyle w:val="ListParagraph"/>
        <w:numPr>
          <w:ilvl w:val="0"/>
          <w:numId w:val="38"/>
        </w:numPr>
        <w:spacing w:before="0" w:after="0"/>
        <w:jc w:val="both"/>
      </w:pPr>
      <w:r>
        <w:t>the increasingly public law nature of the parenting order work of the family courts, which were designed to deal with private law matters; and</w:t>
      </w:r>
    </w:p>
    <w:p w14:paraId="218CD92E" w14:textId="77777777" w:rsidR="000D1D92" w:rsidRDefault="000D1D92" w:rsidP="000D1D92">
      <w:pPr>
        <w:pStyle w:val="ListParagraph"/>
        <w:spacing w:before="0" w:after="0"/>
        <w:ind w:left="1080"/>
        <w:jc w:val="both"/>
      </w:pPr>
    </w:p>
    <w:p w14:paraId="33746F96" w14:textId="77777777" w:rsidR="000D1D92" w:rsidRDefault="000D1D92" w:rsidP="000D1D92">
      <w:pPr>
        <w:pStyle w:val="ListParagraph"/>
        <w:numPr>
          <w:ilvl w:val="0"/>
          <w:numId w:val="38"/>
        </w:numPr>
        <w:spacing w:before="0" w:after="0"/>
        <w:jc w:val="both"/>
      </w:pPr>
      <w:r>
        <w:t xml:space="preserve">the separation of courts and systems dealing with parenting orders, child </w:t>
      </w:r>
    </w:p>
    <w:p w14:paraId="14E997F9" w14:textId="77777777" w:rsidR="000D1D92" w:rsidRDefault="000D1D92" w:rsidP="000D1D92">
      <w:pPr>
        <w:spacing w:before="0" w:after="0"/>
        <w:ind w:left="360" w:firstLine="720"/>
        <w:jc w:val="both"/>
      </w:pPr>
      <w:r>
        <w:t>protection and family violence matters.</w:t>
      </w:r>
      <w:r>
        <w:rPr>
          <w:rStyle w:val="EndnoteReference"/>
        </w:rPr>
        <w:endnoteReference w:id="669"/>
      </w:r>
    </w:p>
    <w:p w14:paraId="6077F410" w14:textId="77777777" w:rsidR="000D1D92" w:rsidRDefault="000D1D92" w:rsidP="000D1D92">
      <w:pPr>
        <w:spacing w:before="0" w:after="0"/>
        <w:jc w:val="both"/>
      </w:pPr>
    </w:p>
    <w:p w14:paraId="74DAE406" w14:textId="77777777" w:rsidR="000D1D92" w:rsidRPr="0063389E" w:rsidRDefault="000D1D92" w:rsidP="000D1D92">
      <w:pPr>
        <w:spacing w:before="0" w:after="0"/>
        <w:jc w:val="both"/>
      </w:pPr>
      <w:r w:rsidRPr="0063389E">
        <w:t>Specifically, the Interim Report</w:t>
      </w:r>
      <w:r>
        <w:t xml:space="preserve"> noted that:</w:t>
      </w:r>
    </w:p>
    <w:p w14:paraId="0C6AAEB2" w14:textId="77777777" w:rsidR="000D1D92" w:rsidRDefault="000D1D92" w:rsidP="000D1D92">
      <w:pPr>
        <w:spacing w:before="0" w:after="0"/>
        <w:jc w:val="both"/>
      </w:pPr>
    </w:p>
    <w:p w14:paraId="73BCA785" w14:textId="77777777" w:rsidR="000D1D92" w:rsidRPr="00E471EE" w:rsidRDefault="000D1D92" w:rsidP="000D1D92">
      <w:pPr>
        <w:spacing w:before="0" w:after="0"/>
        <w:ind w:left="720"/>
        <w:jc w:val="both"/>
        <w:rPr>
          <w:sz w:val="22"/>
        </w:rPr>
      </w:pPr>
      <w:r w:rsidRPr="00E471EE">
        <w:rPr>
          <w:sz w:val="22"/>
        </w:rPr>
        <w:t>The family courts have no capacity to compel a child protection department to intervene in a family law case or to investigate the family court’s concerns, and the family law system has no independent investigative body akin to a child protection department that can provide the courts with a forensic assessment of child risk issues. These limitations mean that the risk of harm to children in family law cases is managed by judicial officers within a framework designed for ‘private’ disputes about the child’s care time with each parent, rather than a child protection framework. Although the family courts are not strictly bound by the proposals of the parties, there will rarely be an option available to a judicial officer beyond making a parenting order in favour of the ‘least detrimental’ of the proposals presented to the court.</w:t>
      </w:r>
      <w:r w:rsidRPr="00E471EE">
        <w:rPr>
          <w:rStyle w:val="EndnoteReference"/>
          <w:sz w:val="18"/>
        </w:rPr>
        <w:endnoteReference w:id="670"/>
      </w:r>
    </w:p>
    <w:p w14:paraId="277396C0" w14:textId="77777777" w:rsidR="000D1D92" w:rsidRDefault="000D1D92" w:rsidP="000D1D92">
      <w:pPr>
        <w:spacing w:before="0" w:after="0"/>
        <w:jc w:val="both"/>
      </w:pPr>
    </w:p>
    <w:p w14:paraId="186AF9ED" w14:textId="77777777" w:rsidR="000D1D92" w:rsidRDefault="000D1D92" w:rsidP="000D1D92">
      <w:pPr>
        <w:spacing w:before="0" w:after="0"/>
        <w:jc w:val="both"/>
      </w:pPr>
      <w:r>
        <w:t xml:space="preserve">The Interim Report focuses on the </w:t>
      </w:r>
      <w:r w:rsidRPr="00411B7F">
        <w:t>prospect of having a streamlined, coherent and integrated approach to improve the overall safety of families and in particular children, while involved in the family law, child protection and</w:t>
      </w:r>
      <w:r>
        <w:t xml:space="preserve"> family violence jurisdictions.</w:t>
      </w:r>
    </w:p>
    <w:p w14:paraId="5B02B916" w14:textId="77777777" w:rsidR="000D1D92" w:rsidRDefault="000D1D92" w:rsidP="000D1D92">
      <w:pPr>
        <w:spacing w:before="0" w:after="0"/>
        <w:jc w:val="both"/>
      </w:pPr>
    </w:p>
    <w:p w14:paraId="12835F7B" w14:textId="77777777" w:rsidR="000D1D92" w:rsidRDefault="000D1D92" w:rsidP="000D1D92">
      <w:pPr>
        <w:spacing w:before="0" w:after="0"/>
        <w:jc w:val="both"/>
      </w:pPr>
      <w:r>
        <w:t>The Family Law Council made six recommendations in its Interim Report</w:t>
      </w:r>
      <w:r w:rsidRPr="00411B7F">
        <w:t xml:space="preserve"> to the Attorney-General</w:t>
      </w:r>
      <w:r>
        <w:t>. The Family Law Council indicates that t</w:t>
      </w:r>
      <w:r w:rsidRPr="005F2871">
        <w:t xml:space="preserve">hese </w:t>
      </w:r>
      <w:r>
        <w:t xml:space="preserve">issues </w:t>
      </w:r>
      <w:r w:rsidRPr="005F2871">
        <w:t xml:space="preserve">will be </w:t>
      </w:r>
      <w:r>
        <w:t>further considered</w:t>
      </w:r>
      <w:r w:rsidRPr="005F2871">
        <w:t xml:space="preserve"> </w:t>
      </w:r>
      <w:r>
        <w:t xml:space="preserve">and addressed </w:t>
      </w:r>
      <w:r w:rsidRPr="005F2871">
        <w:t>in</w:t>
      </w:r>
      <w:r>
        <w:t xml:space="preserve"> its final report.</w:t>
      </w:r>
      <w:r>
        <w:rPr>
          <w:rStyle w:val="EndnoteReference"/>
        </w:rPr>
        <w:endnoteReference w:id="671"/>
      </w:r>
      <w:r>
        <w:t xml:space="preserve"> </w:t>
      </w:r>
    </w:p>
    <w:p w14:paraId="54F2A708" w14:textId="77777777" w:rsidR="000D1D92" w:rsidRDefault="000D1D92" w:rsidP="000D1D92">
      <w:pPr>
        <w:spacing w:before="0" w:after="0"/>
        <w:jc w:val="both"/>
      </w:pPr>
    </w:p>
    <w:p w14:paraId="7BFEC454" w14:textId="77777777" w:rsidR="000D1D92" w:rsidRDefault="000D1D92" w:rsidP="000D1D92">
      <w:pPr>
        <w:spacing w:before="0" w:after="0"/>
        <w:jc w:val="both"/>
      </w:pPr>
      <w:r>
        <w:t>The Interim Report by the Family Law Council states that its recommendations:</w:t>
      </w:r>
    </w:p>
    <w:p w14:paraId="77BED654" w14:textId="77777777" w:rsidR="000D1D92" w:rsidRDefault="000D1D92" w:rsidP="000D1D92">
      <w:pPr>
        <w:spacing w:before="0" w:after="0"/>
        <w:jc w:val="both"/>
      </w:pPr>
    </w:p>
    <w:p w14:paraId="6F31529E" w14:textId="77777777" w:rsidR="000D1D92" w:rsidRPr="00E471EE" w:rsidRDefault="000D1D92" w:rsidP="000D1D92">
      <w:pPr>
        <w:spacing w:before="0" w:after="0"/>
        <w:ind w:left="720"/>
        <w:jc w:val="both"/>
        <w:rPr>
          <w:sz w:val="22"/>
        </w:rPr>
      </w:pPr>
      <w:r w:rsidRPr="00E471EE">
        <w:rPr>
          <w:sz w:val="22"/>
        </w:rPr>
        <w:t xml:space="preserve">Represent the first step in a larger program of reform to address the wider systemic issues. In particular, </w:t>
      </w:r>
      <w:r>
        <w:rPr>
          <w:sz w:val="22"/>
        </w:rPr>
        <w:t xml:space="preserve">the </w:t>
      </w:r>
      <w:r w:rsidRPr="00E471EE">
        <w:rPr>
          <w:sz w:val="22"/>
        </w:rPr>
        <w:t>Council’s recommendations are designed to build on the stated priorities of the National Framework for Protecting Australia’s Children 2009-2020 and the National Plan to Reduce Violence against Women and their Children 2010-2022.</w:t>
      </w:r>
      <w:r w:rsidRPr="00E471EE">
        <w:rPr>
          <w:rStyle w:val="EndnoteReference"/>
          <w:sz w:val="18"/>
        </w:rPr>
        <w:endnoteReference w:id="672"/>
      </w:r>
    </w:p>
    <w:p w14:paraId="523B6C36" w14:textId="77777777" w:rsidR="000D1D92" w:rsidRDefault="000D1D92" w:rsidP="000D1D92">
      <w:pPr>
        <w:spacing w:before="0" w:after="0"/>
        <w:jc w:val="both"/>
      </w:pPr>
    </w:p>
    <w:p w14:paraId="4CB33459" w14:textId="77777777" w:rsidR="000D1D92" w:rsidRDefault="000D1D92" w:rsidP="000D1D92">
      <w:pPr>
        <w:spacing w:before="0" w:after="0"/>
        <w:jc w:val="both"/>
      </w:pPr>
      <w:r>
        <w:t xml:space="preserve">The intent of the Family Law Council to be inclusive of the existing work of the </w:t>
      </w:r>
      <w:r w:rsidRPr="00FD44ED">
        <w:t>National Framework for Protecting Australia’s Children 2009-2020 and the National Plan to Reduce Violence against Women and their Children 2010-2022</w:t>
      </w:r>
      <w:r>
        <w:t xml:space="preserve"> is very welcome. </w:t>
      </w:r>
    </w:p>
    <w:p w14:paraId="11EC2748" w14:textId="77777777" w:rsidR="000D1D92" w:rsidRDefault="000D1D92" w:rsidP="000D1D92">
      <w:pPr>
        <w:spacing w:before="0" w:after="0"/>
        <w:jc w:val="both"/>
      </w:pPr>
    </w:p>
    <w:p w14:paraId="2BABACAE" w14:textId="77777777" w:rsidR="000D1D92" w:rsidRDefault="000D1D92" w:rsidP="000D1D92">
      <w:pPr>
        <w:spacing w:before="0" w:after="0"/>
        <w:jc w:val="both"/>
      </w:pPr>
      <w:r>
        <w:t>As a member of the National Forum for</w:t>
      </w:r>
      <w:r w:rsidRPr="006B7515">
        <w:t xml:space="preserve"> Protecting Australia’s Children</w:t>
      </w:r>
      <w:r>
        <w:t xml:space="preserve">, I look forward to engaging with the Family Law Council as it progresses towards its final report and recommendations. </w:t>
      </w:r>
    </w:p>
    <w:p w14:paraId="740C5989" w14:textId="77777777" w:rsidR="000D1D92" w:rsidRDefault="000D1D92" w:rsidP="000D1D92">
      <w:pPr>
        <w:autoSpaceDE w:val="0"/>
        <w:autoSpaceDN w:val="0"/>
        <w:adjustRightInd w:val="0"/>
        <w:spacing w:before="0" w:after="0"/>
        <w:jc w:val="both"/>
      </w:pPr>
    </w:p>
    <w:p w14:paraId="18D3E42B" w14:textId="77777777" w:rsidR="000D1D92" w:rsidRDefault="000D1D92" w:rsidP="000D1D92">
      <w:pPr>
        <w:autoSpaceDE w:val="0"/>
        <w:autoSpaceDN w:val="0"/>
        <w:adjustRightInd w:val="0"/>
        <w:spacing w:before="0" w:after="0"/>
        <w:jc w:val="both"/>
      </w:pPr>
      <w:r>
        <w:t xml:space="preserve">I also advocate that the Family Law Council directly consults with children as part of its work. Hearing the views of those most affected by the decisions that the courts make is fundamental to any program of reform. </w:t>
      </w:r>
    </w:p>
    <w:p w14:paraId="13E501CB" w14:textId="77777777" w:rsidR="000D1D92" w:rsidRPr="00DD4518" w:rsidRDefault="000D1D92" w:rsidP="000D1D92">
      <w:pPr>
        <w:pStyle w:val="Heading4"/>
      </w:pPr>
      <w:r w:rsidRPr="00DD4518">
        <w:rPr>
          <w:lang w:val="en"/>
        </w:rPr>
        <w:lastRenderedPageBreak/>
        <w:t>The joint Family Court/Federal Circuit Court Children's Committee</w:t>
      </w:r>
      <w:r w:rsidRPr="00DD4518">
        <w:rPr>
          <w:rFonts w:ascii="Helvetica Neue" w:hAnsi="Helvetica Neue"/>
          <w:sz w:val="21"/>
          <w:szCs w:val="21"/>
          <w:lang w:val="en"/>
        </w:rPr>
        <w:t xml:space="preserve"> </w:t>
      </w:r>
    </w:p>
    <w:p w14:paraId="65993E4B" w14:textId="77777777" w:rsidR="000D1D92" w:rsidRDefault="000D1D92" w:rsidP="000D1D92">
      <w:pPr>
        <w:spacing w:before="0" w:after="0"/>
        <w:jc w:val="both"/>
      </w:pPr>
      <w:r>
        <w:t>In 2012, the Chief Justice of the Family Court and the Chief Judge of the Federal Circuit Court established a joint Children’s Committee to:</w:t>
      </w:r>
    </w:p>
    <w:p w14:paraId="42F7BD9B" w14:textId="77777777" w:rsidR="000D1D92" w:rsidRPr="000B6C34" w:rsidRDefault="000D1D92" w:rsidP="000D1D92">
      <w:pPr>
        <w:spacing w:before="0" w:after="0"/>
        <w:ind w:left="1440"/>
        <w:jc w:val="both"/>
        <w:rPr>
          <w:sz w:val="22"/>
          <w:szCs w:val="22"/>
        </w:rPr>
      </w:pPr>
    </w:p>
    <w:p w14:paraId="3531AE8A" w14:textId="77777777" w:rsidR="000D1D92" w:rsidRPr="000B6C34" w:rsidRDefault="000D1D92" w:rsidP="000D1D92">
      <w:pPr>
        <w:spacing w:before="0" w:after="0"/>
        <w:ind w:left="1440"/>
        <w:jc w:val="both"/>
        <w:rPr>
          <w:sz w:val="22"/>
          <w:szCs w:val="22"/>
        </w:rPr>
      </w:pPr>
      <w:r>
        <w:rPr>
          <w:rFonts w:cs="Trade Gothic LT Std Light"/>
          <w:color w:val="000000"/>
          <w:sz w:val="22"/>
          <w:szCs w:val="22"/>
        </w:rPr>
        <w:t>explore what…</w:t>
      </w:r>
      <w:r w:rsidRPr="000B6C34">
        <w:rPr>
          <w:rFonts w:cs="Trade Gothic LT Std Light"/>
          <w:color w:val="000000"/>
          <w:sz w:val="22"/>
          <w:szCs w:val="22"/>
        </w:rPr>
        <w:t>work needs to be undertaken with respect to the involvement of children in parenting cases and how the courts might ascertain whether children feel their voices have been heard in proceedings that addressed their living arrangements.</w:t>
      </w:r>
      <w:r>
        <w:rPr>
          <w:rStyle w:val="EndnoteReference"/>
        </w:rPr>
        <w:endnoteReference w:id="673"/>
      </w:r>
      <w:r>
        <w:t xml:space="preserve"> </w:t>
      </w:r>
    </w:p>
    <w:p w14:paraId="4E01A5B2" w14:textId="77777777" w:rsidR="000D1D92" w:rsidRDefault="000D1D92" w:rsidP="000D1D92">
      <w:pPr>
        <w:spacing w:before="0" w:after="0"/>
        <w:jc w:val="both"/>
      </w:pPr>
    </w:p>
    <w:p w14:paraId="303E7508" w14:textId="77777777" w:rsidR="000D1D92" w:rsidRDefault="000D1D92" w:rsidP="000D1D92">
      <w:pPr>
        <w:spacing w:before="0" w:after="0"/>
        <w:jc w:val="both"/>
      </w:pPr>
      <w:r>
        <w:t xml:space="preserve">According to the Chief Justice of the Family Court, one of the factors leading to the establishment of the </w:t>
      </w:r>
      <w:r w:rsidRPr="007D4A0C">
        <w:t xml:space="preserve">Family Court/Federal Circuit Court Children's Committee </w:t>
      </w:r>
      <w:r>
        <w:t xml:space="preserve">was the need </w:t>
      </w:r>
      <w:r w:rsidRPr="002D736E">
        <w:t>to explore the issue of whether the voice of the child was being appropriately heard in parenting cases</w:t>
      </w:r>
      <w:r>
        <w:t>.</w:t>
      </w:r>
      <w:r>
        <w:rPr>
          <w:rStyle w:val="EndnoteReference"/>
        </w:rPr>
        <w:endnoteReference w:id="674"/>
      </w:r>
      <w:r>
        <w:t xml:space="preserve"> </w:t>
      </w:r>
    </w:p>
    <w:p w14:paraId="671C85CD" w14:textId="77777777" w:rsidR="000D1D92" w:rsidRDefault="000D1D92" w:rsidP="000D1D92">
      <w:pPr>
        <w:spacing w:before="0" w:after="0"/>
        <w:jc w:val="both"/>
      </w:pPr>
    </w:p>
    <w:p w14:paraId="4C45F7C4" w14:textId="77777777" w:rsidR="000D1D92" w:rsidRDefault="000D1D92" w:rsidP="000D1D92">
      <w:pPr>
        <w:spacing w:before="0" w:after="0"/>
        <w:jc w:val="both"/>
      </w:pPr>
      <w:r>
        <w:t>In 2012, t</w:t>
      </w:r>
      <w:r w:rsidRPr="00370CC1">
        <w:t xml:space="preserve">he joint Family Court/Federal Circuit Court Children's Committee </w:t>
      </w:r>
      <w:r>
        <w:t>asked the ACT Children and Young People Commissioner to undertake a consultation with children and young people about their participation in court proceedings.</w:t>
      </w:r>
      <w:r>
        <w:rPr>
          <w:rStyle w:val="EndnoteReference"/>
        </w:rPr>
        <w:endnoteReference w:id="675"/>
      </w:r>
      <w:r>
        <w:t xml:space="preserve"> </w:t>
      </w:r>
    </w:p>
    <w:p w14:paraId="333F026E" w14:textId="77777777" w:rsidR="000D1D92" w:rsidRDefault="000D1D92" w:rsidP="000D1D92">
      <w:pPr>
        <w:spacing w:before="0" w:after="0"/>
        <w:jc w:val="both"/>
      </w:pPr>
    </w:p>
    <w:p w14:paraId="134D02D7" w14:textId="77777777" w:rsidR="000D1D92" w:rsidRDefault="000D1D92" w:rsidP="000D1D92">
      <w:pPr>
        <w:spacing w:before="0" w:after="0"/>
        <w:jc w:val="both"/>
      </w:pPr>
      <w:r>
        <w:t xml:space="preserve">The consultation involved 15 children aged between 11 and 13 years. </w:t>
      </w:r>
      <w:r w:rsidRPr="00A87ECD">
        <w:t xml:space="preserve">13 of </w:t>
      </w:r>
      <w:r>
        <w:t>15 children, in a show of hands,</w:t>
      </w:r>
      <w:r w:rsidRPr="00A87ECD">
        <w:t xml:space="preserve"> felt that children and young people should have a say in Family Court matters.</w:t>
      </w:r>
      <w:r>
        <w:t xml:space="preserve"> The ACT Children and Young People Commissioner recommended that further consultations should occur with larger numbers of children and young people.</w:t>
      </w:r>
      <w:r w:rsidRPr="00A87ECD">
        <w:t xml:space="preserve"> </w:t>
      </w:r>
    </w:p>
    <w:p w14:paraId="0C72B385" w14:textId="77777777" w:rsidR="000D1D92" w:rsidRDefault="000D1D92" w:rsidP="000D1D92">
      <w:pPr>
        <w:spacing w:before="0" w:after="0"/>
        <w:jc w:val="both"/>
      </w:pPr>
    </w:p>
    <w:p w14:paraId="275DBEBF" w14:textId="77777777" w:rsidR="000D1D92" w:rsidRDefault="000D1D92" w:rsidP="000D1D92">
      <w:pPr>
        <w:spacing w:before="0" w:after="0"/>
        <w:jc w:val="both"/>
      </w:pPr>
      <w:r>
        <w:t xml:space="preserve">The </w:t>
      </w:r>
      <w:r w:rsidRPr="007D4A0C">
        <w:t xml:space="preserve">joint Family Court/Federal Circuit Court Children's Committee </w:t>
      </w:r>
      <w:r>
        <w:t>has indicated that it would like to engage with me in my role as National Children’s Commissioner in order to advance its objectives.</w:t>
      </w:r>
      <w:r>
        <w:rPr>
          <w:rStyle w:val="EndnoteReference"/>
        </w:rPr>
        <w:endnoteReference w:id="676"/>
      </w:r>
      <w:r>
        <w:t xml:space="preserve"> </w:t>
      </w:r>
    </w:p>
    <w:p w14:paraId="526B7F86" w14:textId="77777777" w:rsidR="000D1D92" w:rsidRDefault="000D1D92" w:rsidP="000D1D92">
      <w:pPr>
        <w:spacing w:before="0" w:after="0"/>
        <w:jc w:val="both"/>
      </w:pPr>
    </w:p>
    <w:p w14:paraId="0108253B" w14:textId="77777777" w:rsidR="000D1D92" w:rsidRDefault="000D1D92" w:rsidP="000D1D92">
      <w:pPr>
        <w:spacing w:before="0" w:after="0"/>
        <w:jc w:val="both"/>
      </w:pPr>
      <w:r>
        <w:t xml:space="preserve">Given my statutory responsibility to promote the human rights of all children in Australia, and the representations that have been made to me about children’s safety and involvement in the family law system, particularly throughout my examination of family and domestic violence, I am pleased to offer my assistance to the Joint Children’s Committee. </w:t>
      </w:r>
    </w:p>
    <w:p w14:paraId="3088EAFA" w14:textId="77777777" w:rsidR="000D1D92" w:rsidRDefault="000D1D92" w:rsidP="000D1D92">
      <w:pPr>
        <w:autoSpaceDE w:val="0"/>
        <w:autoSpaceDN w:val="0"/>
        <w:adjustRightInd w:val="0"/>
        <w:spacing w:before="0" w:after="0"/>
        <w:jc w:val="both"/>
        <w:rPr>
          <w:rFonts w:cs="Arial"/>
        </w:rPr>
      </w:pPr>
    </w:p>
    <w:p w14:paraId="0FAB488C" w14:textId="77777777" w:rsidR="000D1D92" w:rsidRDefault="000D1D92" w:rsidP="000D1D92">
      <w:pPr>
        <w:autoSpaceDE w:val="0"/>
        <w:autoSpaceDN w:val="0"/>
        <w:adjustRightInd w:val="0"/>
        <w:spacing w:before="0" w:after="0"/>
        <w:jc w:val="both"/>
        <w:rPr>
          <w:rFonts w:cs="Arial"/>
          <w:lang w:val="en"/>
        </w:rPr>
      </w:pPr>
      <w:r>
        <w:rPr>
          <w:rFonts w:cs="Arial"/>
        </w:rPr>
        <w:t>I am aware of the</w:t>
      </w:r>
      <w:r w:rsidRPr="009A325D">
        <w:rPr>
          <w:rFonts w:cs="Arial"/>
        </w:rPr>
        <w:t xml:space="preserve"> Family Violence Plan 2014–16 </w:t>
      </w:r>
      <w:r>
        <w:rPr>
          <w:rFonts w:cs="Arial"/>
        </w:rPr>
        <w:t>which is being implemented in the</w:t>
      </w:r>
      <w:r w:rsidRPr="009A325D">
        <w:rPr>
          <w:rFonts w:cs="Arial"/>
        </w:rPr>
        <w:t xml:space="preserve"> Family Court </w:t>
      </w:r>
      <w:r>
        <w:rPr>
          <w:rFonts w:cs="Arial"/>
        </w:rPr>
        <w:t xml:space="preserve">of Australia </w:t>
      </w:r>
      <w:r w:rsidRPr="009A325D">
        <w:rPr>
          <w:rFonts w:cs="Arial"/>
        </w:rPr>
        <w:t>and the Feder</w:t>
      </w:r>
      <w:r>
        <w:rPr>
          <w:rFonts w:cs="Arial"/>
        </w:rPr>
        <w:t>al Circuit Court.</w:t>
      </w:r>
      <w:r>
        <w:rPr>
          <w:rStyle w:val="EndnoteReference"/>
          <w:rFonts w:cs="Arial"/>
        </w:rPr>
        <w:endnoteReference w:id="677"/>
      </w:r>
      <w:r>
        <w:rPr>
          <w:rFonts w:cs="Arial"/>
        </w:rPr>
        <w:t xml:space="preserve"> </w:t>
      </w:r>
      <w:r w:rsidRPr="00C16F4B">
        <w:rPr>
          <w:rFonts w:cs="Arial"/>
        </w:rPr>
        <w:t xml:space="preserve">The updated </w:t>
      </w:r>
      <w:r w:rsidRPr="00186AEE">
        <w:rPr>
          <w:rFonts w:cs="Arial"/>
          <w:i/>
          <w:lang w:val="en"/>
        </w:rPr>
        <w:t>Family Violence Best Practice Principles</w:t>
      </w:r>
      <w:r w:rsidRPr="00C16F4B">
        <w:rPr>
          <w:rFonts w:cs="Arial"/>
          <w:lang w:val="en"/>
        </w:rPr>
        <w:t xml:space="preserve"> used in both courts provides soun</w:t>
      </w:r>
      <w:r>
        <w:rPr>
          <w:rFonts w:cs="Arial"/>
          <w:lang w:val="en"/>
        </w:rPr>
        <w:t>d guidance to judicial officers.</w:t>
      </w:r>
    </w:p>
    <w:p w14:paraId="390AEC07" w14:textId="77777777" w:rsidR="000D1D92" w:rsidRDefault="000D1D92" w:rsidP="000D1D92">
      <w:pPr>
        <w:autoSpaceDE w:val="0"/>
        <w:autoSpaceDN w:val="0"/>
        <w:adjustRightInd w:val="0"/>
        <w:spacing w:before="0" w:after="0"/>
        <w:jc w:val="both"/>
        <w:rPr>
          <w:rFonts w:cs="Arial"/>
          <w:lang w:val="en"/>
        </w:rPr>
      </w:pPr>
    </w:p>
    <w:p w14:paraId="730D9D79" w14:textId="77777777" w:rsidR="000D1D92" w:rsidRDefault="000D1D92" w:rsidP="000D1D92">
      <w:pPr>
        <w:autoSpaceDE w:val="0"/>
        <w:autoSpaceDN w:val="0"/>
        <w:adjustRightInd w:val="0"/>
        <w:spacing w:before="0" w:after="0"/>
        <w:jc w:val="both"/>
        <w:rPr>
          <w:rFonts w:cs="Arial"/>
        </w:rPr>
      </w:pPr>
      <w:r>
        <w:rPr>
          <w:rFonts w:cs="Arial"/>
          <w:lang w:val="en"/>
        </w:rPr>
        <w:t xml:space="preserve">I </w:t>
      </w:r>
      <w:r>
        <w:rPr>
          <w:rFonts w:cs="Arial"/>
        </w:rPr>
        <w:t xml:space="preserve">acknowledge the commitment of both courts </w:t>
      </w:r>
      <w:r w:rsidRPr="009A325D">
        <w:rPr>
          <w:rFonts w:cs="Arial"/>
        </w:rPr>
        <w:t xml:space="preserve">to </w:t>
      </w:r>
      <w:r>
        <w:rPr>
          <w:rFonts w:cs="Arial"/>
        </w:rPr>
        <w:t>children’s safety and wellbeing, and t</w:t>
      </w:r>
      <w:r w:rsidRPr="009A325D">
        <w:rPr>
          <w:rFonts w:cs="Arial"/>
        </w:rPr>
        <w:t>he early identification and management of matters where violence, or the risk of violence, is alleged</w:t>
      </w:r>
      <w:r>
        <w:rPr>
          <w:rFonts w:cs="Arial"/>
        </w:rPr>
        <w:t>.</w:t>
      </w:r>
    </w:p>
    <w:p w14:paraId="6C5F13B4" w14:textId="77777777" w:rsidR="000D1D92" w:rsidRDefault="000D1D92" w:rsidP="000D1D92">
      <w:pPr>
        <w:autoSpaceDE w:val="0"/>
        <w:autoSpaceDN w:val="0"/>
        <w:adjustRightInd w:val="0"/>
        <w:spacing w:before="0" w:after="0"/>
        <w:jc w:val="both"/>
        <w:rPr>
          <w:rFonts w:cs="Arial"/>
        </w:rPr>
      </w:pPr>
    </w:p>
    <w:tbl>
      <w:tblPr>
        <w:tblStyle w:val="TableGrid"/>
        <w:tblW w:w="0" w:type="auto"/>
        <w:shd w:val="clear" w:color="auto" w:fill="000000" w:themeFill="text1"/>
        <w:tblLook w:val="04A0" w:firstRow="1" w:lastRow="0" w:firstColumn="1" w:lastColumn="0" w:noHBand="0" w:noVBand="1"/>
      </w:tblPr>
      <w:tblGrid>
        <w:gridCol w:w="9060"/>
      </w:tblGrid>
      <w:tr w:rsidR="000D1D92" w:rsidRPr="007407A6" w14:paraId="28A3D26B" w14:textId="77777777" w:rsidTr="00684616">
        <w:trPr>
          <w:trHeight w:val="1006"/>
        </w:trPr>
        <w:tc>
          <w:tcPr>
            <w:tcW w:w="9060" w:type="dxa"/>
            <w:shd w:val="clear" w:color="auto" w:fill="F2F2F2" w:themeFill="background1" w:themeFillShade="F2"/>
            <w:vAlign w:val="center"/>
          </w:tcPr>
          <w:p w14:paraId="1683DE33" w14:textId="77777777" w:rsidR="000D1D92" w:rsidRDefault="000D1D92" w:rsidP="00684616">
            <w:pPr>
              <w:spacing w:before="0" w:after="0"/>
              <w:rPr>
                <w:b/>
              </w:rPr>
            </w:pPr>
          </w:p>
          <w:p w14:paraId="5BEFFD1A" w14:textId="77777777" w:rsidR="000D1D92" w:rsidRDefault="000D1D92" w:rsidP="00684616">
            <w:pPr>
              <w:spacing w:before="0" w:after="0"/>
              <w:rPr>
                <w:b/>
              </w:rPr>
            </w:pPr>
            <w:r>
              <w:rPr>
                <w:b/>
              </w:rPr>
              <w:t>Summary</w:t>
            </w:r>
          </w:p>
          <w:p w14:paraId="20CDBF97" w14:textId="77777777" w:rsidR="000D1D92" w:rsidRDefault="000D1D92" w:rsidP="00684616">
            <w:pPr>
              <w:spacing w:before="0" w:after="0"/>
              <w:rPr>
                <w:b/>
              </w:rPr>
            </w:pPr>
          </w:p>
          <w:p w14:paraId="103BC1F9" w14:textId="77777777" w:rsidR="000D1D92" w:rsidRDefault="000D1D92" w:rsidP="00684616">
            <w:pPr>
              <w:spacing w:before="0" w:after="0"/>
              <w:rPr>
                <w:b/>
              </w:rPr>
            </w:pPr>
            <w:r w:rsidRPr="00830F85">
              <w:rPr>
                <w:b/>
              </w:rPr>
              <w:t>Children affected by family and domestic violence who are involved with the family law system</w:t>
            </w:r>
          </w:p>
          <w:p w14:paraId="5F8D372F" w14:textId="77777777" w:rsidR="000D1D92" w:rsidRDefault="000D1D92" w:rsidP="00684616">
            <w:pPr>
              <w:spacing w:before="0" w:after="0"/>
              <w:rPr>
                <w:b/>
              </w:rPr>
            </w:pPr>
            <w:r w:rsidRPr="00830F85">
              <w:rPr>
                <w:b/>
              </w:rPr>
              <w:t xml:space="preserve"> </w:t>
            </w:r>
          </w:p>
          <w:p w14:paraId="478AFC16" w14:textId="77777777" w:rsidR="000D1D92" w:rsidRPr="00830F85" w:rsidRDefault="000D1D92" w:rsidP="00684616">
            <w:pPr>
              <w:spacing w:before="0" w:after="0"/>
              <w:jc w:val="both"/>
            </w:pPr>
            <w:r w:rsidRPr="00830F85">
              <w:t>The issue of family and domestic violence in the context of the family law system was consistently raised throughout my examination.</w:t>
            </w:r>
          </w:p>
          <w:p w14:paraId="39F5B50E" w14:textId="77777777" w:rsidR="000D1D92" w:rsidRPr="00830F85" w:rsidRDefault="000D1D92" w:rsidP="00684616">
            <w:pPr>
              <w:spacing w:before="0" w:after="0"/>
              <w:jc w:val="both"/>
            </w:pPr>
          </w:p>
          <w:p w14:paraId="222FA47E" w14:textId="77777777" w:rsidR="000D1D92" w:rsidRPr="00830F85" w:rsidRDefault="000D1D92" w:rsidP="00684616">
            <w:pPr>
              <w:spacing w:before="0" w:after="0"/>
              <w:jc w:val="both"/>
            </w:pPr>
            <w:r w:rsidRPr="00830F85">
              <w:t xml:space="preserve">Key concerns about the family law system </w:t>
            </w:r>
            <w:r>
              <w:t>were</w:t>
            </w:r>
            <w:r w:rsidRPr="00830F85">
              <w:t>:</w:t>
            </w:r>
          </w:p>
          <w:p w14:paraId="18C6376A" w14:textId="77777777" w:rsidR="000D1D92" w:rsidRPr="00830F85" w:rsidRDefault="000D1D92" w:rsidP="00684616">
            <w:pPr>
              <w:spacing w:before="0" w:after="0"/>
              <w:jc w:val="both"/>
            </w:pPr>
          </w:p>
          <w:p w14:paraId="0748957C" w14:textId="77777777" w:rsidR="000D1D92" w:rsidRPr="00830F85" w:rsidRDefault="000D1D92" w:rsidP="000D1D92">
            <w:pPr>
              <w:numPr>
                <w:ilvl w:val="0"/>
                <w:numId w:val="41"/>
              </w:numPr>
              <w:spacing w:before="0" w:after="0"/>
              <w:jc w:val="both"/>
            </w:pPr>
            <w:r w:rsidRPr="00830F85">
              <w:t>lack of understanding and inappropriate responses to family and domestic violence by those w</w:t>
            </w:r>
            <w:r>
              <w:t>orking in the family law system</w:t>
            </w:r>
          </w:p>
          <w:p w14:paraId="069B5D77" w14:textId="77777777" w:rsidR="000D1D92" w:rsidRPr="00830F85" w:rsidRDefault="000D1D92" w:rsidP="000D1D92">
            <w:pPr>
              <w:numPr>
                <w:ilvl w:val="0"/>
                <w:numId w:val="41"/>
              </w:numPr>
              <w:spacing w:before="0" w:after="0"/>
              <w:jc w:val="both"/>
            </w:pPr>
            <w:r w:rsidRPr="00830F85">
              <w:t xml:space="preserve">a conflict between the right of parental contact and the rights </w:t>
            </w:r>
            <w:r>
              <w:t>and best interests of the child</w:t>
            </w:r>
          </w:p>
          <w:p w14:paraId="115D402D" w14:textId="77777777" w:rsidR="000D1D92" w:rsidRPr="00830F85" w:rsidRDefault="000D1D92" w:rsidP="000D1D92">
            <w:pPr>
              <w:numPr>
                <w:ilvl w:val="0"/>
                <w:numId w:val="41"/>
              </w:numPr>
              <w:spacing w:before="0" w:after="0"/>
              <w:jc w:val="both"/>
            </w:pPr>
            <w:r w:rsidRPr="00830F85">
              <w:t>court decisions which do not yet fully reflect the amendment</w:t>
            </w:r>
            <w:r>
              <w:t>s to the Family Law Act in 2012</w:t>
            </w:r>
          </w:p>
          <w:p w14:paraId="4173BCB0" w14:textId="77777777" w:rsidR="000D1D92" w:rsidRPr="00830F85" w:rsidRDefault="000D1D92" w:rsidP="000D1D92">
            <w:pPr>
              <w:numPr>
                <w:ilvl w:val="0"/>
                <w:numId w:val="41"/>
              </w:numPr>
              <w:spacing w:before="0" w:after="0"/>
              <w:jc w:val="both"/>
            </w:pPr>
            <w:r w:rsidRPr="00830F85">
              <w:t>the inappropriate use of mediation for some families.</w:t>
            </w:r>
          </w:p>
          <w:p w14:paraId="101A8A93" w14:textId="77777777" w:rsidR="000D1D92" w:rsidRPr="00830F85" w:rsidRDefault="000D1D92" w:rsidP="00684616">
            <w:pPr>
              <w:spacing w:before="0" w:after="0"/>
              <w:jc w:val="both"/>
            </w:pPr>
          </w:p>
          <w:p w14:paraId="6542ECB0" w14:textId="77777777" w:rsidR="000D1D92" w:rsidRPr="00830F85" w:rsidRDefault="000D1D92" w:rsidP="00684616">
            <w:pPr>
              <w:spacing w:before="0" w:after="0"/>
              <w:jc w:val="both"/>
            </w:pPr>
            <w:r w:rsidRPr="00830F85">
              <w:t xml:space="preserve">In this context, the Australian Institute of Family Studies recently completed a project evaluating the 2012 amendments to the Family Law Act, which included greater consideration of children’s exposure to family violence. This evaluation examines how these changes have effected court decisions and outcomes for families. </w:t>
            </w:r>
          </w:p>
          <w:p w14:paraId="537EFA1F" w14:textId="77777777" w:rsidR="000D1D92" w:rsidRPr="00830F85" w:rsidRDefault="000D1D92" w:rsidP="00684616">
            <w:pPr>
              <w:spacing w:before="0" w:after="0"/>
              <w:jc w:val="both"/>
            </w:pPr>
          </w:p>
          <w:p w14:paraId="494E5D77" w14:textId="77777777" w:rsidR="000D1D92" w:rsidRPr="00830F85" w:rsidRDefault="000D1D92" w:rsidP="00684616">
            <w:pPr>
              <w:spacing w:before="0" w:after="0"/>
              <w:jc w:val="both"/>
            </w:pPr>
            <w:r w:rsidRPr="00830F85">
              <w:t>Similarly, the Family Law Council, an independent advisory body which provides family law policy advice to the federal Attorney-</w:t>
            </w:r>
            <w:r>
              <w:t>General, is undertaking a review of</w:t>
            </w:r>
            <w:r w:rsidRPr="00830F85">
              <w:t xml:space="preserve"> the intersection of family law and child protection systems, and ways of improving assistance to families with complex needs.</w:t>
            </w:r>
          </w:p>
          <w:p w14:paraId="5E646EC7" w14:textId="77777777" w:rsidR="000D1D92" w:rsidRPr="00830F85" w:rsidRDefault="000D1D92" w:rsidP="00684616">
            <w:pPr>
              <w:spacing w:before="0" w:after="0"/>
              <w:jc w:val="both"/>
            </w:pPr>
          </w:p>
          <w:p w14:paraId="4DFAAC3F" w14:textId="77777777" w:rsidR="000D1D92" w:rsidRPr="00830F85" w:rsidRDefault="000D1D92" w:rsidP="00684616">
            <w:pPr>
              <w:spacing w:before="0" w:after="0"/>
              <w:jc w:val="both"/>
            </w:pPr>
            <w:r w:rsidRPr="00830F85">
              <w:t xml:space="preserve">I look forward to the public release of these reports and their recommendations on how to improve the overall safety of children and their families. </w:t>
            </w:r>
          </w:p>
          <w:p w14:paraId="24AED291" w14:textId="77777777" w:rsidR="000D1D92" w:rsidRPr="00830F85" w:rsidRDefault="000D1D92" w:rsidP="00684616">
            <w:pPr>
              <w:spacing w:before="0" w:after="0"/>
              <w:jc w:val="both"/>
            </w:pPr>
          </w:p>
          <w:p w14:paraId="61D0CACF" w14:textId="77777777" w:rsidR="000D1D92" w:rsidRPr="00830F85" w:rsidRDefault="000D1D92" w:rsidP="00684616">
            <w:pPr>
              <w:spacing w:before="0" w:after="0"/>
              <w:jc w:val="both"/>
            </w:pPr>
            <w:r w:rsidRPr="00830F85">
              <w:t>Another issue brought to my attention is the Magellan Program, which operates in the Family Court of Australia. Magellan cas</w:t>
            </w:r>
            <w:r>
              <w:t xml:space="preserve">es are those where a child has </w:t>
            </w:r>
            <w:r w:rsidRPr="00830F85">
              <w:t>experienced ‘serious physical abuse or sexual abuse’ and undergo special case management.</w:t>
            </w:r>
          </w:p>
          <w:p w14:paraId="220141A4" w14:textId="77777777" w:rsidR="000D1D92" w:rsidRPr="00830F85" w:rsidRDefault="000D1D92" w:rsidP="00684616">
            <w:pPr>
              <w:spacing w:before="0" w:after="0"/>
              <w:jc w:val="both"/>
            </w:pPr>
          </w:p>
          <w:p w14:paraId="253FED46" w14:textId="77777777" w:rsidR="000D1D92" w:rsidRPr="00830F85" w:rsidRDefault="000D1D92" w:rsidP="00684616">
            <w:pPr>
              <w:spacing w:before="0" w:after="0"/>
              <w:jc w:val="both"/>
            </w:pPr>
            <w:r w:rsidRPr="00830F85">
              <w:t>Given the known impact of all types of family and domestic violence on children, and the complexity of cases that now present to the Family Court</w:t>
            </w:r>
            <w:r>
              <w:t xml:space="preserve"> and the Federal Circuit Court</w:t>
            </w:r>
            <w:r w:rsidRPr="00830F85">
              <w:t>, consideration should be given to expanding the Magellan program to incorporate the broader definitions of family violence and abuse as reflected in the 2012 amendments.</w:t>
            </w:r>
          </w:p>
          <w:p w14:paraId="207E4EDA" w14:textId="77777777" w:rsidR="000D1D92" w:rsidRPr="007407A6" w:rsidRDefault="000D1D92" w:rsidP="00684616">
            <w:pPr>
              <w:spacing w:before="0" w:after="0"/>
              <w:rPr>
                <w:b/>
              </w:rPr>
            </w:pPr>
          </w:p>
        </w:tc>
      </w:tr>
    </w:tbl>
    <w:p w14:paraId="2FCC28D1" w14:textId="77777777" w:rsidR="000D1D92" w:rsidRPr="008C045D" w:rsidRDefault="000D1D92" w:rsidP="000D1D92">
      <w:pPr>
        <w:pStyle w:val="Heading2"/>
      </w:pPr>
      <w:bookmarkStart w:id="191" w:name="_Toc430702126"/>
      <w:bookmarkStart w:id="192" w:name="_Toc430945572"/>
      <w:bookmarkStart w:id="193" w:name="_Toc430950905"/>
      <w:bookmarkStart w:id="194" w:name="_Toc432061277"/>
      <w:bookmarkStart w:id="195" w:name="_Toc432577327"/>
      <w:r>
        <w:lastRenderedPageBreak/>
        <w:t>Key issues arising out of my examination</w:t>
      </w:r>
      <w:bookmarkEnd w:id="191"/>
      <w:bookmarkEnd w:id="192"/>
      <w:bookmarkEnd w:id="193"/>
      <w:bookmarkEnd w:id="194"/>
      <w:bookmarkEnd w:id="195"/>
    </w:p>
    <w:p w14:paraId="46469A84" w14:textId="77777777" w:rsidR="000D1D92" w:rsidRDefault="000D1D92" w:rsidP="000D1D92">
      <w:pPr>
        <w:jc w:val="both"/>
      </w:pPr>
      <w:r>
        <w:t>The aim of my national examination and my report is to make children an important</w:t>
      </w:r>
      <w:r w:rsidRPr="00EA1B84">
        <w:t xml:space="preserve"> focus</w:t>
      </w:r>
      <w:r>
        <w:t xml:space="preserve"> in the current conversation about family and domestic violence</w:t>
      </w:r>
      <w:r w:rsidRPr="00EA1B84">
        <w:t>.</w:t>
      </w:r>
    </w:p>
    <w:p w14:paraId="1DA28376" w14:textId="77777777" w:rsidR="000D1D92" w:rsidRDefault="000D1D92" w:rsidP="000D1D92">
      <w:pPr>
        <w:jc w:val="both"/>
      </w:pPr>
      <w:r>
        <w:t>Despite the lack of helpful national data about the prevalence and impacts of family and domestic violence on children aged 0 to 17 years, a number of issues emerged from my consultation.</w:t>
      </w:r>
    </w:p>
    <w:p w14:paraId="7E9A009C" w14:textId="77777777" w:rsidR="000D1D92" w:rsidRPr="00125610" w:rsidRDefault="000D1D92" w:rsidP="000D1D92">
      <w:pPr>
        <w:pStyle w:val="Heading3"/>
        <w:jc w:val="both"/>
      </w:pPr>
      <w:bookmarkStart w:id="196" w:name="_Toc430702127"/>
      <w:bookmarkStart w:id="197" w:name="_Toc432061278"/>
      <w:r w:rsidRPr="00125610">
        <w:lastRenderedPageBreak/>
        <w:t>National and disaggregated data about children affected by family and domestic violence is not readily available</w:t>
      </w:r>
      <w:bookmarkEnd w:id="196"/>
      <w:bookmarkEnd w:id="197"/>
      <w:r>
        <w:t xml:space="preserve"> </w:t>
      </w:r>
    </w:p>
    <w:p w14:paraId="75164A18" w14:textId="77777777" w:rsidR="000D1D92" w:rsidRDefault="000D1D92" w:rsidP="000D1D92">
      <w:pPr>
        <w:spacing w:before="0" w:after="0"/>
        <w:jc w:val="both"/>
      </w:pPr>
      <w:r>
        <w:t>The lack of reliable national data about children affected by family and domestic violence was raised throughout my consultation.</w:t>
      </w:r>
    </w:p>
    <w:p w14:paraId="73256A6F" w14:textId="77777777" w:rsidR="000D1D92" w:rsidRDefault="000D1D92" w:rsidP="000D1D92">
      <w:pPr>
        <w:jc w:val="both"/>
      </w:pPr>
      <w:r>
        <w:t xml:space="preserve">The data gaps undermine our ability to understand the full impact of family and domestic violence on our most vulnerable children. It is very difficult to build a national picture about children impacted by family and domestic violence. </w:t>
      </w:r>
    </w:p>
    <w:p w14:paraId="7D711DEE" w14:textId="77777777" w:rsidR="000D1D92" w:rsidRDefault="000D1D92" w:rsidP="000D1D92">
      <w:pPr>
        <w:jc w:val="both"/>
      </w:pPr>
      <w:r>
        <w:t>Ensuring Australia has adequate data holdings to monitor child wellbeing is critical and forms part of our obligations under the Convention on the Rights of the Child. Without this we cannot understand the extent or nature of the impact of family and domestic violence on children, nor identify the most effective ways to address it.</w:t>
      </w:r>
    </w:p>
    <w:p w14:paraId="77962C2B" w14:textId="77777777" w:rsidR="000D1D92" w:rsidRDefault="000D1D92" w:rsidP="000D1D92">
      <w:pPr>
        <w:spacing w:before="0" w:after="0"/>
        <w:jc w:val="both"/>
      </w:pPr>
      <w:r>
        <w:t>T</w:t>
      </w:r>
      <w:r w:rsidRPr="00BF4223">
        <w:t xml:space="preserve">he adoption of the ABS </w:t>
      </w:r>
      <w:r>
        <w:rPr>
          <w:rFonts w:cs="Arial"/>
        </w:rPr>
        <w:t>N</w:t>
      </w:r>
      <w:r w:rsidRPr="00384E6E">
        <w:rPr>
          <w:rFonts w:cs="Arial"/>
        </w:rPr>
        <w:t xml:space="preserve">ational </w:t>
      </w:r>
      <w:r>
        <w:rPr>
          <w:rFonts w:cs="Arial"/>
        </w:rPr>
        <w:t>D</w:t>
      </w:r>
      <w:r w:rsidRPr="00384E6E">
        <w:rPr>
          <w:rFonts w:cs="Arial"/>
        </w:rPr>
        <w:t xml:space="preserve">ata </w:t>
      </w:r>
      <w:r>
        <w:rPr>
          <w:rFonts w:cs="Arial"/>
        </w:rPr>
        <w:t>C</w:t>
      </w:r>
      <w:r w:rsidRPr="00384E6E">
        <w:rPr>
          <w:rFonts w:cs="Arial"/>
        </w:rPr>
        <w:t xml:space="preserve">ollection and </w:t>
      </w:r>
      <w:r>
        <w:rPr>
          <w:rFonts w:cs="Arial"/>
        </w:rPr>
        <w:t>R</w:t>
      </w:r>
      <w:r w:rsidRPr="00384E6E">
        <w:rPr>
          <w:rFonts w:cs="Arial"/>
        </w:rPr>
        <w:t xml:space="preserve">eporting </w:t>
      </w:r>
      <w:r>
        <w:rPr>
          <w:rFonts w:cs="Arial"/>
        </w:rPr>
        <w:t>F</w:t>
      </w:r>
      <w:r w:rsidRPr="00384E6E">
        <w:rPr>
          <w:rFonts w:cs="Arial"/>
        </w:rPr>
        <w:t xml:space="preserve">ramework across all jurisdictions </w:t>
      </w:r>
      <w:r>
        <w:rPr>
          <w:rFonts w:cs="Arial"/>
        </w:rPr>
        <w:t>is critical to address the current gaps in understanding about the prevalence and incidence of family and domestic violence.</w:t>
      </w:r>
    </w:p>
    <w:p w14:paraId="57295F70" w14:textId="77777777" w:rsidR="000D1D92" w:rsidRDefault="000D1D92" w:rsidP="000D1D92">
      <w:pPr>
        <w:spacing w:before="0" w:after="0"/>
        <w:jc w:val="both"/>
      </w:pPr>
    </w:p>
    <w:p w14:paraId="693F223A" w14:textId="77777777" w:rsidR="000D1D92" w:rsidRDefault="000D1D92" w:rsidP="000D1D92">
      <w:pPr>
        <w:spacing w:before="0" w:after="0"/>
        <w:jc w:val="both"/>
      </w:pPr>
      <w:r>
        <w:t>I urge all agencies and jurisdictions to work with the ABS towards adopting the foundations of its framework.</w:t>
      </w:r>
      <w:r>
        <w:rPr>
          <w:rStyle w:val="EndnoteReference"/>
        </w:rPr>
        <w:endnoteReference w:id="678"/>
      </w:r>
    </w:p>
    <w:p w14:paraId="36110368" w14:textId="77777777" w:rsidR="000D1D92" w:rsidRPr="00FC04F8" w:rsidRDefault="000D1D92" w:rsidP="000D1D92">
      <w:pPr>
        <w:pStyle w:val="Heading4"/>
      </w:pPr>
      <w:r w:rsidRPr="00FC04F8">
        <w:t>Limited breakdown on the age of child victims</w:t>
      </w:r>
    </w:p>
    <w:p w14:paraId="45BC7BAE" w14:textId="77777777" w:rsidR="000D1D92" w:rsidRDefault="000D1D92" w:rsidP="000D1D92">
      <w:pPr>
        <w:spacing w:before="0" w:after="0"/>
        <w:jc w:val="both"/>
      </w:pPr>
      <w:r>
        <w:t>The custom data provided to me based on the ABS Recorded Crime – Victims publication about child victims of physical assault and sexual assault could not be disaggregated beyond the age groupings of 0 to 9 years, 10 to 14 years and 15 to 17 years.</w:t>
      </w:r>
      <w:r>
        <w:rPr>
          <w:rStyle w:val="EndnoteReference"/>
        </w:rPr>
        <w:endnoteReference w:id="679"/>
      </w:r>
      <w:r>
        <w:t xml:space="preserve"> The limitation is because police data received by ABS is coded in terms of the three groupings, rather than in a single year format.</w:t>
      </w:r>
      <w:r>
        <w:rPr>
          <w:rStyle w:val="EndnoteReference"/>
        </w:rPr>
        <w:endnoteReference w:id="680"/>
      </w:r>
      <w:r>
        <w:t xml:space="preserve"> </w:t>
      </w:r>
    </w:p>
    <w:p w14:paraId="6AE1A650" w14:textId="77777777" w:rsidR="000D1D92" w:rsidRDefault="000D1D92" w:rsidP="000D1D92">
      <w:pPr>
        <w:jc w:val="both"/>
      </w:pPr>
      <w:r>
        <w:t>The current age groupings about child victims of physical assault and sexual assault are too broad to be particularly helpful. For example, the developmental stages of children under 2 years of age and children aged 7 years are very different, yet they are included in the one age group.</w:t>
      </w:r>
    </w:p>
    <w:p w14:paraId="6DB63EAD" w14:textId="77777777" w:rsidR="000D1D92" w:rsidRDefault="000D1D92" w:rsidP="000D1D92">
      <w:pPr>
        <w:spacing w:before="0" w:after="0"/>
        <w:jc w:val="both"/>
      </w:pPr>
      <w:r>
        <w:t>I am encouraged that, for the n</w:t>
      </w:r>
      <w:r w:rsidRPr="00346BBA">
        <w:t xml:space="preserve">ext cycle of </w:t>
      </w:r>
      <w:r>
        <w:t>data collection, ABS</w:t>
      </w:r>
      <w:r w:rsidRPr="00346BBA">
        <w:t xml:space="preserve"> will be requesting that police jurisdictions provide</w:t>
      </w:r>
      <w:r>
        <w:t xml:space="preserve"> information on the </w:t>
      </w:r>
      <w:r w:rsidRPr="00346BBA">
        <w:t>date</w:t>
      </w:r>
      <w:r>
        <w:t>s</w:t>
      </w:r>
      <w:r w:rsidRPr="00346BBA">
        <w:t xml:space="preserve"> of birth</w:t>
      </w:r>
      <w:r>
        <w:t xml:space="preserve"> of victims.</w:t>
      </w:r>
      <w:r w:rsidRPr="00346BBA">
        <w:t xml:space="preserve"> </w:t>
      </w:r>
      <w:r>
        <w:t>I</w:t>
      </w:r>
      <w:r w:rsidRPr="00346BBA">
        <w:t xml:space="preserve">t will be possible to derive the </w:t>
      </w:r>
      <w:r>
        <w:t>exact age of victims in future releases of the Recorded Crime – Victims publication.</w:t>
      </w:r>
    </w:p>
    <w:p w14:paraId="038F572E" w14:textId="77777777" w:rsidR="000D1D92" w:rsidRDefault="000D1D92" w:rsidP="000D1D92">
      <w:pPr>
        <w:jc w:val="both"/>
      </w:pPr>
      <w:r>
        <w:t xml:space="preserve">The custom experiences of childhood abuse data provided to me by ABS based on its 2012 Personal Safety Survey was disaggregated by four age groups (0 to 4 years, 4 to 9 years, 10 to 11 years and 12 to 14 years). The ABS was not able to provide data about people’s experiences of childhood abuse between the age of 15 and 17 years because the 2012 Personal Safety Survey only collected information from respondents about experiences of abuse before the age of 15. Experiences of childhood abuse between the ages of 15 and 17 was not collected in the survey. </w:t>
      </w:r>
    </w:p>
    <w:tbl>
      <w:tblPr>
        <w:tblStyle w:val="TableGrid"/>
        <w:tblW w:w="0" w:type="auto"/>
        <w:shd w:val="clear" w:color="auto" w:fill="F2F2F2" w:themeFill="background1" w:themeFillShade="F2"/>
        <w:tblLook w:val="04A0" w:firstRow="1" w:lastRow="0" w:firstColumn="1" w:lastColumn="0" w:noHBand="0" w:noVBand="1"/>
      </w:tblPr>
      <w:tblGrid>
        <w:gridCol w:w="9286"/>
      </w:tblGrid>
      <w:tr w:rsidR="000D1D92" w14:paraId="0CF58152" w14:textId="77777777" w:rsidTr="00684616">
        <w:tc>
          <w:tcPr>
            <w:tcW w:w="9286" w:type="dxa"/>
            <w:shd w:val="clear" w:color="auto" w:fill="F2F2F2" w:themeFill="background1" w:themeFillShade="F2"/>
          </w:tcPr>
          <w:p w14:paraId="2D103B95" w14:textId="77777777" w:rsidR="000D1D92" w:rsidRDefault="000D1D92" w:rsidP="00684616">
            <w:pPr>
              <w:jc w:val="both"/>
              <w:rPr>
                <w:b/>
              </w:rPr>
            </w:pPr>
            <w:r>
              <w:rPr>
                <w:b/>
              </w:rPr>
              <w:t xml:space="preserve">Recommendation 11: </w:t>
            </w:r>
          </w:p>
          <w:p w14:paraId="62CA7B9F" w14:textId="77777777" w:rsidR="000D1D92" w:rsidRDefault="000D1D92" w:rsidP="00684616">
            <w:pPr>
              <w:jc w:val="both"/>
            </w:pPr>
            <w:r>
              <w:rPr>
                <w:b/>
              </w:rPr>
              <w:t xml:space="preserve">The Australian Bureau of Statistics Personal Safety Survey should </w:t>
            </w:r>
            <w:r w:rsidRPr="0095244B">
              <w:rPr>
                <w:b/>
              </w:rPr>
              <w:t xml:space="preserve">extend its </w:t>
            </w:r>
            <w:r w:rsidRPr="0095244B">
              <w:rPr>
                <w:b/>
              </w:rPr>
              <w:lastRenderedPageBreak/>
              <w:t>collection of information from men and women aged 18 years and over about their experience</w:t>
            </w:r>
            <w:r>
              <w:rPr>
                <w:b/>
              </w:rPr>
              <w:t>s</w:t>
            </w:r>
            <w:r w:rsidRPr="0095244B">
              <w:rPr>
                <w:b/>
              </w:rPr>
              <w:t xml:space="preserve"> of </w:t>
            </w:r>
            <w:r>
              <w:rPr>
                <w:b/>
              </w:rPr>
              <w:t>abuse</w:t>
            </w:r>
            <w:r w:rsidRPr="0095244B">
              <w:rPr>
                <w:b/>
              </w:rPr>
              <w:t xml:space="preserve"> from the ages of </w:t>
            </w:r>
            <w:r>
              <w:rPr>
                <w:b/>
              </w:rPr>
              <w:t xml:space="preserve">0-15 </w:t>
            </w:r>
            <w:r w:rsidRPr="0095244B">
              <w:rPr>
                <w:b/>
              </w:rPr>
              <w:t>years to the ages of 0</w:t>
            </w:r>
            <w:r>
              <w:rPr>
                <w:b/>
              </w:rPr>
              <w:t xml:space="preserve">-17 </w:t>
            </w:r>
            <w:r w:rsidRPr="0095244B">
              <w:rPr>
                <w:b/>
              </w:rPr>
              <w:t>years.</w:t>
            </w:r>
          </w:p>
        </w:tc>
      </w:tr>
    </w:tbl>
    <w:p w14:paraId="416ED23F" w14:textId="77777777" w:rsidR="000D1D92" w:rsidRPr="00FC04F8" w:rsidRDefault="000D1D92" w:rsidP="000D1D92">
      <w:pPr>
        <w:pStyle w:val="Heading4"/>
      </w:pPr>
      <w:r w:rsidRPr="00FC04F8">
        <w:lastRenderedPageBreak/>
        <w:t xml:space="preserve">Limited data about offenders </w:t>
      </w:r>
    </w:p>
    <w:p w14:paraId="5384A236" w14:textId="77777777" w:rsidR="000D1D92" w:rsidRDefault="000D1D92" w:rsidP="000D1D92">
      <w:pPr>
        <w:jc w:val="both"/>
      </w:pPr>
      <w:r>
        <w:t>The custom data about offender types provided to me by ABS based on its Recorded Crime – Victims publication cannot be used in any aggregated or comparative way due to discrepancies in definitions and ways the data is recorded in different jurisdictions.</w:t>
      </w:r>
    </w:p>
    <w:p w14:paraId="224FDDF7" w14:textId="77777777" w:rsidR="000D1D92" w:rsidRDefault="000D1D92" w:rsidP="000D1D92">
      <w:pPr>
        <w:jc w:val="both"/>
      </w:pPr>
      <w:r>
        <w:t>For example, there are inconsistencies in the coding of current and former boyfriends and girlfriends as offenders:</w:t>
      </w:r>
    </w:p>
    <w:p w14:paraId="6D03193B" w14:textId="77777777" w:rsidR="000D1D92" w:rsidRDefault="000D1D92" w:rsidP="000D1D92">
      <w:pPr>
        <w:ind w:firstLine="360"/>
        <w:jc w:val="both"/>
      </w:pPr>
      <w:r>
        <w:t>Boyfriend/girlfriend:</w:t>
      </w:r>
    </w:p>
    <w:p w14:paraId="2AEBD7BC" w14:textId="77777777" w:rsidR="000D1D92" w:rsidRDefault="000D1D92" w:rsidP="000D1D92">
      <w:pPr>
        <w:pStyle w:val="ListParagraph"/>
        <w:numPr>
          <w:ilvl w:val="0"/>
          <w:numId w:val="47"/>
        </w:numPr>
        <w:jc w:val="both"/>
      </w:pPr>
      <w:r>
        <w:t xml:space="preserve">for New South Wales, Victoria, Queensland, South Australia and Tasmania, boyfriend and girlfriend are coded to ‘boyfriend/girlfriend’ </w:t>
      </w:r>
    </w:p>
    <w:p w14:paraId="34BFFEF8" w14:textId="77777777" w:rsidR="000D1D92" w:rsidRDefault="000D1D92" w:rsidP="000D1D92">
      <w:pPr>
        <w:pStyle w:val="ListParagraph"/>
        <w:numPr>
          <w:ilvl w:val="0"/>
          <w:numId w:val="47"/>
        </w:numPr>
        <w:jc w:val="both"/>
      </w:pPr>
      <w:r>
        <w:t>for the Northern Territory, some boyfriends and girlfriends may be included in 'Other non-family member not elsewhere classified' or in 'Partner'</w:t>
      </w:r>
    </w:p>
    <w:p w14:paraId="44A5485C" w14:textId="77777777" w:rsidR="000D1D92" w:rsidRDefault="000D1D92" w:rsidP="000D1D92">
      <w:pPr>
        <w:pStyle w:val="ListParagraph"/>
        <w:numPr>
          <w:ilvl w:val="0"/>
          <w:numId w:val="47"/>
        </w:numPr>
        <w:jc w:val="both"/>
      </w:pPr>
      <w:r>
        <w:t>for the Australian Capital Territory, boyfriend and girlfriend are coded to 'Partner'</w:t>
      </w:r>
    </w:p>
    <w:p w14:paraId="13D5CA37" w14:textId="77777777" w:rsidR="000D1D92" w:rsidRDefault="000D1D92" w:rsidP="000D1D92">
      <w:pPr>
        <w:ind w:firstLine="360"/>
        <w:jc w:val="both"/>
      </w:pPr>
      <w:r>
        <w:t>Ex-boyfriend/ex-girlfriend:</w:t>
      </w:r>
    </w:p>
    <w:p w14:paraId="0BBB5CD3" w14:textId="77777777" w:rsidR="000D1D92" w:rsidRDefault="000D1D92" w:rsidP="000D1D92">
      <w:pPr>
        <w:pStyle w:val="ListParagraph"/>
        <w:numPr>
          <w:ilvl w:val="0"/>
          <w:numId w:val="48"/>
        </w:numPr>
        <w:jc w:val="both"/>
      </w:pPr>
      <w:r>
        <w:t>for Queensland, Victoria, South Australia and Tasmania ex-boyfriends and ex-girlfriends are coded to ‘ex-boyfriend/ex-girlfriend’</w:t>
      </w:r>
    </w:p>
    <w:p w14:paraId="2DE4D103" w14:textId="77777777" w:rsidR="000D1D92" w:rsidRDefault="000D1D92" w:rsidP="000D1D92">
      <w:pPr>
        <w:pStyle w:val="ListParagraph"/>
        <w:numPr>
          <w:ilvl w:val="0"/>
          <w:numId w:val="48"/>
        </w:numPr>
        <w:jc w:val="both"/>
      </w:pPr>
      <w:r>
        <w:t>for New South Wales, ex-boyfriends and ex-girlfriends are coded to 'Boyfriend/girlfriend'</w:t>
      </w:r>
    </w:p>
    <w:p w14:paraId="3E332912" w14:textId="77777777" w:rsidR="000D1D92" w:rsidRDefault="000D1D92" w:rsidP="000D1D92">
      <w:pPr>
        <w:pStyle w:val="ListParagraph"/>
        <w:numPr>
          <w:ilvl w:val="0"/>
          <w:numId w:val="48"/>
        </w:numPr>
        <w:jc w:val="both"/>
      </w:pPr>
      <w:r>
        <w:t>for the Northern Territory and the Australian Capital Territory, ex-boyfriends and ex-girlfriends are coded to ‘Ex-partner’.</w:t>
      </w:r>
      <w:r>
        <w:rPr>
          <w:rStyle w:val="EndnoteReference"/>
        </w:rPr>
        <w:endnoteReference w:id="681"/>
      </w:r>
    </w:p>
    <w:p w14:paraId="4BBB6E3B" w14:textId="77777777" w:rsidR="000D1D92" w:rsidRDefault="000D1D92" w:rsidP="000D1D92">
      <w:pPr>
        <w:jc w:val="both"/>
      </w:pPr>
      <w:r>
        <w:t>I anticipate these present inconsistencies may be resolved when the ABS National Data Collection and Reporting Framework is adopted by all jurisdictions.</w:t>
      </w:r>
    </w:p>
    <w:p w14:paraId="7080AD57" w14:textId="77777777" w:rsidR="000D1D92" w:rsidRDefault="000D1D92" w:rsidP="000D1D92">
      <w:pPr>
        <w:jc w:val="both"/>
      </w:pPr>
      <w:r>
        <w:t>In the meantime, gaining national consistency in the coding of all offender relationships to child victims should be prioritised. Accurate data about types of offenders will assist in the development and evaluation of prevention initiatives to reduce the number of child victims of physical and sexual assault.</w:t>
      </w:r>
    </w:p>
    <w:tbl>
      <w:tblPr>
        <w:tblStyle w:val="TableGrid"/>
        <w:tblW w:w="0" w:type="auto"/>
        <w:shd w:val="clear" w:color="auto" w:fill="F2F2F2" w:themeFill="background1" w:themeFillShade="F2"/>
        <w:tblLook w:val="04A0" w:firstRow="1" w:lastRow="0" w:firstColumn="1" w:lastColumn="0" w:noHBand="0" w:noVBand="1"/>
      </w:tblPr>
      <w:tblGrid>
        <w:gridCol w:w="9060"/>
      </w:tblGrid>
      <w:tr w:rsidR="000D1D92" w14:paraId="3D397043" w14:textId="77777777" w:rsidTr="00684616">
        <w:tc>
          <w:tcPr>
            <w:tcW w:w="9060" w:type="dxa"/>
            <w:shd w:val="clear" w:color="auto" w:fill="F2F2F2" w:themeFill="background1" w:themeFillShade="F2"/>
          </w:tcPr>
          <w:p w14:paraId="1386CFA1" w14:textId="77777777" w:rsidR="000D1D92" w:rsidRDefault="000D1D92" w:rsidP="00684616">
            <w:pPr>
              <w:jc w:val="both"/>
              <w:rPr>
                <w:b/>
              </w:rPr>
            </w:pPr>
            <w:r>
              <w:rPr>
                <w:b/>
              </w:rPr>
              <w:t xml:space="preserve">Recommendation 12: </w:t>
            </w:r>
          </w:p>
          <w:p w14:paraId="35D8120E" w14:textId="77777777" w:rsidR="000D1D92" w:rsidRDefault="000D1D92" w:rsidP="00684616">
            <w:pPr>
              <w:jc w:val="both"/>
            </w:pPr>
            <w:r>
              <w:rPr>
                <w:b/>
              </w:rPr>
              <w:t>T</w:t>
            </w:r>
            <w:r w:rsidRPr="0095244B">
              <w:rPr>
                <w:b/>
              </w:rPr>
              <w:t>he Australian Bureau of Statistics prioritise working with state and territory jurisdictions to achieve national consistency in the coding of offender relationships to child victims.</w:t>
            </w:r>
          </w:p>
        </w:tc>
      </w:tr>
    </w:tbl>
    <w:p w14:paraId="5F9497A0" w14:textId="77777777" w:rsidR="000D1D92" w:rsidRPr="008C045D" w:rsidRDefault="000D1D92" w:rsidP="000D1D92">
      <w:pPr>
        <w:pStyle w:val="Heading3"/>
        <w:jc w:val="both"/>
      </w:pPr>
      <w:bookmarkStart w:id="198" w:name="_Toc430702128"/>
      <w:bookmarkStart w:id="199" w:name="_Toc432061279"/>
      <w:r w:rsidRPr="008C045D">
        <w:lastRenderedPageBreak/>
        <w:t>The need for early intervention</w:t>
      </w:r>
      <w:bookmarkEnd w:id="198"/>
      <w:bookmarkEnd w:id="199"/>
      <w:r w:rsidRPr="008C045D">
        <w:t xml:space="preserve"> </w:t>
      </w:r>
    </w:p>
    <w:p w14:paraId="6289B46F" w14:textId="77777777" w:rsidR="000D1D92" w:rsidRDefault="000D1D92" w:rsidP="000D1D92">
      <w:pPr>
        <w:jc w:val="both"/>
      </w:pPr>
      <w:r w:rsidRPr="005163D2">
        <w:t xml:space="preserve">Consistently I was told that early intervention </w:t>
      </w:r>
      <w:r>
        <w:t>must be a priority for children affected by</w:t>
      </w:r>
      <w:r w:rsidRPr="005163D2">
        <w:t xml:space="preserve"> family and domestic violence.</w:t>
      </w:r>
      <w:r w:rsidRPr="00D319B1">
        <w:t xml:space="preserve"> </w:t>
      </w:r>
    </w:p>
    <w:p w14:paraId="57DBE1F6" w14:textId="77777777" w:rsidR="000D1D92" w:rsidRDefault="000D1D92" w:rsidP="000D1D92">
      <w:pPr>
        <w:jc w:val="both"/>
      </w:pPr>
      <w:r>
        <w:t>The need for early intervention was reinforced by the data provided by the ABS and Kids Helpline, which showed that children in the younger age groups were predominately victims of violence.</w:t>
      </w:r>
    </w:p>
    <w:p w14:paraId="297879D4" w14:textId="77777777" w:rsidR="000D1D92" w:rsidRDefault="000D1D92" w:rsidP="000D1D92">
      <w:pPr>
        <w:jc w:val="both"/>
        <w:rPr>
          <w:rFonts w:cs="Arial"/>
        </w:rPr>
      </w:pPr>
      <w:r>
        <w:rPr>
          <w:rFonts w:cs="Arial"/>
        </w:rPr>
        <w:t xml:space="preserve">The custom data I obtained from the ABS, based on its Recorded Crime – Victims publication, about police recorded child victims of physical assault and sexual assault in a residential location shows that </w:t>
      </w:r>
      <w:r w:rsidRPr="002666B9">
        <w:rPr>
          <w:rFonts w:cs="Arial"/>
          <w:b/>
        </w:rPr>
        <w:t>male and female children aged 0 to 9 years</w:t>
      </w:r>
      <w:r>
        <w:rPr>
          <w:rFonts w:cs="Arial"/>
        </w:rPr>
        <w:t xml:space="preserve"> accounted for a significant proportion of child victims who </w:t>
      </w:r>
      <w:r>
        <w:rPr>
          <w:rFonts w:cs="Arial"/>
          <w:b/>
        </w:rPr>
        <w:t>reported the offender was their parent</w:t>
      </w:r>
      <w:r>
        <w:rPr>
          <w:rFonts w:cs="Arial"/>
        </w:rPr>
        <w:t xml:space="preserve">. </w:t>
      </w:r>
    </w:p>
    <w:p w14:paraId="0DE67D3B" w14:textId="77777777" w:rsidR="000D1D92" w:rsidRDefault="000D1D92" w:rsidP="000D1D92">
      <w:pPr>
        <w:jc w:val="both"/>
        <w:rPr>
          <w:rFonts w:cs="Arial"/>
        </w:rPr>
      </w:pPr>
      <w:r>
        <w:rPr>
          <w:rFonts w:cs="Arial"/>
        </w:rPr>
        <w:t>Based on the custom report provided to me by ABS, I was able to compare the proportion of both Indigenous and non-Indigenous child victims of physical assault and sexual assault by parents in the state of New South Wales only:</w:t>
      </w:r>
    </w:p>
    <w:p w14:paraId="5E5EF149" w14:textId="77777777" w:rsidR="000D1D92" w:rsidRDefault="000D1D92" w:rsidP="000D1D92">
      <w:pPr>
        <w:jc w:val="both"/>
        <w:rPr>
          <w:rFonts w:cs="Arial"/>
        </w:rPr>
      </w:pPr>
      <w:r w:rsidRPr="00B209FC">
        <w:rPr>
          <w:noProof/>
          <w:highlight w:val="yellow"/>
        </w:rPr>
        <w:drawing>
          <wp:inline distT="0" distB="0" distL="0" distR="0" wp14:anchorId="295D1D70" wp14:editId="743F0D07">
            <wp:extent cx="5759450" cy="3455670"/>
            <wp:effectExtent l="0" t="0" r="12700" b="11430"/>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B5B67D7" w14:textId="77777777" w:rsidR="000D1D92" w:rsidRDefault="000D1D92" w:rsidP="000D1D92">
      <w:pPr>
        <w:jc w:val="both"/>
      </w:pPr>
      <w:r w:rsidRPr="006D7B18">
        <w:t>The</w:t>
      </w:r>
      <w:r>
        <w:t xml:space="preserve"> custom ABS 2012 Personal Safety Survey </w:t>
      </w:r>
      <w:r w:rsidRPr="006D7B18">
        <w:t>data</w:t>
      </w:r>
      <w:r>
        <w:t xml:space="preserve"> about children who first experienced physical abuse and sexual abuse before the age of 15</w:t>
      </w:r>
      <w:r w:rsidRPr="006D7B18">
        <w:t xml:space="preserve"> also </w:t>
      </w:r>
      <w:r>
        <w:t xml:space="preserve">shows the vulnerability of young children, for example: </w:t>
      </w:r>
    </w:p>
    <w:p w14:paraId="7CAB99A3" w14:textId="77777777" w:rsidR="000D1D92" w:rsidRDefault="000D1D92" w:rsidP="000D1D92">
      <w:pPr>
        <w:ind w:left="720"/>
        <w:jc w:val="both"/>
      </w:pPr>
      <w:r w:rsidRPr="00D91F0C">
        <w:t xml:space="preserve">Of the 504,900 </w:t>
      </w:r>
      <w:r w:rsidRPr="00DD3A54">
        <w:rPr>
          <w:b/>
        </w:rPr>
        <w:t>male children</w:t>
      </w:r>
      <w:r w:rsidRPr="00D91F0C">
        <w:t xml:space="preserve"> aged 0 to 14 years whose first incident of </w:t>
      </w:r>
      <w:r w:rsidRPr="00DD3A54">
        <w:rPr>
          <w:b/>
        </w:rPr>
        <w:t>physical abuse was perpetrated by a parent</w:t>
      </w:r>
      <w:r w:rsidRPr="00D91F0C">
        <w:t>, 302,000 (59.8%) were aged between 4 and 9 years when the incident occurred</w:t>
      </w:r>
      <w:r>
        <w:t xml:space="preserve">. </w:t>
      </w:r>
    </w:p>
    <w:p w14:paraId="5E321034" w14:textId="77777777" w:rsidR="000D1D92" w:rsidRDefault="000D1D92" w:rsidP="000D1D92">
      <w:pPr>
        <w:ind w:left="720"/>
        <w:jc w:val="both"/>
      </w:pPr>
      <w:r w:rsidRPr="00F25844">
        <w:t xml:space="preserve">Of the 431,900 </w:t>
      </w:r>
      <w:r w:rsidRPr="00DD3A54">
        <w:rPr>
          <w:b/>
        </w:rPr>
        <w:t>female children</w:t>
      </w:r>
      <w:r w:rsidRPr="00F25844">
        <w:t xml:space="preserve"> aged 0 to 14 years whose first incident of </w:t>
      </w:r>
      <w:r w:rsidRPr="00DD3A54">
        <w:rPr>
          <w:b/>
        </w:rPr>
        <w:t>physical abuse was perpetrated by their father</w:t>
      </w:r>
      <w:r w:rsidRPr="00F25844">
        <w:t>, 246,900 (57.16%) were aged between 4 and 9 years when the incident occurred.</w:t>
      </w:r>
    </w:p>
    <w:p w14:paraId="41A47CD2" w14:textId="77777777" w:rsidR="000D1D92" w:rsidRDefault="000D1D92" w:rsidP="000D1D92">
      <w:pPr>
        <w:ind w:left="720"/>
        <w:jc w:val="both"/>
      </w:pPr>
      <w:r w:rsidRPr="00F25844">
        <w:lastRenderedPageBreak/>
        <w:t xml:space="preserve">Of the 150,700 </w:t>
      </w:r>
      <w:r w:rsidRPr="00DD3A54">
        <w:rPr>
          <w:b/>
        </w:rPr>
        <w:t>female children</w:t>
      </w:r>
      <w:r w:rsidRPr="00F25844">
        <w:t xml:space="preserve"> aged 0 to 14 years whose first incident of </w:t>
      </w:r>
      <w:r w:rsidRPr="00DD3A54">
        <w:rPr>
          <w:b/>
        </w:rPr>
        <w:t>sexual abuse was perpetrated by their father/stepfather</w:t>
      </w:r>
      <w:r w:rsidRPr="00F25844">
        <w:t>, 62,700 (41.6%) were aged between 4 and 9 years when the incident occurred.</w:t>
      </w:r>
    </w:p>
    <w:p w14:paraId="5E556DA3" w14:textId="77777777" w:rsidR="000D1D92" w:rsidRDefault="000D1D92" w:rsidP="000D1D92">
      <w:pPr>
        <w:ind w:left="720"/>
        <w:jc w:val="both"/>
      </w:pPr>
      <w:r>
        <w:t xml:space="preserve">Of the </w:t>
      </w:r>
      <w:r w:rsidRPr="00F25844">
        <w:t xml:space="preserve">296,000 </w:t>
      </w:r>
      <w:r w:rsidRPr="00DD3A54">
        <w:rPr>
          <w:b/>
        </w:rPr>
        <w:t>female children</w:t>
      </w:r>
      <w:r w:rsidRPr="00F25844">
        <w:t xml:space="preserve"> aged 0 to 14 years whose first incident of </w:t>
      </w:r>
      <w:r w:rsidRPr="00DD3A54">
        <w:rPr>
          <w:b/>
        </w:rPr>
        <w:t>sexual abuse was perpetrated by some other male relative or in-law</w:t>
      </w:r>
      <w:r w:rsidRPr="00F25844">
        <w:t xml:space="preserve">, 162,000 (54.72%) were aged between 4 and 9 years when the incident </w:t>
      </w:r>
      <w:r>
        <w:t xml:space="preserve"> </w:t>
      </w:r>
      <w:r w:rsidRPr="00F25844">
        <w:t>occurred.</w:t>
      </w:r>
    </w:p>
    <w:p w14:paraId="0E5BEEE5" w14:textId="77777777" w:rsidR="000D1D92" w:rsidRDefault="000D1D92" w:rsidP="000D1D92">
      <w:pPr>
        <w:jc w:val="both"/>
      </w:pPr>
      <w:r>
        <w:t>With respect to the Kids Helpline, when comparing its family and domestic violence contacts with the demographic characteristics of all contacts to the Kids Helpline, there was a higher rate of contact about family and domestic violence by children aged 5 to 11 years.</w:t>
      </w:r>
    </w:p>
    <w:p w14:paraId="77E87126" w14:textId="77777777" w:rsidR="000D1D92" w:rsidRDefault="000D1D92" w:rsidP="000D1D92">
      <w:pPr>
        <w:jc w:val="both"/>
        <w:rPr>
          <w:szCs w:val="20"/>
        </w:rPr>
      </w:pPr>
      <w:r>
        <w:t xml:space="preserve">Having said this, it should be noted that </w:t>
      </w:r>
      <w:r>
        <w:rPr>
          <w:szCs w:val="20"/>
        </w:rPr>
        <w:t>less than 1% of all contacts with the Kids Helpline involved concerns about family and domestic violence.</w:t>
      </w:r>
      <w:r>
        <w:rPr>
          <w:rStyle w:val="EndnoteReference"/>
          <w:szCs w:val="20"/>
        </w:rPr>
        <w:endnoteReference w:id="682"/>
      </w:r>
      <w:r>
        <w:rPr>
          <w:szCs w:val="20"/>
        </w:rPr>
        <w:t xml:space="preserve"> As the Kids Helpline submission stated:</w:t>
      </w:r>
    </w:p>
    <w:p w14:paraId="2B49B438" w14:textId="77777777" w:rsidR="000D1D92" w:rsidRPr="001A18F2" w:rsidRDefault="000D1D92" w:rsidP="000D1D92">
      <w:pPr>
        <w:ind w:left="720"/>
        <w:jc w:val="both"/>
        <w:rPr>
          <w:sz w:val="22"/>
          <w:szCs w:val="22"/>
        </w:rPr>
      </w:pPr>
      <w:r w:rsidRPr="009A09FD">
        <w:rPr>
          <w:sz w:val="22"/>
          <w:szCs w:val="22"/>
        </w:rPr>
        <w:t>It may be that children do not see Kids Helpline as an appropriate source of support for this situation, that they are seeking support elsewhere, or that they are not seeking support at all.</w:t>
      </w:r>
      <w:r w:rsidRPr="00624393">
        <w:rPr>
          <w:rStyle w:val="EndnoteReference"/>
          <w:szCs w:val="20"/>
        </w:rPr>
        <w:t xml:space="preserve"> </w:t>
      </w:r>
      <w:r>
        <w:rPr>
          <w:rStyle w:val="EndnoteReference"/>
          <w:szCs w:val="20"/>
        </w:rPr>
        <w:endnoteReference w:id="683"/>
      </w:r>
    </w:p>
    <w:p w14:paraId="45939419" w14:textId="77777777" w:rsidR="000D1D92" w:rsidRPr="00B55385" w:rsidRDefault="000D1D92" w:rsidP="000D1D92">
      <w:pPr>
        <w:jc w:val="both"/>
        <w:rPr>
          <w:rFonts w:cs="Arial"/>
        </w:rPr>
      </w:pPr>
      <w:r>
        <w:rPr>
          <w:rFonts w:cs="Arial"/>
        </w:rPr>
        <w:t>Research</w:t>
      </w:r>
      <w:r>
        <w:rPr>
          <w:rStyle w:val="EndnoteReference"/>
          <w:rFonts w:cs="Arial"/>
        </w:rPr>
        <w:endnoteReference w:id="684"/>
      </w:r>
      <w:r>
        <w:rPr>
          <w:rFonts w:cs="Arial"/>
        </w:rPr>
        <w:t xml:space="preserve"> into neuroscience has shown that:</w:t>
      </w:r>
    </w:p>
    <w:p w14:paraId="49A54F0F" w14:textId="77777777" w:rsidR="000D1D92" w:rsidRDefault="000D1D92" w:rsidP="000D1D92">
      <w:pPr>
        <w:ind w:left="720"/>
        <w:jc w:val="both"/>
        <w:rPr>
          <w:rFonts w:cs="Arial"/>
          <w:sz w:val="22"/>
          <w:szCs w:val="22"/>
        </w:rPr>
      </w:pPr>
      <w:r w:rsidRPr="00AE40E4">
        <w:rPr>
          <w:rFonts w:cs="Arial"/>
          <w:sz w:val="22"/>
          <w:szCs w:val="22"/>
        </w:rPr>
        <w:t>Early experiences influence the developing brain. From the prenatal period through the first years of life, the brain undergoes its most rapid development, and early experiences determine whether its architecture is sturdy or fragile. During early sensitive periods of development, the brain’s circuitry is most open to the influence of external experiences, for better or for worse.</w:t>
      </w:r>
      <w:r w:rsidRPr="00AE40E4">
        <w:rPr>
          <w:rStyle w:val="EndnoteReference"/>
          <w:rFonts w:cs="Arial"/>
          <w:sz w:val="22"/>
          <w:szCs w:val="22"/>
        </w:rPr>
        <w:endnoteReference w:id="685"/>
      </w:r>
    </w:p>
    <w:p w14:paraId="65D6D354" w14:textId="77777777" w:rsidR="000D1D92" w:rsidRDefault="000D1D92" w:rsidP="000D1D92">
      <w:pPr>
        <w:jc w:val="both"/>
        <w:rPr>
          <w:rFonts w:cs="Arial"/>
        </w:rPr>
      </w:pPr>
      <w:r>
        <w:rPr>
          <w:rFonts w:cs="Arial"/>
        </w:rPr>
        <w:t xml:space="preserve">Ms McKellar shared </w:t>
      </w:r>
      <w:r w:rsidRPr="00A712DE">
        <w:rPr>
          <w:rFonts w:cs="Arial"/>
        </w:rPr>
        <w:t xml:space="preserve">her experience of family and domestic violence including how it </w:t>
      </w:r>
      <w:r>
        <w:rPr>
          <w:rFonts w:cs="Arial"/>
        </w:rPr>
        <w:t>escalated</w:t>
      </w:r>
      <w:r w:rsidRPr="00A712DE">
        <w:rPr>
          <w:rFonts w:cs="Arial"/>
        </w:rPr>
        <w:t xml:space="preserve"> during her pregnancy and how it impacted on her daughter</w:t>
      </w:r>
      <w:r>
        <w:rPr>
          <w:rFonts w:cs="Arial"/>
        </w:rPr>
        <w:t xml:space="preserve"> in the early years</w:t>
      </w:r>
      <w:r w:rsidRPr="00A712DE">
        <w:rPr>
          <w:rFonts w:cs="Arial"/>
        </w:rPr>
        <w:t>.</w:t>
      </w:r>
    </w:p>
    <w:tbl>
      <w:tblPr>
        <w:tblStyle w:val="TableGrid"/>
        <w:tblW w:w="0" w:type="auto"/>
        <w:shd w:val="clear" w:color="auto" w:fill="F2F2F2" w:themeFill="background1" w:themeFillShade="F2"/>
        <w:tblLook w:val="04A0" w:firstRow="1" w:lastRow="0" w:firstColumn="1" w:lastColumn="0" w:noHBand="0" w:noVBand="1"/>
      </w:tblPr>
      <w:tblGrid>
        <w:gridCol w:w="9286"/>
      </w:tblGrid>
      <w:tr w:rsidR="000D1D92" w:rsidRPr="00605DD9" w14:paraId="1FAD8C04" w14:textId="77777777" w:rsidTr="00684616">
        <w:tc>
          <w:tcPr>
            <w:tcW w:w="9286" w:type="dxa"/>
            <w:shd w:val="clear" w:color="auto" w:fill="F2F2F2" w:themeFill="background1" w:themeFillShade="F2"/>
          </w:tcPr>
          <w:p w14:paraId="7D763865" w14:textId="77777777" w:rsidR="000D1D92" w:rsidRDefault="000D1D92" w:rsidP="00684616">
            <w:pPr>
              <w:spacing w:before="0" w:after="0"/>
              <w:jc w:val="both"/>
              <w:rPr>
                <w:b/>
              </w:rPr>
            </w:pPr>
          </w:p>
          <w:p w14:paraId="3B5E76B3" w14:textId="77777777" w:rsidR="000D1D92" w:rsidRPr="00830F85" w:rsidRDefault="000D1D92" w:rsidP="00684616">
            <w:pPr>
              <w:spacing w:before="0" w:after="0"/>
              <w:jc w:val="both"/>
              <w:rPr>
                <w:b/>
              </w:rPr>
            </w:pPr>
            <w:r w:rsidRPr="00830F85">
              <w:rPr>
                <w:b/>
              </w:rPr>
              <w:t>Extract from Ms McKellar’s written submission</w:t>
            </w:r>
            <w:r w:rsidRPr="00DD3A54">
              <w:rPr>
                <w:vertAlign w:val="superscript"/>
              </w:rPr>
              <w:endnoteReference w:id="686"/>
            </w:r>
          </w:p>
          <w:p w14:paraId="31FC7C2E" w14:textId="77777777" w:rsidR="000D1D92" w:rsidRPr="00830F85" w:rsidRDefault="000D1D92" w:rsidP="00684616">
            <w:pPr>
              <w:spacing w:before="0" w:after="0"/>
              <w:jc w:val="both"/>
              <w:rPr>
                <w:b/>
              </w:rPr>
            </w:pPr>
          </w:p>
          <w:p w14:paraId="3E34D1AB" w14:textId="77777777" w:rsidR="000D1D92" w:rsidRPr="00830F85" w:rsidRDefault="000D1D92" w:rsidP="00684616">
            <w:pPr>
              <w:spacing w:before="0" w:after="0"/>
              <w:jc w:val="both"/>
            </w:pPr>
            <w:r w:rsidRPr="00830F85">
              <w:t xml:space="preserve">Obligation sits with all of us to understand and prioritise the relationship between early life experiences and cognitive, social, emotional, and physical health and the consequences of chronic exposure to violence for the unborn child and in early childhood. </w:t>
            </w:r>
          </w:p>
          <w:p w14:paraId="0B5C689D" w14:textId="77777777" w:rsidR="000D1D92" w:rsidRPr="00830F85" w:rsidRDefault="000D1D92" w:rsidP="00684616">
            <w:pPr>
              <w:spacing w:before="0" w:after="0"/>
              <w:jc w:val="both"/>
            </w:pPr>
          </w:p>
          <w:p w14:paraId="7325FA31" w14:textId="77777777" w:rsidR="000D1D92" w:rsidRPr="00830F85" w:rsidRDefault="000D1D92" w:rsidP="00684616">
            <w:pPr>
              <w:spacing w:before="0" w:after="0"/>
              <w:jc w:val="both"/>
            </w:pPr>
            <w:r w:rsidRPr="00830F85">
              <w:t>My daughter’s brain development was heavily focussed on strengthening its strategies for survival in her hostile world, which disrupted her attachment and compromised her right to feel safe, calm, protected and nurtured.</w:t>
            </w:r>
          </w:p>
          <w:p w14:paraId="12FC1B9F" w14:textId="77777777" w:rsidR="000D1D92" w:rsidRPr="00830F85" w:rsidRDefault="000D1D92" w:rsidP="00684616">
            <w:pPr>
              <w:spacing w:before="0" w:after="0"/>
              <w:jc w:val="both"/>
            </w:pPr>
          </w:p>
          <w:p w14:paraId="6CBC52F0" w14:textId="77777777" w:rsidR="000D1D92" w:rsidRPr="00830F85" w:rsidRDefault="000D1D92" w:rsidP="00684616">
            <w:pPr>
              <w:spacing w:before="0" w:after="0"/>
              <w:jc w:val="both"/>
            </w:pPr>
            <w:r w:rsidRPr="00830F85">
              <w:t>The family violence my daughter suffered resulted in her developing hypervigilance, feeling highly sensitive, overreacting to triggers and nonverbal cues that other children would find non-threatening.</w:t>
            </w:r>
          </w:p>
          <w:p w14:paraId="0FC6B987" w14:textId="77777777" w:rsidR="000D1D92" w:rsidRPr="00830F85" w:rsidRDefault="000D1D92" w:rsidP="00684616">
            <w:pPr>
              <w:spacing w:before="0" w:after="0"/>
              <w:jc w:val="both"/>
            </w:pPr>
          </w:p>
          <w:p w14:paraId="55C818BA" w14:textId="77777777" w:rsidR="000D1D92" w:rsidRPr="00830F85" w:rsidRDefault="000D1D92" w:rsidP="00684616">
            <w:pPr>
              <w:spacing w:before="0" w:after="0"/>
              <w:jc w:val="both"/>
            </w:pPr>
            <w:r w:rsidRPr="00830F85">
              <w:t xml:space="preserve">I had to prioritise my daughter's early intervention and recovery, whilst acknowledging and addressing my own recovery, to ensure I could support and nurture her in reducing the negative physical, cognitive, emotional, and social growth </w:t>
            </w:r>
            <w:r w:rsidRPr="00830F85">
              <w:lastRenderedPageBreak/>
              <w:t>impacts from her early exposure to family violence.</w:t>
            </w:r>
          </w:p>
          <w:p w14:paraId="7869899C" w14:textId="77777777" w:rsidR="000D1D92" w:rsidRPr="00830F85" w:rsidRDefault="000D1D92" w:rsidP="00684616">
            <w:pPr>
              <w:spacing w:before="0" w:after="0"/>
              <w:jc w:val="both"/>
            </w:pPr>
          </w:p>
          <w:p w14:paraId="03D1110C" w14:textId="77777777" w:rsidR="000D1D92" w:rsidRDefault="000D1D92" w:rsidP="00684616">
            <w:pPr>
              <w:spacing w:before="0" w:after="0"/>
              <w:jc w:val="both"/>
            </w:pPr>
            <w:r w:rsidRPr="00830F85">
              <w:t>I hope to assist in providing a wider appreciation of the devastating impact of family violence on the unborn and developing child, influencing decisions that will create a safer, more predictable and enriching world for children.</w:t>
            </w:r>
          </w:p>
          <w:p w14:paraId="0687B814" w14:textId="77777777" w:rsidR="000D1D92" w:rsidRPr="00605DD9" w:rsidRDefault="000D1D92" w:rsidP="00684616">
            <w:pPr>
              <w:spacing w:before="0" w:after="0"/>
              <w:jc w:val="both"/>
            </w:pPr>
          </w:p>
        </w:tc>
      </w:tr>
    </w:tbl>
    <w:p w14:paraId="5FE14A7F" w14:textId="77777777" w:rsidR="000D1D92" w:rsidRDefault="000D1D92" w:rsidP="000D1D92">
      <w:pPr>
        <w:autoSpaceDE w:val="0"/>
        <w:autoSpaceDN w:val="0"/>
        <w:adjustRightInd w:val="0"/>
        <w:spacing w:before="0" w:after="0"/>
        <w:jc w:val="both"/>
        <w:rPr>
          <w:rFonts w:cs="Arial"/>
          <w:b/>
        </w:rPr>
      </w:pPr>
    </w:p>
    <w:p w14:paraId="60F3CA31" w14:textId="77777777" w:rsidR="000D1D92" w:rsidRPr="005466EA" w:rsidRDefault="000D1D92" w:rsidP="000D1D92">
      <w:pPr>
        <w:autoSpaceDE w:val="0"/>
        <w:autoSpaceDN w:val="0"/>
        <w:adjustRightInd w:val="0"/>
        <w:spacing w:before="0" w:after="0"/>
        <w:jc w:val="both"/>
        <w:rPr>
          <w:rFonts w:cs="Arial"/>
          <w:b/>
        </w:rPr>
      </w:pPr>
      <w:r w:rsidRPr="005466EA">
        <w:rPr>
          <w:rFonts w:cs="Arial"/>
          <w:b/>
        </w:rPr>
        <w:t>Information on family and domestic violence in pregnancy was identified as a key information gap in the National Maternity Data Development Project.</w:t>
      </w:r>
      <w:r w:rsidRPr="00DD3A54">
        <w:rPr>
          <w:rStyle w:val="EndnoteReference"/>
          <w:rFonts w:cs="Arial"/>
        </w:rPr>
        <w:endnoteReference w:id="687"/>
      </w:r>
      <w:r w:rsidRPr="005466EA">
        <w:rPr>
          <w:rFonts w:cs="Arial"/>
          <w:b/>
        </w:rPr>
        <w:t xml:space="preserve"> </w:t>
      </w:r>
    </w:p>
    <w:p w14:paraId="03A0B4C3" w14:textId="77777777" w:rsidR="000D1D92" w:rsidRDefault="000D1D92" w:rsidP="000D1D92">
      <w:pPr>
        <w:autoSpaceDE w:val="0"/>
        <w:autoSpaceDN w:val="0"/>
        <w:adjustRightInd w:val="0"/>
        <w:spacing w:before="0" w:after="0"/>
        <w:jc w:val="both"/>
        <w:rPr>
          <w:rFonts w:cs="Arial"/>
        </w:rPr>
      </w:pPr>
    </w:p>
    <w:p w14:paraId="47435316" w14:textId="77777777" w:rsidR="000D1D92" w:rsidRDefault="000D1D92" w:rsidP="000D1D92">
      <w:pPr>
        <w:autoSpaceDE w:val="0"/>
        <w:autoSpaceDN w:val="0"/>
        <w:adjustRightInd w:val="0"/>
        <w:spacing w:before="0" w:after="0"/>
        <w:jc w:val="both"/>
        <w:rPr>
          <w:rFonts w:cs="Arial"/>
        </w:rPr>
      </w:pPr>
      <w:r>
        <w:rPr>
          <w:rFonts w:cs="Arial"/>
        </w:rPr>
        <w:t>N</w:t>
      </w:r>
      <w:r w:rsidRPr="00080966">
        <w:rPr>
          <w:rFonts w:cs="Arial"/>
        </w:rPr>
        <w:t xml:space="preserve">o jurisdiction </w:t>
      </w:r>
      <w:r>
        <w:rPr>
          <w:rFonts w:cs="Arial"/>
        </w:rPr>
        <w:t xml:space="preserve">collects information on family and domestic violence as part of its </w:t>
      </w:r>
      <w:r w:rsidRPr="002F6F70">
        <w:rPr>
          <w:rFonts w:cs="Arial"/>
        </w:rPr>
        <w:t>Perinatal Data Collection</w:t>
      </w:r>
      <w:r>
        <w:rPr>
          <w:rFonts w:cs="Arial"/>
        </w:rPr>
        <w:t xml:space="preserve">. Currently, some </w:t>
      </w:r>
      <w:r w:rsidRPr="00080966">
        <w:rPr>
          <w:rFonts w:cs="Arial"/>
        </w:rPr>
        <w:t xml:space="preserve">jurisdictions </w:t>
      </w:r>
      <w:r>
        <w:rPr>
          <w:rFonts w:cs="Arial"/>
        </w:rPr>
        <w:t>do routinely screen women for family and domestic violence</w:t>
      </w:r>
      <w:r w:rsidRPr="00080966">
        <w:rPr>
          <w:rFonts w:cs="Arial"/>
        </w:rPr>
        <w:t xml:space="preserve"> in pre</w:t>
      </w:r>
      <w:r>
        <w:rPr>
          <w:rFonts w:cs="Arial"/>
        </w:rPr>
        <w:t xml:space="preserve">gnancy while others screen on a </w:t>
      </w:r>
      <w:r w:rsidRPr="00080966">
        <w:rPr>
          <w:rFonts w:cs="Arial"/>
        </w:rPr>
        <w:t>case-by-case basis.</w:t>
      </w:r>
      <w:r>
        <w:rPr>
          <w:rStyle w:val="EndnoteReference"/>
          <w:rFonts w:cs="Arial"/>
        </w:rPr>
        <w:endnoteReference w:id="688"/>
      </w:r>
    </w:p>
    <w:p w14:paraId="7CD7604F" w14:textId="77777777" w:rsidR="000D1D92" w:rsidRDefault="000D1D92" w:rsidP="000D1D92">
      <w:pPr>
        <w:jc w:val="both"/>
      </w:pPr>
      <w:r>
        <w:rPr>
          <w:rFonts w:cs="Arial"/>
        </w:rPr>
        <w:t xml:space="preserve">A participant at my Perth Roundtable, Ms </w:t>
      </w:r>
      <w:r w:rsidRPr="007212A7">
        <w:rPr>
          <w:rFonts w:cs="Arial"/>
        </w:rPr>
        <w:t>Sharon Cooke</w:t>
      </w:r>
      <w:r>
        <w:rPr>
          <w:rFonts w:cs="Arial"/>
        </w:rPr>
        <w:t xml:space="preserve">, </w:t>
      </w:r>
      <w:r>
        <w:t>Australian Association for Infant Mental Health West Australian Branch indicated that:</w:t>
      </w:r>
    </w:p>
    <w:p w14:paraId="6D96B76C" w14:textId="77777777" w:rsidR="000D1D92" w:rsidRDefault="000D1D92" w:rsidP="000D1D92">
      <w:pPr>
        <w:autoSpaceDE w:val="0"/>
        <w:autoSpaceDN w:val="0"/>
        <w:adjustRightInd w:val="0"/>
        <w:spacing w:before="0" w:after="0"/>
        <w:ind w:left="720"/>
        <w:jc w:val="both"/>
        <w:rPr>
          <w:sz w:val="22"/>
          <w:szCs w:val="22"/>
        </w:rPr>
      </w:pPr>
      <w:r w:rsidRPr="00AE40E4">
        <w:rPr>
          <w:sz w:val="22"/>
          <w:szCs w:val="22"/>
        </w:rPr>
        <w:t>In the last 30 years we have seen a marked erosion in quality coordinated continuous care of families from pregnancy to school-age…It’s a critical window of time that can most significantly impact the trajectory of an individual’s life – maximising brain development, regulating their stress response (HPA axis) and creating psychological, social/emotional and physical wellbeing…Recent breakthroughs in how we understand brain development and epigenetics point towards early intervention as the best long-term outcome for all.</w:t>
      </w:r>
      <w:r w:rsidRPr="00AE40E4">
        <w:rPr>
          <w:rStyle w:val="EndnoteReference"/>
          <w:sz w:val="22"/>
          <w:szCs w:val="22"/>
        </w:rPr>
        <w:endnoteReference w:id="689"/>
      </w:r>
    </w:p>
    <w:p w14:paraId="4A07ACD6" w14:textId="77777777" w:rsidR="000D1D92" w:rsidRDefault="000D1D92" w:rsidP="000D1D92">
      <w:pPr>
        <w:autoSpaceDE w:val="0"/>
        <w:autoSpaceDN w:val="0"/>
        <w:adjustRightInd w:val="0"/>
        <w:spacing w:before="0" w:after="0"/>
        <w:jc w:val="both"/>
        <w:rPr>
          <w:rFonts w:cs="Arial"/>
        </w:rPr>
      </w:pPr>
    </w:p>
    <w:p w14:paraId="237E584C" w14:textId="77777777" w:rsidR="000D1D92" w:rsidRDefault="000D1D92" w:rsidP="000D1D92">
      <w:pPr>
        <w:autoSpaceDE w:val="0"/>
        <w:autoSpaceDN w:val="0"/>
        <w:adjustRightInd w:val="0"/>
        <w:spacing w:before="0" w:after="0"/>
        <w:jc w:val="both"/>
        <w:rPr>
          <w:rFonts w:cs="Arial"/>
        </w:rPr>
      </w:pPr>
      <w:r>
        <w:rPr>
          <w:rFonts w:cs="Arial"/>
        </w:rPr>
        <w:t>The Royal Australian and New Zealand College of Psychiatrists pointed out that:</w:t>
      </w:r>
    </w:p>
    <w:p w14:paraId="410E2B2F" w14:textId="77777777" w:rsidR="000D1D92" w:rsidRDefault="000D1D92" w:rsidP="000D1D92">
      <w:pPr>
        <w:autoSpaceDE w:val="0"/>
        <w:autoSpaceDN w:val="0"/>
        <w:adjustRightInd w:val="0"/>
        <w:spacing w:before="0" w:after="0"/>
        <w:ind w:left="720"/>
        <w:jc w:val="both"/>
        <w:rPr>
          <w:rFonts w:cs="Arial"/>
        </w:rPr>
      </w:pPr>
    </w:p>
    <w:p w14:paraId="579B802A" w14:textId="77777777" w:rsidR="000D1D92" w:rsidRDefault="000D1D92" w:rsidP="000D1D92">
      <w:pPr>
        <w:autoSpaceDE w:val="0"/>
        <w:autoSpaceDN w:val="0"/>
        <w:adjustRightInd w:val="0"/>
        <w:spacing w:before="0" w:after="0"/>
        <w:ind w:left="720"/>
        <w:jc w:val="both"/>
        <w:rPr>
          <w:rStyle w:val="EndnoteReference"/>
          <w:sz w:val="18"/>
          <w:szCs w:val="22"/>
          <w:lang w:val="en-US"/>
        </w:rPr>
      </w:pPr>
      <w:r w:rsidRPr="00296DFA">
        <w:rPr>
          <w:rFonts w:cs="Arial"/>
          <w:sz w:val="22"/>
        </w:rPr>
        <w:t>Pregnancy is a time of heightened risk for mother and child. Doctors must ensure they screen women for family violence and be familiar with appropriate responses.</w:t>
      </w:r>
      <w:r w:rsidRPr="00296DFA">
        <w:rPr>
          <w:rStyle w:val="EndnoteReference"/>
          <w:sz w:val="18"/>
          <w:szCs w:val="22"/>
          <w:lang w:val="en-US"/>
        </w:rPr>
        <w:t xml:space="preserve"> </w:t>
      </w:r>
      <w:r w:rsidRPr="00296DFA">
        <w:rPr>
          <w:rStyle w:val="EndnoteReference"/>
          <w:sz w:val="18"/>
          <w:szCs w:val="22"/>
          <w:lang w:val="en-US"/>
        </w:rPr>
        <w:endnoteReference w:id="690"/>
      </w:r>
    </w:p>
    <w:p w14:paraId="0390C026" w14:textId="77777777" w:rsidR="000D1D92" w:rsidRDefault="000D1D92" w:rsidP="000D1D92">
      <w:pPr>
        <w:autoSpaceDE w:val="0"/>
        <w:autoSpaceDN w:val="0"/>
        <w:adjustRightInd w:val="0"/>
        <w:spacing w:before="0" w:after="0"/>
        <w:jc w:val="both"/>
        <w:rPr>
          <w:rFonts w:cs="Arial"/>
        </w:rPr>
      </w:pPr>
    </w:p>
    <w:p w14:paraId="63283311" w14:textId="77777777" w:rsidR="000D1D92" w:rsidRDefault="000D1D92" w:rsidP="000D1D92">
      <w:pPr>
        <w:autoSpaceDE w:val="0"/>
        <w:autoSpaceDN w:val="0"/>
        <w:adjustRightInd w:val="0"/>
        <w:spacing w:before="0" w:after="0"/>
        <w:jc w:val="both"/>
        <w:rPr>
          <w:rFonts w:cs="Arial"/>
        </w:rPr>
      </w:pPr>
      <w:r>
        <w:rPr>
          <w:rFonts w:cs="Arial"/>
        </w:rPr>
        <w:t xml:space="preserve">I am very encouraged by the 2015 </w:t>
      </w:r>
      <w:r w:rsidRPr="00272D6F">
        <w:rPr>
          <w:rFonts w:cs="Arial"/>
        </w:rPr>
        <w:t>Australian Institute of Health and We</w:t>
      </w:r>
      <w:r>
        <w:rPr>
          <w:rFonts w:cs="Arial"/>
        </w:rPr>
        <w:t xml:space="preserve">lfare’s report on </w:t>
      </w:r>
      <w:r w:rsidRPr="00B56853">
        <w:rPr>
          <w:rFonts w:cs="Arial"/>
          <w:i/>
        </w:rPr>
        <w:t>Screening for domestic violence during pregnancy - Options for future reporting in the National Perinatal Data Collection</w:t>
      </w:r>
      <w:r>
        <w:rPr>
          <w:rFonts w:cs="Arial"/>
        </w:rPr>
        <w:t>.</w:t>
      </w:r>
      <w:r>
        <w:rPr>
          <w:rStyle w:val="EndnoteReference"/>
          <w:rFonts w:cs="Arial"/>
        </w:rPr>
        <w:endnoteReference w:id="691"/>
      </w:r>
      <w:r>
        <w:rPr>
          <w:rFonts w:cs="Arial"/>
        </w:rPr>
        <w:t xml:space="preserve"> </w:t>
      </w:r>
    </w:p>
    <w:p w14:paraId="183BF509" w14:textId="77777777" w:rsidR="000D1D92" w:rsidRDefault="000D1D92" w:rsidP="000D1D92">
      <w:pPr>
        <w:autoSpaceDE w:val="0"/>
        <w:autoSpaceDN w:val="0"/>
        <w:adjustRightInd w:val="0"/>
        <w:spacing w:before="0" w:after="0"/>
        <w:jc w:val="both"/>
        <w:rPr>
          <w:rFonts w:cs="Arial"/>
        </w:rPr>
      </w:pPr>
    </w:p>
    <w:p w14:paraId="4F341649" w14:textId="77777777" w:rsidR="000D1D92" w:rsidRDefault="000D1D92" w:rsidP="000D1D92">
      <w:pPr>
        <w:autoSpaceDE w:val="0"/>
        <w:autoSpaceDN w:val="0"/>
        <w:adjustRightInd w:val="0"/>
        <w:spacing w:before="0" w:after="0"/>
        <w:jc w:val="both"/>
        <w:rPr>
          <w:rFonts w:cs="Arial"/>
        </w:rPr>
      </w:pPr>
      <w:r>
        <w:rPr>
          <w:rFonts w:cs="Arial"/>
        </w:rPr>
        <w:t>The</w:t>
      </w:r>
      <w:r w:rsidRPr="00272D6F">
        <w:rPr>
          <w:rFonts w:cs="Arial"/>
        </w:rPr>
        <w:t xml:space="preserve"> report discusses barrier</w:t>
      </w:r>
      <w:r>
        <w:rPr>
          <w:rFonts w:cs="Arial"/>
        </w:rPr>
        <w:t xml:space="preserve">s to, and opportunities for, the </w:t>
      </w:r>
      <w:r w:rsidRPr="00272D6F">
        <w:rPr>
          <w:rFonts w:cs="Arial"/>
        </w:rPr>
        <w:t>collection of data on screeni</w:t>
      </w:r>
      <w:r>
        <w:rPr>
          <w:rFonts w:cs="Arial"/>
        </w:rPr>
        <w:t xml:space="preserve">ng for family and domestic violence during </w:t>
      </w:r>
      <w:r w:rsidRPr="00272D6F">
        <w:rPr>
          <w:rFonts w:cs="Arial"/>
        </w:rPr>
        <w:t>pregnancy.</w:t>
      </w:r>
      <w:r>
        <w:rPr>
          <w:rFonts w:cs="Arial"/>
        </w:rPr>
        <w:t xml:space="preserve"> The report proposes options for data collection through the </w:t>
      </w:r>
      <w:r w:rsidRPr="00272D6F">
        <w:rPr>
          <w:rFonts w:cs="Arial"/>
        </w:rPr>
        <w:t>National Perinatal Data Collection</w:t>
      </w:r>
      <w:r>
        <w:rPr>
          <w:rFonts w:cs="Arial"/>
        </w:rPr>
        <w:t>.</w:t>
      </w:r>
    </w:p>
    <w:p w14:paraId="1C47DB51" w14:textId="77777777" w:rsidR="000D1D92" w:rsidRDefault="000D1D92" w:rsidP="000D1D92">
      <w:pPr>
        <w:jc w:val="both"/>
        <w:rPr>
          <w:rFonts w:cs="Arial"/>
        </w:rPr>
      </w:pPr>
      <w:r w:rsidRPr="00A712DE">
        <w:rPr>
          <w:rFonts w:cs="Arial"/>
        </w:rPr>
        <w:t xml:space="preserve">A mother of a child with disability who experienced family and domestic violence during pregnancy and after giving birth provided me with a submission from </w:t>
      </w:r>
      <w:r>
        <w:rPr>
          <w:rFonts w:cs="Arial"/>
        </w:rPr>
        <w:t>which I have taken this extract.</w:t>
      </w:r>
    </w:p>
    <w:tbl>
      <w:tblPr>
        <w:tblStyle w:val="TableGrid"/>
        <w:tblW w:w="0" w:type="auto"/>
        <w:shd w:val="clear" w:color="auto" w:fill="F2F2F2" w:themeFill="background1" w:themeFillShade="F2"/>
        <w:tblLook w:val="04A0" w:firstRow="1" w:lastRow="0" w:firstColumn="1" w:lastColumn="0" w:noHBand="0" w:noVBand="1"/>
      </w:tblPr>
      <w:tblGrid>
        <w:gridCol w:w="9286"/>
      </w:tblGrid>
      <w:tr w:rsidR="000D1D92" w:rsidRPr="00605DD9" w14:paraId="4CEE4062" w14:textId="77777777" w:rsidTr="00684616">
        <w:tc>
          <w:tcPr>
            <w:tcW w:w="9286" w:type="dxa"/>
            <w:shd w:val="clear" w:color="auto" w:fill="F2F2F2" w:themeFill="background1" w:themeFillShade="F2"/>
          </w:tcPr>
          <w:p w14:paraId="0BB58261" w14:textId="77777777" w:rsidR="000D1D92" w:rsidRDefault="000D1D92" w:rsidP="00684616">
            <w:pPr>
              <w:spacing w:before="0" w:after="0"/>
              <w:jc w:val="both"/>
              <w:rPr>
                <w:b/>
              </w:rPr>
            </w:pPr>
          </w:p>
          <w:p w14:paraId="4D576F72" w14:textId="77777777" w:rsidR="000D1D92" w:rsidRDefault="000D1D92" w:rsidP="00684616">
            <w:pPr>
              <w:spacing w:before="0" w:after="0"/>
              <w:jc w:val="both"/>
              <w:rPr>
                <w:b/>
              </w:rPr>
            </w:pPr>
            <w:r w:rsidRPr="00830F85">
              <w:rPr>
                <w:b/>
              </w:rPr>
              <w:t>Extract from Ms Emma Gierschick’s written submission</w:t>
            </w:r>
            <w:r w:rsidRPr="00830F85">
              <w:rPr>
                <w:b/>
                <w:vertAlign w:val="superscript"/>
              </w:rPr>
              <w:endnoteReference w:id="692"/>
            </w:r>
          </w:p>
          <w:p w14:paraId="2E5B48B3" w14:textId="77777777" w:rsidR="000D1D92" w:rsidRPr="00830F85" w:rsidRDefault="000D1D92" w:rsidP="00684616">
            <w:pPr>
              <w:spacing w:before="0" w:after="0"/>
              <w:jc w:val="both"/>
              <w:rPr>
                <w:b/>
              </w:rPr>
            </w:pPr>
          </w:p>
          <w:p w14:paraId="7F00BE29" w14:textId="77777777" w:rsidR="000D1D92" w:rsidRDefault="000D1D92" w:rsidP="00684616">
            <w:pPr>
              <w:spacing w:before="0" w:after="0"/>
              <w:jc w:val="both"/>
            </w:pPr>
            <w:r w:rsidRPr="00830F85">
              <w:t xml:space="preserve">I have absolutely NO photos of </w:t>
            </w:r>
            <w:r w:rsidRPr="00537FD4">
              <w:rPr>
                <w:highlight w:val="black"/>
              </w:rPr>
              <w:t>-----</w:t>
            </w:r>
            <w:r w:rsidRPr="00830F85">
              <w:t xml:space="preserve"> smiling at all in the first 20 months of her life – and just thought I had an unanimated quiet withdrawn child who would look startled with big wide eyes most of the time – who didn’t smile. She rarely cried, but also didn’t engage much and certainly never laughed or giggled with happiness or joy. It was only upon leaving that I discovered what a giggly, energetic bundle of mess, noise and mischief I have who is always very ‘busy’ and loves dancing, singing and </w:t>
            </w:r>
            <w:r w:rsidRPr="00830F85">
              <w:lastRenderedPageBreak/>
              <w:t>laughing. She wakes with a smile on her face now or a giggle.</w:t>
            </w:r>
          </w:p>
          <w:p w14:paraId="5A8C2181" w14:textId="77777777" w:rsidR="000D1D92" w:rsidRPr="00830F85" w:rsidRDefault="000D1D92" w:rsidP="00684616">
            <w:pPr>
              <w:spacing w:before="0" w:after="0"/>
              <w:jc w:val="both"/>
            </w:pPr>
          </w:p>
        </w:tc>
      </w:tr>
    </w:tbl>
    <w:p w14:paraId="6B28C65E" w14:textId="77777777" w:rsidR="000D1D92" w:rsidRDefault="000D1D92" w:rsidP="000D1D92">
      <w:pPr>
        <w:autoSpaceDE w:val="0"/>
        <w:autoSpaceDN w:val="0"/>
        <w:adjustRightInd w:val="0"/>
        <w:spacing w:before="0" w:after="0"/>
        <w:jc w:val="both"/>
        <w:rPr>
          <w:rFonts w:cs="Arial"/>
        </w:rPr>
      </w:pPr>
    </w:p>
    <w:p w14:paraId="164EEB07" w14:textId="77777777" w:rsidR="000D1D92" w:rsidRDefault="000D1D92" w:rsidP="000D1D92">
      <w:pPr>
        <w:autoSpaceDE w:val="0"/>
        <w:autoSpaceDN w:val="0"/>
        <w:adjustRightInd w:val="0"/>
        <w:spacing w:before="0" w:after="0"/>
        <w:jc w:val="both"/>
        <w:rPr>
          <w:rFonts w:cs="Arial"/>
        </w:rPr>
      </w:pPr>
      <w:r>
        <w:rPr>
          <w:rFonts w:cs="Arial"/>
        </w:rPr>
        <w:t>Future screening will enable women experiencing family and domestic violence to have an increased chance of receiving support. I will monitor progress for the screening of family and domestic violence during pregnancy.</w:t>
      </w:r>
    </w:p>
    <w:p w14:paraId="6C9B2E27" w14:textId="77777777" w:rsidR="000D1D92" w:rsidRDefault="000D1D92" w:rsidP="000D1D92">
      <w:pPr>
        <w:autoSpaceDE w:val="0"/>
        <w:autoSpaceDN w:val="0"/>
        <w:adjustRightInd w:val="0"/>
        <w:spacing w:before="0" w:after="0"/>
        <w:jc w:val="both"/>
        <w:rPr>
          <w:rFonts w:cs="Arial"/>
        </w:rPr>
      </w:pPr>
    </w:p>
    <w:tbl>
      <w:tblPr>
        <w:tblStyle w:val="TableGrid"/>
        <w:tblW w:w="0" w:type="auto"/>
        <w:shd w:val="clear" w:color="auto" w:fill="F2F2F2" w:themeFill="background1" w:themeFillShade="F2"/>
        <w:tblLook w:val="04A0" w:firstRow="1" w:lastRow="0" w:firstColumn="1" w:lastColumn="0" w:noHBand="0" w:noVBand="1"/>
      </w:tblPr>
      <w:tblGrid>
        <w:gridCol w:w="9060"/>
      </w:tblGrid>
      <w:tr w:rsidR="000D1D92" w14:paraId="0CC707A9" w14:textId="77777777" w:rsidTr="00684616">
        <w:tc>
          <w:tcPr>
            <w:tcW w:w="9060" w:type="dxa"/>
            <w:shd w:val="clear" w:color="auto" w:fill="F2F2F2" w:themeFill="background1" w:themeFillShade="F2"/>
          </w:tcPr>
          <w:p w14:paraId="18467A5E" w14:textId="77777777" w:rsidR="000D1D92" w:rsidRDefault="000D1D92" w:rsidP="00684616">
            <w:pPr>
              <w:jc w:val="both"/>
              <w:rPr>
                <w:b/>
              </w:rPr>
            </w:pPr>
            <w:r>
              <w:rPr>
                <w:b/>
              </w:rPr>
              <w:t xml:space="preserve">Recommendation 13: </w:t>
            </w:r>
          </w:p>
          <w:p w14:paraId="62D126B6" w14:textId="77777777" w:rsidR="000D1D92" w:rsidRDefault="000D1D92" w:rsidP="00684616">
            <w:pPr>
              <w:jc w:val="both"/>
            </w:pPr>
            <w:r>
              <w:rPr>
                <w:b/>
              </w:rPr>
              <w:t>O</w:t>
            </w:r>
            <w:r w:rsidRPr="0095244B">
              <w:rPr>
                <w:b/>
              </w:rPr>
              <w:t>ptions for data collection on screening for family and domestic violence during pregnancy through the National Perinatal Data Collection are progressed by the Australian Institute of Health and Welfare.</w:t>
            </w:r>
          </w:p>
        </w:tc>
      </w:tr>
    </w:tbl>
    <w:p w14:paraId="4A7D9551" w14:textId="77777777" w:rsidR="000D1D92" w:rsidRDefault="000D1D92" w:rsidP="000D1D92">
      <w:pPr>
        <w:autoSpaceDE w:val="0"/>
        <w:autoSpaceDN w:val="0"/>
        <w:adjustRightInd w:val="0"/>
        <w:spacing w:before="0" w:after="0"/>
        <w:jc w:val="both"/>
        <w:rPr>
          <w:rFonts w:cs="Arial"/>
        </w:rPr>
      </w:pPr>
    </w:p>
    <w:p w14:paraId="4ED623BC" w14:textId="77777777" w:rsidR="000D1D92" w:rsidRDefault="000D1D92" w:rsidP="000D1D92">
      <w:pPr>
        <w:autoSpaceDE w:val="0"/>
        <w:autoSpaceDN w:val="0"/>
        <w:adjustRightInd w:val="0"/>
        <w:spacing w:before="0" w:after="0"/>
        <w:jc w:val="both"/>
        <w:rPr>
          <w:rFonts w:cs="Arial"/>
        </w:rPr>
      </w:pPr>
      <w:r>
        <w:rPr>
          <w:rFonts w:cs="Arial"/>
        </w:rPr>
        <w:t>Participants a</w:t>
      </w:r>
      <w:r w:rsidRPr="00F44FD6">
        <w:rPr>
          <w:rFonts w:cs="Arial"/>
        </w:rPr>
        <w:t>t a</w:t>
      </w:r>
      <w:r>
        <w:rPr>
          <w:rFonts w:cs="Arial"/>
        </w:rPr>
        <w:t xml:space="preserve"> number of my roundtables and numerous submissions</w:t>
      </w:r>
      <w:r>
        <w:rPr>
          <w:rStyle w:val="EndnoteReference"/>
          <w:rFonts w:cs="Arial"/>
        </w:rPr>
        <w:endnoteReference w:id="693"/>
      </w:r>
      <w:r>
        <w:rPr>
          <w:rFonts w:cs="Arial"/>
        </w:rPr>
        <w:t xml:space="preserve"> reinforced the importance of the </w:t>
      </w:r>
      <w:r w:rsidRPr="00DC72AD">
        <w:rPr>
          <w:rFonts w:cs="Arial"/>
        </w:rPr>
        <w:t>first 1000 days between conception</w:t>
      </w:r>
      <w:r>
        <w:rPr>
          <w:rFonts w:cs="Arial"/>
        </w:rPr>
        <w:t xml:space="preserve"> and two years of age,</w:t>
      </w:r>
      <w:r w:rsidRPr="00120F41">
        <w:rPr>
          <w:rFonts w:cs="Arial"/>
        </w:rPr>
        <w:t xml:space="preserve"> </w:t>
      </w:r>
      <w:r>
        <w:rPr>
          <w:rFonts w:cs="Arial"/>
        </w:rPr>
        <w:t>and the value of investing in the early years.</w:t>
      </w:r>
    </w:p>
    <w:p w14:paraId="0825BEF0" w14:textId="77777777" w:rsidR="000D1D92" w:rsidRDefault="000D1D92" w:rsidP="000D1D92">
      <w:pPr>
        <w:autoSpaceDE w:val="0"/>
        <w:autoSpaceDN w:val="0"/>
        <w:adjustRightInd w:val="0"/>
        <w:spacing w:before="0" w:after="0"/>
        <w:jc w:val="both"/>
        <w:rPr>
          <w:rFonts w:cs="Arial"/>
        </w:rPr>
      </w:pPr>
    </w:p>
    <w:p w14:paraId="2B1AB649" w14:textId="77777777" w:rsidR="000D1D92" w:rsidRPr="00DF6A1B" w:rsidRDefault="000D1D92" w:rsidP="000D1D92">
      <w:pPr>
        <w:spacing w:before="0" w:after="0"/>
        <w:jc w:val="both"/>
      </w:pPr>
      <w:r w:rsidRPr="00DF6A1B">
        <w:t xml:space="preserve">Experiences of family and domestic violence </w:t>
      </w:r>
      <w:r>
        <w:t>have been linked to detrimental consequences for</w:t>
      </w:r>
      <w:r w:rsidRPr="00DF6A1B">
        <w:t xml:space="preserve"> </w:t>
      </w:r>
      <w:r>
        <w:t xml:space="preserve">brain </w:t>
      </w:r>
      <w:r w:rsidRPr="00DF6A1B">
        <w:t>development of children</w:t>
      </w:r>
      <w:r>
        <w:t xml:space="preserve"> </w:t>
      </w:r>
      <w:r w:rsidRPr="00DF6A1B">
        <w:t xml:space="preserve">during pregnancy and early childhood. </w:t>
      </w:r>
    </w:p>
    <w:p w14:paraId="3ACFD1BB" w14:textId="77777777" w:rsidR="000D1D92" w:rsidRDefault="000D1D92" w:rsidP="000D1D92">
      <w:pPr>
        <w:autoSpaceDE w:val="0"/>
        <w:autoSpaceDN w:val="0"/>
        <w:adjustRightInd w:val="0"/>
        <w:spacing w:before="0" w:after="0"/>
        <w:jc w:val="both"/>
      </w:pPr>
    </w:p>
    <w:p w14:paraId="51ADCA26" w14:textId="77777777" w:rsidR="000D1D92" w:rsidRPr="005001AC" w:rsidRDefault="000D1D92" w:rsidP="000D1D92">
      <w:pPr>
        <w:autoSpaceDE w:val="0"/>
        <w:autoSpaceDN w:val="0"/>
        <w:adjustRightInd w:val="0"/>
        <w:spacing w:before="0" w:after="0"/>
        <w:jc w:val="both"/>
        <w:rPr>
          <w:rFonts w:cs="Arial"/>
        </w:rPr>
      </w:pPr>
      <w:r>
        <w:t>Families</w:t>
      </w:r>
      <w:r w:rsidRPr="0051084E">
        <w:t xml:space="preserve"> Australia</w:t>
      </w:r>
      <w:r>
        <w:t xml:space="preserve"> emphasised that:</w:t>
      </w:r>
    </w:p>
    <w:p w14:paraId="1330FE22" w14:textId="77777777" w:rsidR="000D1D92" w:rsidRDefault="000D1D92" w:rsidP="000D1D92">
      <w:pPr>
        <w:pStyle w:val="ListParagraph"/>
        <w:spacing w:before="0" w:after="0"/>
        <w:ind w:left="0"/>
        <w:jc w:val="both"/>
      </w:pPr>
    </w:p>
    <w:p w14:paraId="59920829" w14:textId="77777777" w:rsidR="000D1D92" w:rsidRPr="009C1BDA" w:rsidRDefault="000D1D92" w:rsidP="000D1D92">
      <w:pPr>
        <w:pStyle w:val="ListParagraph"/>
        <w:spacing w:before="0" w:after="0"/>
        <w:jc w:val="both"/>
      </w:pPr>
      <w:r w:rsidRPr="00683F05">
        <w:rPr>
          <w:sz w:val="22"/>
          <w:szCs w:val="22"/>
        </w:rPr>
        <w:t>In order to reduce the negative impact on children, who experience family and domestic violence, to improve their life outcomes, and to break the intergenerational cycle of violence, it is vital that comprehensive support be available as early as possible, and on a long-term basis if necessary</w:t>
      </w:r>
      <w:r w:rsidRPr="00636F8D">
        <w:t>.</w:t>
      </w:r>
      <w:r>
        <w:rPr>
          <w:rStyle w:val="EndnoteReference"/>
        </w:rPr>
        <w:endnoteReference w:id="694"/>
      </w:r>
    </w:p>
    <w:p w14:paraId="524FF45F" w14:textId="77777777" w:rsidR="000D1D92" w:rsidRPr="00FC4343" w:rsidRDefault="000D1D92" w:rsidP="000D1D92">
      <w:pPr>
        <w:jc w:val="both"/>
      </w:pPr>
      <w:r>
        <w:t>T</w:t>
      </w:r>
      <w:r w:rsidRPr="00FC4343">
        <w:t xml:space="preserve">he submission from the Australian Association for Infant Mental Health West Australian Branch </w:t>
      </w:r>
      <w:r>
        <w:t>reinforced this:</w:t>
      </w:r>
    </w:p>
    <w:p w14:paraId="605EB46E" w14:textId="77777777" w:rsidR="000D1D92" w:rsidRPr="00970E7F" w:rsidRDefault="000D1D92" w:rsidP="000D1D92">
      <w:pPr>
        <w:ind w:left="720"/>
        <w:jc w:val="both"/>
        <w:rPr>
          <w:sz w:val="22"/>
          <w:szCs w:val="22"/>
        </w:rPr>
      </w:pPr>
      <w:r>
        <w:rPr>
          <w:sz w:val="22"/>
          <w:szCs w:val="22"/>
        </w:rPr>
        <w:t xml:space="preserve">For infants and young </w:t>
      </w:r>
      <w:r w:rsidRPr="00FC4343">
        <w:rPr>
          <w:sz w:val="22"/>
          <w:szCs w:val="22"/>
        </w:rPr>
        <w:t>children who experience developmental trauma</w:t>
      </w:r>
      <w:r>
        <w:rPr>
          <w:sz w:val="22"/>
          <w:szCs w:val="22"/>
        </w:rPr>
        <w:t>,</w:t>
      </w:r>
      <w:r w:rsidRPr="00FC4343">
        <w:rPr>
          <w:sz w:val="22"/>
          <w:szCs w:val="22"/>
        </w:rPr>
        <w:t xml:space="preserve"> prevention and e</w:t>
      </w:r>
      <w:r>
        <w:rPr>
          <w:sz w:val="22"/>
          <w:szCs w:val="22"/>
        </w:rPr>
        <w:t xml:space="preserve">arly intervention is of crucial </w:t>
      </w:r>
      <w:r w:rsidRPr="00FC4343">
        <w:rPr>
          <w:sz w:val="22"/>
          <w:szCs w:val="22"/>
        </w:rPr>
        <w:t>importan</w:t>
      </w:r>
      <w:r>
        <w:rPr>
          <w:sz w:val="22"/>
          <w:szCs w:val="22"/>
        </w:rPr>
        <w:t>ce given the immediate and long-</w:t>
      </w:r>
      <w:r w:rsidRPr="00FC4343">
        <w:rPr>
          <w:sz w:val="22"/>
          <w:szCs w:val="22"/>
        </w:rPr>
        <w:t>term impact on developm</w:t>
      </w:r>
      <w:r>
        <w:rPr>
          <w:sz w:val="22"/>
          <w:szCs w:val="22"/>
        </w:rPr>
        <w:t xml:space="preserve">ent and the compelling evidence </w:t>
      </w:r>
      <w:r w:rsidRPr="00FC4343">
        <w:rPr>
          <w:sz w:val="22"/>
          <w:szCs w:val="22"/>
        </w:rPr>
        <w:t>for the impact of intervening early.</w:t>
      </w:r>
      <w:r>
        <w:rPr>
          <w:rStyle w:val="EndnoteReference"/>
          <w:szCs w:val="22"/>
        </w:rPr>
        <w:endnoteReference w:id="695"/>
      </w:r>
    </w:p>
    <w:p w14:paraId="2C3CCA96" w14:textId="77777777" w:rsidR="000D1D92" w:rsidRDefault="000D1D92" w:rsidP="000D1D92">
      <w:pPr>
        <w:jc w:val="both"/>
        <w:rPr>
          <w:rFonts w:cs="Arial"/>
          <w:sz w:val="22"/>
          <w:szCs w:val="22"/>
        </w:rPr>
      </w:pPr>
      <w:r>
        <w:rPr>
          <w:rFonts w:cs="Arial"/>
        </w:rPr>
        <w:t xml:space="preserve">Researchers, Fehlberg, Kaspiew, Millbank, Kelly and </w:t>
      </w:r>
      <w:r w:rsidRPr="0052615C">
        <w:rPr>
          <w:rFonts w:cs="Arial"/>
        </w:rPr>
        <w:t xml:space="preserve">Behrens </w:t>
      </w:r>
      <w:r>
        <w:rPr>
          <w:rFonts w:cs="Arial"/>
        </w:rPr>
        <w:t>point out that</w:t>
      </w:r>
      <w:r w:rsidRPr="0052615C">
        <w:rPr>
          <w:rFonts w:cs="Arial"/>
        </w:rPr>
        <w:t>:</w:t>
      </w:r>
    </w:p>
    <w:p w14:paraId="3334A22D" w14:textId="77777777" w:rsidR="000D1D92" w:rsidRDefault="000D1D92" w:rsidP="000D1D92">
      <w:pPr>
        <w:ind w:left="360"/>
        <w:jc w:val="both"/>
        <w:rPr>
          <w:szCs w:val="22"/>
          <w:lang w:val="en-US"/>
        </w:rPr>
      </w:pPr>
      <w:r>
        <w:rPr>
          <w:rFonts w:cs="Arial"/>
          <w:sz w:val="22"/>
          <w:szCs w:val="22"/>
        </w:rPr>
        <w:t>…</w:t>
      </w:r>
      <w:r w:rsidRPr="00580E46">
        <w:rPr>
          <w:rFonts w:cs="Arial"/>
          <w:sz w:val="22"/>
          <w:szCs w:val="22"/>
        </w:rPr>
        <w:t xml:space="preserve"> a growing field of neurodeve</w:t>
      </w:r>
      <w:r>
        <w:rPr>
          <w:rFonts w:cs="Arial"/>
          <w:sz w:val="22"/>
          <w:szCs w:val="22"/>
        </w:rPr>
        <w:t xml:space="preserve">lopmental research show[s] that </w:t>
      </w:r>
      <w:r w:rsidRPr="00580E46">
        <w:rPr>
          <w:rFonts w:cs="Arial"/>
          <w:sz w:val="22"/>
          <w:szCs w:val="22"/>
        </w:rPr>
        <w:t xml:space="preserve">exposure to family violence may have permanent effects on </w:t>
      </w:r>
      <w:r>
        <w:rPr>
          <w:rFonts w:cs="Arial"/>
          <w:sz w:val="22"/>
          <w:szCs w:val="22"/>
        </w:rPr>
        <w:t xml:space="preserve">the development of the brain in </w:t>
      </w:r>
      <w:r w:rsidRPr="00580E46">
        <w:rPr>
          <w:rFonts w:cs="Arial"/>
          <w:sz w:val="22"/>
          <w:szCs w:val="22"/>
        </w:rPr>
        <w:t>young children, especially in the absence of therapeutic intervention.</w:t>
      </w:r>
      <w:r w:rsidRPr="00CC5259">
        <w:rPr>
          <w:rStyle w:val="EndnoteReference"/>
          <w:szCs w:val="22"/>
          <w:lang w:val="en-US"/>
        </w:rPr>
        <w:t xml:space="preserve"> </w:t>
      </w:r>
      <w:r>
        <w:rPr>
          <w:rStyle w:val="EndnoteReference"/>
          <w:szCs w:val="22"/>
          <w:lang w:val="en-US"/>
        </w:rPr>
        <w:endnoteReference w:id="696"/>
      </w:r>
    </w:p>
    <w:p w14:paraId="053E6F58" w14:textId="77777777" w:rsidR="000D1D92" w:rsidRDefault="000D1D92" w:rsidP="000D1D92">
      <w:pPr>
        <w:jc w:val="both"/>
        <w:rPr>
          <w:rFonts w:cs="Arial"/>
        </w:rPr>
      </w:pPr>
      <w:r>
        <w:rPr>
          <w:rFonts w:cs="Arial"/>
        </w:rPr>
        <w:t xml:space="preserve">The </w:t>
      </w:r>
      <w:r w:rsidRPr="00D9283E">
        <w:rPr>
          <w:rFonts w:cs="Arial"/>
        </w:rPr>
        <w:t xml:space="preserve">National </w:t>
      </w:r>
      <w:r>
        <w:rPr>
          <w:rFonts w:cs="Arial"/>
        </w:rPr>
        <w:t>Framework</w:t>
      </w:r>
      <w:r w:rsidRPr="00D9283E">
        <w:rPr>
          <w:rFonts w:cs="Arial"/>
        </w:rPr>
        <w:t xml:space="preserve"> for Protecting Australia’s Children</w:t>
      </w:r>
      <w:r>
        <w:rPr>
          <w:rFonts w:cs="Arial"/>
        </w:rPr>
        <w:t xml:space="preserve"> is committed</w:t>
      </w:r>
      <w:r w:rsidRPr="00681935">
        <w:rPr>
          <w:rFonts w:cs="Arial"/>
        </w:rPr>
        <w:t xml:space="preserve"> to early intervention</w:t>
      </w:r>
      <w:r>
        <w:rPr>
          <w:rFonts w:cs="Arial"/>
        </w:rPr>
        <w:t>. Its</w:t>
      </w:r>
      <w:r w:rsidRPr="00681935">
        <w:rPr>
          <w:rFonts w:cs="Arial"/>
        </w:rPr>
        <w:t xml:space="preserve"> Third Action Plan will be incorporating a First 1000 Days Strategy,</w:t>
      </w:r>
      <w:r>
        <w:rPr>
          <w:rFonts w:cs="Arial"/>
        </w:rPr>
        <w:t xml:space="preserve"> which is </w:t>
      </w:r>
      <w:r w:rsidRPr="00681935">
        <w:rPr>
          <w:rFonts w:cs="Arial"/>
        </w:rPr>
        <w:t>supporte</w:t>
      </w:r>
      <w:r>
        <w:rPr>
          <w:rFonts w:cs="Arial"/>
        </w:rPr>
        <w:t>d by all states and territories in Australia.</w:t>
      </w:r>
    </w:p>
    <w:p w14:paraId="47423206" w14:textId="77777777" w:rsidR="000D1D92" w:rsidRDefault="000D1D92" w:rsidP="000D1D92">
      <w:pPr>
        <w:jc w:val="both"/>
        <w:rPr>
          <w:rFonts w:cs="Arial"/>
        </w:rPr>
      </w:pPr>
      <w:r>
        <w:rPr>
          <w:rFonts w:cs="Arial"/>
        </w:rPr>
        <w:t xml:space="preserve">The focus on the early period of child development will hopefully drive </w:t>
      </w:r>
      <w:r w:rsidRPr="002F3441">
        <w:rPr>
          <w:rFonts w:cs="Arial"/>
        </w:rPr>
        <w:t>improved awareness and understanding of</w:t>
      </w:r>
      <w:r>
        <w:rPr>
          <w:rFonts w:cs="Arial"/>
        </w:rPr>
        <w:t xml:space="preserve"> its importance and t</w:t>
      </w:r>
      <w:r w:rsidRPr="002F3441">
        <w:rPr>
          <w:rFonts w:cs="Arial"/>
        </w:rPr>
        <w:t>he crit</w:t>
      </w:r>
      <w:r>
        <w:rPr>
          <w:rFonts w:cs="Arial"/>
        </w:rPr>
        <w:t>ical role of parenting.</w:t>
      </w:r>
    </w:p>
    <w:p w14:paraId="5185ECB7" w14:textId="77777777" w:rsidR="000D1D92" w:rsidRPr="005163D2" w:rsidRDefault="000D1D92" w:rsidP="000D1D92">
      <w:pPr>
        <w:jc w:val="both"/>
        <w:rPr>
          <w:rFonts w:cs="Arial"/>
        </w:rPr>
      </w:pPr>
      <w:r>
        <w:rPr>
          <w:rFonts w:cs="Arial"/>
        </w:rPr>
        <w:lastRenderedPageBreak/>
        <w:t>As a member of the National Forum for the National Framework and its Third Action Plan, I will continue to advocate for laws, policies and programs that prioritise investment in the early years and early intervention initiatives for children.</w:t>
      </w:r>
    </w:p>
    <w:p w14:paraId="19D70ED6" w14:textId="77777777" w:rsidR="000D1D92" w:rsidRPr="00514629" w:rsidRDefault="000D1D92" w:rsidP="000D1D92">
      <w:pPr>
        <w:pStyle w:val="Heading3"/>
        <w:jc w:val="both"/>
      </w:pPr>
      <w:bookmarkStart w:id="200" w:name="_Toc430702129"/>
      <w:bookmarkStart w:id="201" w:name="_Toc432061280"/>
      <w:r w:rsidRPr="00514629">
        <w:t>Aboriginal and Torres Strait Islander children are over represented</w:t>
      </w:r>
      <w:bookmarkEnd w:id="200"/>
      <w:bookmarkEnd w:id="201"/>
    </w:p>
    <w:p w14:paraId="6A60DFDC" w14:textId="77777777" w:rsidR="000D1D92" w:rsidRDefault="000D1D92" w:rsidP="000D1D92">
      <w:pPr>
        <w:jc w:val="both"/>
        <w:rPr>
          <w:rFonts w:cs="Arial"/>
        </w:rPr>
      </w:pPr>
      <w:r>
        <w:rPr>
          <w:rFonts w:cs="Arial"/>
        </w:rPr>
        <w:t>The over-representation of Aboriginal and Torres Strait Islander children in the context of family and domestic was raised in written submissions, at all of my roundtables and in many of the individual consultations I conducted.</w:t>
      </w:r>
    </w:p>
    <w:p w14:paraId="2178FD00" w14:textId="77777777" w:rsidR="000D1D92" w:rsidRDefault="000D1D92" w:rsidP="000D1D92">
      <w:pPr>
        <w:jc w:val="both"/>
        <w:rPr>
          <w:rFonts w:cs="Arial"/>
        </w:rPr>
      </w:pPr>
      <w:r>
        <w:rPr>
          <w:rFonts w:cs="Arial"/>
        </w:rPr>
        <w:t>The custom data I obtained from ABS based on its Recorded Crime – Victims publication about police recorded child victims of physical assault and sexual assault in a residential location shows that Aboriginal and Torres Strait Islander children are overrepresented as child victi</w:t>
      </w:r>
      <w:bookmarkStart w:id="202" w:name="_GoBack"/>
      <w:bookmarkEnd w:id="202"/>
      <w:r>
        <w:rPr>
          <w:rFonts w:cs="Arial"/>
        </w:rPr>
        <w:t>ms.</w:t>
      </w:r>
    </w:p>
    <w:p w14:paraId="398EA910" w14:textId="77777777" w:rsidR="000D1D92" w:rsidRDefault="000D1D92" w:rsidP="000D1D92">
      <w:pPr>
        <w:jc w:val="both"/>
        <w:rPr>
          <w:rFonts w:cs="Arial"/>
        </w:rPr>
      </w:pPr>
      <w:r>
        <w:rPr>
          <w:rFonts w:cs="Arial"/>
        </w:rPr>
        <w:t>The physical assault and sexual assault data about child victims provided to me by ABS based on its Recorded Crime – Victims publication is likely to be an underestimate of the actual number of victims. The ABS data only includes offences that come to the attention of police.</w:t>
      </w:r>
      <w:r>
        <w:rPr>
          <w:rStyle w:val="EndnoteReference"/>
          <w:rFonts w:cs="Arial"/>
        </w:rPr>
        <w:endnoteReference w:id="697"/>
      </w:r>
    </w:p>
    <w:p w14:paraId="30F8B044" w14:textId="0D70492B" w:rsidR="000D1D92" w:rsidRDefault="00185AE1" w:rsidP="000D1D92">
      <w:pPr>
        <w:jc w:val="both"/>
        <w:rPr>
          <w:rFonts w:cs="Arial"/>
        </w:rPr>
      </w:pPr>
      <w:r>
        <w:rPr>
          <w:noProof/>
        </w:rPr>
        <w:drawing>
          <wp:inline distT="0" distB="0" distL="0" distR="0" wp14:anchorId="27B3B8A2" wp14:editId="71A3DDD6">
            <wp:extent cx="5759450" cy="3413760"/>
            <wp:effectExtent l="0" t="0" r="12700"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F8EF84B" w14:textId="77777777" w:rsidR="000D1D92" w:rsidRDefault="000D1D92" w:rsidP="000D1D92">
      <w:pPr>
        <w:jc w:val="both"/>
      </w:pPr>
      <w:r>
        <w:t>In Victoria, the Taskforce 1000 initiative is examining the circumstances facing Aboriginal and Torres Strait Islander children in out-of-home care.</w:t>
      </w:r>
      <w:r>
        <w:rPr>
          <w:rStyle w:val="EndnoteReference"/>
          <w:iCs/>
          <w:szCs w:val="22"/>
        </w:rPr>
        <w:endnoteReference w:id="698"/>
      </w:r>
      <w:r>
        <w:t xml:space="preserve"> Victorian </w:t>
      </w:r>
      <w:r w:rsidRPr="00872F87">
        <w:t>Commissioner for Aboriginal Childre</w:t>
      </w:r>
      <w:r>
        <w:t>n and Young People and Co-Chair of</w:t>
      </w:r>
      <w:r w:rsidRPr="003D6E60">
        <w:t xml:space="preserve"> </w:t>
      </w:r>
      <w:r>
        <w:t xml:space="preserve">the </w:t>
      </w:r>
      <w:r w:rsidRPr="003D6E60">
        <w:t>Taskforce 1000 Steering Committee</w:t>
      </w:r>
      <w:r>
        <w:t>, Mr Andrew Jackomos</w:t>
      </w:r>
      <w:r w:rsidRPr="00872F87">
        <w:t>,</w:t>
      </w:r>
      <w:r>
        <w:t xml:space="preserve"> told me that:</w:t>
      </w:r>
    </w:p>
    <w:p w14:paraId="3AD83C0C" w14:textId="77777777" w:rsidR="000D1D92" w:rsidRDefault="000D1D92" w:rsidP="000D1D92">
      <w:pPr>
        <w:ind w:left="720"/>
        <w:jc w:val="both"/>
        <w:rPr>
          <w:sz w:val="22"/>
          <w:szCs w:val="22"/>
        </w:rPr>
      </w:pPr>
      <w:r w:rsidRPr="00AD31BB">
        <w:rPr>
          <w:sz w:val="22"/>
          <w:szCs w:val="22"/>
        </w:rPr>
        <w:t>After reviewing and discussing over 400 (out of</w:t>
      </w:r>
      <w:r>
        <w:rPr>
          <w:sz w:val="22"/>
          <w:szCs w:val="22"/>
        </w:rPr>
        <w:t xml:space="preserve"> </w:t>
      </w:r>
      <w:r w:rsidRPr="00AD31BB">
        <w:rPr>
          <w:sz w:val="22"/>
          <w:szCs w:val="22"/>
        </w:rPr>
        <w:t>approximately 1300) Aboriginal children in out of home care; the primary driver</w:t>
      </w:r>
      <w:r>
        <w:rPr>
          <w:sz w:val="22"/>
          <w:szCs w:val="22"/>
        </w:rPr>
        <w:t xml:space="preserve"> </w:t>
      </w:r>
      <w:r w:rsidRPr="00AD31BB">
        <w:rPr>
          <w:sz w:val="22"/>
          <w:szCs w:val="22"/>
        </w:rPr>
        <w:t>into child protection for Aboriginal children is Family Violence, and it is often</w:t>
      </w:r>
      <w:r>
        <w:rPr>
          <w:sz w:val="22"/>
          <w:szCs w:val="22"/>
        </w:rPr>
        <w:t xml:space="preserve"> </w:t>
      </w:r>
      <w:r w:rsidRPr="00AD31BB">
        <w:rPr>
          <w:sz w:val="22"/>
          <w:szCs w:val="22"/>
        </w:rPr>
        <w:t>accompanied with alcohol and drug misuse. This has been in approximately 85%</w:t>
      </w:r>
      <w:r>
        <w:rPr>
          <w:sz w:val="22"/>
          <w:szCs w:val="22"/>
        </w:rPr>
        <w:t xml:space="preserve"> </w:t>
      </w:r>
      <w:r w:rsidRPr="00AD31BB">
        <w:rPr>
          <w:sz w:val="22"/>
          <w:szCs w:val="22"/>
        </w:rPr>
        <w:t>of cases. Specific data collected in the T1000 is the responsibility of DHHS and</w:t>
      </w:r>
      <w:r>
        <w:rPr>
          <w:sz w:val="22"/>
          <w:szCs w:val="22"/>
        </w:rPr>
        <w:t xml:space="preserve"> </w:t>
      </w:r>
      <w:r w:rsidRPr="00AD31BB">
        <w:rPr>
          <w:sz w:val="22"/>
          <w:szCs w:val="22"/>
        </w:rPr>
        <w:t>has not been published.</w:t>
      </w:r>
      <w:r w:rsidRPr="00BE1C0B">
        <w:rPr>
          <w:rStyle w:val="EndnoteReference"/>
        </w:rPr>
        <w:t xml:space="preserve"> </w:t>
      </w:r>
      <w:r>
        <w:rPr>
          <w:rStyle w:val="EndnoteReference"/>
        </w:rPr>
        <w:endnoteReference w:id="699"/>
      </w:r>
    </w:p>
    <w:p w14:paraId="14847A4B" w14:textId="77777777" w:rsidR="000D1D92" w:rsidRDefault="000D1D92" w:rsidP="000D1D92">
      <w:pPr>
        <w:jc w:val="both"/>
      </w:pPr>
      <w:r>
        <w:lastRenderedPageBreak/>
        <w:t>The need for a spectrum of primary, secondary and tertiary interventions to overcome the disadvantages faced by Aboriginal and Torres Strait Islander children and families was raised in my national examination.</w:t>
      </w:r>
    </w:p>
    <w:p w14:paraId="3954523C" w14:textId="77777777" w:rsidR="000D1D92" w:rsidRDefault="000D1D92" w:rsidP="000D1D92">
      <w:pPr>
        <w:autoSpaceDE w:val="0"/>
        <w:autoSpaceDN w:val="0"/>
        <w:adjustRightInd w:val="0"/>
        <w:spacing w:before="0" w:after="0"/>
        <w:jc w:val="both"/>
        <w:rPr>
          <w:rFonts w:cs="Arial"/>
        </w:rPr>
      </w:pPr>
      <w:r>
        <w:rPr>
          <w:rFonts w:cs="Arial"/>
        </w:rPr>
        <w:t>The Third Action Plan of the National Framework for Protecting Australia’s Children has a cross-cutting strategy to focus on Aboriginal and Torres Strait Islander children and families.</w:t>
      </w:r>
    </w:p>
    <w:p w14:paraId="72E38A1B" w14:textId="77777777" w:rsidR="000D1D92" w:rsidRDefault="000D1D92" w:rsidP="000D1D92">
      <w:pPr>
        <w:autoSpaceDE w:val="0"/>
        <w:autoSpaceDN w:val="0"/>
        <w:adjustRightInd w:val="0"/>
        <w:spacing w:before="0" w:after="0"/>
        <w:jc w:val="both"/>
        <w:rPr>
          <w:rFonts w:cs="Arial"/>
        </w:rPr>
      </w:pPr>
    </w:p>
    <w:p w14:paraId="1E36247F" w14:textId="77777777" w:rsidR="000D1D92" w:rsidRDefault="000D1D92" w:rsidP="000D1D92">
      <w:pPr>
        <w:autoSpaceDE w:val="0"/>
        <w:autoSpaceDN w:val="0"/>
        <w:adjustRightInd w:val="0"/>
        <w:spacing w:before="0" w:after="0"/>
        <w:jc w:val="both"/>
        <w:rPr>
          <w:rFonts w:cs="Arial"/>
        </w:rPr>
      </w:pPr>
      <w:r>
        <w:rPr>
          <w:rFonts w:cs="Arial"/>
        </w:rPr>
        <w:t xml:space="preserve">The Third Action Plan’s focus on early intervention will seek to address the needs of </w:t>
      </w:r>
      <w:r w:rsidRPr="00EE5BDF">
        <w:rPr>
          <w:rFonts w:cs="Arial"/>
        </w:rPr>
        <w:t xml:space="preserve">Aboriginal and Torres Strait Islander children and families dealing with </w:t>
      </w:r>
      <w:r>
        <w:rPr>
          <w:rFonts w:cs="Arial"/>
        </w:rPr>
        <w:t>complex</w:t>
      </w:r>
      <w:r w:rsidRPr="00EE5BDF">
        <w:rPr>
          <w:rFonts w:cs="Arial"/>
        </w:rPr>
        <w:t xml:space="preserve"> issues</w:t>
      </w:r>
      <w:r>
        <w:rPr>
          <w:rFonts w:cs="Arial"/>
        </w:rPr>
        <w:t>,</w:t>
      </w:r>
      <w:r w:rsidRPr="00EE5BDF">
        <w:rPr>
          <w:rFonts w:cs="Arial"/>
        </w:rPr>
        <w:t xml:space="preserve"> including family and domestic violence.</w:t>
      </w:r>
    </w:p>
    <w:p w14:paraId="1E22EB30" w14:textId="77777777" w:rsidR="000D1D92" w:rsidRDefault="000D1D92" w:rsidP="000D1D92">
      <w:pPr>
        <w:autoSpaceDE w:val="0"/>
        <w:autoSpaceDN w:val="0"/>
        <w:adjustRightInd w:val="0"/>
        <w:spacing w:before="0" w:after="0"/>
        <w:jc w:val="both"/>
        <w:rPr>
          <w:rFonts w:cs="Arial"/>
        </w:rPr>
      </w:pPr>
    </w:p>
    <w:p w14:paraId="3CA55C1E" w14:textId="77777777" w:rsidR="000D1D92" w:rsidRDefault="000D1D92" w:rsidP="000D1D92">
      <w:pPr>
        <w:autoSpaceDE w:val="0"/>
        <w:autoSpaceDN w:val="0"/>
        <w:adjustRightInd w:val="0"/>
        <w:spacing w:before="0" w:after="0"/>
        <w:jc w:val="both"/>
        <w:rPr>
          <w:rFonts w:cs="Arial"/>
        </w:rPr>
      </w:pPr>
      <w:r>
        <w:rPr>
          <w:rFonts w:cs="Arial"/>
        </w:rPr>
        <w:t>It is intended that a</w:t>
      </w:r>
      <w:r w:rsidRPr="00EE5BDF">
        <w:rPr>
          <w:rFonts w:cs="Arial"/>
        </w:rPr>
        <w:t xml:space="preserve"> new Aboriginal and Torres Strait Islander working group</w:t>
      </w:r>
      <w:r>
        <w:rPr>
          <w:rFonts w:cs="Arial"/>
        </w:rPr>
        <w:t xml:space="preserve"> </w:t>
      </w:r>
      <w:r w:rsidRPr="00EE5BDF">
        <w:rPr>
          <w:rFonts w:cs="Arial"/>
        </w:rPr>
        <w:t xml:space="preserve">will be established </w:t>
      </w:r>
      <w:r>
        <w:rPr>
          <w:rFonts w:cs="Arial"/>
        </w:rPr>
        <w:t>to support the implementation of the Third Action Plan</w:t>
      </w:r>
      <w:r w:rsidRPr="00EE5BDF">
        <w:rPr>
          <w:rFonts w:cs="Arial"/>
        </w:rPr>
        <w:t xml:space="preserve"> and report on progress and outcomes</w:t>
      </w:r>
      <w:r>
        <w:rPr>
          <w:rFonts w:cs="Arial"/>
        </w:rPr>
        <w:t>.</w:t>
      </w:r>
    </w:p>
    <w:p w14:paraId="2ECBAFE9" w14:textId="77777777" w:rsidR="000D1D92" w:rsidRDefault="000D1D92" w:rsidP="000D1D92">
      <w:pPr>
        <w:autoSpaceDE w:val="0"/>
        <w:autoSpaceDN w:val="0"/>
        <w:adjustRightInd w:val="0"/>
        <w:spacing w:before="0" w:after="0"/>
        <w:jc w:val="both"/>
        <w:rPr>
          <w:rFonts w:cs="Arial"/>
        </w:rPr>
      </w:pPr>
    </w:p>
    <w:p w14:paraId="57283C49" w14:textId="77777777" w:rsidR="000D1D92" w:rsidRDefault="000D1D92" w:rsidP="000D1D92">
      <w:pPr>
        <w:autoSpaceDE w:val="0"/>
        <w:autoSpaceDN w:val="0"/>
        <w:adjustRightInd w:val="0"/>
        <w:spacing w:before="0" w:after="0"/>
        <w:jc w:val="both"/>
        <w:rPr>
          <w:rFonts w:cs="Arial"/>
        </w:rPr>
      </w:pPr>
      <w:r>
        <w:rPr>
          <w:rFonts w:cs="Arial"/>
        </w:rPr>
        <w:t>While the Third Action Plan will have a cross-cutting strategy to address the needs of Aboriginal and Torres Strait Islander children, and a focus on early intervention, the Indigenous Health Equity Unit at the University of Melbourne has established a Scientific Committee to progress a research agenda on the impact of a First 1000 Days approach.</w:t>
      </w:r>
      <w:r>
        <w:rPr>
          <w:rStyle w:val="EndnoteReference"/>
          <w:lang w:val="en"/>
        </w:rPr>
        <w:endnoteReference w:id="700"/>
      </w:r>
      <w:r>
        <w:rPr>
          <w:rFonts w:cs="Arial"/>
        </w:rPr>
        <w:t xml:space="preserve"> </w:t>
      </w:r>
    </w:p>
    <w:p w14:paraId="3D9D90AA" w14:textId="77777777" w:rsidR="000D1D92" w:rsidRDefault="000D1D92" w:rsidP="000D1D92">
      <w:pPr>
        <w:jc w:val="both"/>
        <w:rPr>
          <w:rFonts w:cs="Arial"/>
        </w:rPr>
      </w:pPr>
      <w:r>
        <w:rPr>
          <w:lang w:val="en"/>
        </w:rPr>
        <w:t xml:space="preserve">The research agenda for the First 1000 Days approach is coordinated by Professor Kerry Arabena, Chair of Indigenous Health from the University of Melbourne’s School of Population and Global Health. Professor Arabena is also the </w:t>
      </w:r>
      <w:r w:rsidRPr="00C92F80">
        <w:rPr>
          <w:lang w:val="en"/>
        </w:rPr>
        <w:t>Director of the Onemda VicHealth Koori Health Unit</w:t>
      </w:r>
      <w:r>
        <w:rPr>
          <w:rFonts w:cs="Arial"/>
        </w:rPr>
        <w:t>.</w:t>
      </w:r>
    </w:p>
    <w:p w14:paraId="60C3A2EC" w14:textId="77777777" w:rsidR="000D1D92" w:rsidRDefault="000D1D92" w:rsidP="000D1D92">
      <w:pPr>
        <w:jc w:val="both"/>
        <w:rPr>
          <w:rFonts w:cs="Arial"/>
        </w:rPr>
      </w:pPr>
      <w:r>
        <w:rPr>
          <w:lang w:val="en"/>
        </w:rPr>
        <w:t>Professor Kerry Arabena</w:t>
      </w:r>
      <w:r w:rsidRPr="007B21D3">
        <w:rPr>
          <w:rFonts w:cs="Arial"/>
        </w:rPr>
        <w:t xml:space="preserve"> </w:t>
      </w:r>
      <w:r>
        <w:rPr>
          <w:rFonts w:cs="Arial"/>
        </w:rPr>
        <w:t xml:space="preserve">has provided me with a description of the work underway, as it relates to family and domestic violence. </w:t>
      </w:r>
    </w:p>
    <w:p w14:paraId="4C4E176B" w14:textId="77777777" w:rsidR="000D1D92" w:rsidRDefault="000D1D92" w:rsidP="000D1D92">
      <w:pPr>
        <w:autoSpaceDE w:val="0"/>
        <w:autoSpaceDN w:val="0"/>
        <w:adjustRightInd w:val="0"/>
        <w:spacing w:before="0" w:after="0"/>
        <w:jc w:val="both"/>
        <w:rPr>
          <w:rFonts w:cs="Arial"/>
        </w:rPr>
      </w:pPr>
      <w:r>
        <w:rPr>
          <w:rFonts w:cs="Arial"/>
        </w:rPr>
        <w:t>Professor Arabena’s statement can be found on page 68.</w:t>
      </w:r>
    </w:p>
    <w:p w14:paraId="6AE53BFC" w14:textId="77777777" w:rsidR="000D1D92" w:rsidRDefault="000D1D92" w:rsidP="000D1D92">
      <w:pPr>
        <w:autoSpaceDE w:val="0"/>
        <w:autoSpaceDN w:val="0"/>
        <w:adjustRightInd w:val="0"/>
        <w:spacing w:before="0" w:after="0"/>
        <w:jc w:val="both"/>
        <w:rPr>
          <w:rFonts w:cs="Arial"/>
        </w:rPr>
      </w:pPr>
    </w:p>
    <w:p w14:paraId="773B23C3" w14:textId="77777777" w:rsidR="000D1D92" w:rsidRDefault="000D1D92" w:rsidP="000D1D92">
      <w:pPr>
        <w:autoSpaceDE w:val="0"/>
        <w:autoSpaceDN w:val="0"/>
        <w:adjustRightInd w:val="0"/>
        <w:spacing w:before="0" w:after="0"/>
        <w:jc w:val="both"/>
        <w:rPr>
          <w:b/>
        </w:rPr>
      </w:pPr>
      <w:r>
        <w:t>Professor Arabena believes that ‘a radical change is required in how we think about and enhance the early outcomes for Aboriginal and Torres Strait Islander children in Australia’.</w:t>
      </w:r>
    </w:p>
    <w:p w14:paraId="32D7DB5D" w14:textId="77777777" w:rsidR="000D1D92" w:rsidRDefault="000D1D92" w:rsidP="000D1D92">
      <w:pPr>
        <w:autoSpaceDE w:val="0"/>
        <w:autoSpaceDN w:val="0"/>
        <w:adjustRightInd w:val="0"/>
        <w:spacing w:before="0" w:after="0"/>
        <w:jc w:val="both"/>
        <w:rPr>
          <w:b/>
        </w:rPr>
      </w:pPr>
    </w:p>
    <w:p w14:paraId="1E074B70" w14:textId="77777777" w:rsidR="000D1D92" w:rsidRPr="00C96561" w:rsidRDefault="000D1D92" w:rsidP="000D1D92">
      <w:pPr>
        <w:autoSpaceDE w:val="0"/>
        <w:autoSpaceDN w:val="0"/>
        <w:adjustRightInd w:val="0"/>
        <w:spacing w:before="0" w:after="0"/>
        <w:jc w:val="both"/>
      </w:pPr>
      <w:r>
        <w:t>It is crucial that our interventions achieve sustained change by investing in the early years, rather than the default position of intervention at the point of crisis.</w:t>
      </w:r>
    </w:p>
    <w:p w14:paraId="18E5DA90" w14:textId="77777777" w:rsidR="000D1D92" w:rsidRDefault="000D1D92" w:rsidP="000D1D92">
      <w:pPr>
        <w:jc w:val="both"/>
      </w:pPr>
      <w:r>
        <w:rPr>
          <w:rFonts w:cs="Arial"/>
        </w:rPr>
        <w:t>The current funding for Professor Arabena’s project is from the Onemda VicHealth Koori Health Unit, which will cease on 30 June 2016.</w:t>
      </w:r>
    </w:p>
    <w:tbl>
      <w:tblPr>
        <w:tblStyle w:val="TableGrid"/>
        <w:tblW w:w="0" w:type="auto"/>
        <w:shd w:val="clear" w:color="auto" w:fill="F2F2F2" w:themeFill="background1" w:themeFillShade="F2"/>
        <w:tblLook w:val="04A0" w:firstRow="1" w:lastRow="0" w:firstColumn="1" w:lastColumn="0" w:noHBand="0" w:noVBand="1"/>
      </w:tblPr>
      <w:tblGrid>
        <w:gridCol w:w="9060"/>
      </w:tblGrid>
      <w:tr w:rsidR="000D1D92" w14:paraId="6E67F861" w14:textId="77777777" w:rsidTr="00684616">
        <w:tc>
          <w:tcPr>
            <w:tcW w:w="9060" w:type="dxa"/>
            <w:shd w:val="clear" w:color="auto" w:fill="F2F2F2" w:themeFill="background1" w:themeFillShade="F2"/>
          </w:tcPr>
          <w:p w14:paraId="44FE75BE" w14:textId="77777777" w:rsidR="000D1D92" w:rsidRDefault="000D1D92" w:rsidP="00684616">
            <w:pPr>
              <w:jc w:val="both"/>
              <w:rPr>
                <w:b/>
              </w:rPr>
            </w:pPr>
            <w:r>
              <w:rPr>
                <w:b/>
              </w:rPr>
              <w:t xml:space="preserve">Recommendation 14: </w:t>
            </w:r>
          </w:p>
          <w:p w14:paraId="70F7D309" w14:textId="77777777" w:rsidR="000D1D92" w:rsidRDefault="000D1D92" w:rsidP="00684616">
            <w:pPr>
              <w:jc w:val="both"/>
            </w:pPr>
            <w:r>
              <w:rPr>
                <w:b/>
              </w:rPr>
              <w:t>T</w:t>
            </w:r>
            <w:r w:rsidRPr="006E1730">
              <w:rPr>
                <w:b/>
              </w:rPr>
              <w:t>he Australian Government Department of Social Services support the work of Professor Arabena and the Indigenous Health Equity Unit at the University of Melbourne to progress the early intervention research agenda under the First 1000 Days initiative.</w:t>
            </w:r>
          </w:p>
        </w:tc>
      </w:tr>
    </w:tbl>
    <w:p w14:paraId="7F6B74A1" w14:textId="547D8E94" w:rsidR="000D1D92" w:rsidRDefault="000D1D92" w:rsidP="001715AD">
      <w:pPr>
        <w:jc w:val="both"/>
        <w:rPr>
          <w:b/>
          <w:color w:val="FF0000"/>
        </w:rPr>
      </w:pPr>
      <w:r>
        <w:rPr>
          <w:rFonts w:cs="Arial"/>
        </w:rPr>
        <w:br w:type="column"/>
      </w:r>
    </w:p>
    <w:tbl>
      <w:tblPr>
        <w:tblStyle w:val="TableGrid"/>
        <w:tblW w:w="0" w:type="auto"/>
        <w:shd w:val="clear" w:color="auto" w:fill="F2F2F2" w:themeFill="background1" w:themeFillShade="F2"/>
        <w:tblLook w:val="04A0" w:firstRow="1" w:lastRow="0" w:firstColumn="1" w:lastColumn="0" w:noHBand="0" w:noVBand="1"/>
      </w:tblPr>
      <w:tblGrid>
        <w:gridCol w:w="9286"/>
      </w:tblGrid>
      <w:tr w:rsidR="000D1D92" w:rsidRPr="00E235C9" w14:paraId="71B387DA" w14:textId="77777777" w:rsidTr="00684616">
        <w:tc>
          <w:tcPr>
            <w:tcW w:w="9286" w:type="dxa"/>
            <w:shd w:val="clear" w:color="auto" w:fill="F2F2F2" w:themeFill="background1" w:themeFillShade="F2"/>
          </w:tcPr>
          <w:p w14:paraId="586639D3" w14:textId="77777777" w:rsidR="000D1D92" w:rsidRPr="00E235C9" w:rsidRDefault="000D1D92" w:rsidP="00684616">
            <w:pPr>
              <w:spacing w:before="0" w:after="0"/>
              <w:jc w:val="both"/>
              <w:rPr>
                <w:b/>
                <w:sz w:val="22"/>
                <w:szCs w:val="22"/>
              </w:rPr>
            </w:pPr>
            <w:r w:rsidRPr="00E235C9">
              <w:rPr>
                <w:b/>
                <w:sz w:val="22"/>
                <w:szCs w:val="22"/>
              </w:rPr>
              <w:t>Statement from Professor Kerry Arabena and the importance of the First 1000 Days</w:t>
            </w:r>
          </w:p>
          <w:p w14:paraId="64C53EDF" w14:textId="77777777" w:rsidR="000D1D92" w:rsidRPr="00E235C9" w:rsidRDefault="000D1D92" w:rsidP="00684616">
            <w:pPr>
              <w:spacing w:before="0" w:after="0"/>
              <w:jc w:val="both"/>
              <w:rPr>
                <w:b/>
                <w:sz w:val="22"/>
                <w:szCs w:val="22"/>
              </w:rPr>
            </w:pPr>
          </w:p>
          <w:p w14:paraId="7E09EE70" w14:textId="77777777" w:rsidR="000D1D92" w:rsidRPr="00E235C9" w:rsidRDefault="000D1D92" w:rsidP="00684616">
            <w:pPr>
              <w:spacing w:before="0" w:after="0"/>
              <w:jc w:val="both"/>
              <w:rPr>
                <w:sz w:val="22"/>
                <w:szCs w:val="22"/>
              </w:rPr>
            </w:pPr>
            <w:r w:rsidRPr="00E235C9">
              <w:rPr>
                <w:sz w:val="22"/>
                <w:szCs w:val="22"/>
              </w:rPr>
              <w:t>A radical change is required in how we think about and enhance the early outcomes for Aboriginal and Torres Strait Islander children in Australia. Too many children and young people do not have the start in life they need. As our understanding of developmental science improves, it becomes clearer and clearer that adverse events in a child’s life lead to structural changes in brain development that have life-long and societal ramifications. We now also know these ramifications are intergenerational. Not intervening will affect not only this generation of children, but also the next. Those who suffer adverse childhood events achieve less educationally, earn less and have worse health outcomes – all of which makes it more likely that the cycle of harm is perpetuated in the following generation.</w:t>
            </w:r>
          </w:p>
          <w:p w14:paraId="5E0D4170" w14:textId="77777777" w:rsidR="000D1D92" w:rsidRPr="00E235C9" w:rsidRDefault="000D1D92" w:rsidP="00684616">
            <w:pPr>
              <w:spacing w:before="0" w:after="0"/>
              <w:jc w:val="both"/>
              <w:rPr>
                <w:sz w:val="22"/>
                <w:szCs w:val="22"/>
              </w:rPr>
            </w:pPr>
          </w:p>
          <w:p w14:paraId="3D943E2E" w14:textId="77777777" w:rsidR="000D1D92" w:rsidRPr="00E235C9" w:rsidRDefault="000D1D92" w:rsidP="00684616">
            <w:pPr>
              <w:spacing w:before="0" w:after="0"/>
              <w:jc w:val="both"/>
              <w:rPr>
                <w:sz w:val="22"/>
                <w:szCs w:val="22"/>
              </w:rPr>
            </w:pPr>
            <w:r w:rsidRPr="00E235C9">
              <w:rPr>
                <w:sz w:val="22"/>
                <w:szCs w:val="22"/>
              </w:rPr>
              <w:t>The First 1000 Days Scientific Symposium was a call to consider the implementation of new interventions founded in rigorous science, and to consider the cultural protective factors needed to support mothers, fathers and their children in the ‘critical window of opportunity’ from conception to the age of two. International research shows that early intervention programs during pregnancy and in the early months and years of a child’s life have tremendous positive impacts on health later in life. The physiological, educational and emotional environment of the child in this ‘First 1000 Days’ has been shown to exert a profound impact on long-term developmental and life trajectories.</w:t>
            </w:r>
          </w:p>
          <w:p w14:paraId="7B22320A" w14:textId="77777777" w:rsidR="000D1D92" w:rsidRPr="00E235C9" w:rsidRDefault="000D1D92" w:rsidP="00684616">
            <w:pPr>
              <w:spacing w:before="0" w:after="0"/>
              <w:jc w:val="both"/>
              <w:rPr>
                <w:sz w:val="22"/>
                <w:szCs w:val="22"/>
              </w:rPr>
            </w:pPr>
          </w:p>
          <w:p w14:paraId="69E6A6D6" w14:textId="77777777" w:rsidR="000D1D92" w:rsidRPr="00E235C9" w:rsidRDefault="000D1D92" w:rsidP="00684616">
            <w:pPr>
              <w:spacing w:before="0" w:after="0"/>
              <w:jc w:val="both"/>
              <w:rPr>
                <w:sz w:val="22"/>
                <w:szCs w:val="22"/>
              </w:rPr>
            </w:pPr>
            <w:r w:rsidRPr="00E235C9">
              <w:rPr>
                <w:sz w:val="22"/>
                <w:szCs w:val="22"/>
              </w:rPr>
              <w:t>The Symposium considered how to develop and apply high-quality evidence to the issue of childhood vulnerability in Aboriginal and Torres Strait Islander populations that is grounded both in the neuroscience of early brain development and in the complex effects of social and community environments on children’s development.</w:t>
            </w:r>
          </w:p>
          <w:p w14:paraId="509B4DA9" w14:textId="77777777" w:rsidR="000D1D92" w:rsidRPr="00E235C9" w:rsidRDefault="000D1D92" w:rsidP="00684616">
            <w:pPr>
              <w:spacing w:before="0" w:after="0"/>
              <w:jc w:val="both"/>
              <w:rPr>
                <w:sz w:val="22"/>
                <w:szCs w:val="22"/>
              </w:rPr>
            </w:pPr>
          </w:p>
          <w:p w14:paraId="70FF3824" w14:textId="77777777" w:rsidR="000D1D92" w:rsidRPr="00E235C9" w:rsidRDefault="000D1D92" w:rsidP="00684616">
            <w:pPr>
              <w:spacing w:before="0" w:after="0"/>
              <w:jc w:val="both"/>
              <w:rPr>
                <w:sz w:val="22"/>
                <w:szCs w:val="22"/>
              </w:rPr>
            </w:pPr>
            <w:r w:rsidRPr="00E235C9">
              <w:rPr>
                <w:sz w:val="22"/>
                <w:szCs w:val="22"/>
              </w:rPr>
              <w:t xml:space="preserve">Addressing family violence was identified as one of many possible research themes for the First 1000 Days approach. </w:t>
            </w:r>
          </w:p>
          <w:p w14:paraId="0A199E90" w14:textId="77777777" w:rsidR="000D1D92" w:rsidRPr="00E235C9" w:rsidRDefault="000D1D92" w:rsidP="00684616">
            <w:pPr>
              <w:spacing w:before="0" w:after="0"/>
              <w:jc w:val="both"/>
              <w:rPr>
                <w:sz w:val="22"/>
                <w:szCs w:val="22"/>
              </w:rPr>
            </w:pPr>
          </w:p>
          <w:p w14:paraId="13E4B9EE" w14:textId="77777777" w:rsidR="000D1D92" w:rsidRPr="00E235C9" w:rsidRDefault="000D1D92" w:rsidP="00684616">
            <w:pPr>
              <w:spacing w:before="0" w:after="0"/>
              <w:jc w:val="both"/>
              <w:rPr>
                <w:sz w:val="22"/>
                <w:szCs w:val="22"/>
              </w:rPr>
            </w:pPr>
            <w:r w:rsidRPr="00E235C9">
              <w:rPr>
                <w:sz w:val="22"/>
                <w:szCs w:val="22"/>
              </w:rPr>
              <w:t xml:space="preserve">Research into family violence and violence interventions has direct implications for child protection and child deaths. There is a need to find out what works in family violence interventions, and to use an approach that recognises the spectrum of violence and addresses both physical and emotional violence. For example, empowerment is inversely related to levels of violence, but empowerment does not change negative attitudes to women. </w:t>
            </w:r>
          </w:p>
          <w:p w14:paraId="48BD9B1B" w14:textId="77777777" w:rsidR="000D1D92" w:rsidRPr="00E235C9" w:rsidRDefault="000D1D92" w:rsidP="00684616">
            <w:pPr>
              <w:spacing w:before="0" w:after="0"/>
              <w:jc w:val="both"/>
              <w:rPr>
                <w:sz w:val="22"/>
                <w:szCs w:val="22"/>
              </w:rPr>
            </w:pPr>
          </w:p>
          <w:p w14:paraId="2CF424C4" w14:textId="77777777" w:rsidR="000D1D92" w:rsidRPr="00E235C9" w:rsidRDefault="000D1D92" w:rsidP="00684616">
            <w:pPr>
              <w:spacing w:before="0" w:after="0"/>
              <w:jc w:val="both"/>
              <w:rPr>
                <w:sz w:val="22"/>
                <w:szCs w:val="22"/>
              </w:rPr>
            </w:pPr>
            <w:r w:rsidRPr="00E235C9">
              <w:rPr>
                <w:sz w:val="22"/>
                <w:szCs w:val="22"/>
              </w:rPr>
              <w:t>An in-depth investigation into communities’ needs and goals is required along with a scoping of what people are already doing in Aboriginal and Torres Strait Islander communities. Such an approach would enable a project to be tailored to the geographic area in which it is being implemented and address the community’s needs and goals. This project could be integrated with, but not limited to, drug and alcohol services and housing services specific to the area in which it is being implemented in partnership with industry organisations and communities.</w:t>
            </w:r>
          </w:p>
          <w:p w14:paraId="2D333165" w14:textId="77777777" w:rsidR="000D1D92" w:rsidRPr="00E235C9" w:rsidRDefault="000D1D92" w:rsidP="00684616">
            <w:pPr>
              <w:spacing w:before="0" w:after="0"/>
              <w:jc w:val="both"/>
              <w:rPr>
                <w:sz w:val="22"/>
                <w:szCs w:val="22"/>
              </w:rPr>
            </w:pPr>
          </w:p>
          <w:p w14:paraId="1FFAC064" w14:textId="77777777" w:rsidR="000D1D92" w:rsidRPr="00E235C9" w:rsidRDefault="000D1D92" w:rsidP="00684616">
            <w:pPr>
              <w:spacing w:before="0" w:after="0"/>
              <w:jc w:val="both"/>
              <w:rPr>
                <w:sz w:val="22"/>
                <w:szCs w:val="22"/>
              </w:rPr>
            </w:pPr>
            <w:r w:rsidRPr="00E235C9">
              <w:rPr>
                <w:sz w:val="22"/>
                <w:szCs w:val="22"/>
              </w:rPr>
              <w:t>To assess barriers and current knowledge on family violence and violence interventions, a thorough literature review is required to identify gaps in this area, previous successful interventions and different models. Community consultation is needed to ensure that the community has input on their needs and goals, which are then included and embedded in the interventions. There could be an application of the same model in different contexts or with a different focus that is tailored to specific geographic areas.</w:t>
            </w:r>
          </w:p>
        </w:tc>
      </w:tr>
    </w:tbl>
    <w:p w14:paraId="0F6FB9FF" w14:textId="77777777" w:rsidR="000D1D92" w:rsidRDefault="000D1D92" w:rsidP="000D1D92">
      <w:pPr>
        <w:autoSpaceDE w:val="0"/>
        <w:autoSpaceDN w:val="0"/>
        <w:adjustRightInd w:val="0"/>
        <w:spacing w:before="0" w:after="0"/>
        <w:jc w:val="both"/>
      </w:pPr>
    </w:p>
    <w:p w14:paraId="4C3F3298" w14:textId="77777777" w:rsidR="000D1D92" w:rsidRPr="000A1B34" w:rsidRDefault="000D1D92" w:rsidP="000D1D92">
      <w:pPr>
        <w:pStyle w:val="Heading3"/>
        <w:jc w:val="both"/>
      </w:pPr>
      <w:bookmarkStart w:id="203" w:name="_Toc430702130"/>
      <w:bookmarkStart w:id="204" w:name="_Toc432061281"/>
      <w:r w:rsidRPr="000A1B34">
        <w:lastRenderedPageBreak/>
        <w:t>Sibling violence</w:t>
      </w:r>
      <w:bookmarkEnd w:id="203"/>
      <w:bookmarkEnd w:id="204"/>
    </w:p>
    <w:p w14:paraId="2F84CB95" w14:textId="77777777" w:rsidR="000D1D92" w:rsidRDefault="000D1D92" w:rsidP="000D1D92">
      <w:pPr>
        <w:jc w:val="both"/>
        <w:rPr>
          <w:rFonts w:cs="Arial"/>
        </w:rPr>
      </w:pPr>
      <w:r>
        <w:rPr>
          <w:rFonts w:cs="Arial"/>
        </w:rPr>
        <w:t>The custom data I obtained from ABS based on its Recorded Crime – Victims publication about police recorded child victims of physical assault and sexual assault in a residential location shows siblings accounted for a sizable proportion of offenders.</w:t>
      </w:r>
    </w:p>
    <w:p w14:paraId="1482EF38" w14:textId="77777777" w:rsidR="000D1D92" w:rsidRDefault="000D1D92" w:rsidP="000D1D92">
      <w:pPr>
        <w:jc w:val="both"/>
        <w:rPr>
          <w:rFonts w:cs="Arial"/>
        </w:rPr>
      </w:pPr>
      <w:r>
        <w:rPr>
          <w:noProof/>
        </w:rPr>
        <w:drawing>
          <wp:inline distT="0" distB="0" distL="0" distR="0" wp14:anchorId="6B5EEA94" wp14:editId="335A2BA0">
            <wp:extent cx="5759450" cy="3455670"/>
            <wp:effectExtent l="0" t="0" r="12700" b="11430"/>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E1FF3E2" w14:textId="77777777" w:rsidR="000D1D92" w:rsidRDefault="000D1D92" w:rsidP="000D1D92">
      <w:pPr>
        <w:jc w:val="both"/>
        <w:rPr>
          <w:rFonts w:cs="Arial"/>
        </w:rPr>
      </w:pPr>
      <w:r>
        <w:rPr>
          <w:rFonts w:cs="Arial"/>
        </w:rPr>
        <w:t xml:space="preserve">The extent of sibling violence against children aged 0 to 17 years is not known at the national level. Preliminary research suggests that </w:t>
      </w:r>
      <w:r w:rsidRPr="005466EA">
        <w:rPr>
          <w:rFonts w:cs="Arial"/>
          <w:b/>
        </w:rPr>
        <w:t>disclosure</w:t>
      </w:r>
      <w:r>
        <w:rPr>
          <w:rFonts w:cs="Arial"/>
        </w:rPr>
        <w:t xml:space="preserve"> of sibling sexual abuse is rare: </w:t>
      </w:r>
    </w:p>
    <w:p w14:paraId="2ADC1C50" w14:textId="77777777" w:rsidR="000D1D92" w:rsidRPr="00753927" w:rsidRDefault="000D1D92" w:rsidP="000D1D92">
      <w:pPr>
        <w:ind w:left="360"/>
        <w:jc w:val="both"/>
        <w:rPr>
          <w:rFonts w:cs="Arial"/>
          <w:sz w:val="22"/>
          <w:szCs w:val="22"/>
        </w:rPr>
      </w:pPr>
      <w:r w:rsidRPr="00753927">
        <w:rPr>
          <w:rFonts w:cs="Arial"/>
          <w:sz w:val="22"/>
          <w:szCs w:val="22"/>
        </w:rPr>
        <w:t>The small number of qualitative studies into disclosure in cases of sibling sexual abuse consistently shows that disclosure is extremely rare, especially during or soon after the abuse had occurred.</w:t>
      </w:r>
      <w:r>
        <w:rPr>
          <w:rStyle w:val="EndnoteReference"/>
          <w:rFonts w:cs="Arial"/>
          <w:szCs w:val="22"/>
        </w:rPr>
        <w:endnoteReference w:id="701"/>
      </w:r>
    </w:p>
    <w:p w14:paraId="5937029A" w14:textId="77777777" w:rsidR="000D1D92" w:rsidRPr="009609EE" w:rsidRDefault="000D1D92" w:rsidP="000D1D92">
      <w:pPr>
        <w:jc w:val="both"/>
        <w:rPr>
          <w:rFonts w:cs="Arial"/>
        </w:rPr>
      </w:pPr>
      <w:r w:rsidRPr="00903AC2">
        <w:rPr>
          <w:rFonts w:cs="Arial"/>
        </w:rPr>
        <w:t>Sibling violence was identified as an emerging concern by participants at some of my roundtables</w:t>
      </w:r>
      <w:r>
        <w:rPr>
          <w:rFonts w:cs="Arial"/>
        </w:rPr>
        <w:t xml:space="preserve"> and in some of the written submissions. </w:t>
      </w:r>
      <w:r w:rsidRPr="00903AC2">
        <w:rPr>
          <w:rFonts w:cs="Arial"/>
        </w:rPr>
        <w:t>The Kids</w:t>
      </w:r>
      <w:r>
        <w:rPr>
          <w:rFonts w:cs="Arial"/>
        </w:rPr>
        <w:t xml:space="preserve"> </w:t>
      </w:r>
      <w:r w:rsidRPr="00903AC2">
        <w:rPr>
          <w:rFonts w:cs="Arial"/>
        </w:rPr>
        <w:t>Helpline</w:t>
      </w:r>
      <w:r>
        <w:rPr>
          <w:rFonts w:cs="Arial"/>
        </w:rPr>
        <w:t>, for example,</w:t>
      </w:r>
      <w:r w:rsidRPr="00903AC2">
        <w:rPr>
          <w:rFonts w:cs="Arial"/>
        </w:rPr>
        <w:t xml:space="preserve"> pointed out that:</w:t>
      </w:r>
    </w:p>
    <w:p w14:paraId="2E6BAA1C" w14:textId="77777777" w:rsidR="000D1D92" w:rsidRDefault="000D1D92" w:rsidP="000D1D92">
      <w:pPr>
        <w:ind w:left="360"/>
        <w:jc w:val="both"/>
        <w:rPr>
          <w:szCs w:val="22"/>
        </w:rPr>
      </w:pPr>
      <w:r w:rsidRPr="00EB31B9">
        <w:rPr>
          <w:rFonts w:cs="Arial"/>
          <w:sz w:val="22"/>
          <w:szCs w:val="22"/>
        </w:rPr>
        <w:t>Nearly 14% of DFV</w:t>
      </w:r>
      <w:r w:rsidRPr="009609EE">
        <w:rPr>
          <w:rFonts w:cs="Arial"/>
          <w:sz w:val="22"/>
          <w:szCs w:val="22"/>
        </w:rPr>
        <w:t xml:space="preserve"> contacts to Kids Helpline involved violence by siblings, and many children reported that their parents were either unwilling or unable to address the issue. It is our view that this form of family violence is under researched. There would be considerable value in undertaking research in regard to this issue to better inform the development and implementation of preventative strategies.</w:t>
      </w:r>
      <w:r w:rsidRPr="009609EE">
        <w:rPr>
          <w:rStyle w:val="EndnoteReference"/>
          <w:szCs w:val="22"/>
        </w:rPr>
        <w:t xml:space="preserve"> </w:t>
      </w:r>
      <w:r w:rsidRPr="009609EE">
        <w:rPr>
          <w:rStyle w:val="EndnoteReference"/>
          <w:szCs w:val="22"/>
        </w:rPr>
        <w:endnoteReference w:id="702"/>
      </w:r>
    </w:p>
    <w:p w14:paraId="7369B7AE" w14:textId="77777777" w:rsidR="000D1D92" w:rsidRDefault="000D1D92" w:rsidP="000D1D92">
      <w:pPr>
        <w:jc w:val="both"/>
        <w:rPr>
          <w:szCs w:val="22"/>
        </w:rPr>
      </w:pPr>
      <w:r w:rsidRPr="005466EA">
        <w:rPr>
          <w:b/>
          <w:szCs w:val="22"/>
        </w:rPr>
        <w:t>The need for greater research about sibling violence</w:t>
      </w:r>
      <w:r>
        <w:rPr>
          <w:szCs w:val="22"/>
        </w:rPr>
        <w:t xml:space="preserve"> was reinforced in the submission made by </w:t>
      </w:r>
      <w:r w:rsidRPr="00447042">
        <w:t>Australian Psychological Society</w:t>
      </w:r>
      <w:r>
        <w:t>:</w:t>
      </w:r>
    </w:p>
    <w:p w14:paraId="39B8814D" w14:textId="77777777" w:rsidR="000D1D92" w:rsidRDefault="000D1D92" w:rsidP="000D1D92">
      <w:pPr>
        <w:ind w:left="360"/>
        <w:jc w:val="both"/>
        <w:rPr>
          <w:sz w:val="22"/>
          <w:szCs w:val="22"/>
        </w:rPr>
      </w:pPr>
      <w:r w:rsidRPr="009457BF">
        <w:rPr>
          <w:sz w:val="22"/>
          <w:szCs w:val="22"/>
        </w:rPr>
        <w:t xml:space="preserve">Another area that is often overlooked is the impact on children of their </w:t>
      </w:r>
      <w:r w:rsidRPr="00DD4518">
        <w:rPr>
          <w:sz w:val="22"/>
          <w:szCs w:val="22"/>
        </w:rPr>
        <w:t>siblings</w:t>
      </w:r>
      <w:r w:rsidRPr="009457BF">
        <w:rPr>
          <w:sz w:val="22"/>
          <w:szCs w:val="22"/>
        </w:rPr>
        <w:t xml:space="preserve"> who may be violent towa</w:t>
      </w:r>
      <w:r>
        <w:rPr>
          <w:sz w:val="22"/>
          <w:szCs w:val="22"/>
        </w:rPr>
        <w:t>rds one or both parents or stepparents</w:t>
      </w:r>
      <w:r w:rsidRPr="009457BF">
        <w:rPr>
          <w:sz w:val="22"/>
          <w:szCs w:val="22"/>
        </w:rPr>
        <w:t xml:space="preserve">. The complex aetiology of such violence is embedded in family violence research, with power differentials operating often during the younger years of the violent adolescents, and the change with growth and </w:t>
      </w:r>
      <w:r w:rsidRPr="009457BF">
        <w:rPr>
          <w:sz w:val="22"/>
          <w:szCs w:val="22"/>
        </w:rPr>
        <w:lastRenderedPageBreak/>
        <w:t>impulse control evident, even with the filicide data</w:t>
      </w:r>
      <w:r>
        <w:rPr>
          <w:sz w:val="22"/>
          <w:szCs w:val="22"/>
        </w:rPr>
        <w:t>…</w:t>
      </w:r>
      <w:r w:rsidRPr="009457BF">
        <w:rPr>
          <w:sz w:val="22"/>
          <w:szCs w:val="22"/>
        </w:rPr>
        <w:t>This area of violence towards parents and younger siblings is an emerging area of research that needs attention.</w:t>
      </w:r>
      <w:r>
        <w:rPr>
          <w:rStyle w:val="EndnoteReference"/>
          <w:szCs w:val="22"/>
        </w:rPr>
        <w:endnoteReference w:id="703"/>
      </w:r>
    </w:p>
    <w:p w14:paraId="764540CF" w14:textId="77777777" w:rsidR="000D1D92" w:rsidRDefault="000D1D92" w:rsidP="000D1D92">
      <w:pPr>
        <w:jc w:val="both"/>
      </w:pPr>
      <w:r>
        <w:t>The Kids Helpline provided this case study of one contact to highlight the reality of sibling violence:</w:t>
      </w:r>
    </w:p>
    <w:tbl>
      <w:tblPr>
        <w:tblStyle w:val="TableGrid"/>
        <w:tblW w:w="0" w:type="auto"/>
        <w:shd w:val="clear" w:color="auto" w:fill="F2F2F2" w:themeFill="background1" w:themeFillShade="F2"/>
        <w:tblLook w:val="04A0" w:firstRow="1" w:lastRow="0" w:firstColumn="1" w:lastColumn="0" w:noHBand="0" w:noVBand="1"/>
      </w:tblPr>
      <w:tblGrid>
        <w:gridCol w:w="9060"/>
      </w:tblGrid>
      <w:tr w:rsidR="000D1D92" w14:paraId="6B9FBF67" w14:textId="77777777" w:rsidTr="00684616">
        <w:tc>
          <w:tcPr>
            <w:tcW w:w="9060" w:type="dxa"/>
            <w:shd w:val="clear" w:color="auto" w:fill="F2F2F2" w:themeFill="background1" w:themeFillShade="F2"/>
          </w:tcPr>
          <w:p w14:paraId="59D43D3C" w14:textId="77777777" w:rsidR="000D1D92" w:rsidRPr="00096E0A" w:rsidRDefault="000D1D92" w:rsidP="00684616">
            <w:pPr>
              <w:jc w:val="both"/>
              <w:rPr>
                <w:b/>
              </w:rPr>
            </w:pPr>
            <w:r w:rsidRPr="00096E0A">
              <w:rPr>
                <w:b/>
              </w:rPr>
              <w:t>Extract from the BoysTown / Kids Helpline submission</w:t>
            </w:r>
          </w:p>
          <w:p w14:paraId="3E3E0056" w14:textId="77777777" w:rsidR="000D1D92" w:rsidRDefault="000D1D92" w:rsidP="00684616">
            <w:pPr>
              <w:jc w:val="both"/>
            </w:pPr>
            <w:r w:rsidRPr="00096E0A">
              <w:t>I'm 15 and live in a small country town in Australia. I have recently been abused by my older brother. He was throwing me across rooms, slamming me into walls, punching me in the face and threatening me with knives. After that I started self-harming and I lost all my friends except my best friend. I had told my best friend, family and even the police and nothing is still done about it. He comes up every month for about 2 weeks. That whole 2 weeks, I have to, either leave the house and stay at a friends’, or stay locked in my room.</w:t>
            </w:r>
            <w:r w:rsidRPr="00096E0A">
              <w:rPr>
                <w:vertAlign w:val="superscript"/>
              </w:rPr>
              <w:endnoteReference w:id="704"/>
            </w:r>
          </w:p>
        </w:tc>
      </w:tr>
    </w:tbl>
    <w:p w14:paraId="6A7EBC4A" w14:textId="77777777" w:rsidR="000D1D92" w:rsidRPr="00A02F56" w:rsidRDefault="000D1D92" w:rsidP="000D1D92">
      <w:pPr>
        <w:spacing w:before="0" w:after="0"/>
      </w:pPr>
    </w:p>
    <w:p w14:paraId="1B0A560D" w14:textId="77777777" w:rsidR="000D1D92" w:rsidRDefault="000D1D92" w:rsidP="000D1D92">
      <w:pPr>
        <w:spacing w:before="0" w:after="0"/>
        <w:jc w:val="both"/>
      </w:pPr>
      <w:r>
        <w:t>Sibling violence is an area that requires further investigation. The Australian National Research Organisation for Women’s Safety (ANROWS) has identified sibling sexual abuse as an area where there is a research gap.</w:t>
      </w:r>
      <w:r>
        <w:rPr>
          <w:rStyle w:val="EndnoteReference"/>
        </w:rPr>
        <w:endnoteReference w:id="705"/>
      </w:r>
      <w:r>
        <w:t xml:space="preserve"> </w:t>
      </w:r>
    </w:p>
    <w:p w14:paraId="7693EB2A" w14:textId="77777777" w:rsidR="000D1D92" w:rsidRDefault="000D1D92" w:rsidP="000D1D92">
      <w:pPr>
        <w:spacing w:before="0" w:after="0"/>
        <w:jc w:val="both"/>
        <w:rPr>
          <w:b/>
        </w:rPr>
      </w:pPr>
    </w:p>
    <w:tbl>
      <w:tblPr>
        <w:tblStyle w:val="TableGrid"/>
        <w:tblW w:w="0" w:type="auto"/>
        <w:shd w:val="clear" w:color="auto" w:fill="F2F2F2" w:themeFill="background1" w:themeFillShade="F2"/>
        <w:tblLook w:val="04A0" w:firstRow="1" w:lastRow="0" w:firstColumn="1" w:lastColumn="0" w:noHBand="0" w:noVBand="1"/>
      </w:tblPr>
      <w:tblGrid>
        <w:gridCol w:w="9060"/>
      </w:tblGrid>
      <w:tr w:rsidR="000D1D92" w14:paraId="5E1D8B53" w14:textId="77777777" w:rsidTr="00684616">
        <w:tc>
          <w:tcPr>
            <w:tcW w:w="9060" w:type="dxa"/>
            <w:shd w:val="clear" w:color="auto" w:fill="F2F2F2" w:themeFill="background1" w:themeFillShade="F2"/>
          </w:tcPr>
          <w:p w14:paraId="23B19E2D" w14:textId="77777777" w:rsidR="000D1D92" w:rsidRPr="00096E0A" w:rsidRDefault="000D1D92" w:rsidP="00684616">
            <w:pPr>
              <w:jc w:val="both"/>
              <w:rPr>
                <w:b/>
              </w:rPr>
            </w:pPr>
            <w:r>
              <w:rPr>
                <w:b/>
              </w:rPr>
              <w:t>Recommendation 15:</w:t>
            </w:r>
          </w:p>
          <w:p w14:paraId="700DD7D2" w14:textId="77777777" w:rsidR="000D1D92" w:rsidRDefault="000D1D92" w:rsidP="00684616">
            <w:pPr>
              <w:jc w:val="both"/>
            </w:pPr>
            <w:r>
              <w:rPr>
                <w:b/>
              </w:rPr>
              <w:t>T</w:t>
            </w:r>
            <w:r w:rsidRPr="006E1730">
              <w:rPr>
                <w:b/>
              </w:rPr>
              <w:t>he next</w:t>
            </w:r>
            <w:r>
              <w:rPr>
                <w:b/>
              </w:rPr>
              <w:t xml:space="preserve"> ANROWS (Australia’s National Research Organisation for Women’s Safety) </w:t>
            </w:r>
            <w:r w:rsidRPr="006E1730">
              <w:rPr>
                <w:b/>
              </w:rPr>
              <w:t>Research Program</w:t>
            </w:r>
            <w:r>
              <w:rPr>
                <w:b/>
              </w:rPr>
              <w:t xml:space="preserve"> should</w:t>
            </w:r>
            <w:r w:rsidRPr="006E1730">
              <w:rPr>
                <w:b/>
              </w:rPr>
              <w:t xml:space="preserve"> include research into sibling violence.</w:t>
            </w:r>
          </w:p>
        </w:tc>
      </w:tr>
    </w:tbl>
    <w:p w14:paraId="2E76C8B1" w14:textId="77777777" w:rsidR="000D1D92" w:rsidRPr="008C045D" w:rsidRDefault="000D1D92" w:rsidP="000D1D92">
      <w:pPr>
        <w:pStyle w:val="Heading3"/>
        <w:jc w:val="both"/>
      </w:pPr>
      <w:bookmarkStart w:id="205" w:name="_Toc430702131"/>
      <w:bookmarkStart w:id="206" w:name="_Toc432061282"/>
      <w:r w:rsidRPr="000A1B34">
        <w:t>Female children aged 15</w:t>
      </w:r>
      <w:r>
        <w:t xml:space="preserve"> to </w:t>
      </w:r>
      <w:r w:rsidRPr="000A1B34">
        <w:t xml:space="preserve">17 years subjected to physical assault </w:t>
      </w:r>
      <w:r w:rsidRPr="008C045D">
        <w:t>and sexual assault by their partners</w:t>
      </w:r>
      <w:bookmarkEnd w:id="205"/>
      <w:bookmarkEnd w:id="206"/>
    </w:p>
    <w:p w14:paraId="1DFE0A77" w14:textId="77777777" w:rsidR="000D1D92" w:rsidRDefault="000D1D92" w:rsidP="000D1D92">
      <w:pPr>
        <w:spacing w:before="0" w:after="0"/>
        <w:jc w:val="both"/>
        <w:rPr>
          <w:rFonts w:cs="Arial"/>
        </w:rPr>
      </w:pPr>
      <w:r>
        <w:rPr>
          <w:rFonts w:cs="Arial"/>
        </w:rPr>
        <w:t>The custom data I obtained from ABS based on its Recorded Crime – Victims publication about police recorded child victims of physical assault and sexual assault in a residential location shows that female children aged 15 to 17 years accounted for a significant proportion of child victims who reported the offender was their partner.</w:t>
      </w:r>
    </w:p>
    <w:p w14:paraId="35E43ABE" w14:textId="77777777" w:rsidR="000D1D92" w:rsidRDefault="000D1D92" w:rsidP="000D1D92">
      <w:pPr>
        <w:jc w:val="both"/>
        <w:rPr>
          <w:rFonts w:cs="Arial"/>
        </w:rPr>
      </w:pPr>
      <w:r>
        <w:rPr>
          <w:rFonts w:cs="Arial"/>
        </w:rPr>
        <w:t>Based on the custom data provided to me by ABS, I was able to compare the proportion of both Indigenous and non-Indigenous female child victims aged 15 to 17 of physical assault and sexual assault by partners in the state of New South Wales only:</w:t>
      </w:r>
    </w:p>
    <w:p w14:paraId="0FAE57C1" w14:textId="77777777" w:rsidR="000D1D92" w:rsidRDefault="000D1D92" w:rsidP="000D1D92">
      <w:pPr>
        <w:jc w:val="both"/>
        <w:rPr>
          <w:rFonts w:cs="Arial"/>
        </w:rPr>
      </w:pPr>
      <w:r>
        <w:rPr>
          <w:noProof/>
        </w:rPr>
        <w:lastRenderedPageBreak/>
        <w:drawing>
          <wp:inline distT="0" distB="0" distL="0" distR="0" wp14:anchorId="25485658" wp14:editId="632530CE">
            <wp:extent cx="5870713" cy="3522428"/>
            <wp:effectExtent l="0" t="0" r="15875" b="1905"/>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E693A97" w14:textId="77777777" w:rsidR="000D1D92" w:rsidRDefault="000D1D92" w:rsidP="000D1D92">
      <w:pPr>
        <w:jc w:val="both"/>
      </w:pPr>
      <w:r>
        <w:t>The custom report provided to me by ABS based on its 2012 Personal Safety Survey did not provide physical abuse or sexual abuse prevalence estimates for children aged 15 to 17 years.</w:t>
      </w:r>
    </w:p>
    <w:p w14:paraId="15F98488" w14:textId="77777777" w:rsidR="000D1D92" w:rsidRDefault="000D1D92" w:rsidP="000D1D92">
      <w:pPr>
        <w:jc w:val="both"/>
      </w:pPr>
      <w:r>
        <w:t>Evidence I gathered through my roundtables and written submissions also indicated that an increasing number of female children aged 15 to 17 years are experiencing and seeking help for violence perpetrated by their partners.</w:t>
      </w:r>
    </w:p>
    <w:p w14:paraId="205E086F" w14:textId="77777777" w:rsidR="000D1D92" w:rsidRDefault="000D1D92" w:rsidP="000D1D92">
      <w:pPr>
        <w:pStyle w:val="ListParagraph"/>
        <w:ind w:left="0"/>
        <w:jc w:val="both"/>
      </w:pPr>
      <w:r>
        <w:t xml:space="preserve">The </w:t>
      </w:r>
      <w:r w:rsidRPr="001618F8">
        <w:t>Northern Territory Department of Children and Families</w:t>
      </w:r>
      <w:r>
        <w:t xml:space="preserve"> pointed out in its submission to me that:</w:t>
      </w:r>
    </w:p>
    <w:p w14:paraId="5276588C" w14:textId="77777777" w:rsidR="000D1D92" w:rsidRDefault="000D1D92" w:rsidP="000D1D92">
      <w:pPr>
        <w:pStyle w:val="ListParagraph"/>
        <w:autoSpaceDE w:val="0"/>
        <w:autoSpaceDN w:val="0"/>
        <w:adjustRightInd w:val="0"/>
        <w:spacing w:before="0" w:after="0"/>
        <w:jc w:val="both"/>
        <w:rPr>
          <w:rFonts w:cs="Arial"/>
          <w:sz w:val="22"/>
          <w:szCs w:val="22"/>
        </w:rPr>
      </w:pPr>
    </w:p>
    <w:p w14:paraId="212FE4FA" w14:textId="77777777" w:rsidR="000D1D92" w:rsidRPr="00A57CC6" w:rsidRDefault="000D1D92" w:rsidP="000D1D92">
      <w:pPr>
        <w:pStyle w:val="ListParagraph"/>
        <w:autoSpaceDE w:val="0"/>
        <w:autoSpaceDN w:val="0"/>
        <w:adjustRightInd w:val="0"/>
        <w:spacing w:before="0" w:after="0"/>
        <w:jc w:val="both"/>
        <w:rPr>
          <w:sz w:val="22"/>
          <w:szCs w:val="22"/>
        </w:rPr>
      </w:pPr>
      <w:r w:rsidRPr="00DD4518">
        <w:rPr>
          <w:rFonts w:cs="Arial"/>
          <w:sz w:val="22"/>
          <w:szCs w:val="22"/>
        </w:rPr>
        <w:t xml:space="preserve">Frontline practitioners have observed a growing cohort of young people experiencing violence within their relationships. Typically, they are teenage girls partnered </w:t>
      </w:r>
      <w:r>
        <w:rPr>
          <w:rFonts w:cs="Arial"/>
          <w:sz w:val="22"/>
          <w:szCs w:val="22"/>
        </w:rPr>
        <w:t>with</w:t>
      </w:r>
      <w:r w:rsidRPr="00DD4518">
        <w:rPr>
          <w:rFonts w:cs="Arial"/>
          <w:sz w:val="22"/>
          <w:szCs w:val="22"/>
        </w:rPr>
        <w:t xml:space="preserve"> teenage boys or young men, and include cases where the teenage girl is still technically a child and already has children of her own. The girls and their children may be the subject of child protection interventions.</w:t>
      </w:r>
      <w:r>
        <w:rPr>
          <w:rFonts w:cs="Arial"/>
          <w:sz w:val="22"/>
          <w:szCs w:val="22"/>
        </w:rPr>
        <w:t xml:space="preserve"> </w:t>
      </w:r>
      <w:r w:rsidRPr="00DD4518">
        <w:rPr>
          <w:rFonts w:cs="Arial"/>
          <w:sz w:val="22"/>
          <w:szCs w:val="22"/>
        </w:rPr>
        <w:t>They may be ‘self-placing’, removing themselves from a child protection placement and relocating to another place of their own choosing, typically with their boyfriend and/or his family, which both reflects and reinforces inter-generational trauma related to family and domestic violence</w:t>
      </w:r>
      <w:r w:rsidRPr="00A57CC6">
        <w:rPr>
          <w:rFonts w:cs="Arial"/>
        </w:rPr>
        <w:t>.</w:t>
      </w:r>
      <w:r>
        <w:rPr>
          <w:rStyle w:val="EndnoteReference"/>
          <w:rFonts w:cs="Arial"/>
        </w:rPr>
        <w:endnoteReference w:id="706"/>
      </w:r>
    </w:p>
    <w:p w14:paraId="457016CC" w14:textId="77777777" w:rsidR="000D1D92" w:rsidRDefault="000D1D92" w:rsidP="000D1D92">
      <w:pPr>
        <w:pStyle w:val="ListParagraph"/>
        <w:jc w:val="both"/>
        <w:rPr>
          <w:b/>
        </w:rPr>
      </w:pPr>
    </w:p>
    <w:p w14:paraId="782770FD" w14:textId="77777777" w:rsidR="000D1D92" w:rsidRDefault="000D1D92" w:rsidP="000D1D92">
      <w:pPr>
        <w:pStyle w:val="ListParagraph"/>
        <w:ind w:left="0"/>
        <w:jc w:val="both"/>
        <w:rPr>
          <w:b/>
        </w:rPr>
      </w:pPr>
      <w:r>
        <w:t xml:space="preserve">In its submission, </w:t>
      </w:r>
      <w:r w:rsidRPr="008029D3">
        <w:t>Relationships Australia</w:t>
      </w:r>
      <w:r>
        <w:t xml:space="preserve"> also raised the issue of emerging service gaps for this vulnerable group:</w:t>
      </w:r>
    </w:p>
    <w:p w14:paraId="1C2694CC" w14:textId="77777777" w:rsidR="000D1D92" w:rsidRDefault="000D1D92" w:rsidP="000D1D92">
      <w:pPr>
        <w:pStyle w:val="ListParagraph"/>
        <w:jc w:val="both"/>
        <w:rPr>
          <w:b/>
        </w:rPr>
      </w:pPr>
    </w:p>
    <w:p w14:paraId="0F270564" w14:textId="77777777" w:rsidR="000D1D92" w:rsidRPr="00131AE9" w:rsidRDefault="000D1D92" w:rsidP="000D1D92">
      <w:pPr>
        <w:pStyle w:val="ListParagraph"/>
        <w:jc w:val="both"/>
        <w:rPr>
          <w:b/>
          <w:sz w:val="22"/>
          <w:szCs w:val="22"/>
        </w:rPr>
      </w:pPr>
      <w:r>
        <w:rPr>
          <w:sz w:val="22"/>
          <w:szCs w:val="22"/>
        </w:rPr>
        <w:t>W</w:t>
      </w:r>
      <w:r w:rsidRPr="00061283">
        <w:rPr>
          <w:sz w:val="22"/>
          <w:szCs w:val="22"/>
        </w:rPr>
        <w:t>e are seeing a trend of an increasing number of children aged 15-17 years who are seeking support through our domestic violence programs. Older adolescent males are either mandated or voluntarily seeking support to stop using abuse in their relationships with women. Older adolescent women are seeking support as the victim of domestic violence from relationships with young men at school and in the community. At present we do not have sufficient resources to tailor additional services for this age group.</w:t>
      </w:r>
      <w:r>
        <w:rPr>
          <w:rStyle w:val="EndnoteReference"/>
          <w:szCs w:val="22"/>
        </w:rPr>
        <w:endnoteReference w:id="707"/>
      </w:r>
    </w:p>
    <w:p w14:paraId="67069867" w14:textId="77777777" w:rsidR="000D1D92" w:rsidRDefault="000D1D92" w:rsidP="000D1D92">
      <w:pPr>
        <w:spacing w:before="0" w:after="0"/>
        <w:jc w:val="both"/>
      </w:pPr>
      <w:r>
        <w:lastRenderedPageBreak/>
        <w:t xml:space="preserve">It is important that we take </w:t>
      </w:r>
      <w:r w:rsidRPr="004400E0">
        <w:t>steps</w:t>
      </w:r>
      <w:r>
        <w:t xml:space="preserve"> to better meet the needs of and understand at the national level the situation of female children aged 15 to 17 years who are experiencing violence by their partners.</w:t>
      </w:r>
    </w:p>
    <w:p w14:paraId="0311A7C6" w14:textId="77777777" w:rsidR="000D1D92" w:rsidRDefault="000D1D92" w:rsidP="000D1D92">
      <w:pPr>
        <w:spacing w:before="0" w:after="0"/>
        <w:jc w:val="both"/>
      </w:pPr>
    </w:p>
    <w:tbl>
      <w:tblPr>
        <w:tblStyle w:val="TableGrid"/>
        <w:tblW w:w="0" w:type="auto"/>
        <w:shd w:val="clear" w:color="auto" w:fill="F2F2F2" w:themeFill="background1" w:themeFillShade="F2"/>
        <w:tblLook w:val="04A0" w:firstRow="1" w:lastRow="0" w:firstColumn="1" w:lastColumn="0" w:noHBand="0" w:noVBand="1"/>
      </w:tblPr>
      <w:tblGrid>
        <w:gridCol w:w="9060"/>
      </w:tblGrid>
      <w:tr w:rsidR="000D1D92" w14:paraId="531F711D" w14:textId="77777777" w:rsidTr="00684616">
        <w:tc>
          <w:tcPr>
            <w:tcW w:w="9060" w:type="dxa"/>
            <w:shd w:val="clear" w:color="auto" w:fill="F2F2F2" w:themeFill="background1" w:themeFillShade="F2"/>
          </w:tcPr>
          <w:p w14:paraId="575E102C" w14:textId="77777777" w:rsidR="000D1D92" w:rsidRPr="00096E0A" w:rsidRDefault="000D1D92" w:rsidP="00684616">
            <w:pPr>
              <w:jc w:val="both"/>
              <w:rPr>
                <w:b/>
              </w:rPr>
            </w:pPr>
            <w:r>
              <w:rPr>
                <w:b/>
              </w:rPr>
              <w:t>Recommendation 16:</w:t>
            </w:r>
          </w:p>
          <w:p w14:paraId="4E9F5F7F" w14:textId="77777777" w:rsidR="000D1D92" w:rsidRDefault="000D1D92" w:rsidP="00684616">
            <w:pPr>
              <w:jc w:val="both"/>
            </w:pPr>
            <w:r>
              <w:rPr>
                <w:b/>
              </w:rPr>
              <w:t>T</w:t>
            </w:r>
            <w:r w:rsidRPr="006E1730">
              <w:rPr>
                <w:b/>
              </w:rPr>
              <w:t>he next</w:t>
            </w:r>
            <w:r>
              <w:rPr>
                <w:b/>
              </w:rPr>
              <w:t xml:space="preserve"> ANROWS (Australia’s National Research Organisation for Women’s Safety) </w:t>
            </w:r>
            <w:r w:rsidRPr="006E1730">
              <w:rPr>
                <w:b/>
              </w:rPr>
              <w:t>Research Program</w:t>
            </w:r>
            <w:r>
              <w:rPr>
                <w:b/>
              </w:rPr>
              <w:t xml:space="preserve"> should</w:t>
            </w:r>
            <w:r w:rsidRPr="006E1730">
              <w:rPr>
                <w:b/>
              </w:rPr>
              <w:t xml:space="preserve"> include research into female children aged 15 to 17 years affected by family and domestic violence.</w:t>
            </w:r>
          </w:p>
        </w:tc>
      </w:tr>
    </w:tbl>
    <w:p w14:paraId="7843478A" w14:textId="77777777" w:rsidR="000D1D92" w:rsidRDefault="000D1D92" w:rsidP="000D1D92">
      <w:pPr>
        <w:spacing w:before="0" w:after="0"/>
        <w:jc w:val="both"/>
      </w:pPr>
    </w:p>
    <w:p w14:paraId="481C6973" w14:textId="77777777" w:rsidR="000D1D92" w:rsidRDefault="000D1D92" w:rsidP="000D1D92">
      <w:pPr>
        <w:autoSpaceDE w:val="0"/>
        <w:autoSpaceDN w:val="0"/>
        <w:adjustRightInd w:val="0"/>
        <w:spacing w:before="0" w:after="0"/>
        <w:jc w:val="both"/>
      </w:pPr>
      <w:r>
        <w:rPr>
          <w:rFonts w:cs="Arial"/>
        </w:rPr>
        <w:t>The Australian Institute of Family Studies and ANROWS brought to my attention the fact that</w:t>
      </w:r>
      <w:r>
        <w:t>:</w:t>
      </w:r>
    </w:p>
    <w:p w14:paraId="05064569" w14:textId="77777777" w:rsidR="000D1D92" w:rsidRDefault="000D1D92" w:rsidP="000D1D92">
      <w:pPr>
        <w:spacing w:before="0" w:after="0"/>
        <w:jc w:val="both"/>
        <w:rPr>
          <w:rFonts w:cs="Segoe UI"/>
        </w:rPr>
      </w:pPr>
    </w:p>
    <w:p w14:paraId="5CA17E72" w14:textId="77777777" w:rsidR="000D1D92" w:rsidRDefault="000D1D92" w:rsidP="000D1D92">
      <w:pPr>
        <w:autoSpaceDE w:val="0"/>
        <w:autoSpaceDN w:val="0"/>
        <w:adjustRightInd w:val="0"/>
        <w:spacing w:before="0" w:after="0"/>
        <w:ind w:left="720"/>
        <w:jc w:val="both"/>
        <w:rPr>
          <w:rFonts w:cs="Arial"/>
          <w:sz w:val="22"/>
          <w:szCs w:val="22"/>
        </w:rPr>
      </w:pPr>
      <w:r>
        <w:rPr>
          <w:rFonts w:cs="Arial"/>
          <w:sz w:val="22"/>
          <w:szCs w:val="22"/>
        </w:rPr>
        <w:t>… T</w:t>
      </w:r>
      <w:r w:rsidRPr="001A0AB2">
        <w:rPr>
          <w:rFonts w:cs="Arial"/>
          <w:sz w:val="22"/>
          <w:szCs w:val="22"/>
        </w:rPr>
        <w:t>he current commitment of funding for ANROWS expires six years before the end of the National Plan.</w:t>
      </w:r>
      <w:r>
        <w:rPr>
          <w:rFonts w:cs="Arial"/>
          <w:sz w:val="22"/>
          <w:szCs w:val="22"/>
        </w:rPr>
        <w:t xml:space="preserve"> </w:t>
      </w:r>
      <w:r w:rsidRPr="001A0AB2">
        <w:rPr>
          <w:rFonts w:cs="Arial"/>
          <w:sz w:val="22"/>
          <w:szCs w:val="22"/>
        </w:rPr>
        <w:t xml:space="preserve">A longer term funding commitment (at least to the end of the National Plan in 2022) is necessary to enable ANROWS to fulfil its potential, including providing support for longer term research projects, which are crucial in understanding, for example, the effects of perpetrator intervention programs. </w:t>
      </w:r>
    </w:p>
    <w:p w14:paraId="3A7CC92F" w14:textId="77777777" w:rsidR="000D1D92" w:rsidRDefault="000D1D92" w:rsidP="000D1D92">
      <w:pPr>
        <w:autoSpaceDE w:val="0"/>
        <w:autoSpaceDN w:val="0"/>
        <w:adjustRightInd w:val="0"/>
        <w:spacing w:before="0" w:after="0"/>
        <w:ind w:left="720"/>
        <w:jc w:val="both"/>
        <w:rPr>
          <w:rFonts w:cs="Arial"/>
          <w:sz w:val="22"/>
          <w:szCs w:val="22"/>
        </w:rPr>
      </w:pPr>
    </w:p>
    <w:p w14:paraId="603EEDE2" w14:textId="77777777" w:rsidR="000D1D92" w:rsidRPr="001A0AB2" w:rsidRDefault="000D1D92" w:rsidP="000D1D92">
      <w:pPr>
        <w:autoSpaceDE w:val="0"/>
        <w:autoSpaceDN w:val="0"/>
        <w:adjustRightInd w:val="0"/>
        <w:spacing w:before="0" w:after="0"/>
        <w:ind w:left="720"/>
        <w:jc w:val="both"/>
        <w:rPr>
          <w:rFonts w:cs="Arial"/>
          <w:sz w:val="22"/>
          <w:szCs w:val="22"/>
        </w:rPr>
      </w:pPr>
      <w:r w:rsidRPr="001A0AB2">
        <w:rPr>
          <w:rFonts w:cs="Arial"/>
          <w:sz w:val="22"/>
          <w:szCs w:val="22"/>
        </w:rPr>
        <w:t>To illustrate this point, the open grants applications process conducted by ANROWS for its Research Program 2014–2016 resulted in 50 applications for research projects to address current gaps in the evidence base, with a total value of approximately $15 million; however, ANROWS has been able to fund a Research Program valued at $3.5 million.</w:t>
      </w:r>
      <w:r w:rsidRPr="001A0AB2">
        <w:rPr>
          <w:rStyle w:val="EndnoteReference"/>
          <w:rFonts w:cs="Arial"/>
        </w:rPr>
        <w:t xml:space="preserve"> </w:t>
      </w:r>
      <w:r w:rsidRPr="001A0AB2">
        <w:rPr>
          <w:rStyle w:val="EndnoteReference"/>
          <w:rFonts w:cs="Arial"/>
        </w:rPr>
        <w:endnoteReference w:id="708"/>
      </w:r>
    </w:p>
    <w:p w14:paraId="6938E0D3" w14:textId="77777777" w:rsidR="000D1D92" w:rsidRDefault="000D1D92" w:rsidP="000D1D92">
      <w:pPr>
        <w:spacing w:before="0" w:after="0"/>
        <w:jc w:val="both"/>
      </w:pPr>
    </w:p>
    <w:p w14:paraId="4615E3CE" w14:textId="77777777" w:rsidR="000D1D92" w:rsidRDefault="000D1D92" w:rsidP="000D1D92">
      <w:pPr>
        <w:spacing w:before="0" w:after="0"/>
        <w:jc w:val="both"/>
      </w:pPr>
      <w:r>
        <w:t>I encourage the Australian Government to commit to funding ANROWS to at least the end of the National Plan to Reduce Violence against Women and their Children in 2022.</w:t>
      </w:r>
    </w:p>
    <w:p w14:paraId="50D137EB" w14:textId="77777777" w:rsidR="000D1D92" w:rsidRDefault="000D1D92" w:rsidP="000D1D92">
      <w:pPr>
        <w:spacing w:before="0" w:after="0"/>
        <w:jc w:val="both"/>
      </w:pPr>
    </w:p>
    <w:tbl>
      <w:tblPr>
        <w:tblStyle w:val="TableGrid"/>
        <w:tblW w:w="0" w:type="auto"/>
        <w:shd w:val="clear" w:color="auto" w:fill="000000" w:themeFill="text1"/>
        <w:tblLook w:val="04A0" w:firstRow="1" w:lastRow="0" w:firstColumn="1" w:lastColumn="0" w:noHBand="0" w:noVBand="1"/>
      </w:tblPr>
      <w:tblGrid>
        <w:gridCol w:w="9060"/>
      </w:tblGrid>
      <w:tr w:rsidR="000D1D92" w14:paraId="69605523" w14:textId="77777777" w:rsidTr="00684616">
        <w:trPr>
          <w:trHeight w:val="4717"/>
        </w:trPr>
        <w:tc>
          <w:tcPr>
            <w:tcW w:w="9060" w:type="dxa"/>
            <w:shd w:val="clear" w:color="auto" w:fill="F2F2F2" w:themeFill="background1" w:themeFillShade="F2"/>
            <w:vAlign w:val="center"/>
          </w:tcPr>
          <w:p w14:paraId="055B034C" w14:textId="77777777" w:rsidR="000D1D92" w:rsidRDefault="000D1D92" w:rsidP="00684616">
            <w:pPr>
              <w:spacing w:before="0" w:after="0"/>
              <w:rPr>
                <w:b/>
              </w:rPr>
            </w:pPr>
          </w:p>
          <w:p w14:paraId="0F9A34AF" w14:textId="77777777" w:rsidR="000D1D92" w:rsidRDefault="000D1D92" w:rsidP="00684616">
            <w:pPr>
              <w:spacing w:before="0" w:after="0"/>
              <w:rPr>
                <w:b/>
              </w:rPr>
            </w:pPr>
            <w:r>
              <w:rPr>
                <w:b/>
              </w:rPr>
              <w:t>Summary</w:t>
            </w:r>
          </w:p>
          <w:p w14:paraId="29E3C849" w14:textId="77777777" w:rsidR="000D1D92" w:rsidRPr="007407A6" w:rsidRDefault="000D1D92" w:rsidP="00684616">
            <w:pPr>
              <w:spacing w:before="0" w:after="0"/>
              <w:rPr>
                <w:b/>
              </w:rPr>
            </w:pPr>
          </w:p>
          <w:p w14:paraId="22876087" w14:textId="77777777" w:rsidR="000D1D92" w:rsidRDefault="000D1D92" w:rsidP="00684616">
            <w:pPr>
              <w:spacing w:before="0" w:after="0"/>
              <w:jc w:val="both"/>
            </w:pPr>
            <w:r w:rsidRPr="00DF6A1B">
              <w:rPr>
                <w:b/>
              </w:rPr>
              <w:t>Key issues – the impact of family and domestic violence on children</w:t>
            </w:r>
            <w:r>
              <w:t xml:space="preserve"> </w:t>
            </w:r>
          </w:p>
          <w:p w14:paraId="3E8EE3E0" w14:textId="77777777" w:rsidR="000D1D92" w:rsidRDefault="000D1D92" w:rsidP="00684616">
            <w:pPr>
              <w:spacing w:before="0" w:after="0"/>
              <w:jc w:val="both"/>
            </w:pPr>
          </w:p>
          <w:p w14:paraId="0AC8D122" w14:textId="77777777" w:rsidR="000D1D92" w:rsidRDefault="000D1D92" w:rsidP="00684616">
            <w:pPr>
              <w:spacing w:before="0" w:after="0"/>
              <w:jc w:val="both"/>
            </w:pPr>
            <w:r>
              <w:t>A</w:t>
            </w:r>
            <w:r w:rsidRPr="00DF6A1B">
              <w:t xml:space="preserve"> number of </w:t>
            </w:r>
            <w:r>
              <w:t>key issues</w:t>
            </w:r>
            <w:r w:rsidRPr="00DF6A1B">
              <w:t xml:space="preserve"> emerged </w:t>
            </w:r>
            <w:r>
              <w:t xml:space="preserve">from my </w:t>
            </w:r>
            <w:r w:rsidRPr="001933CE">
              <w:t>national examination:</w:t>
            </w:r>
          </w:p>
          <w:p w14:paraId="550BC723" w14:textId="77777777" w:rsidR="000D1D92" w:rsidRDefault="000D1D92" w:rsidP="000D1D92">
            <w:pPr>
              <w:pStyle w:val="ListParagraph"/>
              <w:numPr>
                <w:ilvl w:val="0"/>
                <w:numId w:val="87"/>
              </w:numPr>
              <w:jc w:val="both"/>
            </w:pPr>
            <w:r w:rsidRPr="00DF6A1B">
              <w:t>National and disaggregated data about children affected by family and domestic violence is</w:t>
            </w:r>
            <w:r>
              <w:t xml:space="preserve"> not readily available, including l</w:t>
            </w:r>
            <w:r w:rsidRPr="00DF6A1B">
              <w:t>imited breakdown on the age of child victims</w:t>
            </w:r>
            <w:r>
              <w:t xml:space="preserve"> and l</w:t>
            </w:r>
            <w:r w:rsidRPr="00DF6A1B">
              <w:t>imited data about offenders and perpetrators</w:t>
            </w:r>
            <w:r>
              <w:t>.</w:t>
            </w:r>
          </w:p>
          <w:p w14:paraId="3FE375FD" w14:textId="77777777" w:rsidR="000D1D92" w:rsidRPr="00DF6A1B" w:rsidRDefault="000D1D92" w:rsidP="00684616">
            <w:pPr>
              <w:pStyle w:val="ListParagraph"/>
              <w:jc w:val="both"/>
            </w:pPr>
          </w:p>
          <w:p w14:paraId="14323072" w14:textId="77777777" w:rsidR="000D1D92" w:rsidRDefault="000D1D92" w:rsidP="000D1D92">
            <w:pPr>
              <w:pStyle w:val="ListParagraph"/>
              <w:numPr>
                <w:ilvl w:val="0"/>
                <w:numId w:val="87"/>
              </w:numPr>
              <w:jc w:val="both"/>
            </w:pPr>
            <w:r>
              <w:t>There is a need for early intervention, especially in the first 1,000 days between conception and the age of two years and a need for better information on family and domestic violence in pregnancy.</w:t>
            </w:r>
          </w:p>
          <w:p w14:paraId="64794E78" w14:textId="77777777" w:rsidR="000D1D92" w:rsidRDefault="000D1D92" w:rsidP="00684616">
            <w:pPr>
              <w:pStyle w:val="ListParagraph"/>
              <w:jc w:val="both"/>
            </w:pPr>
          </w:p>
          <w:p w14:paraId="1CC42F42" w14:textId="77777777" w:rsidR="000D1D92" w:rsidRDefault="000D1D92" w:rsidP="000D1D92">
            <w:pPr>
              <w:pStyle w:val="ListParagraph"/>
              <w:numPr>
                <w:ilvl w:val="0"/>
                <w:numId w:val="87"/>
              </w:numPr>
              <w:jc w:val="both"/>
            </w:pPr>
            <w:r>
              <w:t>Aboriginal and Torres Strait Islander children and families in the context of family and domestic violence are over represented.</w:t>
            </w:r>
          </w:p>
          <w:p w14:paraId="2D55AC67" w14:textId="77777777" w:rsidR="000D1D92" w:rsidRDefault="000D1D92" w:rsidP="00684616">
            <w:pPr>
              <w:pStyle w:val="ListParagraph"/>
              <w:jc w:val="both"/>
            </w:pPr>
          </w:p>
          <w:p w14:paraId="4AC3B273" w14:textId="77777777" w:rsidR="000D1D92" w:rsidRDefault="000D1D92" w:rsidP="000D1D92">
            <w:pPr>
              <w:pStyle w:val="ListParagraph"/>
              <w:numPr>
                <w:ilvl w:val="0"/>
                <w:numId w:val="87"/>
              </w:numPr>
              <w:spacing w:before="0" w:after="0"/>
              <w:jc w:val="both"/>
            </w:pPr>
            <w:r>
              <w:t>There is a need for targeted research into sibling violence, and family and domestic violence experienced by female children aged 15 to 17 years.</w:t>
            </w:r>
          </w:p>
          <w:p w14:paraId="50A1C71C" w14:textId="77777777" w:rsidR="000D1D92" w:rsidRDefault="000D1D92" w:rsidP="00684616">
            <w:pPr>
              <w:spacing w:before="0" w:after="0"/>
              <w:jc w:val="both"/>
            </w:pPr>
          </w:p>
        </w:tc>
      </w:tr>
    </w:tbl>
    <w:p w14:paraId="2FAF02FF" w14:textId="77777777" w:rsidR="000D1D92" w:rsidRPr="00416DC0" w:rsidRDefault="000D1D92" w:rsidP="000D1D92">
      <w:pPr>
        <w:pStyle w:val="Heading2"/>
        <w:jc w:val="both"/>
      </w:pPr>
      <w:bookmarkStart w:id="207" w:name="_Toc430702133"/>
      <w:bookmarkStart w:id="208" w:name="_Toc430945574"/>
      <w:bookmarkStart w:id="209" w:name="_Toc430950907"/>
      <w:bookmarkStart w:id="210" w:name="_Toc432061283"/>
      <w:bookmarkStart w:id="211" w:name="_Toc432577328"/>
      <w:r>
        <w:lastRenderedPageBreak/>
        <w:t>Conclusion</w:t>
      </w:r>
      <w:bookmarkEnd w:id="207"/>
      <w:bookmarkEnd w:id="208"/>
      <w:bookmarkEnd w:id="209"/>
      <w:bookmarkEnd w:id="210"/>
      <w:bookmarkEnd w:id="211"/>
    </w:p>
    <w:p w14:paraId="6812BDF6" w14:textId="77777777" w:rsidR="000D1D92" w:rsidRDefault="000D1D92" w:rsidP="000D1D92">
      <w:pPr>
        <w:jc w:val="both"/>
      </w:pPr>
      <w:r>
        <w:t>On 28 September 2015, the Victorian State Coroner, Judge Ian Gray, delivered written findings into the death of Luke Batty and made 29 recommendations.</w:t>
      </w:r>
    </w:p>
    <w:p w14:paraId="320E7197" w14:textId="77777777" w:rsidR="000D1D92" w:rsidRDefault="000D1D92" w:rsidP="000D1D92">
      <w:pPr>
        <w:jc w:val="both"/>
      </w:pPr>
      <w:r>
        <w:t>28 of the recommendations were directed to the State of Victoria and its agencies. Each state and territory jurisdiction in Australia, however, has the potential to review its own laws and policies and make lasting improvements based on the findings from Luke Batty’s death.</w:t>
      </w:r>
    </w:p>
    <w:p w14:paraId="6F2884EB" w14:textId="77777777" w:rsidR="000D1D92" w:rsidRDefault="000D1D92" w:rsidP="000D1D92">
      <w:pPr>
        <w:jc w:val="both"/>
      </w:pPr>
      <w:r>
        <w:t xml:space="preserve">Clearly much remains to be done to make sure </w:t>
      </w:r>
      <w:r w:rsidRPr="00543F12">
        <w:t>that children aged 0 to 17 years can live free from family and domestic violence.</w:t>
      </w:r>
    </w:p>
    <w:p w14:paraId="00802E20" w14:textId="77777777" w:rsidR="000D1D92" w:rsidRDefault="000D1D92" w:rsidP="000D1D92">
      <w:pPr>
        <w:jc w:val="both"/>
      </w:pPr>
      <w:r>
        <w:t>While the evidence-base about the harmful effects of family and domestic violence on children’s wellbeing is growing, much less is known about the variability in impact and the effectiveness of interventions.</w:t>
      </w:r>
      <w:r>
        <w:rPr>
          <w:rStyle w:val="EndnoteReference"/>
          <w:szCs w:val="22"/>
          <w:lang w:val="en-US"/>
        </w:rPr>
        <w:endnoteReference w:id="709"/>
      </w:r>
    </w:p>
    <w:p w14:paraId="507633C0" w14:textId="77777777" w:rsidR="000D1D92" w:rsidRDefault="000D1D92" w:rsidP="000D1D92">
      <w:pPr>
        <w:jc w:val="both"/>
      </w:pPr>
      <w:r>
        <w:t>T</w:t>
      </w:r>
      <w:r w:rsidRPr="00266814">
        <w:t xml:space="preserve">he definitional </w:t>
      </w:r>
      <w:r>
        <w:t>and data issues are complex. A</w:t>
      </w:r>
      <w:r w:rsidRPr="00266814">
        <w:t>s a nation,</w:t>
      </w:r>
      <w:r>
        <w:t xml:space="preserve"> however,</w:t>
      </w:r>
      <w:r w:rsidRPr="00266814">
        <w:t xml:space="preserve"> we must be able to consistently identify those children affected by family and domestic violence. Where children are identified, more information must be recorded and co</w:t>
      </w:r>
      <w:r>
        <w:t xml:space="preserve">llected. </w:t>
      </w:r>
    </w:p>
    <w:p w14:paraId="61AC3A72" w14:textId="77777777" w:rsidR="000D1D92" w:rsidRDefault="000D1D92" w:rsidP="000D1D92">
      <w:pPr>
        <w:jc w:val="both"/>
      </w:pPr>
      <w:r>
        <w:t xml:space="preserve">Comprehensive data about children is required to improve our understanding about the prevalence and impact of family and domestic violence on children at the national level. As a first step, the </w:t>
      </w:r>
      <w:r w:rsidRPr="0095184C">
        <w:t>ABS National Data Collection and Reporting Framework</w:t>
      </w:r>
      <w:r>
        <w:t xml:space="preserve"> should be used by all jurisdictions.</w:t>
      </w:r>
    </w:p>
    <w:p w14:paraId="274B09B9" w14:textId="77777777" w:rsidR="000D1D92" w:rsidRDefault="000D1D92" w:rsidP="000D1D92">
      <w:pPr>
        <w:spacing w:before="0" w:after="0"/>
        <w:jc w:val="both"/>
        <w:rPr>
          <w:rFonts w:cs="Arial"/>
        </w:rPr>
      </w:pPr>
      <w:r>
        <w:rPr>
          <w:rFonts w:cs="Arial"/>
        </w:rPr>
        <w:t>I welcome the</w:t>
      </w:r>
      <w:r w:rsidRPr="00E04A53">
        <w:rPr>
          <w:rFonts w:cs="Arial"/>
        </w:rPr>
        <w:t xml:space="preserve"> recent policy and research initiatives </w:t>
      </w:r>
      <w:r>
        <w:rPr>
          <w:rFonts w:cs="Arial"/>
        </w:rPr>
        <w:t xml:space="preserve">which </w:t>
      </w:r>
      <w:r w:rsidRPr="00E04A53">
        <w:rPr>
          <w:rFonts w:cs="Arial"/>
        </w:rPr>
        <w:t>aim to promote greater understanding</w:t>
      </w:r>
      <w:r>
        <w:rPr>
          <w:rFonts w:cs="Arial"/>
        </w:rPr>
        <w:t>. For example, the i</w:t>
      </w:r>
      <w:r w:rsidRPr="00E04A53">
        <w:rPr>
          <w:rFonts w:cs="Arial"/>
        </w:rPr>
        <w:t xml:space="preserve">mportance of the </w:t>
      </w:r>
      <w:r>
        <w:rPr>
          <w:rFonts w:cs="Arial"/>
        </w:rPr>
        <w:t>F</w:t>
      </w:r>
      <w:r w:rsidRPr="00E04A53">
        <w:rPr>
          <w:rFonts w:cs="Arial"/>
        </w:rPr>
        <w:t xml:space="preserve">irst 1000 </w:t>
      </w:r>
      <w:r>
        <w:rPr>
          <w:rFonts w:cs="Arial"/>
        </w:rPr>
        <w:t>D</w:t>
      </w:r>
      <w:r w:rsidRPr="00E04A53">
        <w:rPr>
          <w:rFonts w:cs="Arial"/>
        </w:rPr>
        <w:t>ays</w:t>
      </w:r>
      <w:r>
        <w:rPr>
          <w:rFonts w:cs="Arial"/>
        </w:rPr>
        <w:t xml:space="preserve"> initiative and its focus on investing in the critical period of child development between conception and the age of two. </w:t>
      </w:r>
    </w:p>
    <w:p w14:paraId="04C0BDAD" w14:textId="77777777" w:rsidR="000D1D92" w:rsidRDefault="000D1D92" w:rsidP="000D1D92">
      <w:pPr>
        <w:spacing w:before="0" w:after="0"/>
        <w:jc w:val="both"/>
        <w:rPr>
          <w:rFonts w:cs="Arial"/>
        </w:rPr>
      </w:pPr>
    </w:p>
    <w:p w14:paraId="7139438D" w14:textId="77777777" w:rsidR="000D1D92" w:rsidRDefault="000D1D92" w:rsidP="000D1D92">
      <w:pPr>
        <w:spacing w:before="0" w:after="0"/>
        <w:jc w:val="both"/>
        <w:rPr>
          <w:rFonts w:cs="Arial"/>
        </w:rPr>
      </w:pPr>
      <w:r>
        <w:rPr>
          <w:rFonts w:cs="Arial"/>
        </w:rPr>
        <w:t>I also welcome the Council of Australian Governments agreement to fund a national campaign to reduce violence against women and their children. I strongly encourage the direct participation of children and young people in the campaign’s development. It is critical that the campaign be tailored to address the circumstances and diverse population groups in each state and territory.</w:t>
      </w:r>
    </w:p>
    <w:p w14:paraId="3CE170C8" w14:textId="77777777" w:rsidR="000D1D92" w:rsidRDefault="000D1D92" w:rsidP="000D1D92">
      <w:pPr>
        <w:jc w:val="both"/>
        <w:rPr>
          <w:rFonts w:cs="Arial"/>
        </w:rPr>
      </w:pPr>
      <w:r>
        <w:rPr>
          <w:rFonts w:cs="Arial"/>
        </w:rPr>
        <w:t>I hope that by conducting this examination I have contributed to making the experiences of children an explicit focus in the broader national discussion currently underway.</w:t>
      </w:r>
    </w:p>
    <w:p w14:paraId="2FB08C89" w14:textId="77777777" w:rsidR="000D1D92" w:rsidRDefault="000D1D92" w:rsidP="000D1D92">
      <w:pPr>
        <w:jc w:val="both"/>
      </w:pPr>
      <w:r>
        <w:t>I look forward to reporting on the progress of my recommendations in my next statutory report to federal parliament about the human rights of children in Australia.</w:t>
      </w:r>
    </w:p>
    <w:p w14:paraId="230C427B" w14:textId="77777777" w:rsidR="000D1D92" w:rsidRDefault="000D1D92" w:rsidP="000D1D92">
      <w:pPr>
        <w:pStyle w:val="Heading2"/>
      </w:pPr>
      <w:bookmarkStart w:id="212" w:name="_Toc432061284"/>
      <w:bookmarkStart w:id="213" w:name="_Toc432577329"/>
      <w:r>
        <w:t>Acknowledgments</w:t>
      </w:r>
      <w:bookmarkEnd w:id="212"/>
      <w:bookmarkEnd w:id="213"/>
    </w:p>
    <w:p w14:paraId="285F32F0" w14:textId="77777777" w:rsidR="000D1D92" w:rsidRDefault="000D1D92" w:rsidP="000D1D92">
      <w:pPr>
        <w:spacing w:before="0" w:after="0"/>
        <w:jc w:val="both"/>
        <w:rPr>
          <w:rFonts w:cs="Arial"/>
        </w:rPr>
      </w:pPr>
      <w:r>
        <w:rPr>
          <w:rFonts w:cs="Arial"/>
        </w:rPr>
        <w:t xml:space="preserve">I sincerely thank the following people and organisations for their support and contribution to my examination: </w:t>
      </w:r>
    </w:p>
    <w:p w14:paraId="6731FB40" w14:textId="77777777" w:rsidR="000D1D92" w:rsidRDefault="000D1D92" w:rsidP="000D1D92">
      <w:pPr>
        <w:spacing w:before="0" w:after="0"/>
        <w:jc w:val="both"/>
        <w:rPr>
          <w:rFonts w:cs="Arial"/>
        </w:rPr>
      </w:pPr>
    </w:p>
    <w:p w14:paraId="0380ACD5" w14:textId="77777777" w:rsidR="000D1D92" w:rsidRDefault="000D1D92" w:rsidP="000D1D92">
      <w:pPr>
        <w:pStyle w:val="ListParagraph"/>
        <w:numPr>
          <w:ilvl w:val="0"/>
          <w:numId w:val="93"/>
        </w:numPr>
        <w:spacing w:before="0" w:after="0"/>
        <w:jc w:val="both"/>
      </w:pPr>
      <w:r>
        <w:t>Aboriginal and Torres Strait Islander Social Justice Commissioner, Mr Mick Gooda.</w:t>
      </w:r>
    </w:p>
    <w:p w14:paraId="7A730E0A" w14:textId="77777777" w:rsidR="000D1D92" w:rsidRDefault="000D1D92" w:rsidP="000D1D92">
      <w:pPr>
        <w:pStyle w:val="ListParagraph"/>
        <w:numPr>
          <w:ilvl w:val="0"/>
          <w:numId w:val="93"/>
        </w:numPr>
        <w:spacing w:before="0" w:after="0"/>
        <w:jc w:val="both"/>
        <w:rPr>
          <w:rFonts w:cs="Arial"/>
        </w:rPr>
      </w:pPr>
      <w:r>
        <w:rPr>
          <w:rFonts w:cs="Arial"/>
        </w:rPr>
        <w:lastRenderedPageBreak/>
        <w:t>T</w:t>
      </w:r>
      <w:r w:rsidRPr="00315E22">
        <w:rPr>
          <w:rFonts w:cs="Arial"/>
        </w:rPr>
        <w:t>he staff of the Australian Bureau of Statistics</w:t>
      </w:r>
      <w:r>
        <w:rPr>
          <w:rFonts w:cs="Arial"/>
        </w:rPr>
        <w:t>.</w:t>
      </w:r>
    </w:p>
    <w:p w14:paraId="2AEE8B59" w14:textId="77777777" w:rsidR="000D1D92" w:rsidRDefault="000D1D92" w:rsidP="000D1D92">
      <w:pPr>
        <w:pStyle w:val="ListParagraph"/>
        <w:numPr>
          <w:ilvl w:val="0"/>
          <w:numId w:val="93"/>
        </w:numPr>
        <w:spacing w:before="0" w:after="0"/>
        <w:jc w:val="both"/>
      </w:pPr>
      <w:r>
        <w:t>Ms Tracy Adams, Chief Executive Officer of BoysTown and Kids Helpline, and Mr John Dalgleish, Manager of Strategy and Research.</w:t>
      </w:r>
    </w:p>
    <w:p w14:paraId="1C649699" w14:textId="77777777" w:rsidR="000D1D92" w:rsidRDefault="000D1D92" w:rsidP="000D1D92">
      <w:pPr>
        <w:pStyle w:val="ListParagraph"/>
        <w:numPr>
          <w:ilvl w:val="0"/>
          <w:numId w:val="93"/>
        </w:numPr>
        <w:spacing w:before="0" w:after="0"/>
        <w:jc w:val="both"/>
      </w:pPr>
      <w:r>
        <w:t>Ms Rosie Batty for meeting with me as part of my examination.</w:t>
      </w:r>
    </w:p>
    <w:p w14:paraId="59F22713" w14:textId="77777777" w:rsidR="000D1D92" w:rsidRPr="00AA4B1F" w:rsidRDefault="000D1D92" w:rsidP="000D1D92">
      <w:pPr>
        <w:pStyle w:val="ListParagraph"/>
        <w:numPr>
          <w:ilvl w:val="0"/>
          <w:numId w:val="93"/>
        </w:numPr>
        <w:spacing w:before="0" w:after="0"/>
        <w:jc w:val="both"/>
        <w:rPr>
          <w:rFonts w:cs="Arial"/>
        </w:rPr>
      </w:pPr>
      <w:r w:rsidRPr="008D404D">
        <w:t>Ms Kristy McKellar for meeting with me and for also providing a personal submission to my examination.</w:t>
      </w:r>
    </w:p>
    <w:p w14:paraId="39D1E649" w14:textId="77777777" w:rsidR="000D1D92" w:rsidRPr="00D3157A" w:rsidRDefault="000D1D92" w:rsidP="000D1D92">
      <w:pPr>
        <w:pStyle w:val="ListParagraph"/>
        <w:numPr>
          <w:ilvl w:val="0"/>
          <w:numId w:val="93"/>
        </w:numPr>
        <w:spacing w:before="0" w:after="0"/>
        <w:jc w:val="both"/>
        <w:rPr>
          <w:rFonts w:cs="Arial"/>
        </w:rPr>
      </w:pPr>
      <w:r w:rsidRPr="00AA4B1F">
        <w:rPr>
          <w:lang w:val="en"/>
        </w:rPr>
        <w:t>Professor Kerry Arabena for providing me</w:t>
      </w:r>
      <w:r>
        <w:rPr>
          <w:lang w:val="en"/>
        </w:rPr>
        <w:t xml:space="preserve"> with information about her First 1000 Days research program.</w:t>
      </w:r>
    </w:p>
    <w:p w14:paraId="447C44F4" w14:textId="77777777" w:rsidR="000D1D92" w:rsidRDefault="000D1D92" w:rsidP="000D1D92">
      <w:pPr>
        <w:pStyle w:val="ListParagraph"/>
        <w:numPr>
          <w:ilvl w:val="0"/>
          <w:numId w:val="93"/>
        </w:numPr>
        <w:spacing w:before="0" w:after="0"/>
        <w:jc w:val="both"/>
        <w:rPr>
          <w:rFonts w:cs="Arial"/>
        </w:rPr>
      </w:pPr>
      <w:r w:rsidRPr="00D3157A">
        <w:rPr>
          <w:rFonts w:cs="Arial"/>
        </w:rPr>
        <w:t>Doctor John McKenzie</w:t>
      </w:r>
      <w:r>
        <w:rPr>
          <w:rFonts w:cs="Arial"/>
        </w:rPr>
        <w:t xml:space="preserve"> for providing me with information about the </w:t>
      </w:r>
      <w:r w:rsidRPr="0028390F">
        <w:rPr>
          <w:rFonts w:cs="Arial"/>
        </w:rPr>
        <w:t>longitudinal research by the Menzies School of Health Research on improving the developmental outcomes of Northern Territory children: a data linkage study to inform policy and practice in health, family services and education</w:t>
      </w:r>
      <w:r>
        <w:rPr>
          <w:rFonts w:cs="Arial"/>
        </w:rPr>
        <w:t>.</w:t>
      </w:r>
    </w:p>
    <w:p w14:paraId="6E6E1496" w14:textId="77777777" w:rsidR="000D1D92" w:rsidRPr="0028390F" w:rsidRDefault="000D1D92" w:rsidP="000D1D92">
      <w:pPr>
        <w:pStyle w:val="ListParagraph"/>
        <w:numPr>
          <w:ilvl w:val="0"/>
          <w:numId w:val="93"/>
        </w:numPr>
        <w:spacing w:before="0" w:after="0"/>
        <w:jc w:val="both"/>
        <w:rPr>
          <w:rFonts w:cs="Arial"/>
        </w:rPr>
      </w:pPr>
      <w:r w:rsidRPr="0028390F">
        <w:rPr>
          <w:rFonts w:cs="Arial"/>
        </w:rPr>
        <w:t>Associate Professor Deborah Loxton and Natalie Townsend for providing me with information on Australian Longitudinal Study on Women’s Health (ALSWH) and the Mothers and their Children’s Health (MatCH) project</w:t>
      </w:r>
      <w:r>
        <w:rPr>
          <w:rFonts w:cs="Arial"/>
        </w:rPr>
        <w:t>.</w:t>
      </w:r>
      <w:r w:rsidRPr="0028390F">
        <w:rPr>
          <w:rFonts w:cs="Arial"/>
        </w:rPr>
        <w:t xml:space="preserve"> </w:t>
      </w:r>
    </w:p>
    <w:p w14:paraId="1018B76E" w14:textId="77777777" w:rsidR="000D1D92" w:rsidRDefault="000D1D92" w:rsidP="000D1D92">
      <w:pPr>
        <w:pStyle w:val="ListParagraph"/>
        <w:numPr>
          <w:ilvl w:val="0"/>
          <w:numId w:val="93"/>
        </w:numPr>
        <w:spacing w:before="0" w:after="0"/>
        <w:jc w:val="both"/>
      </w:pPr>
      <w:r>
        <w:t>Everyone who took the time to make a written submission (see Appendix 5).</w:t>
      </w:r>
    </w:p>
    <w:p w14:paraId="1F41B108" w14:textId="77777777" w:rsidR="000D1D92" w:rsidRPr="00B72132" w:rsidRDefault="000D1D92" w:rsidP="000D1D92">
      <w:pPr>
        <w:pStyle w:val="ListParagraph"/>
        <w:numPr>
          <w:ilvl w:val="0"/>
          <w:numId w:val="93"/>
        </w:numPr>
        <w:spacing w:before="0" w:after="0"/>
        <w:jc w:val="both"/>
        <w:rPr>
          <w:rFonts w:cs="Arial"/>
        </w:rPr>
      </w:pPr>
      <w:r>
        <w:t>Those who presented at the roundtables in order to stimulate discussion and all participants (see Appendix 6).</w:t>
      </w:r>
    </w:p>
    <w:p w14:paraId="363150FB" w14:textId="77777777" w:rsidR="000D1D92" w:rsidRDefault="000D1D92" w:rsidP="000D1D92">
      <w:pPr>
        <w:pStyle w:val="ListParagraph"/>
        <w:numPr>
          <w:ilvl w:val="0"/>
          <w:numId w:val="93"/>
        </w:numPr>
        <w:spacing w:before="0" w:after="0"/>
        <w:jc w:val="both"/>
      </w:pPr>
      <w:r>
        <w:t>Those State and Territory Children’s Commissioners/Guardians who participated in my roundtables and those who made written submissions.</w:t>
      </w:r>
    </w:p>
    <w:p w14:paraId="1CFC7531" w14:textId="77777777" w:rsidR="000D1D92" w:rsidRDefault="000D1D92" w:rsidP="000D1D92">
      <w:pPr>
        <w:pStyle w:val="ListParagraph"/>
        <w:numPr>
          <w:ilvl w:val="0"/>
          <w:numId w:val="93"/>
        </w:numPr>
        <w:spacing w:before="0" w:after="0"/>
        <w:jc w:val="both"/>
        <w:rPr>
          <w:rFonts w:cs="Arial"/>
        </w:rPr>
      </w:pPr>
      <w:r>
        <w:rPr>
          <w:rFonts w:cs="Arial"/>
        </w:rPr>
        <w:t>T</w:t>
      </w:r>
      <w:r w:rsidRPr="00315E22">
        <w:rPr>
          <w:rFonts w:cs="Arial"/>
        </w:rPr>
        <w:t>he staff at 1800RESPECT for their support</w:t>
      </w:r>
      <w:r>
        <w:rPr>
          <w:rFonts w:cs="Arial"/>
        </w:rPr>
        <w:t xml:space="preserve"> in arranging the webinar consultation.</w:t>
      </w:r>
    </w:p>
    <w:p w14:paraId="1C28A1A2" w14:textId="77777777" w:rsidR="000D1D92" w:rsidRPr="00315E22" w:rsidRDefault="000D1D92" w:rsidP="000D1D92">
      <w:pPr>
        <w:pStyle w:val="ListParagraph"/>
        <w:numPr>
          <w:ilvl w:val="0"/>
          <w:numId w:val="93"/>
        </w:numPr>
        <w:spacing w:before="0" w:after="0"/>
        <w:jc w:val="both"/>
        <w:rPr>
          <w:rFonts w:cs="Arial"/>
        </w:rPr>
      </w:pPr>
      <w:r w:rsidRPr="003D5269">
        <w:t xml:space="preserve">The </w:t>
      </w:r>
      <w:r>
        <w:t xml:space="preserve">federal </w:t>
      </w:r>
      <w:r w:rsidRPr="003D5269">
        <w:t>Department of Social Services</w:t>
      </w:r>
      <w:r>
        <w:t xml:space="preserve"> who</w:t>
      </w:r>
      <w:r w:rsidRPr="003D5269">
        <w:t xml:space="preserve"> hosted my roundtables in Canberra, Adelaide, </w:t>
      </w:r>
      <w:r>
        <w:t>and Perth.</w:t>
      </w:r>
    </w:p>
    <w:p w14:paraId="5DCD8C9B" w14:textId="77777777" w:rsidR="000D1D92" w:rsidRPr="00315E22" w:rsidRDefault="000D1D92" w:rsidP="000D1D92">
      <w:pPr>
        <w:pStyle w:val="ListParagraph"/>
        <w:numPr>
          <w:ilvl w:val="0"/>
          <w:numId w:val="93"/>
        </w:numPr>
        <w:spacing w:before="0" w:after="0"/>
        <w:jc w:val="both"/>
        <w:rPr>
          <w:rFonts w:cs="Arial"/>
        </w:rPr>
      </w:pPr>
      <w:r>
        <w:t>The Tasmanian Department of Premier and Cabinet who hosted my roundtable in Hobart.</w:t>
      </w:r>
    </w:p>
    <w:p w14:paraId="3197FE76" w14:textId="77777777" w:rsidR="000D1D92" w:rsidRPr="00315E22" w:rsidRDefault="000D1D92" w:rsidP="000D1D92">
      <w:pPr>
        <w:pStyle w:val="ListParagraph"/>
        <w:numPr>
          <w:ilvl w:val="0"/>
          <w:numId w:val="93"/>
        </w:numPr>
        <w:spacing w:before="0" w:after="0"/>
        <w:jc w:val="both"/>
      </w:pPr>
      <w:r w:rsidRPr="00927F4C">
        <w:t xml:space="preserve">Colin Biggers &amp; Paisley </w:t>
      </w:r>
      <w:r>
        <w:t>for hosting my roundtables in Sydney, Melbourne and Brisbane, and for transcribing the discussions that took place.</w:t>
      </w:r>
      <w:r w:rsidRPr="00315E22">
        <w:rPr>
          <w:lang w:val="en-US"/>
        </w:rPr>
        <w:t xml:space="preserve"> </w:t>
      </w:r>
    </w:p>
    <w:p w14:paraId="2F09BAC7" w14:textId="77777777" w:rsidR="000D1D92" w:rsidRPr="00D3157A" w:rsidRDefault="000D1D92" w:rsidP="000D1D92">
      <w:pPr>
        <w:pStyle w:val="ListParagraph"/>
        <w:numPr>
          <w:ilvl w:val="0"/>
          <w:numId w:val="93"/>
        </w:numPr>
        <w:spacing w:before="0" w:after="0"/>
        <w:jc w:val="both"/>
        <w:rPr>
          <w:rFonts w:cs="Arial"/>
        </w:rPr>
      </w:pPr>
      <w:r w:rsidRPr="00315E22">
        <w:rPr>
          <w:lang w:val="en-US"/>
        </w:rPr>
        <w:t>Doctor Helen Rogers and those working on LSAC and LSIC at the National Centre for Longitudinal Data for providing their research summaries for my report.</w:t>
      </w:r>
    </w:p>
    <w:p w14:paraId="234F29D4" w14:textId="77777777" w:rsidR="000D1D92" w:rsidRDefault="000D1D92" w:rsidP="000D1D92">
      <w:pPr>
        <w:spacing w:before="0" w:after="0"/>
        <w:jc w:val="both"/>
        <w:rPr>
          <w:rFonts w:cs="Arial"/>
        </w:rPr>
      </w:pPr>
    </w:p>
    <w:p w14:paraId="2F047312" w14:textId="77777777" w:rsidR="000D1D92" w:rsidRPr="00D3157A" w:rsidRDefault="000D1D92" w:rsidP="000D1D92">
      <w:pPr>
        <w:spacing w:before="0" w:after="0"/>
        <w:jc w:val="both"/>
        <w:rPr>
          <w:rFonts w:cs="Arial"/>
        </w:rPr>
      </w:pPr>
    </w:p>
    <w:p w14:paraId="58BF5733" w14:textId="77777777" w:rsidR="000D1D92" w:rsidRDefault="000D1D92" w:rsidP="000D1D92">
      <w:pPr>
        <w:pStyle w:val="Heading2"/>
        <w:jc w:val="both"/>
      </w:pPr>
      <w:r>
        <w:br w:type="column"/>
      </w:r>
      <w:bookmarkStart w:id="214" w:name="_Toc432061285"/>
      <w:bookmarkStart w:id="215" w:name="_Toc432577330"/>
      <w:r>
        <w:lastRenderedPageBreak/>
        <w:t>Recommendations</w:t>
      </w:r>
      <w:bookmarkEnd w:id="214"/>
      <w:bookmarkEnd w:id="215"/>
    </w:p>
    <w:tbl>
      <w:tblPr>
        <w:tblStyle w:val="TableGrid"/>
        <w:tblW w:w="0" w:type="auto"/>
        <w:tblLook w:val="04A0" w:firstRow="1" w:lastRow="0" w:firstColumn="1" w:lastColumn="0" w:noHBand="0" w:noVBand="1"/>
      </w:tblPr>
      <w:tblGrid>
        <w:gridCol w:w="9060"/>
      </w:tblGrid>
      <w:tr w:rsidR="000D1D92" w:rsidRPr="007774A1" w14:paraId="15BE4FB6" w14:textId="77777777" w:rsidTr="00684616">
        <w:trPr>
          <w:trHeight w:val="415"/>
        </w:trPr>
        <w:tc>
          <w:tcPr>
            <w:tcW w:w="9060" w:type="dxa"/>
            <w:tcBorders>
              <w:top w:val="nil"/>
              <w:left w:val="nil"/>
              <w:bottom w:val="dotted" w:sz="4" w:space="0" w:color="auto"/>
              <w:right w:val="nil"/>
            </w:tcBorders>
            <w:vAlign w:val="center"/>
          </w:tcPr>
          <w:p w14:paraId="78349ED5" w14:textId="77777777" w:rsidR="000D1D92" w:rsidRPr="007774A1" w:rsidRDefault="000D1D92" w:rsidP="00684616">
            <w:pPr>
              <w:spacing w:before="0" w:after="0"/>
              <w:jc w:val="both"/>
              <w:rPr>
                <w:sz w:val="21"/>
                <w:szCs w:val="21"/>
              </w:rPr>
            </w:pPr>
            <w:r w:rsidRPr="007774A1">
              <w:rPr>
                <w:b/>
                <w:sz w:val="21"/>
                <w:szCs w:val="21"/>
              </w:rPr>
              <w:t xml:space="preserve">Recommendation </w:t>
            </w:r>
            <w:r>
              <w:rPr>
                <w:b/>
                <w:sz w:val="21"/>
                <w:szCs w:val="21"/>
              </w:rPr>
              <w:t>3</w:t>
            </w:r>
            <w:r w:rsidRPr="007774A1">
              <w:rPr>
                <w:b/>
                <w:sz w:val="21"/>
                <w:szCs w:val="21"/>
              </w:rPr>
              <w:t>:</w:t>
            </w:r>
            <w:r w:rsidRPr="007774A1">
              <w:rPr>
                <w:sz w:val="21"/>
                <w:szCs w:val="21"/>
              </w:rPr>
              <w:t xml:space="preserve"> </w:t>
            </w:r>
            <w:r w:rsidRPr="007537EB">
              <w:rPr>
                <w:sz w:val="21"/>
                <w:szCs w:val="21"/>
              </w:rPr>
              <w:t xml:space="preserve">The Annual Progress Reports of the National Plan to Reduce Violence </w:t>
            </w:r>
            <w:r>
              <w:rPr>
                <w:sz w:val="21"/>
                <w:szCs w:val="21"/>
              </w:rPr>
              <w:t>a</w:t>
            </w:r>
            <w:r w:rsidRPr="007537EB">
              <w:rPr>
                <w:sz w:val="21"/>
                <w:szCs w:val="21"/>
              </w:rPr>
              <w:t>gainst Women and their Children should detail how all jurisdictions are working towards implementing the Australian Bureau of Statistics National Data Collection and Reporting Framework.</w:t>
            </w:r>
          </w:p>
        </w:tc>
      </w:tr>
      <w:tr w:rsidR="000D1D92" w:rsidRPr="007774A1" w14:paraId="6CCE0456" w14:textId="77777777" w:rsidTr="00684616">
        <w:trPr>
          <w:trHeight w:val="306"/>
        </w:trPr>
        <w:tc>
          <w:tcPr>
            <w:tcW w:w="9060" w:type="dxa"/>
            <w:tcBorders>
              <w:top w:val="nil"/>
              <w:left w:val="nil"/>
              <w:bottom w:val="dotted" w:sz="4" w:space="0" w:color="auto"/>
              <w:right w:val="nil"/>
            </w:tcBorders>
            <w:vAlign w:val="center"/>
          </w:tcPr>
          <w:p w14:paraId="4104B62F" w14:textId="77777777" w:rsidR="000D1D92" w:rsidRPr="007774A1" w:rsidRDefault="000D1D92" w:rsidP="00684616">
            <w:pPr>
              <w:spacing w:before="0" w:after="0"/>
              <w:jc w:val="both"/>
              <w:rPr>
                <w:sz w:val="21"/>
                <w:szCs w:val="21"/>
              </w:rPr>
            </w:pPr>
            <w:r w:rsidRPr="007774A1">
              <w:rPr>
                <w:b/>
                <w:sz w:val="21"/>
                <w:szCs w:val="21"/>
              </w:rPr>
              <w:t xml:space="preserve">Recommendation </w:t>
            </w:r>
            <w:r>
              <w:rPr>
                <w:b/>
                <w:sz w:val="21"/>
                <w:szCs w:val="21"/>
              </w:rPr>
              <w:t>4</w:t>
            </w:r>
            <w:r w:rsidRPr="007774A1">
              <w:rPr>
                <w:b/>
                <w:sz w:val="21"/>
                <w:szCs w:val="21"/>
              </w:rPr>
              <w:t>:</w:t>
            </w:r>
            <w:r w:rsidRPr="007774A1">
              <w:rPr>
                <w:sz w:val="21"/>
                <w:szCs w:val="21"/>
              </w:rPr>
              <w:t xml:space="preserve"> </w:t>
            </w:r>
            <w:r w:rsidRPr="007537EB">
              <w:rPr>
                <w:sz w:val="21"/>
                <w:szCs w:val="21"/>
              </w:rPr>
              <w:t>Data about a child’s experience as a victim of family and domestic violence should be recorded as a separate entry in the Australian Bureau of Statistics National Data Collection and Reporting Framework, and not just part of an adult entry.</w:t>
            </w:r>
          </w:p>
        </w:tc>
      </w:tr>
      <w:tr w:rsidR="000D1D92" w:rsidRPr="007774A1" w14:paraId="498B7499" w14:textId="77777777" w:rsidTr="00684616">
        <w:trPr>
          <w:trHeight w:val="259"/>
        </w:trPr>
        <w:tc>
          <w:tcPr>
            <w:tcW w:w="9060" w:type="dxa"/>
            <w:tcBorders>
              <w:top w:val="nil"/>
              <w:left w:val="nil"/>
              <w:bottom w:val="dotted" w:sz="4" w:space="0" w:color="auto"/>
              <w:right w:val="nil"/>
            </w:tcBorders>
            <w:vAlign w:val="center"/>
          </w:tcPr>
          <w:p w14:paraId="36893A39" w14:textId="77777777" w:rsidR="000D1D92" w:rsidRPr="007774A1" w:rsidRDefault="000D1D92" w:rsidP="00684616">
            <w:pPr>
              <w:spacing w:before="0" w:after="0"/>
              <w:jc w:val="both"/>
              <w:rPr>
                <w:sz w:val="21"/>
                <w:szCs w:val="21"/>
              </w:rPr>
            </w:pPr>
            <w:bookmarkStart w:id="216" w:name="_Toc430702122"/>
            <w:r w:rsidRPr="007774A1">
              <w:rPr>
                <w:b/>
                <w:sz w:val="21"/>
                <w:szCs w:val="21"/>
              </w:rPr>
              <w:t xml:space="preserve">Recommendation </w:t>
            </w:r>
            <w:r>
              <w:rPr>
                <w:b/>
                <w:sz w:val="21"/>
                <w:szCs w:val="21"/>
              </w:rPr>
              <w:t>5</w:t>
            </w:r>
            <w:r w:rsidRPr="007774A1">
              <w:rPr>
                <w:b/>
                <w:sz w:val="21"/>
                <w:szCs w:val="21"/>
              </w:rPr>
              <w:t>:</w:t>
            </w:r>
            <w:r w:rsidRPr="007774A1">
              <w:rPr>
                <w:sz w:val="21"/>
                <w:szCs w:val="21"/>
              </w:rPr>
              <w:t xml:space="preserve"> </w:t>
            </w:r>
            <w:r w:rsidRPr="007537EB">
              <w:rPr>
                <w:sz w:val="21"/>
                <w:szCs w:val="21"/>
              </w:rPr>
              <w:t>Data about lesbian, gay, bisexual, transgender and intersex status should be recorded in the Australian Bureau of Statistics National Data Collection and Reporting Framework.</w:t>
            </w:r>
          </w:p>
        </w:tc>
      </w:tr>
      <w:tr w:rsidR="000D1D92" w:rsidRPr="007774A1" w14:paraId="06273BA4" w14:textId="77777777" w:rsidTr="00684616">
        <w:trPr>
          <w:trHeight w:val="99"/>
        </w:trPr>
        <w:tc>
          <w:tcPr>
            <w:tcW w:w="9060" w:type="dxa"/>
            <w:tcBorders>
              <w:top w:val="nil"/>
              <w:left w:val="nil"/>
              <w:bottom w:val="dotted" w:sz="4" w:space="0" w:color="auto"/>
              <w:right w:val="nil"/>
            </w:tcBorders>
            <w:vAlign w:val="center"/>
          </w:tcPr>
          <w:p w14:paraId="0604EDE6" w14:textId="77777777" w:rsidR="000D1D92" w:rsidRPr="007774A1" w:rsidRDefault="000D1D92" w:rsidP="00684616">
            <w:pPr>
              <w:spacing w:before="0" w:after="0"/>
              <w:jc w:val="both"/>
              <w:rPr>
                <w:sz w:val="21"/>
                <w:szCs w:val="21"/>
              </w:rPr>
            </w:pPr>
            <w:r w:rsidRPr="007774A1">
              <w:rPr>
                <w:b/>
                <w:sz w:val="21"/>
                <w:szCs w:val="21"/>
              </w:rPr>
              <w:t xml:space="preserve">Recommendation </w:t>
            </w:r>
            <w:r>
              <w:rPr>
                <w:b/>
                <w:sz w:val="21"/>
                <w:szCs w:val="21"/>
              </w:rPr>
              <w:t>6</w:t>
            </w:r>
            <w:r w:rsidRPr="007774A1">
              <w:rPr>
                <w:b/>
                <w:sz w:val="21"/>
                <w:szCs w:val="21"/>
              </w:rPr>
              <w:t>:</w:t>
            </w:r>
            <w:r w:rsidRPr="007774A1">
              <w:rPr>
                <w:sz w:val="21"/>
                <w:szCs w:val="21"/>
              </w:rPr>
              <w:t xml:space="preserve"> </w:t>
            </w:r>
            <w:r w:rsidRPr="007537EB">
              <w:rPr>
                <w:sz w:val="21"/>
                <w:szCs w:val="21"/>
              </w:rPr>
              <w:t xml:space="preserve">The Annual Progress Reports of the National Plan to Reduce Violence </w:t>
            </w:r>
            <w:r>
              <w:rPr>
                <w:sz w:val="21"/>
                <w:szCs w:val="21"/>
              </w:rPr>
              <w:t>a</w:t>
            </w:r>
            <w:r w:rsidRPr="007537EB">
              <w:rPr>
                <w:sz w:val="21"/>
                <w:szCs w:val="21"/>
              </w:rPr>
              <w:t>gainst Women and their Children should detail how the Australian Bureau of Statistics Personal Safety Survey is working towards surveying adequate sampling sizes across vulnerable groups.</w:t>
            </w:r>
          </w:p>
        </w:tc>
      </w:tr>
      <w:tr w:rsidR="000D1D92" w:rsidRPr="007774A1" w14:paraId="530C8B66" w14:textId="77777777" w:rsidTr="00684616">
        <w:trPr>
          <w:trHeight w:val="507"/>
        </w:trPr>
        <w:tc>
          <w:tcPr>
            <w:tcW w:w="9060" w:type="dxa"/>
            <w:tcBorders>
              <w:top w:val="nil"/>
              <w:left w:val="nil"/>
              <w:bottom w:val="dotted" w:sz="4" w:space="0" w:color="auto"/>
              <w:right w:val="nil"/>
            </w:tcBorders>
            <w:vAlign w:val="center"/>
          </w:tcPr>
          <w:p w14:paraId="2A27C710" w14:textId="77777777" w:rsidR="000D1D92" w:rsidRPr="007774A1" w:rsidRDefault="000D1D92" w:rsidP="00684616">
            <w:pPr>
              <w:spacing w:before="0" w:after="0"/>
              <w:jc w:val="both"/>
              <w:rPr>
                <w:sz w:val="21"/>
                <w:szCs w:val="21"/>
              </w:rPr>
            </w:pPr>
            <w:r w:rsidRPr="007774A1">
              <w:rPr>
                <w:b/>
                <w:sz w:val="21"/>
                <w:szCs w:val="21"/>
              </w:rPr>
              <w:t xml:space="preserve">Recommendation </w:t>
            </w:r>
            <w:r>
              <w:rPr>
                <w:b/>
                <w:sz w:val="21"/>
                <w:szCs w:val="21"/>
              </w:rPr>
              <w:t>7</w:t>
            </w:r>
            <w:r w:rsidRPr="007774A1">
              <w:rPr>
                <w:b/>
                <w:sz w:val="21"/>
                <w:szCs w:val="21"/>
              </w:rPr>
              <w:t>:</w:t>
            </w:r>
            <w:r w:rsidRPr="007774A1">
              <w:rPr>
                <w:sz w:val="21"/>
                <w:szCs w:val="21"/>
              </w:rPr>
              <w:t xml:space="preserve"> </w:t>
            </w:r>
            <w:r w:rsidRPr="007537EB">
              <w:rPr>
                <w:sz w:val="21"/>
                <w:szCs w:val="21"/>
              </w:rPr>
              <w:t>Support for the Australian Longitudinal Study on Women’s Health (ALSWH) project by the Australian Government Department of Health is extended after 30 June 2016 and support for the Mothers and their Children’s Health (MatCH) project by the Australian Government Department of Health is also extended after its National Health and Medical Research Council grant expires in 2017.</w:t>
            </w:r>
          </w:p>
        </w:tc>
      </w:tr>
      <w:tr w:rsidR="000D1D92" w:rsidRPr="007774A1" w14:paraId="5163D7E7" w14:textId="77777777" w:rsidTr="00684616">
        <w:trPr>
          <w:trHeight w:val="567"/>
        </w:trPr>
        <w:tc>
          <w:tcPr>
            <w:tcW w:w="9060" w:type="dxa"/>
            <w:tcBorders>
              <w:top w:val="nil"/>
              <w:left w:val="nil"/>
              <w:bottom w:val="dotted" w:sz="4" w:space="0" w:color="auto"/>
              <w:right w:val="nil"/>
            </w:tcBorders>
            <w:vAlign w:val="center"/>
          </w:tcPr>
          <w:p w14:paraId="234CB90C" w14:textId="77777777" w:rsidR="000D1D92" w:rsidRPr="007774A1" w:rsidRDefault="000D1D92" w:rsidP="00684616">
            <w:pPr>
              <w:spacing w:before="0" w:after="0"/>
              <w:jc w:val="both"/>
              <w:rPr>
                <w:sz w:val="21"/>
                <w:szCs w:val="21"/>
              </w:rPr>
            </w:pPr>
            <w:r w:rsidRPr="007774A1">
              <w:rPr>
                <w:b/>
                <w:sz w:val="21"/>
                <w:szCs w:val="21"/>
              </w:rPr>
              <w:t xml:space="preserve">Recommendation </w:t>
            </w:r>
            <w:r>
              <w:rPr>
                <w:b/>
                <w:sz w:val="21"/>
                <w:szCs w:val="21"/>
              </w:rPr>
              <w:t>8</w:t>
            </w:r>
            <w:r w:rsidRPr="007774A1">
              <w:rPr>
                <w:b/>
                <w:sz w:val="21"/>
                <w:szCs w:val="21"/>
              </w:rPr>
              <w:t>:</w:t>
            </w:r>
            <w:r w:rsidRPr="007774A1">
              <w:rPr>
                <w:sz w:val="21"/>
                <w:szCs w:val="21"/>
              </w:rPr>
              <w:t xml:space="preserve"> </w:t>
            </w:r>
            <w:r w:rsidRPr="00165EE3">
              <w:rPr>
                <w:sz w:val="21"/>
                <w:szCs w:val="21"/>
              </w:rPr>
              <w:t>Support for the ‘Improving the developmental outcomes of Northern Territory children: a data linkage study to inform policy and practice in health, family services and education’ currently being conducted in the Northern Territory by Menzies School of Health Research is provided by the Australian Government Department of Social Services after its National Health and Medical Research Council grant expires in 2017.</w:t>
            </w:r>
          </w:p>
        </w:tc>
      </w:tr>
      <w:tr w:rsidR="000D1D92" w:rsidRPr="007774A1" w14:paraId="0C031BBB" w14:textId="77777777" w:rsidTr="00684616">
        <w:trPr>
          <w:trHeight w:val="85"/>
        </w:trPr>
        <w:tc>
          <w:tcPr>
            <w:tcW w:w="9060" w:type="dxa"/>
            <w:tcBorders>
              <w:top w:val="nil"/>
              <w:left w:val="nil"/>
              <w:bottom w:val="dotted" w:sz="4" w:space="0" w:color="auto"/>
              <w:right w:val="nil"/>
            </w:tcBorders>
            <w:vAlign w:val="center"/>
          </w:tcPr>
          <w:p w14:paraId="7E5E8AE3" w14:textId="77777777" w:rsidR="000D1D92" w:rsidRPr="006977DC" w:rsidRDefault="000D1D92" w:rsidP="00684616">
            <w:pPr>
              <w:spacing w:before="0" w:after="0"/>
              <w:jc w:val="both"/>
              <w:rPr>
                <w:sz w:val="21"/>
                <w:szCs w:val="21"/>
              </w:rPr>
            </w:pPr>
            <w:r w:rsidRPr="006977DC">
              <w:rPr>
                <w:b/>
                <w:sz w:val="21"/>
                <w:szCs w:val="21"/>
              </w:rPr>
              <w:t xml:space="preserve">Recommendation </w:t>
            </w:r>
            <w:r>
              <w:rPr>
                <w:b/>
                <w:sz w:val="21"/>
                <w:szCs w:val="21"/>
              </w:rPr>
              <w:t>9</w:t>
            </w:r>
            <w:r w:rsidRPr="006977DC">
              <w:rPr>
                <w:b/>
                <w:sz w:val="21"/>
                <w:szCs w:val="21"/>
              </w:rPr>
              <w:t>:</w:t>
            </w:r>
            <w:r w:rsidRPr="006977DC">
              <w:rPr>
                <w:sz w:val="21"/>
                <w:szCs w:val="21"/>
              </w:rPr>
              <w:t xml:space="preserve"> </w:t>
            </w:r>
            <w:r w:rsidRPr="007537EB">
              <w:rPr>
                <w:sz w:val="21"/>
                <w:szCs w:val="21"/>
              </w:rPr>
              <w:t>The Council of Australian Governments prioritise the development of a</w:t>
            </w:r>
            <w:r>
              <w:rPr>
                <w:sz w:val="21"/>
                <w:szCs w:val="21"/>
              </w:rPr>
              <w:t xml:space="preserve"> child-focused</w:t>
            </w:r>
            <w:r w:rsidRPr="007537EB">
              <w:rPr>
                <w:sz w:val="21"/>
                <w:szCs w:val="21"/>
              </w:rPr>
              <w:t xml:space="preserve"> policy framework for responses to family and domestic violence.</w:t>
            </w:r>
          </w:p>
        </w:tc>
      </w:tr>
      <w:tr w:rsidR="000D1D92" w:rsidRPr="007774A1" w14:paraId="21E729A3" w14:textId="77777777" w:rsidTr="00684616">
        <w:trPr>
          <w:trHeight w:val="407"/>
        </w:trPr>
        <w:tc>
          <w:tcPr>
            <w:tcW w:w="9060" w:type="dxa"/>
            <w:tcBorders>
              <w:top w:val="nil"/>
              <w:left w:val="nil"/>
              <w:bottom w:val="dotted" w:sz="4" w:space="0" w:color="auto"/>
              <w:right w:val="nil"/>
            </w:tcBorders>
            <w:vAlign w:val="center"/>
          </w:tcPr>
          <w:p w14:paraId="6E4B92BF" w14:textId="77777777" w:rsidR="000D1D92" w:rsidRPr="007537EB" w:rsidRDefault="000D1D92" w:rsidP="00684616">
            <w:pPr>
              <w:spacing w:before="0" w:after="0"/>
              <w:jc w:val="both"/>
              <w:rPr>
                <w:sz w:val="21"/>
                <w:szCs w:val="21"/>
              </w:rPr>
            </w:pPr>
            <w:r w:rsidRPr="007774A1">
              <w:rPr>
                <w:b/>
                <w:sz w:val="21"/>
                <w:szCs w:val="21"/>
              </w:rPr>
              <w:t xml:space="preserve">Recommendation </w:t>
            </w:r>
            <w:r>
              <w:rPr>
                <w:b/>
                <w:sz w:val="21"/>
                <w:szCs w:val="21"/>
              </w:rPr>
              <w:t>10</w:t>
            </w:r>
            <w:r w:rsidRPr="007774A1">
              <w:rPr>
                <w:b/>
                <w:sz w:val="21"/>
                <w:szCs w:val="21"/>
              </w:rPr>
              <w:t>:</w:t>
            </w:r>
            <w:r w:rsidRPr="007774A1">
              <w:rPr>
                <w:sz w:val="21"/>
                <w:szCs w:val="21"/>
              </w:rPr>
              <w:t xml:space="preserve"> </w:t>
            </w:r>
            <w:r w:rsidRPr="007537EB">
              <w:rPr>
                <w:sz w:val="21"/>
                <w:szCs w:val="21"/>
              </w:rPr>
              <w:t>A review of the criteria for entry into the Magellan program should be undertaken by the Family Court of Australia or another appropriate entity.</w:t>
            </w:r>
          </w:p>
          <w:p w14:paraId="6449A3F8" w14:textId="77777777" w:rsidR="000D1D92" w:rsidRPr="007537EB" w:rsidRDefault="000D1D92" w:rsidP="00684616">
            <w:pPr>
              <w:spacing w:before="0" w:after="0"/>
              <w:jc w:val="both"/>
              <w:rPr>
                <w:sz w:val="21"/>
                <w:szCs w:val="21"/>
              </w:rPr>
            </w:pPr>
          </w:p>
          <w:p w14:paraId="78244139" w14:textId="77777777" w:rsidR="000D1D92" w:rsidRPr="00B42C86" w:rsidRDefault="000D1D92" w:rsidP="00684616">
            <w:pPr>
              <w:spacing w:before="0" w:after="0"/>
              <w:jc w:val="both"/>
              <w:rPr>
                <w:sz w:val="22"/>
                <w:szCs w:val="22"/>
              </w:rPr>
            </w:pPr>
            <w:r w:rsidRPr="007537EB">
              <w:rPr>
                <w:sz w:val="21"/>
                <w:szCs w:val="21"/>
              </w:rPr>
              <w:t>Regard should be given to the findings and recommendations of the Victorian Royal Commission into Family Violence and also the Family Law Council Inquiry into families with complex needs and the intersection of the family law and child protection systems.</w:t>
            </w:r>
          </w:p>
        </w:tc>
      </w:tr>
      <w:tr w:rsidR="000D1D92" w:rsidRPr="007774A1" w14:paraId="58FA2B0A" w14:textId="77777777" w:rsidTr="00684616">
        <w:trPr>
          <w:trHeight w:val="357"/>
        </w:trPr>
        <w:tc>
          <w:tcPr>
            <w:tcW w:w="9060" w:type="dxa"/>
            <w:tcBorders>
              <w:top w:val="nil"/>
              <w:left w:val="nil"/>
              <w:bottom w:val="dotted" w:sz="4" w:space="0" w:color="auto"/>
              <w:right w:val="nil"/>
            </w:tcBorders>
            <w:vAlign w:val="center"/>
          </w:tcPr>
          <w:p w14:paraId="3C35047E" w14:textId="77777777" w:rsidR="000D1D92" w:rsidRPr="007774A1" w:rsidRDefault="000D1D92" w:rsidP="00684616">
            <w:pPr>
              <w:spacing w:before="0" w:after="0"/>
              <w:jc w:val="both"/>
              <w:rPr>
                <w:sz w:val="21"/>
                <w:szCs w:val="21"/>
              </w:rPr>
            </w:pPr>
            <w:r w:rsidRPr="007774A1">
              <w:rPr>
                <w:b/>
                <w:sz w:val="21"/>
                <w:szCs w:val="21"/>
              </w:rPr>
              <w:t xml:space="preserve">Recommendation </w:t>
            </w:r>
            <w:r>
              <w:rPr>
                <w:b/>
                <w:sz w:val="21"/>
                <w:szCs w:val="21"/>
              </w:rPr>
              <w:t>11</w:t>
            </w:r>
            <w:r w:rsidRPr="007774A1">
              <w:rPr>
                <w:b/>
                <w:sz w:val="21"/>
                <w:szCs w:val="21"/>
              </w:rPr>
              <w:t>:</w:t>
            </w:r>
            <w:r w:rsidRPr="007774A1">
              <w:rPr>
                <w:sz w:val="21"/>
                <w:szCs w:val="21"/>
              </w:rPr>
              <w:t xml:space="preserve"> </w:t>
            </w:r>
            <w:r w:rsidRPr="00660AD6">
              <w:rPr>
                <w:sz w:val="21"/>
                <w:szCs w:val="21"/>
              </w:rPr>
              <w:t>The Australian Bureau of Statistics Personal Safety Survey should extend its collection of information from men and women aged 18 years and over about their experiences of abuse from the ages of 0-15 years to the ages of 0-17 years.</w:t>
            </w:r>
          </w:p>
        </w:tc>
      </w:tr>
      <w:tr w:rsidR="000D1D92" w:rsidRPr="007774A1" w14:paraId="37C69CD0" w14:textId="77777777" w:rsidTr="00684616">
        <w:trPr>
          <w:trHeight w:val="85"/>
        </w:trPr>
        <w:tc>
          <w:tcPr>
            <w:tcW w:w="9060" w:type="dxa"/>
            <w:tcBorders>
              <w:top w:val="nil"/>
              <w:left w:val="nil"/>
              <w:bottom w:val="dotted" w:sz="4" w:space="0" w:color="auto"/>
              <w:right w:val="nil"/>
            </w:tcBorders>
            <w:vAlign w:val="center"/>
          </w:tcPr>
          <w:p w14:paraId="10521399" w14:textId="77777777" w:rsidR="000D1D92" w:rsidRPr="007774A1" w:rsidRDefault="000D1D92" w:rsidP="00684616">
            <w:pPr>
              <w:spacing w:before="0" w:after="0"/>
              <w:jc w:val="both"/>
              <w:rPr>
                <w:sz w:val="21"/>
                <w:szCs w:val="21"/>
              </w:rPr>
            </w:pPr>
            <w:r w:rsidRPr="007774A1">
              <w:rPr>
                <w:b/>
                <w:sz w:val="21"/>
                <w:szCs w:val="21"/>
              </w:rPr>
              <w:t xml:space="preserve">Recommendation </w:t>
            </w:r>
            <w:r>
              <w:rPr>
                <w:b/>
                <w:sz w:val="21"/>
                <w:szCs w:val="21"/>
              </w:rPr>
              <w:t>12</w:t>
            </w:r>
            <w:r w:rsidRPr="007774A1">
              <w:rPr>
                <w:b/>
                <w:sz w:val="21"/>
                <w:szCs w:val="21"/>
              </w:rPr>
              <w:t>:</w:t>
            </w:r>
            <w:r w:rsidRPr="007774A1">
              <w:rPr>
                <w:sz w:val="21"/>
                <w:szCs w:val="21"/>
              </w:rPr>
              <w:t xml:space="preserve"> </w:t>
            </w:r>
            <w:r w:rsidRPr="007537EB">
              <w:rPr>
                <w:sz w:val="21"/>
                <w:szCs w:val="21"/>
              </w:rPr>
              <w:t>The Australian Bureau of Statistics prioritise working with state and territory jurisdictions to achieve national consistency in the coding of offender relationships to child victims.</w:t>
            </w:r>
          </w:p>
        </w:tc>
      </w:tr>
      <w:tr w:rsidR="000D1D92" w:rsidRPr="007774A1" w14:paraId="538A075D" w14:textId="77777777" w:rsidTr="00684616">
        <w:trPr>
          <w:trHeight w:val="85"/>
        </w:trPr>
        <w:tc>
          <w:tcPr>
            <w:tcW w:w="9060" w:type="dxa"/>
            <w:tcBorders>
              <w:top w:val="nil"/>
              <w:left w:val="nil"/>
              <w:bottom w:val="dotted" w:sz="4" w:space="0" w:color="auto"/>
              <w:right w:val="nil"/>
            </w:tcBorders>
            <w:vAlign w:val="center"/>
          </w:tcPr>
          <w:p w14:paraId="597AB54C" w14:textId="77777777" w:rsidR="000D1D92" w:rsidRPr="007774A1" w:rsidRDefault="000D1D92" w:rsidP="00684616">
            <w:pPr>
              <w:spacing w:before="0" w:after="0"/>
              <w:jc w:val="both"/>
              <w:rPr>
                <w:b/>
                <w:sz w:val="21"/>
                <w:szCs w:val="21"/>
              </w:rPr>
            </w:pPr>
            <w:r w:rsidRPr="007774A1">
              <w:rPr>
                <w:b/>
                <w:sz w:val="21"/>
                <w:szCs w:val="21"/>
              </w:rPr>
              <w:t xml:space="preserve">Recommendation </w:t>
            </w:r>
            <w:r>
              <w:rPr>
                <w:b/>
                <w:sz w:val="21"/>
                <w:szCs w:val="21"/>
              </w:rPr>
              <w:t>13</w:t>
            </w:r>
            <w:r w:rsidRPr="007774A1">
              <w:rPr>
                <w:b/>
                <w:sz w:val="21"/>
                <w:szCs w:val="21"/>
              </w:rPr>
              <w:t>:</w:t>
            </w:r>
            <w:r w:rsidRPr="007774A1">
              <w:rPr>
                <w:sz w:val="21"/>
                <w:szCs w:val="21"/>
              </w:rPr>
              <w:t xml:space="preserve"> </w:t>
            </w:r>
            <w:r w:rsidRPr="007537EB">
              <w:rPr>
                <w:sz w:val="21"/>
                <w:szCs w:val="21"/>
              </w:rPr>
              <w:t>Options for data collection on screening for family and domestic violence during pregnancy through the National Perinatal Data Collection are progressed by the Australian Institute of Health and Welfare.</w:t>
            </w:r>
          </w:p>
        </w:tc>
      </w:tr>
      <w:tr w:rsidR="000D1D92" w:rsidRPr="007774A1" w14:paraId="27907528" w14:textId="77777777" w:rsidTr="00684616">
        <w:trPr>
          <w:trHeight w:val="85"/>
        </w:trPr>
        <w:tc>
          <w:tcPr>
            <w:tcW w:w="9060" w:type="dxa"/>
            <w:tcBorders>
              <w:top w:val="nil"/>
              <w:left w:val="nil"/>
              <w:bottom w:val="dotted" w:sz="4" w:space="0" w:color="auto"/>
              <w:right w:val="nil"/>
            </w:tcBorders>
            <w:vAlign w:val="center"/>
          </w:tcPr>
          <w:p w14:paraId="7149640F" w14:textId="77777777" w:rsidR="000D1D92" w:rsidRPr="007774A1" w:rsidRDefault="000D1D92" w:rsidP="00684616">
            <w:pPr>
              <w:spacing w:before="0" w:after="0"/>
              <w:jc w:val="both"/>
              <w:rPr>
                <w:sz w:val="21"/>
                <w:szCs w:val="21"/>
              </w:rPr>
            </w:pPr>
            <w:r w:rsidRPr="007774A1">
              <w:rPr>
                <w:b/>
                <w:sz w:val="21"/>
                <w:szCs w:val="21"/>
              </w:rPr>
              <w:t>Recommendation 1</w:t>
            </w:r>
            <w:r>
              <w:rPr>
                <w:b/>
                <w:sz w:val="21"/>
                <w:szCs w:val="21"/>
              </w:rPr>
              <w:t>4</w:t>
            </w:r>
            <w:r w:rsidRPr="007774A1">
              <w:rPr>
                <w:b/>
                <w:sz w:val="21"/>
                <w:szCs w:val="21"/>
              </w:rPr>
              <w:t>:</w:t>
            </w:r>
            <w:r w:rsidRPr="007774A1">
              <w:rPr>
                <w:sz w:val="21"/>
                <w:szCs w:val="21"/>
              </w:rPr>
              <w:t xml:space="preserve"> </w:t>
            </w:r>
            <w:r w:rsidRPr="007537EB">
              <w:rPr>
                <w:sz w:val="21"/>
                <w:szCs w:val="21"/>
              </w:rPr>
              <w:t>The Australian Government Department of Social Services support the work of Professor Arabena and the Indigenous Health Equity Unit at the University of Melbourne to progress the early intervention research agenda under the First 1000 Days initiative.</w:t>
            </w:r>
          </w:p>
        </w:tc>
      </w:tr>
      <w:tr w:rsidR="000D1D92" w:rsidRPr="007774A1" w14:paraId="3E016C7F" w14:textId="77777777" w:rsidTr="00684616">
        <w:trPr>
          <w:trHeight w:val="85"/>
        </w:trPr>
        <w:tc>
          <w:tcPr>
            <w:tcW w:w="9060" w:type="dxa"/>
            <w:tcBorders>
              <w:top w:val="nil"/>
              <w:left w:val="nil"/>
              <w:bottom w:val="dotted" w:sz="4" w:space="0" w:color="auto"/>
              <w:right w:val="nil"/>
            </w:tcBorders>
            <w:vAlign w:val="center"/>
          </w:tcPr>
          <w:p w14:paraId="6BEB53F9" w14:textId="77777777" w:rsidR="000D1D92" w:rsidRPr="007774A1" w:rsidRDefault="000D1D92" w:rsidP="00684616">
            <w:pPr>
              <w:spacing w:before="0" w:after="0"/>
              <w:jc w:val="both"/>
              <w:rPr>
                <w:b/>
                <w:sz w:val="21"/>
                <w:szCs w:val="21"/>
              </w:rPr>
            </w:pPr>
            <w:r w:rsidRPr="007774A1">
              <w:rPr>
                <w:b/>
                <w:sz w:val="21"/>
                <w:szCs w:val="21"/>
              </w:rPr>
              <w:t>Recommendation 1</w:t>
            </w:r>
            <w:r>
              <w:rPr>
                <w:b/>
                <w:sz w:val="21"/>
                <w:szCs w:val="21"/>
              </w:rPr>
              <w:t>5</w:t>
            </w:r>
            <w:r w:rsidRPr="007774A1">
              <w:rPr>
                <w:b/>
                <w:sz w:val="21"/>
                <w:szCs w:val="21"/>
              </w:rPr>
              <w:t>:</w:t>
            </w:r>
            <w:r w:rsidRPr="007774A1">
              <w:rPr>
                <w:sz w:val="21"/>
                <w:szCs w:val="21"/>
              </w:rPr>
              <w:t xml:space="preserve"> </w:t>
            </w:r>
            <w:r w:rsidRPr="005A47D7">
              <w:rPr>
                <w:sz w:val="21"/>
                <w:szCs w:val="21"/>
              </w:rPr>
              <w:t>The next ANROWS (Australia’s National Research Organisation for Women’s Safety) Research Program should include research into sibling violence.</w:t>
            </w:r>
          </w:p>
        </w:tc>
      </w:tr>
      <w:tr w:rsidR="000D1D92" w:rsidRPr="007774A1" w14:paraId="7F746398" w14:textId="77777777" w:rsidTr="00684616">
        <w:trPr>
          <w:trHeight w:val="85"/>
        </w:trPr>
        <w:tc>
          <w:tcPr>
            <w:tcW w:w="9060" w:type="dxa"/>
            <w:tcBorders>
              <w:top w:val="nil"/>
              <w:left w:val="nil"/>
              <w:bottom w:val="dotted" w:sz="4" w:space="0" w:color="auto"/>
              <w:right w:val="nil"/>
            </w:tcBorders>
            <w:vAlign w:val="center"/>
          </w:tcPr>
          <w:p w14:paraId="57AC137C" w14:textId="77777777" w:rsidR="000D1D92" w:rsidRPr="007774A1" w:rsidRDefault="000D1D92" w:rsidP="00684616">
            <w:pPr>
              <w:spacing w:before="0" w:after="0"/>
              <w:jc w:val="both"/>
              <w:rPr>
                <w:b/>
                <w:sz w:val="21"/>
                <w:szCs w:val="21"/>
              </w:rPr>
            </w:pPr>
            <w:r w:rsidRPr="007774A1">
              <w:rPr>
                <w:b/>
                <w:sz w:val="21"/>
                <w:szCs w:val="21"/>
              </w:rPr>
              <w:t>Recommendation 1</w:t>
            </w:r>
            <w:r>
              <w:rPr>
                <w:b/>
                <w:sz w:val="21"/>
                <w:szCs w:val="21"/>
              </w:rPr>
              <w:t>6</w:t>
            </w:r>
            <w:r w:rsidRPr="007774A1">
              <w:rPr>
                <w:b/>
                <w:sz w:val="21"/>
                <w:szCs w:val="21"/>
              </w:rPr>
              <w:t>:</w:t>
            </w:r>
            <w:r w:rsidRPr="007774A1">
              <w:rPr>
                <w:sz w:val="21"/>
                <w:szCs w:val="21"/>
              </w:rPr>
              <w:t xml:space="preserve"> </w:t>
            </w:r>
            <w:r w:rsidRPr="005A47D7">
              <w:rPr>
                <w:sz w:val="21"/>
                <w:szCs w:val="21"/>
              </w:rPr>
              <w:t>The next ANROWS (Australia’s National Research Organisation for Women’s Safety) Research Program should include research into female children aged 15 to 17 years affected by family and domestic violence.</w:t>
            </w:r>
          </w:p>
        </w:tc>
      </w:tr>
      <w:bookmarkEnd w:id="216"/>
    </w:tbl>
    <w:p w14:paraId="2F1DBF79" w14:textId="77777777" w:rsidR="000D1D92" w:rsidRDefault="000D1D92" w:rsidP="000D1D92">
      <w:pPr>
        <w:autoSpaceDE w:val="0"/>
        <w:autoSpaceDN w:val="0"/>
        <w:adjustRightInd w:val="0"/>
        <w:spacing w:before="0" w:after="0"/>
        <w:jc w:val="both"/>
      </w:pPr>
    </w:p>
    <w:p w14:paraId="2A133660" w14:textId="3E19C86F" w:rsidR="000D1D92" w:rsidRDefault="000D1D92" w:rsidP="009F70AB">
      <w:pPr>
        <w:jc w:val="both"/>
      </w:pPr>
    </w:p>
    <w:p w14:paraId="3AC0B199" w14:textId="77777777" w:rsidR="000D1D92" w:rsidRDefault="000D1D92" w:rsidP="009F70AB">
      <w:pPr>
        <w:jc w:val="both"/>
        <w:sectPr w:rsidR="000D1D92" w:rsidSect="001715AD">
          <w:endnotePr>
            <w:numFmt w:val="decimal"/>
          </w:endnotePr>
          <w:pgSz w:w="11906" w:h="16838" w:code="9"/>
          <w:pgMar w:top="1134" w:right="1418" w:bottom="1134" w:left="1418" w:header="709" w:footer="709" w:gutter="0"/>
          <w:cols w:space="708"/>
          <w:docGrid w:linePitch="360"/>
        </w:sectPr>
      </w:pPr>
    </w:p>
    <w:p w14:paraId="6BCA520B" w14:textId="08BFE67A" w:rsidR="009F099B" w:rsidRDefault="009F099B" w:rsidP="009F099B">
      <w:pPr>
        <w:pStyle w:val="Heading1"/>
        <w:numPr>
          <w:ilvl w:val="0"/>
          <w:numId w:val="0"/>
        </w:numPr>
        <w:ind w:left="2155" w:hanging="2155"/>
      </w:pPr>
      <w:bookmarkStart w:id="217" w:name="_Toc432577331"/>
      <w:r>
        <w:lastRenderedPageBreak/>
        <w:t>Appendices</w:t>
      </w:r>
      <w:bookmarkEnd w:id="217"/>
    </w:p>
    <w:p w14:paraId="1ADFBDB4" w14:textId="0E4524DC" w:rsidR="00CB7B43" w:rsidRDefault="0073631C" w:rsidP="0073631C">
      <w:pPr>
        <w:pStyle w:val="Heading2"/>
        <w:numPr>
          <w:ilvl w:val="0"/>
          <w:numId w:val="0"/>
        </w:numPr>
        <w:ind w:left="851" w:hanging="851"/>
      </w:pPr>
      <w:bookmarkStart w:id="218" w:name="_Toc432577332"/>
      <w:r>
        <w:t>Ap</w:t>
      </w:r>
      <w:r w:rsidRPr="0073631C">
        <w:t>pendix 1: Speaking engagements</w:t>
      </w:r>
      <w:bookmarkEnd w:id="218"/>
    </w:p>
    <w:tbl>
      <w:tblPr>
        <w:tblStyle w:val="TableGrid"/>
        <w:tblW w:w="0" w:type="auto"/>
        <w:tblLook w:val="04A0" w:firstRow="1" w:lastRow="0" w:firstColumn="1" w:lastColumn="0" w:noHBand="0" w:noVBand="1"/>
      </w:tblPr>
      <w:tblGrid>
        <w:gridCol w:w="1242"/>
        <w:gridCol w:w="5954"/>
        <w:gridCol w:w="2090"/>
      </w:tblGrid>
      <w:tr w:rsidR="0073631C" w:rsidRPr="00764534" w14:paraId="6DF9B234" w14:textId="77777777" w:rsidTr="00275C03">
        <w:tc>
          <w:tcPr>
            <w:tcW w:w="1242" w:type="dxa"/>
          </w:tcPr>
          <w:p w14:paraId="469F118C" w14:textId="77777777" w:rsidR="0073631C" w:rsidRPr="00764534" w:rsidRDefault="0073631C" w:rsidP="00275C03">
            <w:pPr>
              <w:rPr>
                <w:b/>
              </w:rPr>
            </w:pPr>
            <w:r w:rsidRPr="00764534">
              <w:rPr>
                <w:b/>
              </w:rPr>
              <w:t>Date</w:t>
            </w:r>
          </w:p>
        </w:tc>
        <w:tc>
          <w:tcPr>
            <w:tcW w:w="5954" w:type="dxa"/>
          </w:tcPr>
          <w:p w14:paraId="5F70EF57" w14:textId="77777777" w:rsidR="0073631C" w:rsidRPr="00764534" w:rsidRDefault="0073631C" w:rsidP="00275C03">
            <w:pPr>
              <w:rPr>
                <w:b/>
              </w:rPr>
            </w:pPr>
            <w:r w:rsidRPr="00764534">
              <w:rPr>
                <w:b/>
              </w:rPr>
              <w:t>Engagement</w:t>
            </w:r>
          </w:p>
        </w:tc>
        <w:tc>
          <w:tcPr>
            <w:tcW w:w="2090" w:type="dxa"/>
          </w:tcPr>
          <w:p w14:paraId="0A9AC163" w14:textId="77777777" w:rsidR="0073631C" w:rsidRPr="00764534" w:rsidRDefault="0073631C" w:rsidP="00275C03">
            <w:pPr>
              <w:rPr>
                <w:b/>
              </w:rPr>
            </w:pPr>
            <w:r w:rsidRPr="00764534">
              <w:rPr>
                <w:b/>
              </w:rPr>
              <w:t>Location</w:t>
            </w:r>
          </w:p>
        </w:tc>
      </w:tr>
      <w:tr w:rsidR="0073631C" w:rsidRPr="00764534" w14:paraId="1DD91E50" w14:textId="77777777" w:rsidTr="00275C03">
        <w:tc>
          <w:tcPr>
            <w:tcW w:w="1242" w:type="dxa"/>
          </w:tcPr>
          <w:p w14:paraId="3F877720" w14:textId="77777777" w:rsidR="0073631C" w:rsidRPr="00DD783A" w:rsidRDefault="0073631C" w:rsidP="00275C03">
            <w:pPr>
              <w:rPr>
                <w:highlight w:val="magenta"/>
              </w:rPr>
            </w:pPr>
            <w:r w:rsidRPr="001A4717">
              <w:t>07.07.14</w:t>
            </w:r>
          </w:p>
        </w:tc>
        <w:tc>
          <w:tcPr>
            <w:tcW w:w="5954" w:type="dxa"/>
          </w:tcPr>
          <w:p w14:paraId="4AF1E542" w14:textId="77777777" w:rsidR="0073631C" w:rsidRPr="007C1057" w:rsidRDefault="0073631C" w:rsidP="00275C03">
            <w:r w:rsidRPr="001A4717">
              <w:t>53rd Annual UN Youth Australia Nation</w:t>
            </w:r>
            <w:r>
              <w:t>al Conference - Opening Address</w:t>
            </w:r>
          </w:p>
        </w:tc>
        <w:tc>
          <w:tcPr>
            <w:tcW w:w="2090" w:type="dxa"/>
          </w:tcPr>
          <w:p w14:paraId="3CF4FEA0" w14:textId="77777777" w:rsidR="0073631C" w:rsidRDefault="0073631C" w:rsidP="00275C03">
            <w:r>
              <w:t>Canberra, ACT</w:t>
            </w:r>
          </w:p>
        </w:tc>
      </w:tr>
      <w:tr w:rsidR="0073631C" w:rsidRPr="00764534" w14:paraId="32778B3F" w14:textId="77777777" w:rsidTr="00275C03">
        <w:tc>
          <w:tcPr>
            <w:tcW w:w="1242" w:type="dxa"/>
          </w:tcPr>
          <w:p w14:paraId="2D6CA2E7" w14:textId="77777777" w:rsidR="0073631C" w:rsidRPr="00764534" w:rsidRDefault="0073631C" w:rsidP="00275C03">
            <w:r>
              <w:t>15.07.14</w:t>
            </w:r>
          </w:p>
        </w:tc>
        <w:tc>
          <w:tcPr>
            <w:tcW w:w="5954" w:type="dxa"/>
          </w:tcPr>
          <w:p w14:paraId="3BB24877" w14:textId="77777777" w:rsidR="0073631C" w:rsidRPr="00B83ABA" w:rsidRDefault="0073631C" w:rsidP="00275C03">
            <w:r w:rsidRPr="00B83ABA">
              <w:t xml:space="preserve">National Summit on ‘Behaviour in Australian Schools: Current Trends and Possibilities’ </w:t>
            </w:r>
          </w:p>
          <w:p w14:paraId="4192E12F" w14:textId="77777777" w:rsidR="0073631C" w:rsidRPr="00764534" w:rsidRDefault="0073631C" w:rsidP="00275C03"/>
        </w:tc>
        <w:tc>
          <w:tcPr>
            <w:tcW w:w="2090" w:type="dxa"/>
          </w:tcPr>
          <w:p w14:paraId="3AD5ADC1" w14:textId="77777777" w:rsidR="0073631C" w:rsidRPr="00764534" w:rsidRDefault="0073631C" w:rsidP="00275C03">
            <w:r>
              <w:t>Adelaide, SA</w:t>
            </w:r>
          </w:p>
        </w:tc>
      </w:tr>
      <w:tr w:rsidR="0073631C" w:rsidRPr="00764534" w14:paraId="5E33FDDB" w14:textId="77777777" w:rsidTr="00275C03">
        <w:tc>
          <w:tcPr>
            <w:tcW w:w="1242" w:type="dxa"/>
          </w:tcPr>
          <w:p w14:paraId="2F25CA54" w14:textId="77777777" w:rsidR="0073631C" w:rsidRPr="00764534" w:rsidRDefault="0073631C" w:rsidP="00275C03">
            <w:r>
              <w:t>23.07.14</w:t>
            </w:r>
          </w:p>
        </w:tc>
        <w:tc>
          <w:tcPr>
            <w:tcW w:w="5954" w:type="dxa"/>
          </w:tcPr>
          <w:p w14:paraId="57CFB535" w14:textId="77777777" w:rsidR="0073631C" w:rsidRPr="00764534" w:rsidRDefault="0073631C" w:rsidP="00275C03">
            <w:r w:rsidRPr="00021C16">
              <w:t>Association of Women Educators</w:t>
            </w:r>
            <w:r>
              <w:t xml:space="preserve"> Annual Dinner</w:t>
            </w:r>
          </w:p>
        </w:tc>
        <w:tc>
          <w:tcPr>
            <w:tcW w:w="2090" w:type="dxa"/>
          </w:tcPr>
          <w:p w14:paraId="5667910A" w14:textId="77777777" w:rsidR="0073631C" w:rsidRPr="00764534" w:rsidRDefault="0073631C" w:rsidP="00275C03">
            <w:r>
              <w:t>Brisbane, QLD</w:t>
            </w:r>
          </w:p>
        </w:tc>
      </w:tr>
      <w:tr w:rsidR="0073631C" w:rsidRPr="00764534" w14:paraId="60C7870C" w14:textId="77777777" w:rsidTr="00275C03">
        <w:tc>
          <w:tcPr>
            <w:tcW w:w="1242" w:type="dxa"/>
          </w:tcPr>
          <w:p w14:paraId="0B9E9081" w14:textId="77777777" w:rsidR="0073631C" w:rsidRPr="00764534" w:rsidRDefault="0073631C" w:rsidP="00275C03">
            <w:r>
              <w:t>25.07.14</w:t>
            </w:r>
          </w:p>
        </w:tc>
        <w:tc>
          <w:tcPr>
            <w:tcW w:w="5954" w:type="dxa"/>
          </w:tcPr>
          <w:p w14:paraId="5D1A6573" w14:textId="77777777" w:rsidR="0073631C" w:rsidRPr="00764534" w:rsidRDefault="0073631C" w:rsidP="00275C03">
            <w:r w:rsidRPr="00021C16">
              <w:t>Generation Next 2014: The Mental Health and Wellbeing of Young People</w:t>
            </w:r>
          </w:p>
        </w:tc>
        <w:tc>
          <w:tcPr>
            <w:tcW w:w="2090" w:type="dxa"/>
          </w:tcPr>
          <w:p w14:paraId="58B2DCA5" w14:textId="77777777" w:rsidR="0073631C" w:rsidRPr="00764534" w:rsidRDefault="0073631C" w:rsidP="00275C03">
            <w:r>
              <w:t>Gold Coast, QLD</w:t>
            </w:r>
          </w:p>
        </w:tc>
      </w:tr>
      <w:tr w:rsidR="0073631C" w:rsidRPr="00764534" w14:paraId="078EB3C7" w14:textId="77777777" w:rsidTr="00275C03">
        <w:tc>
          <w:tcPr>
            <w:tcW w:w="1242" w:type="dxa"/>
          </w:tcPr>
          <w:p w14:paraId="6194C0C8" w14:textId="77777777" w:rsidR="0073631C" w:rsidRPr="00764534" w:rsidRDefault="0073631C" w:rsidP="00275C03">
            <w:r w:rsidRPr="001A4717">
              <w:t>08.08.14</w:t>
            </w:r>
          </w:p>
        </w:tc>
        <w:tc>
          <w:tcPr>
            <w:tcW w:w="5954" w:type="dxa"/>
          </w:tcPr>
          <w:p w14:paraId="22B4A84D" w14:textId="77777777" w:rsidR="0073631C" w:rsidRPr="00764534" w:rsidRDefault="0073631C" w:rsidP="00275C03">
            <w:r w:rsidRPr="001A4717">
              <w:rPr>
                <w:i/>
              </w:rPr>
              <w:t>Children as Citizens</w:t>
            </w:r>
            <w:r w:rsidRPr="00B03632">
              <w:t xml:space="preserve"> Book Launch</w:t>
            </w:r>
          </w:p>
        </w:tc>
        <w:tc>
          <w:tcPr>
            <w:tcW w:w="2090" w:type="dxa"/>
          </w:tcPr>
          <w:p w14:paraId="07A95E2E" w14:textId="77777777" w:rsidR="0073631C" w:rsidRPr="00764534" w:rsidRDefault="0073631C" w:rsidP="00275C03">
            <w:r>
              <w:t>Adelaide, SA</w:t>
            </w:r>
          </w:p>
        </w:tc>
      </w:tr>
      <w:tr w:rsidR="0073631C" w:rsidRPr="00764534" w14:paraId="7F0DF397" w14:textId="77777777" w:rsidTr="00275C03">
        <w:tc>
          <w:tcPr>
            <w:tcW w:w="1242" w:type="dxa"/>
          </w:tcPr>
          <w:p w14:paraId="08937B17" w14:textId="77777777" w:rsidR="0073631C" w:rsidRPr="00764534" w:rsidRDefault="0073631C" w:rsidP="00275C03">
            <w:r>
              <w:t>20.08.14</w:t>
            </w:r>
          </w:p>
        </w:tc>
        <w:tc>
          <w:tcPr>
            <w:tcW w:w="5954" w:type="dxa"/>
          </w:tcPr>
          <w:p w14:paraId="1CE5D1C3" w14:textId="77777777" w:rsidR="0073631C" w:rsidRPr="00764534" w:rsidRDefault="0073631C" w:rsidP="00275C03">
            <w:r w:rsidRPr="00DD783A">
              <w:t>Association</w:t>
            </w:r>
            <w:r w:rsidRPr="00645AEF">
              <w:t xml:space="preserve"> of Children’s Welfare Agencies </w:t>
            </w:r>
            <w:r>
              <w:t>2014 Conference.</w:t>
            </w:r>
            <w:r w:rsidRPr="00B03632">
              <w:t xml:space="preserve"> Children in a changing world: Challenges for families and communities.</w:t>
            </w:r>
          </w:p>
        </w:tc>
        <w:tc>
          <w:tcPr>
            <w:tcW w:w="2090" w:type="dxa"/>
          </w:tcPr>
          <w:p w14:paraId="37ACE65B" w14:textId="77777777" w:rsidR="0073631C" w:rsidRPr="00764534" w:rsidRDefault="0073631C" w:rsidP="00275C03">
            <w:r>
              <w:t>Sydney, NSW</w:t>
            </w:r>
          </w:p>
        </w:tc>
      </w:tr>
      <w:tr w:rsidR="0073631C" w:rsidRPr="00764534" w14:paraId="41CE849B" w14:textId="77777777" w:rsidTr="00275C03">
        <w:tc>
          <w:tcPr>
            <w:tcW w:w="1242" w:type="dxa"/>
          </w:tcPr>
          <w:p w14:paraId="5546F372" w14:textId="77777777" w:rsidR="0073631C" w:rsidRPr="00764534" w:rsidRDefault="0073631C" w:rsidP="00275C03">
            <w:r>
              <w:t>05.09.14</w:t>
            </w:r>
          </w:p>
        </w:tc>
        <w:tc>
          <w:tcPr>
            <w:tcW w:w="5954" w:type="dxa"/>
          </w:tcPr>
          <w:p w14:paraId="1DF6458A" w14:textId="77777777" w:rsidR="0073631C" w:rsidRPr="00764534" w:rsidRDefault="0073631C" w:rsidP="00275C03">
            <w:r>
              <w:t>T</w:t>
            </w:r>
            <w:r w:rsidRPr="001A706D">
              <w:t xml:space="preserve">he </w:t>
            </w:r>
            <w:r>
              <w:t xml:space="preserve">National </w:t>
            </w:r>
            <w:r w:rsidRPr="001A706D">
              <w:t>Children’s Law Awards</w:t>
            </w:r>
            <w:r>
              <w:t xml:space="preserve"> 2014</w:t>
            </w:r>
          </w:p>
        </w:tc>
        <w:tc>
          <w:tcPr>
            <w:tcW w:w="2090" w:type="dxa"/>
          </w:tcPr>
          <w:p w14:paraId="0BD692E8" w14:textId="77777777" w:rsidR="0073631C" w:rsidRPr="00764534" w:rsidRDefault="0073631C" w:rsidP="00275C03">
            <w:r>
              <w:t>Sydney, NSW</w:t>
            </w:r>
          </w:p>
        </w:tc>
      </w:tr>
      <w:tr w:rsidR="0073631C" w:rsidRPr="00764534" w14:paraId="35414441" w14:textId="77777777" w:rsidTr="00275C03">
        <w:tc>
          <w:tcPr>
            <w:tcW w:w="1242" w:type="dxa"/>
          </w:tcPr>
          <w:p w14:paraId="2AC1FC3C" w14:textId="77777777" w:rsidR="0073631C" w:rsidRPr="00764534" w:rsidRDefault="0073631C" w:rsidP="00275C03">
            <w:r>
              <w:t>0</w:t>
            </w:r>
            <w:r w:rsidRPr="00DD783A">
              <w:t>7.09.14</w:t>
            </w:r>
          </w:p>
        </w:tc>
        <w:tc>
          <w:tcPr>
            <w:tcW w:w="5954" w:type="dxa"/>
          </w:tcPr>
          <w:p w14:paraId="6EF66009" w14:textId="77777777" w:rsidR="0073631C" w:rsidRPr="00764534" w:rsidRDefault="0073631C" w:rsidP="00275C03">
            <w:r w:rsidRPr="001A706D">
              <w:t>Early Childhood Australia National Conference</w:t>
            </w:r>
          </w:p>
        </w:tc>
        <w:tc>
          <w:tcPr>
            <w:tcW w:w="2090" w:type="dxa"/>
          </w:tcPr>
          <w:p w14:paraId="7CCF3C17" w14:textId="77777777" w:rsidR="0073631C" w:rsidRPr="00764534" w:rsidRDefault="0073631C" w:rsidP="00275C03">
            <w:r>
              <w:t>Melbourne, VIC</w:t>
            </w:r>
          </w:p>
        </w:tc>
      </w:tr>
      <w:tr w:rsidR="0073631C" w:rsidRPr="00764534" w14:paraId="57302AB0" w14:textId="77777777" w:rsidTr="00275C03">
        <w:tc>
          <w:tcPr>
            <w:tcW w:w="1242" w:type="dxa"/>
          </w:tcPr>
          <w:p w14:paraId="23E43BDF" w14:textId="77777777" w:rsidR="0073631C" w:rsidRPr="00764534" w:rsidRDefault="0073631C" w:rsidP="00275C03">
            <w:r>
              <w:t>09.09.14</w:t>
            </w:r>
          </w:p>
        </w:tc>
        <w:tc>
          <w:tcPr>
            <w:tcW w:w="5954" w:type="dxa"/>
          </w:tcPr>
          <w:p w14:paraId="05D98DB7" w14:textId="487099A7" w:rsidR="0073631C" w:rsidRPr="00764534" w:rsidRDefault="0073631C" w:rsidP="00907EDE">
            <w:r w:rsidRPr="00A1657E">
              <w:t xml:space="preserve">NAPCAN National </w:t>
            </w:r>
            <w:r w:rsidR="00907EDE">
              <w:t>Child Protection</w:t>
            </w:r>
            <w:r w:rsidRPr="00A1657E">
              <w:t xml:space="preserve"> Week breakfast event</w:t>
            </w:r>
          </w:p>
        </w:tc>
        <w:tc>
          <w:tcPr>
            <w:tcW w:w="2090" w:type="dxa"/>
          </w:tcPr>
          <w:p w14:paraId="061E65B3" w14:textId="77777777" w:rsidR="0073631C" w:rsidRPr="00764534" w:rsidRDefault="0073631C" w:rsidP="00275C03">
            <w:r>
              <w:t>Darwin, NT</w:t>
            </w:r>
          </w:p>
        </w:tc>
      </w:tr>
      <w:tr w:rsidR="0073631C" w:rsidRPr="00764534" w14:paraId="103C69A9" w14:textId="77777777" w:rsidTr="00275C03">
        <w:tc>
          <w:tcPr>
            <w:tcW w:w="1242" w:type="dxa"/>
          </w:tcPr>
          <w:p w14:paraId="6DE297A6" w14:textId="77777777" w:rsidR="0073631C" w:rsidRPr="001A4717" w:rsidRDefault="0073631C" w:rsidP="00275C03">
            <w:r w:rsidRPr="001A4717">
              <w:t>11.09.14</w:t>
            </w:r>
          </w:p>
        </w:tc>
        <w:tc>
          <w:tcPr>
            <w:tcW w:w="5954" w:type="dxa"/>
          </w:tcPr>
          <w:p w14:paraId="28E0A2DB" w14:textId="77777777" w:rsidR="0073631C" w:rsidRPr="001A4717" w:rsidRDefault="0073631C" w:rsidP="00275C03">
            <w:r w:rsidRPr="001A4717">
              <w:t xml:space="preserve">National Child Protection Week – Gala Dinner   </w:t>
            </w:r>
          </w:p>
        </w:tc>
        <w:tc>
          <w:tcPr>
            <w:tcW w:w="2090" w:type="dxa"/>
          </w:tcPr>
          <w:p w14:paraId="4CD48699" w14:textId="77777777" w:rsidR="0073631C" w:rsidRDefault="0073631C" w:rsidP="00275C03">
            <w:r>
              <w:t>Alice Springs, NT</w:t>
            </w:r>
          </w:p>
        </w:tc>
      </w:tr>
      <w:tr w:rsidR="0073631C" w:rsidRPr="00764534" w14:paraId="27CA8AF0" w14:textId="77777777" w:rsidTr="00275C03">
        <w:tc>
          <w:tcPr>
            <w:tcW w:w="1242" w:type="dxa"/>
          </w:tcPr>
          <w:p w14:paraId="78AE3635" w14:textId="77777777" w:rsidR="0073631C" w:rsidRPr="00764534" w:rsidRDefault="0073631C" w:rsidP="00275C03">
            <w:r w:rsidRPr="001A4717">
              <w:t>23.09.14</w:t>
            </w:r>
          </w:p>
        </w:tc>
        <w:tc>
          <w:tcPr>
            <w:tcW w:w="5954" w:type="dxa"/>
          </w:tcPr>
          <w:p w14:paraId="4E6289D6" w14:textId="77777777" w:rsidR="0073631C" w:rsidRPr="00764534" w:rsidRDefault="0073631C" w:rsidP="00275C03">
            <w:r w:rsidRPr="00A1657E">
              <w:t>U</w:t>
            </w:r>
            <w:r>
              <w:t xml:space="preserve">nited </w:t>
            </w:r>
            <w:r w:rsidRPr="00A1657E">
              <w:t>N</w:t>
            </w:r>
            <w:r>
              <w:t xml:space="preserve">ations </w:t>
            </w:r>
            <w:r w:rsidRPr="00A1657E">
              <w:t>A</w:t>
            </w:r>
            <w:r>
              <w:t xml:space="preserve">ssociation of </w:t>
            </w:r>
            <w:r w:rsidRPr="00A1657E">
              <w:t>A</w:t>
            </w:r>
            <w:r>
              <w:t>ustralia:</w:t>
            </w:r>
            <w:r w:rsidRPr="00A1657E">
              <w:t xml:space="preserve"> Young Professionals panel event</w:t>
            </w:r>
          </w:p>
        </w:tc>
        <w:tc>
          <w:tcPr>
            <w:tcW w:w="2090" w:type="dxa"/>
          </w:tcPr>
          <w:p w14:paraId="354EB6E0" w14:textId="77777777" w:rsidR="0073631C" w:rsidRPr="00764534" w:rsidRDefault="0073631C" w:rsidP="00275C03">
            <w:r>
              <w:t xml:space="preserve">Sydney, NSW </w:t>
            </w:r>
          </w:p>
        </w:tc>
      </w:tr>
      <w:tr w:rsidR="0073631C" w:rsidRPr="00764534" w14:paraId="1CB6CF2A" w14:textId="77777777" w:rsidTr="00275C03">
        <w:tc>
          <w:tcPr>
            <w:tcW w:w="1242" w:type="dxa"/>
          </w:tcPr>
          <w:p w14:paraId="2040F1AE" w14:textId="77777777" w:rsidR="0073631C" w:rsidRPr="00764534" w:rsidRDefault="0073631C" w:rsidP="00275C03">
            <w:r>
              <w:t>08.10.14</w:t>
            </w:r>
          </w:p>
        </w:tc>
        <w:tc>
          <w:tcPr>
            <w:tcW w:w="5954" w:type="dxa"/>
          </w:tcPr>
          <w:p w14:paraId="7684678A" w14:textId="77777777" w:rsidR="0073631C" w:rsidRPr="00764534" w:rsidRDefault="0073631C" w:rsidP="00275C03">
            <w:r w:rsidRPr="00A349F5">
              <w:t>16th National Family Law Conference</w:t>
            </w:r>
            <w:r>
              <w:t xml:space="preserve"> </w:t>
            </w:r>
          </w:p>
        </w:tc>
        <w:tc>
          <w:tcPr>
            <w:tcW w:w="2090" w:type="dxa"/>
          </w:tcPr>
          <w:p w14:paraId="50851656" w14:textId="77777777" w:rsidR="0073631C" w:rsidRPr="00764534" w:rsidRDefault="0073631C" w:rsidP="00275C03">
            <w:r>
              <w:t>Sydney, NSW</w:t>
            </w:r>
          </w:p>
        </w:tc>
      </w:tr>
      <w:tr w:rsidR="0073631C" w:rsidRPr="00764534" w14:paraId="6C49F4BB" w14:textId="77777777" w:rsidTr="00275C03">
        <w:tc>
          <w:tcPr>
            <w:tcW w:w="1242" w:type="dxa"/>
          </w:tcPr>
          <w:p w14:paraId="2C3643A5" w14:textId="77777777" w:rsidR="0073631C" w:rsidRPr="00764534" w:rsidRDefault="0073631C" w:rsidP="00275C03">
            <w:r>
              <w:t>09.10.14</w:t>
            </w:r>
          </w:p>
        </w:tc>
        <w:tc>
          <w:tcPr>
            <w:tcW w:w="5954" w:type="dxa"/>
          </w:tcPr>
          <w:p w14:paraId="38CDCC10" w14:textId="77777777" w:rsidR="0073631C" w:rsidRPr="00764534" w:rsidRDefault="0073631C" w:rsidP="00275C03">
            <w:r>
              <w:t xml:space="preserve">Headspace </w:t>
            </w:r>
            <w:r w:rsidRPr="006E02C0">
              <w:t>Board of Directors Meeting</w:t>
            </w:r>
          </w:p>
        </w:tc>
        <w:tc>
          <w:tcPr>
            <w:tcW w:w="2090" w:type="dxa"/>
          </w:tcPr>
          <w:p w14:paraId="4A1A415A" w14:textId="77777777" w:rsidR="0073631C" w:rsidRPr="00764534" w:rsidRDefault="0073631C" w:rsidP="00275C03">
            <w:r>
              <w:t>Sydney, NSW</w:t>
            </w:r>
          </w:p>
        </w:tc>
      </w:tr>
      <w:tr w:rsidR="0073631C" w:rsidRPr="00764534" w14:paraId="1DED6A1B" w14:textId="77777777" w:rsidTr="00275C03">
        <w:tc>
          <w:tcPr>
            <w:tcW w:w="1242" w:type="dxa"/>
          </w:tcPr>
          <w:p w14:paraId="6C3E9E5F" w14:textId="77777777" w:rsidR="0073631C" w:rsidRDefault="0073631C" w:rsidP="00275C03">
            <w:r>
              <w:t>16.10.14</w:t>
            </w:r>
          </w:p>
        </w:tc>
        <w:tc>
          <w:tcPr>
            <w:tcW w:w="5954" w:type="dxa"/>
          </w:tcPr>
          <w:p w14:paraId="394E86D7" w14:textId="1A3FF6B3" w:rsidR="0073631C" w:rsidRDefault="0073631C" w:rsidP="00B33908">
            <w:r w:rsidRPr="00F55FD7">
              <w:t>Newington College Preparatory School - Parents &amp; Friends’ Association</w:t>
            </w:r>
            <w:r>
              <w:t>: Annual General meeting</w:t>
            </w:r>
          </w:p>
        </w:tc>
        <w:tc>
          <w:tcPr>
            <w:tcW w:w="2090" w:type="dxa"/>
          </w:tcPr>
          <w:p w14:paraId="1497C857" w14:textId="77777777" w:rsidR="0073631C" w:rsidRDefault="0073631C" w:rsidP="00275C03">
            <w:r>
              <w:t>Sydney, NSW</w:t>
            </w:r>
          </w:p>
        </w:tc>
      </w:tr>
      <w:tr w:rsidR="0073631C" w:rsidRPr="00764534" w14:paraId="7407A590" w14:textId="77777777" w:rsidTr="00275C03">
        <w:tc>
          <w:tcPr>
            <w:tcW w:w="1242" w:type="dxa"/>
          </w:tcPr>
          <w:p w14:paraId="380C3FA3" w14:textId="77777777" w:rsidR="0073631C" w:rsidRPr="001A4717" w:rsidRDefault="0073631C" w:rsidP="00275C03">
            <w:r w:rsidRPr="001A4717">
              <w:t>17.10.14</w:t>
            </w:r>
          </w:p>
        </w:tc>
        <w:tc>
          <w:tcPr>
            <w:tcW w:w="5954" w:type="dxa"/>
          </w:tcPr>
          <w:p w14:paraId="48F22209" w14:textId="22E7F0CB" w:rsidR="0073631C" w:rsidRPr="001A4717" w:rsidRDefault="0073631C" w:rsidP="00B33908">
            <w:r w:rsidRPr="001A4717">
              <w:t>Official Launch of Children’s Week</w:t>
            </w:r>
          </w:p>
        </w:tc>
        <w:tc>
          <w:tcPr>
            <w:tcW w:w="2090" w:type="dxa"/>
          </w:tcPr>
          <w:p w14:paraId="0C109A99" w14:textId="77777777" w:rsidR="0073631C" w:rsidRDefault="0073631C" w:rsidP="00275C03">
            <w:r>
              <w:t>Adelaide, SA</w:t>
            </w:r>
          </w:p>
        </w:tc>
      </w:tr>
      <w:tr w:rsidR="0073631C" w:rsidRPr="00764534" w14:paraId="0B849CFB" w14:textId="77777777" w:rsidTr="00275C03">
        <w:tc>
          <w:tcPr>
            <w:tcW w:w="1242" w:type="dxa"/>
          </w:tcPr>
          <w:p w14:paraId="6467782D" w14:textId="77777777" w:rsidR="0073631C" w:rsidRPr="004D4DE5" w:rsidRDefault="0073631C" w:rsidP="00275C03">
            <w:r w:rsidRPr="004D4DE5">
              <w:t>20.10.14</w:t>
            </w:r>
          </w:p>
        </w:tc>
        <w:tc>
          <w:tcPr>
            <w:tcW w:w="5954" w:type="dxa"/>
          </w:tcPr>
          <w:p w14:paraId="707A41B8" w14:textId="77777777" w:rsidR="0073631C" w:rsidRPr="004D4DE5" w:rsidRDefault="0073631C" w:rsidP="00275C03">
            <w:r w:rsidRPr="004D4DE5">
              <w:t>National Children's Week Council Showcase event</w:t>
            </w:r>
          </w:p>
        </w:tc>
        <w:tc>
          <w:tcPr>
            <w:tcW w:w="2090" w:type="dxa"/>
          </w:tcPr>
          <w:p w14:paraId="1D3814D9" w14:textId="77777777" w:rsidR="0073631C" w:rsidRPr="004D4DE5" w:rsidRDefault="0073631C" w:rsidP="00275C03">
            <w:r w:rsidRPr="004D4DE5">
              <w:t>Canberra, ACT</w:t>
            </w:r>
          </w:p>
        </w:tc>
      </w:tr>
      <w:tr w:rsidR="0073631C" w:rsidRPr="00764534" w14:paraId="38D340F3" w14:textId="77777777" w:rsidTr="00275C03">
        <w:tc>
          <w:tcPr>
            <w:tcW w:w="1242" w:type="dxa"/>
          </w:tcPr>
          <w:p w14:paraId="7986FBFB" w14:textId="77777777" w:rsidR="0073631C" w:rsidRPr="00764534" w:rsidRDefault="0073631C" w:rsidP="00275C03">
            <w:r>
              <w:t>21.10.14</w:t>
            </w:r>
          </w:p>
        </w:tc>
        <w:tc>
          <w:tcPr>
            <w:tcW w:w="5954" w:type="dxa"/>
          </w:tcPr>
          <w:p w14:paraId="4A7DD23B" w14:textId="77777777" w:rsidR="0073631C" w:rsidRPr="00764534" w:rsidRDefault="0073631C" w:rsidP="00275C03">
            <w:r w:rsidRPr="001028FE">
              <w:t>2014 National Kidsafe Day</w:t>
            </w:r>
          </w:p>
        </w:tc>
        <w:tc>
          <w:tcPr>
            <w:tcW w:w="2090" w:type="dxa"/>
          </w:tcPr>
          <w:p w14:paraId="57F6F9A0" w14:textId="77777777" w:rsidR="0073631C" w:rsidRPr="00764534" w:rsidRDefault="0073631C" w:rsidP="00275C03">
            <w:r>
              <w:t>Sydney, NSW</w:t>
            </w:r>
          </w:p>
        </w:tc>
      </w:tr>
      <w:tr w:rsidR="0073631C" w:rsidRPr="00764534" w14:paraId="04543CDF" w14:textId="77777777" w:rsidTr="00275C03">
        <w:tc>
          <w:tcPr>
            <w:tcW w:w="1242" w:type="dxa"/>
          </w:tcPr>
          <w:p w14:paraId="1B6F6B3E" w14:textId="77777777" w:rsidR="0073631C" w:rsidRPr="00764534" w:rsidRDefault="0073631C" w:rsidP="00275C03">
            <w:r>
              <w:t>24.10.14</w:t>
            </w:r>
          </w:p>
        </w:tc>
        <w:tc>
          <w:tcPr>
            <w:tcW w:w="5954" w:type="dxa"/>
          </w:tcPr>
          <w:p w14:paraId="1C71EF82" w14:textId="31CBFA2E" w:rsidR="0073631C" w:rsidRPr="00764534" w:rsidRDefault="0077207A" w:rsidP="0077207A">
            <w:r>
              <w:t xml:space="preserve">Multicultural Youth Advocacy Network: </w:t>
            </w:r>
            <w:r w:rsidR="0073631C">
              <w:t>FUSE – N</w:t>
            </w:r>
            <w:r w:rsidR="0073631C" w:rsidRPr="00EC0403">
              <w:t xml:space="preserve">ational </w:t>
            </w:r>
            <w:r w:rsidR="0073631C">
              <w:t>Multicultural Youth S</w:t>
            </w:r>
            <w:r w:rsidR="0073631C" w:rsidRPr="00EC0403">
              <w:t>ummit</w:t>
            </w:r>
          </w:p>
        </w:tc>
        <w:tc>
          <w:tcPr>
            <w:tcW w:w="2090" w:type="dxa"/>
          </w:tcPr>
          <w:p w14:paraId="59FE1ABA" w14:textId="77777777" w:rsidR="0073631C" w:rsidRPr="00764534" w:rsidRDefault="0073631C" w:rsidP="00275C03">
            <w:r>
              <w:t>Sydney, NSW</w:t>
            </w:r>
          </w:p>
        </w:tc>
      </w:tr>
      <w:tr w:rsidR="0073631C" w:rsidRPr="00764534" w14:paraId="08870366" w14:textId="77777777" w:rsidTr="00275C03">
        <w:tc>
          <w:tcPr>
            <w:tcW w:w="1242" w:type="dxa"/>
          </w:tcPr>
          <w:p w14:paraId="2EAFEEAF" w14:textId="77777777" w:rsidR="0073631C" w:rsidRPr="00764534" w:rsidRDefault="0073631C" w:rsidP="00275C03">
            <w:r>
              <w:t>03.11.14</w:t>
            </w:r>
          </w:p>
        </w:tc>
        <w:tc>
          <w:tcPr>
            <w:tcW w:w="5954" w:type="dxa"/>
          </w:tcPr>
          <w:p w14:paraId="2E6487D7" w14:textId="77777777" w:rsidR="0073631C" w:rsidRPr="00EC0403" w:rsidRDefault="0073631C" w:rsidP="00275C03">
            <w:r w:rsidRPr="00EC0403">
              <w:rPr>
                <w:bCs/>
              </w:rPr>
              <w:t>Australian Youth Representative to the United Nations</w:t>
            </w:r>
            <w:r>
              <w:rPr>
                <w:bCs/>
              </w:rPr>
              <w:t xml:space="preserve"> Report Back L</w:t>
            </w:r>
            <w:r w:rsidRPr="00EC0403">
              <w:rPr>
                <w:bCs/>
              </w:rPr>
              <w:t>ecture</w:t>
            </w:r>
          </w:p>
        </w:tc>
        <w:tc>
          <w:tcPr>
            <w:tcW w:w="2090" w:type="dxa"/>
          </w:tcPr>
          <w:p w14:paraId="61BC1BE5" w14:textId="77777777" w:rsidR="0073631C" w:rsidRPr="00764534" w:rsidRDefault="0073631C" w:rsidP="00275C03">
            <w:r>
              <w:t>Sydney, NSW</w:t>
            </w:r>
          </w:p>
        </w:tc>
      </w:tr>
      <w:tr w:rsidR="0073631C" w:rsidRPr="00764534" w14:paraId="26A8D05B" w14:textId="77777777" w:rsidTr="00275C03">
        <w:tc>
          <w:tcPr>
            <w:tcW w:w="1242" w:type="dxa"/>
          </w:tcPr>
          <w:p w14:paraId="3E9A266A" w14:textId="77777777" w:rsidR="0073631C" w:rsidRPr="00764534" w:rsidRDefault="0073631C" w:rsidP="00275C03">
            <w:r>
              <w:t>06.11.14</w:t>
            </w:r>
          </w:p>
        </w:tc>
        <w:tc>
          <w:tcPr>
            <w:tcW w:w="5954" w:type="dxa"/>
          </w:tcPr>
          <w:p w14:paraId="3AC0797D" w14:textId="20DA27E6" w:rsidR="0073631C" w:rsidRPr="00764534" w:rsidRDefault="006E7973" w:rsidP="00275C03">
            <w:r>
              <w:t xml:space="preserve">FRSA </w:t>
            </w:r>
            <w:r w:rsidR="0073631C" w:rsidRPr="00EC0403">
              <w:t>Wellbeing of Children, Families and Communities – Futu</w:t>
            </w:r>
            <w:r w:rsidR="0073631C">
              <w:t>re Policy, Program and Practice</w:t>
            </w:r>
            <w:r>
              <w:t xml:space="preserve"> Conference</w:t>
            </w:r>
          </w:p>
        </w:tc>
        <w:tc>
          <w:tcPr>
            <w:tcW w:w="2090" w:type="dxa"/>
          </w:tcPr>
          <w:p w14:paraId="0501871B" w14:textId="77777777" w:rsidR="0073631C" w:rsidRPr="00764534" w:rsidRDefault="0073631C" w:rsidP="00275C03">
            <w:r>
              <w:t>Adelaide, SA</w:t>
            </w:r>
          </w:p>
        </w:tc>
      </w:tr>
      <w:tr w:rsidR="0073631C" w:rsidRPr="00764534" w14:paraId="7808F82E" w14:textId="77777777" w:rsidTr="00275C03">
        <w:tc>
          <w:tcPr>
            <w:tcW w:w="1242" w:type="dxa"/>
          </w:tcPr>
          <w:p w14:paraId="354DF9B8" w14:textId="77777777" w:rsidR="0073631C" w:rsidRPr="00764534" w:rsidRDefault="0073631C" w:rsidP="00275C03">
            <w:r>
              <w:t>19.11.14</w:t>
            </w:r>
          </w:p>
        </w:tc>
        <w:tc>
          <w:tcPr>
            <w:tcW w:w="5954" w:type="dxa"/>
          </w:tcPr>
          <w:p w14:paraId="0B71C656" w14:textId="325CE656" w:rsidR="0073631C" w:rsidRPr="00764534" w:rsidRDefault="0073631C" w:rsidP="00267D4E">
            <w:r w:rsidRPr="00A60368">
              <w:t>Early Childhood Association Victorian Branch</w:t>
            </w:r>
            <w:r>
              <w:t xml:space="preserve">, </w:t>
            </w:r>
            <w:r w:rsidRPr="00A60368">
              <w:t>Annual General Meeting</w:t>
            </w:r>
          </w:p>
        </w:tc>
        <w:tc>
          <w:tcPr>
            <w:tcW w:w="2090" w:type="dxa"/>
          </w:tcPr>
          <w:p w14:paraId="26D29774" w14:textId="77777777" w:rsidR="0073631C" w:rsidRPr="00764534" w:rsidRDefault="0073631C" w:rsidP="00275C03">
            <w:r>
              <w:t>Melbourne, VIC</w:t>
            </w:r>
          </w:p>
        </w:tc>
      </w:tr>
      <w:tr w:rsidR="0073631C" w:rsidRPr="00764534" w14:paraId="76EBB3D9" w14:textId="77777777" w:rsidTr="00275C03">
        <w:tc>
          <w:tcPr>
            <w:tcW w:w="1242" w:type="dxa"/>
          </w:tcPr>
          <w:p w14:paraId="0B260203" w14:textId="77777777" w:rsidR="0073631C" w:rsidRPr="00764534" w:rsidRDefault="0073631C" w:rsidP="00275C03">
            <w:r>
              <w:t>25.11.14</w:t>
            </w:r>
          </w:p>
        </w:tc>
        <w:tc>
          <w:tcPr>
            <w:tcW w:w="5954" w:type="dxa"/>
          </w:tcPr>
          <w:p w14:paraId="4C27E5F6" w14:textId="4E83BFED" w:rsidR="0073631C" w:rsidRPr="00764534" w:rsidRDefault="0073631C" w:rsidP="00267D4E">
            <w:r w:rsidRPr="00A60368">
              <w:t>Ethnic Child Care, Family and Comm</w:t>
            </w:r>
            <w:r>
              <w:t>unity Services Co-operative</w:t>
            </w:r>
            <w:r w:rsidR="00C04F73">
              <w:t>,</w:t>
            </w:r>
            <w:r>
              <w:t xml:space="preserve"> </w:t>
            </w:r>
            <w:r w:rsidRPr="00A60368">
              <w:t>3</w:t>
            </w:r>
            <w:r w:rsidR="00267D4E">
              <w:t xml:space="preserve">5th </w:t>
            </w:r>
            <w:r>
              <w:t>Anniversary and Annual General Meeting</w:t>
            </w:r>
          </w:p>
        </w:tc>
        <w:tc>
          <w:tcPr>
            <w:tcW w:w="2090" w:type="dxa"/>
          </w:tcPr>
          <w:p w14:paraId="31ADE30A" w14:textId="77777777" w:rsidR="0073631C" w:rsidRPr="00764534" w:rsidRDefault="0073631C" w:rsidP="00275C03">
            <w:r>
              <w:t>Sydney, NSW</w:t>
            </w:r>
          </w:p>
        </w:tc>
      </w:tr>
      <w:tr w:rsidR="0073631C" w:rsidRPr="00764534" w14:paraId="5758D187" w14:textId="77777777" w:rsidTr="00275C03">
        <w:tc>
          <w:tcPr>
            <w:tcW w:w="1242" w:type="dxa"/>
          </w:tcPr>
          <w:p w14:paraId="4B5F7508" w14:textId="77777777" w:rsidR="0073631C" w:rsidRPr="00764534" w:rsidRDefault="0073631C" w:rsidP="00275C03">
            <w:r>
              <w:t>28.11.14</w:t>
            </w:r>
          </w:p>
        </w:tc>
        <w:tc>
          <w:tcPr>
            <w:tcW w:w="5954" w:type="dxa"/>
          </w:tcPr>
          <w:p w14:paraId="28198EA5" w14:textId="3546A7E9" w:rsidR="0073631C" w:rsidRPr="00764534" w:rsidRDefault="0073631C" w:rsidP="00267D4E">
            <w:r w:rsidRPr="003F36F2">
              <w:t>Australian Injury Prevention Network</w:t>
            </w:r>
            <w:r w:rsidR="00267D4E">
              <w:t xml:space="preserve"> -</w:t>
            </w:r>
            <w:r>
              <w:t xml:space="preserve"> </w:t>
            </w:r>
            <w:r w:rsidRPr="00A60368">
              <w:t>Injury Prevention in Aboriginal and Torres Strait Islander People: Prevention Across the Lifespan</w:t>
            </w:r>
          </w:p>
        </w:tc>
        <w:tc>
          <w:tcPr>
            <w:tcW w:w="2090" w:type="dxa"/>
          </w:tcPr>
          <w:p w14:paraId="77822881" w14:textId="77777777" w:rsidR="0073631C" w:rsidRPr="00764534" w:rsidRDefault="0073631C" w:rsidP="00275C03">
            <w:r>
              <w:t>Sydney, NSW</w:t>
            </w:r>
          </w:p>
        </w:tc>
      </w:tr>
      <w:tr w:rsidR="0073631C" w:rsidRPr="00764534" w14:paraId="79FD6207" w14:textId="77777777" w:rsidTr="00275C03">
        <w:tc>
          <w:tcPr>
            <w:tcW w:w="1242" w:type="dxa"/>
          </w:tcPr>
          <w:p w14:paraId="056AFAD8" w14:textId="284785E1" w:rsidR="0073631C" w:rsidRDefault="00267D4E" w:rsidP="00275C03">
            <w:r>
              <w:t>11.02.1</w:t>
            </w:r>
            <w:r w:rsidR="0073631C" w:rsidRPr="00F76D89">
              <w:t>5</w:t>
            </w:r>
          </w:p>
        </w:tc>
        <w:tc>
          <w:tcPr>
            <w:tcW w:w="5954" w:type="dxa"/>
          </w:tcPr>
          <w:p w14:paraId="7425D8ED" w14:textId="07AAD5F7" w:rsidR="0073631C" w:rsidRPr="00A20E68" w:rsidRDefault="0073631C" w:rsidP="00267D4E">
            <w:pPr>
              <w:rPr>
                <w:i/>
                <w:iCs/>
                <w:lang w:val="en-US"/>
              </w:rPr>
            </w:pPr>
            <w:r w:rsidRPr="00A20E68">
              <w:rPr>
                <w:lang w:val="en-US"/>
              </w:rPr>
              <w:t>APS Human Rights Network</w:t>
            </w:r>
            <w:r w:rsidR="00267D4E">
              <w:rPr>
                <w:lang w:val="en-US"/>
              </w:rPr>
              <w:t xml:space="preserve"> </w:t>
            </w:r>
            <w:r>
              <w:rPr>
                <w:lang w:val="en-US"/>
              </w:rPr>
              <w:t xml:space="preserve">: </w:t>
            </w:r>
            <w:r w:rsidRPr="00A20E68">
              <w:rPr>
                <w:iCs/>
                <w:lang w:val="en-US"/>
              </w:rPr>
              <w:t>How the public service can champion child rights</w:t>
            </w:r>
          </w:p>
        </w:tc>
        <w:tc>
          <w:tcPr>
            <w:tcW w:w="2090" w:type="dxa"/>
          </w:tcPr>
          <w:p w14:paraId="6AFFFF98" w14:textId="77777777" w:rsidR="0073631C" w:rsidRDefault="0073631C" w:rsidP="00275C03">
            <w:r>
              <w:t>Sydney, NSW</w:t>
            </w:r>
          </w:p>
        </w:tc>
      </w:tr>
      <w:tr w:rsidR="0073631C" w:rsidRPr="00764534" w14:paraId="5CBE25C9" w14:textId="77777777" w:rsidTr="00275C03">
        <w:tc>
          <w:tcPr>
            <w:tcW w:w="1242" w:type="dxa"/>
          </w:tcPr>
          <w:p w14:paraId="08A69178" w14:textId="77777777" w:rsidR="0073631C" w:rsidRPr="00764534" w:rsidRDefault="0073631C" w:rsidP="00275C03">
            <w:r>
              <w:t>25.02.15</w:t>
            </w:r>
          </w:p>
        </w:tc>
        <w:tc>
          <w:tcPr>
            <w:tcW w:w="5954" w:type="dxa"/>
          </w:tcPr>
          <w:p w14:paraId="792763DC" w14:textId="77777777" w:rsidR="0073631C" w:rsidRPr="00764534" w:rsidRDefault="0073631C" w:rsidP="00275C03">
            <w:r w:rsidRPr="004D4DE5">
              <w:rPr>
                <w:rFonts w:cs="Arial"/>
              </w:rPr>
              <w:t>Complaint Handlers’ Information Sharing and Liaison (CHISaL) Seminar</w:t>
            </w:r>
            <w:r>
              <w:t xml:space="preserve">: </w:t>
            </w:r>
            <w:r w:rsidRPr="0086306F">
              <w:t>Children and</w:t>
            </w:r>
            <w:r>
              <w:t xml:space="preserve"> Young People as Complainants </w:t>
            </w:r>
          </w:p>
        </w:tc>
        <w:tc>
          <w:tcPr>
            <w:tcW w:w="2090" w:type="dxa"/>
          </w:tcPr>
          <w:p w14:paraId="772EE2C2" w14:textId="77777777" w:rsidR="0073631C" w:rsidRPr="00764534" w:rsidRDefault="0073631C" w:rsidP="00275C03">
            <w:r>
              <w:t>Sydney, NSW</w:t>
            </w:r>
          </w:p>
        </w:tc>
      </w:tr>
      <w:tr w:rsidR="0073631C" w:rsidRPr="00764534" w14:paraId="39CFB502" w14:textId="77777777" w:rsidTr="00275C03">
        <w:tc>
          <w:tcPr>
            <w:tcW w:w="1242" w:type="dxa"/>
          </w:tcPr>
          <w:p w14:paraId="05BC6CDC" w14:textId="77777777" w:rsidR="0073631C" w:rsidRPr="00764534" w:rsidRDefault="0073631C" w:rsidP="00275C03">
            <w:r>
              <w:t>02.03.15</w:t>
            </w:r>
          </w:p>
        </w:tc>
        <w:tc>
          <w:tcPr>
            <w:tcW w:w="5954" w:type="dxa"/>
          </w:tcPr>
          <w:p w14:paraId="28A8E96C" w14:textId="6A533563" w:rsidR="0073631C" w:rsidRPr="00764534" w:rsidRDefault="0073631C" w:rsidP="00275C03">
            <w:r w:rsidRPr="0086306F">
              <w:t>Coalition Backbench Legal Affairs Committee</w:t>
            </w:r>
            <w:r>
              <w:t>: presentation on</w:t>
            </w:r>
            <w:r w:rsidR="007469A7">
              <w:t xml:space="preserve"> the</w:t>
            </w:r>
            <w:r>
              <w:t xml:space="preserve"> Family Law System</w:t>
            </w:r>
          </w:p>
        </w:tc>
        <w:tc>
          <w:tcPr>
            <w:tcW w:w="2090" w:type="dxa"/>
          </w:tcPr>
          <w:p w14:paraId="730FA23B" w14:textId="77777777" w:rsidR="0073631C" w:rsidRPr="00764534" w:rsidRDefault="0073631C" w:rsidP="00275C03">
            <w:r>
              <w:t>Canberra, ACT</w:t>
            </w:r>
          </w:p>
        </w:tc>
      </w:tr>
      <w:tr w:rsidR="0073631C" w:rsidRPr="00764534" w14:paraId="5B88851E" w14:textId="77777777" w:rsidTr="00275C03">
        <w:tc>
          <w:tcPr>
            <w:tcW w:w="1242" w:type="dxa"/>
          </w:tcPr>
          <w:p w14:paraId="705FE610" w14:textId="77777777" w:rsidR="0073631C" w:rsidRPr="00764534" w:rsidRDefault="0073631C" w:rsidP="00275C03">
            <w:r>
              <w:t>05.03.15</w:t>
            </w:r>
          </w:p>
        </w:tc>
        <w:tc>
          <w:tcPr>
            <w:tcW w:w="5954" w:type="dxa"/>
          </w:tcPr>
          <w:p w14:paraId="2A09F9F0" w14:textId="77777777" w:rsidR="0073631C" w:rsidRPr="00764534" w:rsidRDefault="0073631C" w:rsidP="00275C03">
            <w:r w:rsidRPr="0086306F">
              <w:t>Bathurst Child and Family Network</w:t>
            </w:r>
            <w:r>
              <w:t>:</w:t>
            </w:r>
            <w:r w:rsidRPr="0086306F">
              <w:rPr>
                <w:sz w:val="23"/>
                <w:szCs w:val="23"/>
              </w:rPr>
              <w:t xml:space="preserve"> </w:t>
            </w:r>
            <w:r w:rsidRPr="0086306F">
              <w:t>Big Banter – our children</w:t>
            </w:r>
            <w:r>
              <w:t>,</w:t>
            </w:r>
            <w:r w:rsidRPr="0086306F">
              <w:t xml:space="preserve"> their future</w:t>
            </w:r>
          </w:p>
        </w:tc>
        <w:tc>
          <w:tcPr>
            <w:tcW w:w="2090" w:type="dxa"/>
          </w:tcPr>
          <w:p w14:paraId="5BC6250F" w14:textId="77777777" w:rsidR="0073631C" w:rsidRPr="00764534" w:rsidRDefault="0073631C" w:rsidP="00275C03">
            <w:r>
              <w:t>Bathurst, NSW</w:t>
            </w:r>
          </w:p>
        </w:tc>
      </w:tr>
      <w:tr w:rsidR="0073631C" w:rsidRPr="00764534" w14:paraId="5F56EEA6" w14:textId="77777777" w:rsidTr="00275C03">
        <w:tc>
          <w:tcPr>
            <w:tcW w:w="1242" w:type="dxa"/>
          </w:tcPr>
          <w:p w14:paraId="1F67B37B" w14:textId="77777777" w:rsidR="0073631C" w:rsidRPr="00764534" w:rsidRDefault="0073631C" w:rsidP="00275C03">
            <w:r>
              <w:t>21.03.15</w:t>
            </w:r>
          </w:p>
        </w:tc>
        <w:tc>
          <w:tcPr>
            <w:tcW w:w="5954" w:type="dxa"/>
          </w:tcPr>
          <w:p w14:paraId="685D3884" w14:textId="77777777" w:rsidR="0073631C" w:rsidRPr="00764534" w:rsidRDefault="0073631C" w:rsidP="00275C03">
            <w:r w:rsidRPr="00FB214C">
              <w:t>YMCA 2015 National Children’s Services Conference</w:t>
            </w:r>
          </w:p>
        </w:tc>
        <w:tc>
          <w:tcPr>
            <w:tcW w:w="2090" w:type="dxa"/>
          </w:tcPr>
          <w:p w14:paraId="5B4E210E" w14:textId="77777777" w:rsidR="0073631C" w:rsidRPr="00764534" w:rsidRDefault="0073631C" w:rsidP="00275C03">
            <w:r>
              <w:t>Melbourne, VIC</w:t>
            </w:r>
          </w:p>
        </w:tc>
      </w:tr>
      <w:tr w:rsidR="0073631C" w:rsidRPr="00764534" w14:paraId="2C483CEA" w14:textId="77777777" w:rsidTr="00275C03">
        <w:tc>
          <w:tcPr>
            <w:tcW w:w="1242" w:type="dxa"/>
          </w:tcPr>
          <w:p w14:paraId="250E4AF8" w14:textId="77777777" w:rsidR="0073631C" w:rsidRPr="007469A7" w:rsidRDefault="0073631C" w:rsidP="00275C03">
            <w:r w:rsidRPr="007469A7">
              <w:t>27.03.15</w:t>
            </w:r>
          </w:p>
        </w:tc>
        <w:tc>
          <w:tcPr>
            <w:tcW w:w="5954" w:type="dxa"/>
          </w:tcPr>
          <w:p w14:paraId="305EDED1" w14:textId="4E2F43A5" w:rsidR="0073631C" w:rsidRPr="007469A7" w:rsidRDefault="0073631C" w:rsidP="007469A7">
            <w:r w:rsidRPr="007469A7">
              <w:t xml:space="preserve">Australian and New Zealand Child Death Review and Prevention Group Annual Meeting (Manager </w:t>
            </w:r>
            <w:r w:rsidR="007469A7" w:rsidRPr="007469A7">
              <w:t xml:space="preserve">of the </w:t>
            </w:r>
            <w:r w:rsidRPr="007469A7">
              <w:t xml:space="preserve">Monitoring and </w:t>
            </w:r>
            <w:r w:rsidR="007469A7" w:rsidRPr="007469A7">
              <w:t xml:space="preserve">Reporting Team </w:t>
            </w:r>
            <w:r w:rsidRPr="007469A7">
              <w:t>at Australian Human Rights Commission attended on behalf of the Commissioner)</w:t>
            </w:r>
          </w:p>
        </w:tc>
        <w:tc>
          <w:tcPr>
            <w:tcW w:w="2090" w:type="dxa"/>
          </w:tcPr>
          <w:p w14:paraId="4296BFC8" w14:textId="77777777" w:rsidR="0073631C" w:rsidRDefault="0073631C" w:rsidP="00275C03">
            <w:r w:rsidRPr="007469A7">
              <w:t>Melbourne, VIC</w:t>
            </w:r>
          </w:p>
        </w:tc>
      </w:tr>
      <w:tr w:rsidR="0073631C" w:rsidRPr="00764534" w14:paraId="3C615DFD" w14:textId="77777777" w:rsidTr="00275C03">
        <w:tc>
          <w:tcPr>
            <w:tcW w:w="1242" w:type="dxa"/>
          </w:tcPr>
          <w:p w14:paraId="6A55AE01" w14:textId="77777777" w:rsidR="0073631C" w:rsidRPr="00764534" w:rsidRDefault="0073631C" w:rsidP="00275C03">
            <w:r>
              <w:t>31.03.15</w:t>
            </w:r>
          </w:p>
        </w:tc>
        <w:tc>
          <w:tcPr>
            <w:tcW w:w="5954" w:type="dxa"/>
          </w:tcPr>
          <w:p w14:paraId="740143C3" w14:textId="77777777" w:rsidR="0073631C" w:rsidRPr="00764534" w:rsidRDefault="0073631C" w:rsidP="00275C03">
            <w:r w:rsidRPr="00B60C98">
              <w:t>Early Childhood Australia</w:t>
            </w:r>
            <w:r>
              <w:t>: Statement of Intent Launch</w:t>
            </w:r>
          </w:p>
        </w:tc>
        <w:tc>
          <w:tcPr>
            <w:tcW w:w="2090" w:type="dxa"/>
          </w:tcPr>
          <w:p w14:paraId="6F918327" w14:textId="77777777" w:rsidR="0073631C" w:rsidRPr="00764534" w:rsidRDefault="0073631C" w:rsidP="00275C03">
            <w:r>
              <w:t>Brisbane, QLD</w:t>
            </w:r>
          </w:p>
        </w:tc>
      </w:tr>
      <w:tr w:rsidR="0073631C" w:rsidRPr="00764534" w14:paraId="249E5698" w14:textId="77777777" w:rsidTr="00275C03">
        <w:tc>
          <w:tcPr>
            <w:tcW w:w="1242" w:type="dxa"/>
          </w:tcPr>
          <w:p w14:paraId="7E5F7F42" w14:textId="77777777" w:rsidR="0073631C" w:rsidRPr="00764534" w:rsidRDefault="0073631C" w:rsidP="00275C03">
            <w:r>
              <w:t>15.04.15</w:t>
            </w:r>
          </w:p>
        </w:tc>
        <w:tc>
          <w:tcPr>
            <w:tcW w:w="5954" w:type="dxa"/>
          </w:tcPr>
          <w:p w14:paraId="30A20AB4" w14:textId="77777777" w:rsidR="0073631C" w:rsidRPr="00764534" w:rsidRDefault="0073631C" w:rsidP="00275C03">
            <w:r>
              <w:t>Save the Children Australia. Speak out for Change: Youth Voices on Youth Issues Summit</w:t>
            </w:r>
          </w:p>
        </w:tc>
        <w:tc>
          <w:tcPr>
            <w:tcW w:w="2090" w:type="dxa"/>
          </w:tcPr>
          <w:p w14:paraId="53815B74" w14:textId="77777777" w:rsidR="0073631C" w:rsidRPr="00764534" w:rsidRDefault="0073631C" w:rsidP="00275C03">
            <w:r>
              <w:t>Perth, WA</w:t>
            </w:r>
          </w:p>
        </w:tc>
      </w:tr>
      <w:tr w:rsidR="0073631C" w:rsidRPr="00764534" w14:paraId="1DFCE8D0" w14:textId="77777777" w:rsidTr="00275C03">
        <w:tc>
          <w:tcPr>
            <w:tcW w:w="1242" w:type="dxa"/>
          </w:tcPr>
          <w:p w14:paraId="696CDCCF" w14:textId="77777777" w:rsidR="0073631C" w:rsidRPr="00764534" w:rsidRDefault="0073631C" w:rsidP="00275C03">
            <w:r>
              <w:t>20.04.15</w:t>
            </w:r>
          </w:p>
        </w:tc>
        <w:tc>
          <w:tcPr>
            <w:tcW w:w="5954" w:type="dxa"/>
          </w:tcPr>
          <w:p w14:paraId="105FD801" w14:textId="77777777" w:rsidR="0073631C" w:rsidRPr="00764534" w:rsidRDefault="0073631C" w:rsidP="00275C03">
            <w:r>
              <w:t>Kids Helpline: Insight Report Launch</w:t>
            </w:r>
          </w:p>
        </w:tc>
        <w:tc>
          <w:tcPr>
            <w:tcW w:w="2090" w:type="dxa"/>
          </w:tcPr>
          <w:p w14:paraId="47EE59EE" w14:textId="77777777" w:rsidR="0073631C" w:rsidRPr="00764534" w:rsidRDefault="0073631C" w:rsidP="00275C03">
            <w:r>
              <w:t>Sydney, NSW</w:t>
            </w:r>
          </w:p>
        </w:tc>
      </w:tr>
      <w:tr w:rsidR="0073631C" w:rsidRPr="00764534" w14:paraId="3B5DD6F2" w14:textId="77777777" w:rsidTr="00275C03">
        <w:tc>
          <w:tcPr>
            <w:tcW w:w="1242" w:type="dxa"/>
          </w:tcPr>
          <w:p w14:paraId="0A7C35E1" w14:textId="77777777" w:rsidR="0073631C" w:rsidRPr="00764534" w:rsidRDefault="0073631C" w:rsidP="00275C03">
            <w:r>
              <w:t>01.05.15</w:t>
            </w:r>
          </w:p>
        </w:tc>
        <w:tc>
          <w:tcPr>
            <w:tcW w:w="5954" w:type="dxa"/>
          </w:tcPr>
          <w:p w14:paraId="5A2BA2B2" w14:textId="77777777" w:rsidR="0073631C" w:rsidRPr="00764534" w:rsidRDefault="0073631C" w:rsidP="00275C03">
            <w:r w:rsidRPr="00883ADB">
              <w:t>Bui</w:t>
            </w:r>
            <w:r>
              <w:t xml:space="preserve">lding Bridges Conference 2015: </w:t>
            </w:r>
            <w:r w:rsidRPr="00883ADB">
              <w:t>Resilience, Risk Taking and Responsibility – The shared responsibilities in supporting calculated, thoughtful r</w:t>
            </w:r>
            <w:r>
              <w:t>isk-taking to foster resilience</w:t>
            </w:r>
          </w:p>
        </w:tc>
        <w:tc>
          <w:tcPr>
            <w:tcW w:w="2090" w:type="dxa"/>
          </w:tcPr>
          <w:p w14:paraId="570D7C13" w14:textId="77777777" w:rsidR="0073631C" w:rsidRPr="00764534" w:rsidRDefault="0073631C" w:rsidP="00275C03">
            <w:r>
              <w:t>Wodonga, VIC</w:t>
            </w:r>
          </w:p>
        </w:tc>
      </w:tr>
      <w:tr w:rsidR="0073631C" w:rsidRPr="00764534" w14:paraId="334B3600" w14:textId="77777777" w:rsidTr="00275C03">
        <w:tc>
          <w:tcPr>
            <w:tcW w:w="1242" w:type="dxa"/>
          </w:tcPr>
          <w:p w14:paraId="1A0BC6ED" w14:textId="77777777" w:rsidR="0073631C" w:rsidRPr="00764534" w:rsidRDefault="0073631C" w:rsidP="00275C03">
            <w:r>
              <w:t>15.05.15</w:t>
            </w:r>
          </w:p>
        </w:tc>
        <w:tc>
          <w:tcPr>
            <w:tcW w:w="5954" w:type="dxa"/>
          </w:tcPr>
          <w:p w14:paraId="50DB30BD" w14:textId="77777777" w:rsidR="0073631C" w:rsidRPr="00764534" w:rsidRDefault="0073631C" w:rsidP="00275C03">
            <w:r w:rsidRPr="00FE78A8">
              <w:t>Grandparents Victoria and Kinship Carers Victoria</w:t>
            </w:r>
            <w:r>
              <w:t xml:space="preserve">: </w:t>
            </w:r>
            <w:r w:rsidRPr="00FE78A8">
              <w:t>Celebrating Grandparents as kinship carers</w:t>
            </w:r>
          </w:p>
        </w:tc>
        <w:tc>
          <w:tcPr>
            <w:tcW w:w="2090" w:type="dxa"/>
          </w:tcPr>
          <w:p w14:paraId="03E996CF" w14:textId="77777777" w:rsidR="0073631C" w:rsidRPr="00764534" w:rsidRDefault="0073631C" w:rsidP="00275C03">
            <w:r>
              <w:t>Melbourne, VIC</w:t>
            </w:r>
          </w:p>
        </w:tc>
      </w:tr>
      <w:tr w:rsidR="0073631C" w:rsidRPr="00764534" w14:paraId="6C33FAB0" w14:textId="77777777" w:rsidTr="00275C03">
        <w:tc>
          <w:tcPr>
            <w:tcW w:w="1242" w:type="dxa"/>
          </w:tcPr>
          <w:p w14:paraId="67637DAE" w14:textId="77777777" w:rsidR="0073631C" w:rsidRPr="00764534" w:rsidRDefault="0073631C" w:rsidP="00275C03">
            <w:r>
              <w:t>18.05.15</w:t>
            </w:r>
          </w:p>
        </w:tc>
        <w:tc>
          <w:tcPr>
            <w:tcW w:w="5954" w:type="dxa"/>
          </w:tcPr>
          <w:p w14:paraId="6ED97AB0" w14:textId="12E42250" w:rsidR="0073631C" w:rsidRPr="00764534" w:rsidRDefault="0077207A" w:rsidP="00275C03">
            <w:r>
              <w:t xml:space="preserve">Families Australia: </w:t>
            </w:r>
            <w:r w:rsidR="0073631C" w:rsidRPr="00FE78A8">
              <w:t>Child Aware Approaches Conference 2015</w:t>
            </w:r>
          </w:p>
        </w:tc>
        <w:tc>
          <w:tcPr>
            <w:tcW w:w="2090" w:type="dxa"/>
          </w:tcPr>
          <w:p w14:paraId="2844A328" w14:textId="77777777" w:rsidR="0073631C" w:rsidRPr="00764534" w:rsidRDefault="0073631C" w:rsidP="00275C03">
            <w:r>
              <w:t>Melbourne, VIC</w:t>
            </w:r>
          </w:p>
        </w:tc>
      </w:tr>
      <w:tr w:rsidR="0073631C" w:rsidRPr="00764534" w14:paraId="2388B632" w14:textId="77777777" w:rsidTr="00275C03">
        <w:tc>
          <w:tcPr>
            <w:tcW w:w="1242" w:type="dxa"/>
          </w:tcPr>
          <w:p w14:paraId="212524E1" w14:textId="77777777" w:rsidR="0073631C" w:rsidRDefault="0073631C" w:rsidP="00275C03">
            <w:r>
              <w:t>23.05.15</w:t>
            </w:r>
          </w:p>
        </w:tc>
        <w:tc>
          <w:tcPr>
            <w:tcW w:w="5954" w:type="dxa"/>
          </w:tcPr>
          <w:p w14:paraId="290497CB" w14:textId="77777777" w:rsidR="0073631C" w:rsidRPr="00FE78A8" w:rsidRDefault="0073631C" w:rsidP="00275C03">
            <w:r w:rsidRPr="00FE78A8">
              <w:t>Network of Community Activities</w:t>
            </w:r>
            <w:r>
              <w:t xml:space="preserve">: </w:t>
            </w:r>
            <w:r w:rsidRPr="00FE78A8">
              <w:t>Enriching Childhood Conference</w:t>
            </w:r>
            <w:r>
              <w:t xml:space="preserve"> 2015</w:t>
            </w:r>
          </w:p>
        </w:tc>
        <w:tc>
          <w:tcPr>
            <w:tcW w:w="2090" w:type="dxa"/>
          </w:tcPr>
          <w:p w14:paraId="3040083C" w14:textId="77777777" w:rsidR="0073631C" w:rsidRDefault="0073631C" w:rsidP="00275C03">
            <w:r>
              <w:t>Sydney, NSW</w:t>
            </w:r>
          </w:p>
        </w:tc>
      </w:tr>
      <w:tr w:rsidR="0073631C" w:rsidRPr="00764534" w14:paraId="72C95747" w14:textId="77777777" w:rsidTr="00275C03">
        <w:tc>
          <w:tcPr>
            <w:tcW w:w="1242" w:type="dxa"/>
          </w:tcPr>
          <w:p w14:paraId="4EC2722E" w14:textId="77777777" w:rsidR="0073631C" w:rsidRDefault="0073631C" w:rsidP="00275C03">
            <w:r>
              <w:t>29.05.15</w:t>
            </w:r>
          </w:p>
        </w:tc>
        <w:tc>
          <w:tcPr>
            <w:tcW w:w="5954" w:type="dxa"/>
          </w:tcPr>
          <w:p w14:paraId="14A33CA2" w14:textId="77777777" w:rsidR="0073631C" w:rsidRPr="00FE78A8" w:rsidRDefault="0073631C" w:rsidP="00275C03">
            <w:r w:rsidRPr="00FE78A8">
              <w:t>Settlement Services International</w:t>
            </w:r>
            <w:r>
              <w:t xml:space="preserve">: </w:t>
            </w:r>
            <w:r w:rsidRPr="002D0A2B">
              <w:rPr>
                <w:iCs/>
              </w:rPr>
              <w:t>Caring for Children</w:t>
            </w:r>
            <w:r>
              <w:rPr>
                <w:iCs/>
              </w:rPr>
              <w:t xml:space="preserve"> booklet launch</w:t>
            </w:r>
          </w:p>
        </w:tc>
        <w:tc>
          <w:tcPr>
            <w:tcW w:w="2090" w:type="dxa"/>
          </w:tcPr>
          <w:p w14:paraId="5559D83C" w14:textId="77777777" w:rsidR="0073631C" w:rsidRDefault="0073631C" w:rsidP="00275C03">
            <w:r>
              <w:t>Sydney, NSW</w:t>
            </w:r>
          </w:p>
        </w:tc>
      </w:tr>
    </w:tbl>
    <w:p w14:paraId="5AFEBAEA" w14:textId="015A9C15" w:rsidR="0073631C" w:rsidRDefault="0073631C" w:rsidP="0073631C">
      <w:pPr>
        <w:pStyle w:val="Heading2"/>
        <w:numPr>
          <w:ilvl w:val="0"/>
          <w:numId w:val="0"/>
        </w:numPr>
        <w:ind w:left="851" w:hanging="851"/>
      </w:pPr>
      <w:bookmarkStart w:id="219" w:name="_Toc432577333"/>
      <w:r>
        <w:t xml:space="preserve">Appendix 2: Face to face meetings and </w:t>
      </w:r>
      <w:r w:rsidRPr="0073631C">
        <w:t>teleconferences about issues affecting children and young people</w:t>
      </w:r>
      <w:bookmarkEnd w:id="219"/>
    </w:p>
    <w:tbl>
      <w:tblPr>
        <w:tblStyle w:val="TableGrid"/>
        <w:tblW w:w="0" w:type="auto"/>
        <w:tblLook w:val="04A0" w:firstRow="1" w:lastRow="0" w:firstColumn="1" w:lastColumn="0" w:noHBand="0" w:noVBand="1"/>
      </w:tblPr>
      <w:tblGrid>
        <w:gridCol w:w="1242"/>
        <w:gridCol w:w="5954"/>
        <w:gridCol w:w="2090"/>
      </w:tblGrid>
      <w:tr w:rsidR="00275C03" w:rsidRPr="0037585C" w14:paraId="7EB8D75D" w14:textId="77777777" w:rsidTr="00275C03">
        <w:tc>
          <w:tcPr>
            <w:tcW w:w="1242" w:type="dxa"/>
          </w:tcPr>
          <w:p w14:paraId="1FEF43D5" w14:textId="77777777" w:rsidR="00275C03" w:rsidRPr="0037585C" w:rsidRDefault="00275C03" w:rsidP="00275C03">
            <w:pPr>
              <w:rPr>
                <w:b/>
              </w:rPr>
            </w:pPr>
            <w:r w:rsidRPr="0037585C">
              <w:rPr>
                <w:b/>
              </w:rPr>
              <w:t>Date</w:t>
            </w:r>
          </w:p>
        </w:tc>
        <w:tc>
          <w:tcPr>
            <w:tcW w:w="5954" w:type="dxa"/>
          </w:tcPr>
          <w:p w14:paraId="390A0CC9" w14:textId="77777777" w:rsidR="00275C03" w:rsidRPr="0037585C" w:rsidRDefault="00275C03" w:rsidP="00275C03">
            <w:pPr>
              <w:rPr>
                <w:b/>
              </w:rPr>
            </w:pPr>
            <w:r w:rsidRPr="0037585C">
              <w:rPr>
                <w:b/>
              </w:rPr>
              <w:t>Meeting</w:t>
            </w:r>
          </w:p>
        </w:tc>
        <w:tc>
          <w:tcPr>
            <w:tcW w:w="2090" w:type="dxa"/>
          </w:tcPr>
          <w:p w14:paraId="51993CA8" w14:textId="77777777" w:rsidR="00275C03" w:rsidRPr="0037585C" w:rsidRDefault="00275C03" w:rsidP="00275C03">
            <w:pPr>
              <w:rPr>
                <w:b/>
              </w:rPr>
            </w:pPr>
            <w:r w:rsidRPr="0037585C">
              <w:rPr>
                <w:b/>
              </w:rPr>
              <w:t>Location</w:t>
            </w:r>
          </w:p>
        </w:tc>
      </w:tr>
      <w:tr w:rsidR="00275C03" w:rsidRPr="0037585C" w14:paraId="0FAF7DAE" w14:textId="77777777" w:rsidTr="00275C03">
        <w:tc>
          <w:tcPr>
            <w:tcW w:w="1242" w:type="dxa"/>
          </w:tcPr>
          <w:p w14:paraId="142AFEED" w14:textId="77777777" w:rsidR="00275C03" w:rsidRPr="0037585C" w:rsidRDefault="00275C03" w:rsidP="00275C03">
            <w:r w:rsidRPr="0037585C">
              <w:t>01.07.14</w:t>
            </w:r>
          </w:p>
        </w:tc>
        <w:tc>
          <w:tcPr>
            <w:tcW w:w="5954" w:type="dxa"/>
          </w:tcPr>
          <w:p w14:paraId="5082928D" w14:textId="77777777" w:rsidR="00275C03" w:rsidRPr="0037585C" w:rsidRDefault="00275C03" w:rsidP="00275C03">
            <w:r w:rsidRPr="0037585C">
              <w:t>Organisation Intersex International Australia</w:t>
            </w:r>
          </w:p>
        </w:tc>
        <w:tc>
          <w:tcPr>
            <w:tcW w:w="2090" w:type="dxa"/>
          </w:tcPr>
          <w:p w14:paraId="3C3D1DDD" w14:textId="77777777" w:rsidR="00275C03" w:rsidRPr="0037585C" w:rsidRDefault="00275C03" w:rsidP="00275C03">
            <w:r w:rsidRPr="0037585C">
              <w:t>AHRC, NSW</w:t>
            </w:r>
          </w:p>
        </w:tc>
      </w:tr>
      <w:tr w:rsidR="00275C03" w:rsidRPr="0037585C" w14:paraId="0EA9E6DA" w14:textId="77777777" w:rsidTr="00275C03">
        <w:tc>
          <w:tcPr>
            <w:tcW w:w="1242" w:type="dxa"/>
          </w:tcPr>
          <w:p w14:paraId="5A75403F" w14:textId="77777777" w:rsidR="00275C03" w:rsidRPr="0037585C" w:rsidRDefault="00275C03" w:rsidP="00275C03">
            <w:pPr>
              <w:rPr>
                <w:highlight w:val="magenta"/>
              </w:rPr>
            </w:pPr>
            <w:r w:rsidRPr="0037585C">
              <w:t>02.07.14</w:t>
            </w:r>
          </w:p>
        </w:tc>
        <w:tc>
          <w:tcPr>
            <w:tcW w:w="5954" w:type="dxa"/>
          </w:tcPr>
          <w:p w14:paraId="5F2E8807" w14:textId="77777777" w:rsidR="00275C03" w:rsidRPr="0037585C" w:rsidRDefault="00275C03" w:rsidP="00275C03">
            <w:r w:rsidRPr="0037585C">
              <w:t xml:space="preserve">National Aboriginal and Torres Strait Islander Leadership in Mental Health (NATSILMH) </w:t>
            </w:r>
          </w:p>
        </w:tc>
        <w:tc>
          <w:tcPr>
            <w:tcW w:w="2090" w:type="dxa"/>
          </w:tcPr>
          <w:p w14:paraId="172557E7" w14:textId="77777777" w:rsidR="00275C03" w:rsidRPr="0037585C" w:rsidRDefault="00275C03" w:rsidP="00275C03">
            <w:r w:rsidRPr="0037585C">
              <w:t>AHRC, NSW</w:t>
            </w:r>
          </w:p>
        </w:tc>
      </w:tr>
      <w:tr w:rsidR="00275C03" w:rsidRPr="0037585C" w14:paraId="43CCAED9" w14:textId="77777777" w:rsidTr="00275C03">
        <w:tc>
          <w:tcPr>
            <w:tcW w:w="1242" w:type="dxa"/>
          </w:tcPr>
          <w:p w14:paraId="2709F9EF" w14:textId="77777777" w:rsidR="00275C03" w:rsidRPr="0037585C" w:rsidRDefault="00275C03" w:rsidP="00275C03">
            <w:r w:rsidRPr="0037585C">
              <w:t>03.07.14</w:t>
            </w:r>
          </w:p>
        </w:tc>
        <w:tc>
          <w:tcPr>
            <w:tcW w:w="5954" w:type="dxa"/>
          </w:tcPr>
          <w:p w14:paraId="44C61D44" w14:textId="77777777" w:rsidR="00275C03" w:rsidRPr="0037585C" w:rsidRDefault="00275C03" w:rsidP="00275C03">
            <w:r w:rsidRPr="0037585C">
              <w:t>The Hon Kevin Andrews MP, Federal Member for Menzies</w:t>
            </w:r>
          </w:p>
        </w:tc>
        <w:tc>
          <w:tcPr>
            <w:tcW w:w="2090" w:type="dxa"/>
          </w:tcPr>
          <w:p w14:paraId="7F5D9291" w14:textId="77777777" w:rsidR="00275C03" w:rsidRPr="0037585C" w:rsidRDefault="00275C03" w:rsidP="00275C03">
            <w:r w:rsidRPr="0037585C">
              <w:t>Melbourne, VIC</w:t>
            </w:r>
          </w:p>
        </w:tc>
      </w:tr>
      <w:tr w:rsidR="00275C03" w:rsidRPr="0037585C" w14:paraId="68EC8B1B" w14:textId="77777777" w:rsidTr="00275C03">
        <w:tc>
          <w:tcPr>
            <w:tcW w:w="1242" w:type="dxa"/>
          </w:tcPr>
          <w:p w14:paraId="1E5CA382" w14:textId="77777777" w:rsidR="00275C03" w:rsidRPr="0037585C" w:rsidRDefault="00275C03" w:rsidP="00275C03">
            <w:r w:rsidRPr="0037585C">
              <w:t>08.07.14</w:t>
            </w:r>
          </w:p>
        </w:tc>
        <w:tc>
          <w:tcPr>
            <w:tcW w:w="5954" w:type="dxa"/>
          </w:tcPr>
          <w:p w14:paraId="62F9828C" w14:textId="769B87C6" w:rsidR="00275C03" w:rsidRPr="0037585C" w:rsidRDefault="00275C03" w:rsidP="0077207A">
            <w:r w:rsidRPr="0037585C">
              <w:t xml:space="preserve">Iftar Roundtable for Muslim Community Leaders </w:t>
            </w:r>
            <w:r w:rsidR="0077207A" w:rsidRPr="0037585C">
              <w:t xml:space="preserve">with </w:t>
            </w:r>
            <w:r w:rsidRPr="0037585C">
              <w:t xml:space="preserve">Affinity Intercultural Foundation </w:t>
            </w:r>
          </w:p>
        </w:tc>
        <w:tc>
          <w:tcPr>
            <w:tcW w:w="2090" w:type="dxa"/>
          </w:tcPr>
          <w:p w14:paraId="19122A46" w14:textId="77777777" w:rsidR="00275C03" w:rsidRPr="0037585C" w:rsidRDefault="00275C03" w:rsidP="00275C03">
            <w:r w:rsidRPr="0037585C">
              <w:t>AHRC, NSW</w:t>
            </w:r>
          </w:p>
        </w:tc>
      </w:tr>
      <w:tr w:rsidR="00275C03" w:rsidRPr="0037585C" w14:paraId="5989324A" w14:textId="77777777" w:rsidTr="00275C03">
        <w:tc>
          <w:tcPr>
            <w:tcW w:w="1242" w:type="dxa"/>
          </w:tcPr>
          <w:p w14:paraId="55A1762E" w14:textId="77777777" w:rsidR="00275C03" w:rsidRPr="0037585C" w:rsidRDefault="00275C03" w:rsidP="00275C03">
            <w:r w:rsidRPr="0037585C">
              <w:t>09.07.14</w:t>
            </w:r>
          </w:p>
        </w:tc>
        <w:tc>
          <w:tcPr>
            <w:tcW w:w="5954" w:type="dxa"/>
          </w:tcPr>
          <w:p w14:paraId="2E3FA7B7" w14:textId="77777777" w:rsidR="00275C03" w:rsidRPr="0037585C" w:rsidRDefault="00275C03" w:rsidP="00275C03">
            <w:r w:rsidRPr="0037585C">
              <w:t xml:space="preserve">CREATE: Gift presentation to National Children’s Commissioner </w:t>
            </w:r>
          </w:p>
        </w:tc>
        <w:tc>
          <w:tcPr>
            <w:tcW w:w="2090" w:type="dxa"/>
          </w:tcPr>
          <w:p w14:paraId="5B11EBA0" w14:textId="77777777" w:rsidR="00275C03" w:rsidRPr="0037585C" w:rsidRDefault="00275C03" w:rsidP="00275C03">
            <w:r w:rsidRPr="0037585C">
              <w:t>AHRC, NSW</w:t>
            </w:r>
          </w:p>
        </w:tc>
      </w:tr>
      <w:tr w:rsidR="00275C03" w:rsidRPr="0037585C" w14:paraId="3390B908" w14:textId="77777777" w:rsidTr="00275C03">
        <w:tc>
          <w:tcPr>
            <w:tcW w:w="1242" w:type="dxa"/>
          </w:tcPr>
          <w:p w14:paraId="7F5B2090" w14:textId="77777777" w:rsidR="00275C03" w:rsidRPr="0037585C" w:rsidRDefault="00275C03" w:rsidP="00275C03">
            <w:r w:rsidRPr="0037585C">
              <w:t>21.07.14</w:t>
            </w:r>
          </w:p>
        </w:tc>
        <w:tc>
          <w:tcPr>
            <w:tcW w:w="5954" w:type="dxa"/>
          </w:tcPr>
          <w:p w14:paraId="65FD32CA" w14:textId="77777777" w:rsidR="00275C03" w:rsidRPr="0037585C" w:rsidRDefault="00275C03" w:rsidP="00275C03">
            <w:r w:rsidRPr="0037585C">
              <w:rPr>
                <w:iCs/>
              </w:rPr>
              <w:t>Beverly Hills Intensive English Centre</w:t>
            </w:r>
          </w:p>
        </w:tc>
        <w:tc>
          <w:tcPr>
            <w:tcW w:w="2090" w:type="dxa"/>
          </w:tcPr>
          <w:p w14:paraId="3D92609A" w14:textId="77777777" w:rsidR="00275C03" w:rsidRPr="0037585C" w:rsidRDefault="00275C03" w:rsidP="00275C03">
            <w:r w:rsidRPr="0037585C">
              <w:t>Beverly Hills, NSW</w:t>
            </w:r>
          </w:p>
        </w:tc>
      </w:tr>
      <w:tr w:rsidR="00275C03" w:rsidRPr="0037585C" w14:paraId="45EF2595" w14:textId="77777777" w:rsidTr="00275C03">
        <w:tc>
          <w:tcPr>
            <w:tcW w:w="1242" w:type="dxa"/>
          </w:tcPr>
          <w:p w14:paraId="52172D84" w14:textId="77777777" w:rsidR="00275C03" w:rsidRPr="0037585C" w:rsidRDefault="00275C03" w:rsidP="00275C03">
            <w:r w:rsidRPr="0037585C">
              <w:t>23.07.14</w:t>
            </w:r>
          </w:p>
        </w:tc>
        <w:tc>
          <w:tcPr>
            <w:tcW w:w="5954" w:type="dxa"/>
          </w:tcPr>
          <w:p w14:paraId="5E39F0FA" w14:textId="77777777" w:rsidR="00275C03" w:rsidRPr="0037585C" w:rsidRDefault="00275C03" w:rsidP="00275C03">
            <w:r w:rsidRPr="0037585C">
              <w:rPr>
                <w:bCs/>
              </w:rPr>
              <w:t xml:space="preserve">Online Safety Consultative Working Group, Department of Communications, Cyber Safety and Policy Coordination </w:t>
            </w:r>
          </w:p>
        </w:tc>
        <w:tc>
          <w:tcPr>
            <w:tcW w:w="2090" w:type="dxa"/>
          </w:tcPr>
          <w:p w14:paraId="6FDE805B" w14:textId="77777777" w:rsidR="00275C03" w:rsidRPr="0037585C" w:rsidRDefault="00275C03" w:rsidP="00275C03">
            <w:r w:rsidRPr="0037585C">
              <w:t>Sydney, NSW</w:t>
            </w:r>
          </w:p>
        </w:tc>
      </w:tr>
      <w:tr w:rsidR="00275C03" w:rsidRPr="0037585C" w14:paraId="15B2D93F" w14:textId="77777777" w:rsidTr="00275C03">
        <w:tc>
          <w:tcPr>
            <w:tcW w:w="1242" w:type="dxa"/>
          </w:tcPr>
          <w:p w14:paraId="0281AF28" w14:textId="77777777" w:rsidR="00275C03" w:rsidRPr="0037585C" w:rsidRDefault="00275C03" w:rsidP="00275C03">
            <w:r w:rsidRPr="0037585C">
              <w:t>24.07.14</w:t>
            </w:r>
          </w:p>
        </w:tc>
        <w:tc>
          <w:tcPr>
            <w:tcW w:w="5954" w:type="dxa"/>
          </w:tcPr>
          <w:p w14:paraId="442945D5" w14:textId="77777777" w:rsidR="00275C03" w:rsidRPr="0037585C" w:rsidRDefault="00275C03" w:rsidP="00275C03">
            <w:r w:rsidRPr="0037585C">
              <w:t>Professor Clare Tilbury, School of Human Services and Social Work, Griffith University</w:t>
            </w:r>
          </w:p>
        </w:tc>
        <w:tc>
          <w:tcPr>
            <w:tcW w:w="2090" w:type="dxa"/>
          </w:tcPr>
          <w:p w14:paraId="7E68CDFA" w14:textId="77777777" w:rsidR="00275C03" w:rsidRPr="0037585C" w:rsidRDefault="00275C03" w:rsidP="00275C03">
            <w:r w:rsidRPr="0037585C">
              <w:t>Sydney, NSW</w:t>
            </w:r>
          </w:p>
        </w:tc>
      </w:tr>
      <w:tr w:rsidR="00275C03" w:rsidRPr="0037585C" w14:paraId="0E093DA1" w14:textId="77777777" w:rsidTr="00275C03">
        <w:tc>
          <w:tcPr>
            <w:tcW w:w="1242" w:type="dxa"/>
          </w:tcPr>
          <w:p w14:paraId="09450F3F" w14:textId="77777777" w:rsidR="00275C03" w:rsidRPr="0037585C" w:rsidRDefault="00275C03" w:rsidP="00275C03">
            <w:r w:rsidRPr="0037585C">
              <w:t>28.07.14</w:t>
            </w:r>
          </w:p>
        </w:tc>
        <w:tc>
          <w:tcPr>
            <w:tcW w:w="5954" w:type="dxa"/>
          </w:tcPr>
          <w:p w14:paraId="396690B2" w14:textId="77777777" w:rsidR="00275C03" w:rsidRPr="0037585C" w:rsidRDefault="00275C03" w:rsidP="00275C03">
            <w:r w:rsidRPr="0037585C">
              <w:t>Steve Armitage, Interim Principal Commissioner,  Queensland Family and Child Commission</w:t>
            </w:r>
          </w:p>
        </w:tc>
        <w:tc>
          <w:tcPr>
            <w:tcW w:w="2090" w:type="dxa"/>
          </w:tcPr>
          <w:p w14:paraId="2EC9C7F8" w14:textId="77777777" w:rsidR="00275C03" w:rsidRPr="0037585C" w:rsidRDefault="00275C03" w:rsidP="00275C03">
            <w:r w:rsidRPr="0037585C">
              <w:t>AHRC, NSW</w:t>
            </w:r>
          </w:p>
        </w:tc>
      </w:tr>
      <w:tr w:rsidR="00275C03" w:rsidRPr="0037585C" w14:paraId="16ED9295" w14:textId="77777777" w:rsidTr="00275C03">
        <w:tc>
          <w:tcPr>
            <w:tcW w:w="1242" w:type="dxa"/>
          </w:tcPr>
          <w:p w14:paraId="138DF660" w14:textId="77777777" w:rsidR="00275C03" w:rsidRPr="0037585C" w:rsidRDefault="00275C03" w:rsidP="00275C03">
            <w:r w:rsidRPr="0037585C">
              <w:t>28.07.14</w:t>
            </w:r>
          </w:p>
        </w:tc>
        <w:tc>
          <w:tcPr>
            <w:tcW w:w="5954" w:type="dxa"/>
          </w:tcPr>
          <w:p w14:paraId="48316CC8" w14:textId="77777777" w:rsidR="00275C03" w:rsidRPr="0037585C" w:rsidRDefault="00275C03" w:rsidP="00275C03">
            <w:r w:rsidRPr="0037585C">
              <w:t>Dr Jon Jureidini, Child Psychiatrist, Women's and Children's Hospital, Adelaide </w:t>
            </w:r>
          </w:p>
        </w:tc>
        <w:tc>
          <w:tcPr>
            <w:tcW w:w="2090" w:type="dxa"/>
          </w:tcPr>
          <w:p w14:paraId="2B271F6E" w14:textId="77777777" w:rsidR="00275C03" w:rsidRPr="0037585C" w:rsidRDefault="00275C03" w:rsidP="00275C03">
            <w:r w:rsidRPr="0037585C">
              <w:t>AHRC, NSW</w:t>
            </w:r>
          </w:p>
        </w:tc>
      </w:tr>
      <w:tr w:rsidR="00275C03" w:rsidRPr="0037585C" w14:paraId="02C2B571" w14:textId="77777777" w:rsidTr="00275C03">
        <w:tc>
          <w:tcPr>
            <w:tcW w:w="1242" w:type="dxa"/>
          </w:tcPr>
          <w:p w14:paraId="331D2CE1" w14:textId="77777777" w:rsidR="00275C03" w:rsidRPr="0037585C" w:rsidRDefault="00275C03" w:rsidP="00275C03">
            <w:r w:rsidRPr="0037585C">
              <w:t>28.07.14</w:t>
            </w:r>
          </w:p>
        </w:tc>
        <w:tc>
          <w:tcPr>
            <w:tcW w:w="5954" w:type="dxa"/>
          </w:tcPr>
          <w:p w14:paraId="014F89E9" w14:textId="77777777" w:rsidR="00275C03" w:rsidRPr="0037585C" w:rsidRDefault="00275C03" w:rsidP="00275C03">
            <w:r w:rsidRPr="0037585C">
              <w:t>Georgie Harman, Chief Executive Officer, and Brian Graetz, Deputy Chief Executive Officer, BeyondBlue</w:t>
            </w:r>
          </w:p>
        </w:tc>
        <w:tc>
          <w:tcPr>
            <w:tcW w:w="2090" w:type="dxa"/>
          </w:tcPr>
          <w:p w14:paraId="636A5EC6" w14:textId="77777777" w:rsidR="00275C03" w:rsidRPr="0037585C" w:rsidRDefault="00275C03" w:rsidP="00275C03">
            <w:r w:rsidRPr="0037585C">
              <w:t xml:space="preserve">AHRC, NSW </w:t>
            </w:r>
          </w:p>
        </w:tc>
      </w:tr>
      <w:tr w:rsidR="00275C03" w:rsidRPr="0037585C" w14:paraId="5A998D71" w14:textId="77777777" w:rsidTr="00275C03">
        <w:tc>
          <w:tcPr>
            <w:tcW w:w="1242" w:type="dxa"/>
          </w:tcPr>
          <w:p w14:paraId="02B75106" w14:textId="77777777" w:rsidR="00275C03" w:rsidRPr="0037585C" w:rsidRDefault="00275C03" w:rsidP="00275C03">
            <w:r w:rsidRPr="0037585C">
              <w:t>28.07.14</w:t>
            </w:r>
          </w:p>
        </w:tc>
        <w:tc>
          <w:tcPr>
            <w:tcW w:w="5954" w:type="dxa"/>
          </w:tcPr>
          <w:p w14:paraId="4DAC03A9" w14:textId="77777777" w:rsidR="00275C03" w:rsidRPr="0037585C" w:rsidRDefault="00275C03" w:rsidP="00275C03">
            <w:r w:rsidRPr="0037585C">
              <w:t>Professor Elizabeth Handsley, President, Australian Council on Children and the Media</w:t>
            </w:r>
          </w:p>
        </w:tc>
        <w:tc>
          <w:tcPr>
            <w:tcW w:w="2090" w:type="dxa"/>
          </w:tcPr>
          <w:p w14:paraId="5B1548E0" w14:textId="77777777" w:rsidR="00275C03" w:rsidRPr="0037585C" w:rsidRDefault="00275C03" w:rsidP="00275C03">
            <w:r w:rsidRPr="0037585C">
              <w:t>AHRC, NSW</w:t>
            </w:r>
          </w:p>
        </w:tc>
      </w:tr>
      <w:tr w:rsidR="00275C03" w:rsidRPr="0037585C" w14:paraId="0DEFD831" w14:textId="77777777" w:rsidTr="00275C03">
        <w:tc>
          <w:tcPr>
            <w:tcW w:w="1242" w:type="dxa"/>
          </w:tcPr>
          <w:p w14:paraId="4FD4209C" w14:textId="77777777" w:rsidR="00275C03" w:rsidRPr="0037585C" w:rsidRDefault="00275C03" w:rsidP="00275C03">
            <w:r w:rsidRPr="0037585C">
              <w:t>29.07.14</w:t>
            </w:r>
          </w:p>
        </w:tc>
        <w:tc>
          <w:tcPr>
            <w:tcW w:w="5954" w:type="dxa"/>
          </w:tcPr>
          <w:p w14:paraId="17F3E47B" w14:textId="3CCD0AA1" w:rsidR="00275C03" w:rsidRPr="0037585C" w:rsidRDefault="00275C03" w:rsidP="0077207A">
            <w:pPr>
              <w:rPr>
                <w:b/>
                <w:bCs/>
              </w:rPr>
            </w:pPr>
            <w:r w:rsidRPr="0037585C">
              <w:t>Jennifer Evans, Chair, NSW Children’s Week Council</w:t>
            </w:r>
            <w:r w:rsidR="0077207A">
              <w:t>, and</w:t>
            </w:r>
            <w:r w:rsidRPr="0037585C">
              <w:t xml:space="preserve"> </w:t>
            </w:r>
            <w:r w:rsidRPr="0037585C">
              <w:rPr>
                <w:bCs/>
              </w:rPr>
              <w:t>Robyn Monro Miller, Chief Executive Officer, Network of Community Activities</w:t>
            </w:r>
          </w:p>
        </w:tc>
        <w:tc>
          <w:tcPr>
            <w:tcW w:w="2090" w:type="dxa"/>
          </w:tcPr>
          <w:p w14:paraId="0290F411" w14:textId="77777777" w:rsidR="00275C03" w:rsidRPr="0037585C" w:rsidRDefault="00275C03" w:rsidP="00275C03">
            <w:r w:rsidRPr="0037585C">
              <w:t>AHRC, NSW</w:t>
            </w:r>
          </w:p>
        </w:tc>
      </w:tr>
      <w:tr w:rsidR="00275C03" w:rsidRPr="0037585C" w14:paraId="3E75A004" w14:textId="77777777" w:rsidTr="00275C03">
        <w:tc>
          <w:tcPr>
            <w:tcW w:w="1242" w:type="dxa"/>
          </w:tcPr>
          <w:p w14:paraId="45458321" w14:textId="77777777" w:rsidR="00275C03" w:rsidRPr="0037585C" w:rsidRDefault="00275C03" w:rsidP="00275C03">
            <w:r w:rsidRPr="0037585C">
              <w:t>31.07.14</w:t>
            </w:r>
          </w:p>
        </w:tc>
        <w:tc>
          <w:tcPr>
            <w:tcW w:w="5954" w:type="dxa"/>
          </w:tcPr>
          <w:p w14:paraId="16C463BB" w14:textId="77777777" w:rsidR="00275C03" w:rsidRPr="0037585C" w:rsidRDefault="00275C03" w:rsidP="00275C03">
            <w:r w:rsidRPr="0037585C">
              <w:t>Coralie Alison, Director of Operations, Collective Shout</w:t>
            </w:r>
          </w:p>
        </w:tc>
        <w:tc>
          <w:tcPr>
            <w:tcW w:w="2090" w:type="dxa"/>
          </w:tcPr>
          <w:p w14:paraId="0732AF24" w14:textId="77777777" w:rsidR="00275C03" w:rsidRPr="0037585C" w:rsidRDefault="00275C03" w:rsidP="00275C03">
            <w:r w:rsidRPr="0037585C">
              <w:t>AHRC, NSW</w:t>
            </w:r>
          </w:p>
        </w:tc>
      </w:tr>
      <w:tr w:rsidR="00275C03" w:rsidRPr="0037585C" w14:paraId="0269F0CE" w14:textId="77777777" w:rsidTr="00275C03">
        <w:tc>
          <w:tcPr>
            <w:tcW w:w="1242" w:type="dxa"/>
          </w:tcPr>
          <w:p w14:paraId="41888C2D" w14:textId="77777777" w:rsidR="00275C03" w:rsidRPr="0037585C" w:rsidRDefault="00275C03" w:rsidP="00275C03">
            <w:r w:rsidRPr="0037585C">
              <w:t>04.08.14</w:t>
            </w:r>
          </w:p>
        </w:tc>
        <w:tc>
          <w:tcPr>
            <w:tcW w:w="5954" w:type="dxa"/>
          </w:tcPr>
          <w:p w14:paraId="2E766235" w14:textId="77777777" w:rsidR="00275C03" w:rsidRPr="0037585C" w:rsidRDefault="00275C03" w:rsidP="00275C03">
            <w:r w:rsidRPr="0037585C">
              <w:t>Helen Scales, Nicole Kyrkou and Tim Crowley, Department of Education and Children’s Services South Australia</w:t>
            </w:r>
          </w:p>
        </w:tc>
        <w:tc>
          <w:tcPr>
            <w:tcW w:w="2090" w:type="dxa"/>
          </w:tcPr>
          <w:p w14:paraId="0EA24627" w14:textId="77777777" w:rsidR="00275C03" w:rsidRPr="0037585C" w:rsidRDefault="00275C03" w:rsidP="00275C03">
            <w:r w:rsidRPr="0037585C">
              <w:t>Sydney, NSW</w:t>
            </w:r>
          </w:p>
        </w:tc>
      </w:tr>
      <w:tr w:rsidR="00275C03" w:rsidRPr="0037585C" w14:paraId="30B9B429" w14:textId="77777777" w:rsidTr="00275C03">
        <w:tc>
          <w:tcPr>
            <w:tcW w:w="1242" w:type="dxa"/>
          </w:tcPr>
          <w:p w14:paraId="3547CFE0" w14:textId="77777777" w:rsidR="00275C03" w:rsidRPr="0037585C" w:rsidRDefault="00275C03" w:rsidP="00275C03">
            <w:r w:rsidRPr="0037585C">
              <w:t xml:space="preserve">11.08.14 </w:t>
            </w:r>
          </w:p>
        </w:tc>
        <w:tc>
          <w:tcPr>
            <w:tcW w:w="5954" w:type="dxa"/>
          </w:tcPr>
          <w:p w14:paraId="1EFE9155" w14:textId="35833AD3" w:rsidR="00275C03" w:rsidRPr="0037585C" w:rsidRDefault="00275C03" w:rsidP="00FC69EE">
            <w:r w:rsidRPr="0037585C">
              <w:t>Professor Jennifer Llewellyn, Dalhousie University</w:t>
            </w:r>
            <w:r w:rsidR="00FC69EE">
              <w:t xml:space="preserve">; </w:t>
            </w:r>
            <w:r w:rsidRPr="0037585C">
              <w:t>Brian Babington</w:t>
            </w:r>
            <w:r w:rsidR="00FC69EE">
              <w:t xml:space="preserve">, </w:t>
            </w:r>
            <w:r w:rsidR="00FC69EE" w:rsidRPr="0037585C">
              <w:rPr>
                <w:bCs/>
              </w:rPr>
              <w:t xml:space="preserve">Chief Executive Officer, </w:t>
            </w:r>
            <w:r w:rsidR="00FC69EE">
              <w:rPr>
                <w:bCs/>
              </w:rPr>
              <w:t>Families Australia;</w:t>
            </w:r>
            <w:r w:rsidRPr="0037585C">
              <w:t xml:space="preserve"> and Stella Conroy, </w:t>
            </w:r>
            <w:r w:rsidR="00FC69EE">
              <w:t xml:space="preserve">Deputy </w:t>
            </w:r>
            <w:r w:rsidR="00FC69EE" w:rsidRPr="0037585C">
              <w:rPr>
                <w:bCs/>
              </w:rPr>
              <w:t>Chief Executive Officer</w:t>
            </w:r>
            <w:r w:rsidR="00FC69EE">
              <w:t xml:space="preserve">, </w:t>
            </w:r>
            <w:r w:rsidRPr="0037585C">
              <w:t>Families Australia</w:t>
            </w:r>
          </w:p>
        </w:tc>
        <w:tc>
          <w:tcPr>
            <w:tcW w:w="2090" w:type="dxa"/>
          </w:tcPr>
          <w:p w14:paraId="271A22E7" w14:textId="77777777" w:rsidR="00275C03" w:rsidRPr="0037585C" w:rsidRDefault="00275C03" w:rsidP="00275C03">
            <w:r w:rsidRPr="0037585C">
              <w:t>Canberra, ACT</w:t>
            </w:r>
          </w:p>
        </w:tc>
      </w:tr>
      <w:tr w:rsidR="00275C03" w:rsidRPr="0037585C" w14:paraId="3A814D54" w14:textId="77777777" w:rsidTr="00275C03">
        <w:tc>
          <w:tcPr>
            <w:tcW w:w="1242" w:type="dxa"/>
          </w:tcPr>
          <w:p w14:paraId="5F41643B" w14:textId="77777777" w:rsidR="00275C03" w:rsidRPr="0037585C" w:rsidRDefault="00275C03" w:rsidP="00275C03">
            <w:r w:rsidRPr="0037585C">
              <w:t>12.08.14</w:t>
            </w:r>
          </w:p>
        </w:tc>
        <w:tc>
          <w:tcPr>
            <w:tcW w:w="5954" w:type="dxa"/>
          </w:tcPr>
          <w:p w14:paraId="6AAF1561" w14:textId="77777777" w:rsidR="00275C03" w:rsidRPr="0037585C" w:rsidRDefault="00275C03" w:rsidP="00275C03">
            <w:r w:rsidRPr="0037585C">
              <w:t>Laura John, UN Youth Representative to the United Nations</w:t>
            </w:r>
          </w:p>
        </w:tc>
        <w:tc>
          <w:tcPr>
            <w:tcW w:w="2090" w:type="dxa"/>
          </w:tcPr>
          <w:p w14:paraId="59D4244C" w14:textId="77777777" w:rsidR="00275C03" w:rsidRPr="0037585C" w:rsidRDefault="00275C03" w:rsidP="00275C03">
            <w:r w:rsidRPr="0037585C">
              <w:t>AHRC, NSW</w:t>
            </w:r>
          </w:p>
        </w:tc>
      </w:tr>
      <w:tr w:rsidR="00275C03" w:rsidRPr="0037585C" w14:paraId="2EFECD4B" w14:textId="77777777" w:rsidTr="00275C03">
        <w:tc>
          <w:tcPr>
            <w:tcW w:w="1242" w:type="dxa"/>
          </w:tcPr>
          <w:p w14:paraId="0D806191" w14:textId="77777777" w:rsidR="00275C03" w:rsidRPr="0037585C" w:rsidRDefault="00275C03" w:rsidP="00275C03">
            <w:r w:rsidRPr="0037585C">
              <w:t>13.08.14</w:t>
            </w:r>
          </w:p>
        </w:tc>
        <w:tc>
          <w:tcPr>
            <w:tcW w:w="5954" w:type="dxa"/>
          </w:tcPr>
          <w:p w14:paraId="112BA72F" w14:textId="77777777" w:rsidR="00275C03" w:rsidRPr="0037585C" w:rsidRDefault="00275C03" w:rsidP="00275C03">
            <w:pPr>
              <w:rPr>
                <w:b/>
                <w:bCs/>
                <w:highlight w:val="magenta"/>
              </w:rPr>
            </w:pPr>
            <w:r w:rsidRPr="0037585C">
              <w:t>David Fredericks, D</w:t>
            </w:r>
            <w:r w:rsidRPr="0037585C">
              <w:rPr>
                <w:bCs/>
              </w:rPr>
              <w:t>eputy Secretary, Civil Justice and Legal Services Group</w:t>
            </w:r>
            <w:r w:rsidRPr="0037585C">
              <w:rPr>
                <w:b/>
                <w:bCs/>
              </w:rPr>
              <w:t>,</w:t>
            </w:r>
            <w:r w:rsidRPr="0037585C">
              <w:t xml:space="preserve"> Department of the Attorney-General</w:t>
            </w:r>
          </w:p>
        </w:tc>
        <w:tc>
          <w:tcPr>
            <w:tcW w:w="2090" w:type="dxa"/>
          </w:tcPr>
          <w:p w14:paraId="52B96FB1" w14:textId="77777777" w:rsidR="00275C03" w:rsidRPr="0037585C" w:rsidRDefault="00275C03" w:rsidP="00275C03">
            <w:r w:rsidRPr="0037585C">
              <w:t>AHRC, NSW</w:t>
            </w:r>
          </w:p>
        </w:tc>
      </w:tr>
      <w:tr w:rsidR="00275C03" w:rsidRPr="0037585C" w14:paraId="581DB494" w14:textId="77777777" w:rsidTr="00275C03">
        <w:tc>
          <w:tcPr>
            <w:tcW w:w="1242" w:type="dxa"/>
          </w:tcPr>
          <w:p w14:paraId="0016709F" w14:textId="77777777" w:rsidR="00275C03" w:rsidRPr="0037585C" w:rsidRDefault="00275C03" w:rsidP="00275C03">
            <w:r w:rsidRPr="0037585C">
              <w:t>15.08.14</w:t>
            </w:r>
          </w:p>
        </w:tc>
        <w:tc>
          <w:tcPr>
            <w:tcW w:w="5954" w:type="dxa"/>
          </w:tcPr>
          <w:p w14:paraId="77EB23FA" w14:textId="77777777" w:rsidR="00275C03" w:rsidRPr="0037585C" w:rsidRDefault="00275C03" w:rsidP="00275C03">
            <w:pPr>
              <w:rPr>
                <w:highlight w:val="magenta"/>
              </w:rPr>
            </w:pPr>
            <w:r w:rsidRPr="0037585C">
              <w:t>Associate Professor Judith Cashmore, University of Sydney</w:t>
            </w:r>
          </w:p>
        </w:tc>
        <w:tc>
          <w:tcPr>
            <w:tcW w:w="2090" w:type="dxa"/>
          </w:tcPr>
          <w:p w14:paraId="12D03213" w14:textId="77777777" w:rsidR="00275C03" w:rsidRPr="0037585C" w:rsidRDefault="00275C03" w:rsidP="00275C03">
            <w:r w:rsidRPr="0037585C">
              <w:t>Sydney, NSW</w:t>
            </w:r>
          </w:p>
        </w:tc>
      </w:tr>
      <w:tr w:rsidR="00275C03" w:rsidRPr="0037585C" w14:paraId="7A830A08" w14:textId="77777777" w:rsidTr="00275C03">
        <w:tc>
          <w:tcPr>
            <w:tcW w:w="1242" w:type="dxa"/>
          </w:tcPr>
          <w:p w14:paraId="06A57C05" w14:textId="77777777" w:rsidR="00275C03" w:rsidRPr="0037585C" w:rsidRDefault="00275C03" w:rsidP="00275C03">
            <w:r w:rsidRPr="0037585C">
              <w:t>21.08.14</w:t>
            </w:r>
          </w:p>
        </w:tc>
        <w:tc>
          <w:tcPr>
            <w:tcW w:w="5954" w:type="dxa"/>
          </w:tcPr>
          <w:p w14:paraId="15936EA9" w14:textId="77777777" w:rsidR="00275C03" w:rsidRPr="0037585C" w:rsidRDefault="00275C03" w:rsidP="00275C03">
            <w:r w:rsidRPr="0037585C">
              <w:t>Meredith Kiraly, Research Fellow, Child, Youth and Family Research Program, University of Melbourne</w:t>
            </w:r>
          </w:p>
        </w:tc>
        <w:tc>
          <w:tcPr>
            <w:tcW w:w="2090" w:type="dxa"/>
          </w:tcPr>
          <w:p w14:paraId="54090EA1" w14:textId="77777777" w:rsidR="00275C03" w:rsidRPr="0037585C" w:rsidRDefault="00275C03" w:rsidP="00275C03">
            <w:r w:rsidRPr="0037585C">
              <w:t>Sydney, NSW</w:t>
            </w:r>
          </w:p>
        </w:tc>
      </w:tr>
      <w:tr w:rsidR="00275C03" w:rsidRPr="0037585C" w14:paraId="252C9837" w14:textId="77777777" w:rsidTr="00275C03">
        <w:tc>
          <w:tcPr>
            <w:tcW w:w="1242" w:type="dxa"/>
          </w:tcPr>
          <w:p w14:paraId="1024C30E" w14:textId="77777777" w:rsidR="00275C03" w:rsidRPr="0037585C" w:rsidRDefault="00275C03" w:rsidP="00275C03">
            <w:r w:rsidRPr="0037585C">
              <w:t>21.08.14</w:t>
            </w:r>
          </w:p>
        </w:tc>
        <w:tc>
          <w:tcPr>
            <w:tcW w:w="5954" w:type="dxa"/>
          </w:tcPr>
          <w:p w14:paraId="6D5BA429" w14:textId="02A7EE85" w:rsidR="00275C03" w:rsidRPr="0037585C" w:rsidRDefault="00275C03" w:rsidP="00EB7E2C">
            <w:r w:rsidRPr="0037585C">
              <w:t xml:space="preserve">Wendy McCarthy, Chair, </w:t>
            </w:r>
            <w:r w:rsidR="00EB7E2C">
              <w:t>h</w:t>
            </w:r>
            <w:r w:rsidRPr="0037585C">
              <w:t>eadspace</w:t>
            </w:r>
          </w:p>
        </w:tc>
        <w:tc>
          <w:tcPr>
            <w:tcW w:w="2090" w:type="dxa"/>
          </w:tcPr>
          <w:p w14:paraId="6FB59BF2" w14:textId="77777777" w:rsidR="00275C03" w:rsidRPr="0037585C" w:rsidRDefault="00275C03" w:rsidP="00275C03">
            <w:r w:rsidRPr="0037585C">
              <w:t>AHRC, NSW</w:t>
            </w:r>
          </w:p>
        </w:tc>
      </w:tr>
      <w:tr w:rsidR="00275C03" w:rsidRPr="0037585C" w14:paraId="71AF017B" w14:textId="77777777" w:rsidTr="00275C03">
        <w:tc>
          <w:tcPr>
            <w:tcW w:w="1242" w:type="dxa"/>
          </w:tcPr>
          <w:p w14:paraId="3AD82EDA" w14:textId="77777777" w:rsidR="00275C03" w:rsidRPr="0037585C" w:rsidRDefault="00275C03" w:rsidP="00275C03">
            <w:r w:rsidRPr="0037585C">
              <w:t>22.08.14</w:t>
            </w:r>
          </w:p>
        </w:tc>
        <w:tc>
          <w:tcPr>
            <w:tcW w:w="5954" w:type="dxa"/>
          </w:tcPr>
          <w:p w14:paraId="128A35DE" w14:textId="77777777" w:rsidR="00275C03" w:rsidRPr="0037585C" w:rsidRDefault="00275C03" w:rsidP="00275C03">
            <w:r w:rsidRPr="0037585C">
              <w:t>Jim Davies, Chief Executive Officer, Principals Australia Institute</w:t>
            </w:r>
          </w:p>
        </w:tc>
        <w:tc>
          <w:tcPr>
            <w:tcW w:w="2090" w:type="dxa"/>
          </w:tcPr>
          <w:p w14:paraId="5B4142DD" w14:textId="77777777" w:rsidR="00275C03" w:rsidRPr="0037585C" w:rsidRDefault="00275C03" w:rsidP="00275C03">
            <w:r w:rsidRPr="0037585C">
              <w:t>AHRC, NSW</w:t>
            </w:r>
          </w:p>
        </w:tc>
      </w:tr>
      <w:tr w:rsidR="00275C03" w:rsidRPr="0037585C" w14:paraId="64A5BB5B" w14:textId="77777777" w:rsidTr="00275C03">
        <w:tc>
          <w:tcPr>
            <w:tcW w:w="1242" w:type="dxa"/>
          </w:tcPr>
          <w:p w14:paraId="61D8CCC9" w14:textId="77777777" w:rsidR="00275C03" w:rsidRPr="0037585C" w:rsidRDefault="00275C03" w:rsidP="00275C03">
            <w:r w:rsidRPr="0037585C">
              <w:t>01.09.14</w:t>
            </w:r>
          </w:p>
        </w:tc>
        <w:tc>
          <w:tcPr>
            <w:tcW w:w="5954" w:type="dxa"/>
          </w:tcPr>
          <w:p w14:paraId="553513A9" w14:textId="77777777" w:rsidR="00275C03" w:rsidRPr="0037585C" w:rsidRDefault="00275C03" w:rsidP="00275C03">
            <w:r w:rsidRPr="0037585C">
              <w:t>Gabrielle Kelly, Director, South Australian Health and Medical Research Institute, Wellbeing and Resilience Centre</w:t>
            </w:r>
          </w:p>
        </w:tc>
        <w:tc>
          <w:tcPr>
            <w:tcW w:w="2090" w:type="dxa"/>
          </w:tcPr>
          <w:p w14:paraId="70400FA9" w14:textId="77777777" w:rsidR="00275C03" w:rsidRPr="0037585C" w:rsidRDefault="00275C03" w:rsidP="00275C03">
            <w:r w:rsidRPr="0037585C">
              <w:t>AHRC, NSW</w:t>
            </w:r>
          </w:p>
        </w:tc>
      </w:tr>
      <w:tr w:rsidR="00275C03" w:rsidRPr="0037585C" w14:paraId="17411F77" w14:textId="77777777" w:rsidTr="00275C03">
        <w:tc>
          <w:tcPr>
            <w:tcW w:w="1242" w:type="dxa"/>
          </w:tcPr>
          <w:p w14:paraId="451180BA" w14:textId="77777777" w:rsidR="00275C03" w:rsidRPr="0037585C" w:rsidRDefault="00275C03" w:rsidP="00275C03">
            <w:r w:rsidRPr="0037585C">
              <w:t>01.09.14</w:t>
            </w:r>
          </w:p>
        </w:tc>
        <w:tc>
          <w:tcPr>
            <w:tcW w:w="5954" w:type="dxa"/>
          </w:tcPr>
          <w:p w14:paraId="4B844446" w14:textId="77777777" w:rsidR="00275C03" w:rsidRPr="0037585C" w:rsidRDefault="00275C03" w:rsidP="00275C03">
            <w:r w:rsidRPr="0037585C">
              <w:t>Judge Michael Baumann, Federal Circuit Court of Australia</w:t>
            </w:r>
          </w:p>
        </w:tc>
        <w:tc>
          <w:tcPr>
            <w:tcW w:w="2090" w:type="dxa"/>
          </w:tcPr>
          <w:p w14:paraId="2C3C1011" w14:textId="77777777" w:rsidR="00275C03" w:rsidRPr="0037585C" w:rsidRDefault="00275C03" w:rsidP="00275C03">
            <w:r w:rsidRPr="0037585C">
              <w:t>AHRC, NSW</w:t>
            </w:r>
          </w:p>
        </w:tc>
      </w:tr>
      <w:tr w:rsidR="00275C03" w:rsidRPr="0037585C" w14:paraId="30AFC9F9" w14:textId="77777777" w:rsidTr="00275C03">
        <w:tc>
          <w:tcPr>
            <w:tcW w:w="1242" w:type="dxa"/>
          </w:tcPr>
          <w:p w14:paraId="3860D00E" w14:textId="77777777" w:rsidR="00275C03" w:rsidRPr="0037585C" w:rsidRDefault="00275C03" w:rsidP="00275C03">
            <w:r w:rsidRPr="0037585C">
              <w:t>04.09.14</w:t>
            </w:r>
          </w:p>
        </w:tc>
        <w:tc>
          <w:tcPr>
            <w:tcW w:w="5954" w:type="dxa"/>
          </w:tcPr>
          <w:p w14:paraId="751A68EC" w14:textId="77777777" w:rsidR="00275C03" w:rsidRPr="0037585C" w:rsidRDefault="00275C03" w:rsidP="00275C03">
            <w:r w:rsidRPr="0037585C">
              <w:t xml:space="preserve">Dr Nicola Murdock, President of the Paediatrics and Child Health Division of the Royal Australasian College of Physicians </w:t>
            </w:r>
          </w:p>
        </w:tc>
        <w:tc>
          <w:tcPr>
            <w:tcW w:w="2090" w:type="dxa"/>
          </w:tcPr>
          <w:p w14:paraId="11381CA6" w14:textId="77777777" w:rsidR="00275C03" w:rsidRPr="0037585C" w:rsidRDefault="00275C03" w:rsidP="00275C03">
            <w:r w:rsidRPr="0037585C">
              <w:t>AHRC, NSW</w:t>
            </w:r>
          </w:p>
        </w:tc>
      </w:tr>
      <w:tr w:rsidR="00275C03" w:rsidRPr="0037585C" w14:paraId="386BC32A" w14:textId="77777777" w:rsidTr="00275C03">
        <w:tc>
          <w:tcPr>
            <w:tcW w:w="1242" w:type="dxa"/>
          </w:tcPr>
          <w:p w14:paraId="62E41BBD" w14:textId="77777777" w:rsidR="00275C03" w:rsidRPr="0037585C" w:rsidRDefault="00275C03" w:rsidP="00275C03">
            <w:r w:rsidRPr="0037585C">
              <w:t>04.09.14</w:t>
            </w:r>
          </w:p>
        </w:tc>
        <w:tc>
          <w:tcPr>
            <w:tcW w:w="5954" w:type="dxa"/>
          </w:tcPr>
          <w:p w14:paraId="64090A09" w14:textId="77777777" w:rsidR="00275C03" w:rsidRPr="0037585C" w:rsidRDefault="00275C03" w:rsidP="00275C03">
            <w:r w:rsidRPr="0037585C">
              <w:t>Nadine Liddy, National Coordinator, Multicultural Youth Advocacy Network (MYAN)</w:t>
            </w:r>
          </w:p>
        </w:tc>
        <w:tc>
          <w:tcPr>
            <w:tcW w:w="2090" w:type="dxa"/>
          </w:tcPr>
          <w:p w14:paraId="49D2D615" w14:textId="77777777" w:rsidR="00275C03" w:rsidRPr="0037585C" w:rsidRDefault="00275C03" w:rsidP="00275C03">
            <w:r w:rsidRPr="0037585C">
              <w:t>AHRC, NSW</w:t>
            </w:r>
          </w:p>
        </w:tc>
      </w:tr>
      <w:tr w:rsidR="00275C03" w:rsidRPr="0037585C" w14:paraId="2C4535B6" w14:textId="77777777" w:rsidTr="00275C03">
        <w:tc>
          <w:tcPr>
            <w:tcW w:w="1242" w:type="dxa"/>
          </w:tcPr>
          <w:p w14:paraId="192AEC71" w14:textId="77777777" w:rsidR="00275C03" w:rsidRPr="0037585C" w:rsidRDefault="00275C03" w:rsidP="00275C03">
            <w:r w:rsidRPr="0037585C">
              <w:t>04.09.14</w:t>
            </w:r>
          </w:p>
        </w:tc>
        <w:tc>
          <w:tcPr>
            <w:tcW w:w="5954" w:type="dxa"/>
          </w:tcPr>
          <w:p w14:paraId="1EBD57C9" w14:textId="77777777" w:rsidR="00275C03" w:rsidRPr="0037585C" w:rsidRDefault="00275C03" w:rsidP="00275C03">
            <w:r w:rsidRPr="0037585C">
              <w:t>Roslyn Dundas, Chief Executive Officer, Australian Dance Council and Ausdance Inc.</w:t>
            </w:r>
          </w:p>
        </w:tc>
        <w:tc>
          <w:tcPr>
            <w:tcW w:w="2090" w:type="dxa"/>
          </w:tcPr>
          <w:p w14:paraId="60DD7E5A" w14:textId="77777777" w:rsidR="00275C03" w:rsidRPr="0037585C" w:rsidRDefault="00275C03" w:rsidP="00275C03">
            <w:r w:rsidRPr="0037585C">
              <w:t>AHRC, NSW</w:t>
            </w:r>
          </w:p>
        </w:tc>
      </w:tr>
      <w:tr w:rsidR="00275C03" w:rsidRPr="0037585C" w14:paraId="73F94565" w14:textId="77777777" w:rsidTr="00275C03">
        <w:tc>
          <w:tcPr>
            <w:tcW w:w="1242" w:type="dxa"/>
          </w:tcPr>
          <w:p w14:paraId="762A59FC" w14:textId="77777777" w:rsidR="00275C03" w:rsidRPr="0037585C" w:rsidRDefault="00275C03" w:rsidP="00275C03">
            <w:r w:rsidRPr="0037585C">
              <w:t>22.09.14</w:t>
            </w:r>
          </w:p>
        </w:tc>
        <w:tc>
          <w:tcPr>
            <w:tcW w:w="5954" w:type="dxa"/>
          </w:tcPr>
          <w:p w14:paraId="51CB14B4" w14:textId="77777777" w:rsidR="00275C03" w:rsidRPr="0037585C" w:rsidRDefault="00275C03" w:rsidP="00275C03">
            <w:r w:rsidRPr="0037585C">
              <w:t xml:space="preserve">Amy Lamoin, Advocacy Manager, and Mia Cox, </w:t>
            </w:r>
            <w:r w:rsidRPr="0037585C">
              <w:rPr>
                <w:bCs/>
              </w:rPr>
              <w:t>Youth Engagement Officer, UNICEF Australia</w:t>
            </w:r>
          </w:p>
        </w:tc>
        <w:tc>
          <w:tcPr>
            <w:tcW w:w="2090" w:type="dxa"/>
          </w:tcPr>
          <w:p w14:paraId="76E6167A" w14:textId="77777777" w:rsidR="00275C03" w:rsidRPr="0037585C" w:rsidRDefault="00275C03" w:rsidP="00275C03">
            <w:r w:rsidRPr="0037585C">
              <w:t>AHRC, NSW</w:t>
            </w:r>
          </w:p>
        </w:tc>
      </w:tr>
      <w:tr w:rsidR="00275C03" w:rsidRPr="0037585C" w14:paraId="48D09774" w14:textId="77777777" w:rsidTr="00275C03">
        <w:tc>
          <w:tcPr>
            <w:tcW w:w="1242" w:type="dxa"/>
          </w:tcPr>
          <w:p w14:paraId="3CE8364B" w14:textId="77777777" w:rsidR="00275C03" w:rsidRPr="0037585C" w:rsidRDefault="00275C03" w:rsidP="00275C03">
            <w:r w:rsidRPr="0037585C">
              <w:t>22.09.14</w:t>
            </w:r>
          </w:p>
        </w:tc>
        <w:tc>
          <w:tcPr>
            <w:tcW w:w="5954" w:type="dxa"/>
          </w:tcPr>
          <w:p w14:paraId="3377A5CD" w14:textId="77777777" w:rsidR="00275C03" w:rsidRPr="0037585C" w:rsidRDefault="00275C03" w:rsidP="00275C03">
            <w:r w:rsidRPr="0037585C">
              <w:t>Jennifer Evans,</w:t>
            </w:r>
            <w:r w:rsidRPr="0037585C">
              <w:rPr>
                <w:rFonts w:eastAsiaTheme="minorHAnsi" w:cs="Arial"/>
                <w:b/>
                <w:bCs/>
                <w:sz w:val="20"/>
                <w:szCs w:val="20"/>
              </w:rPr>
              <w:t xml:space="preserve"> </w:t>
            </w:r>
            <w:r w:rsidRPr="0037585C">
              <w:rPr>
                <w:bCs/>
              </w:rPr>
              <w:t xml:space="preserve">National Project Lead Child Protection, </w:t>
            </w:r>
            <w:r w:rsidRPr="0037585C">
              <w:t>Red Cross Australia</w:t>
            </w:r>
          </w:p>
        </w:tc>
        <w:tc>
          <w:tcPr>
            <w:tcW w:w="2090" w:type="dxa"/>
          </w:tcPr>
          <w:p w14:paraId="1020790D" w14:textId="77777777" w:rsidR="00275C03" w:rsidRPr="0037585C" w:rsidRDefault="00275C03" w:rsidP="00275C03">
            <w:r w:rsidRPr="0037585C">
              <w:t>AHRC,  NSW</w:t>
            </w:r>
          </w:p>
        </w:tc>
      </w:tr>
      <w:tr w:rsidR="00275C03" w:rsidRPr="0037585C" w14:paraId="7D8A77E2" w14:textId="77777777" w:rsidTr="00275C03">
        <w:tc>
          <w:tcPr>
            <w:tcW w:w="1242" w:type="dxa"/>
          </w:tcPr>
          <w:p w14:paraId="054F0BAB" w14:textId="77777777" w:rsidR="00275C03" w:rsidRPr="0037585C" w:rsidRDefault="00275C03" w:rsidP="00275C03">
            <w:r w:rsidRPr="0037585C">
              <w:t>02.10.14</w:t>
            </w:r>
          </w:p>
        </w:tc>
        <w:tc>
          <w:tcPr>
            <w:tcW w:w="5954" w:type="dxa"/>
          </w:tcPr>
          <w:p w14:paraId="447F6062" w14:textId="77777777" w:rsidR="00275C03" w:rsidRPr="0037585C" w:rsidRDefault="00275C03" w:rsidP="00275C03">
            <w:r w:rsidRPr="0037585C">
              <w:rPr>
                <w:bCs/>
              </w:rPr>
              <w:t>Jane Farnsworth, Special Counsel, Pro Bono &amp; Community, King &amp; Wood Mallesons</w:t>
            </w:r>
          </w:p>
        </w:tc>
        <w:tc>
          <w:tcPr>
            <w:tcW w:w="2090" w:type="dxa"/>
          </w:tcPr>
          <w:p w14:paraId="65A17175" w14:textId="77777777" w:rsidR="00275C03" w:rsidRPr="0037585C" w:rsidRDefault="00275C03" w:rsidP="00275C03">
            <w:r w:rsidRPr="0037585C">
              <w:t>AHRC, NSW</w:t>
            </w:r>
          </w:p>
        </w:tc>
      </w:tr>
      <w:tr w:rsidR="00275C03" w:rsidRPr="0037585C" w14:paraId="1BC5859D" w14:textId="77777777" w:rsidTr="00275C03">
        <w:tc>
          <w:tcPr>
            <w:tcW w:w="1242" w:type="dxa"/>
          </w:tcPr>
          <w:p w14:paraId="442605E6" w14:textId="77777777" w:rsidR="00275C03" w:rsidRPr="0037585C" w:rsidRDefault="00275C03" w:rsidP="00275C03">
            <w:r w:rsidRPr="0037585C">
              <w:t>07.10.14</w:t>
            </w:r>
          </w:p>
        </w:tc>
        <w:tc>
          <w:tcPr>
            <w:tcW w:w="5954" w:type="dxa"/>
          </w:tcPr>
          <w:p w14:paraId="01BD1882" w14:textId="21C401BC" w:rsidR="00275C03" w:rsidRPr="0037585C" w:rsidRDefault="00275C03" w:rsidP="00EB7E2C">
            <w:pPr>
              <w:rPr>
                <w:bCs/>
              </w:rPr>
            </w:pPr>
            <w:r w:rsidRPr="0037585C">
              <w:rPr>
                <w:bCs/>
              </w:rPr>
              <w:t xml:space="preserve">Professor Patrick McGorry AO, Executive Director, and Kerryn Pennell, Director, Strategy &amp; Development, Orygen </w:t>
            </w:r>
            <w:r w:rsidR="00EB7E2C">
              <w:rPr>
                <w:bCs/>
              </w:rPr>
              <w:t xml:space="preserve">– </w:t>
            </w:r>
            <w:r w:rsidRPr="0037585C">
              <w:rPr>
                <w:bCs/>
              </w:rPr>
              <w:t xml:space="preserve">The National Centre of Excellence in Youth Mental Health </w:t>
            </w:r>
          </w:p>
        </w:tc>
        <w:tc>
          <w:tcPr>
            <w:tcW w:w="2090" w:type="dxa"/>
          </w:tcPr>
          <w:p w14:paraId="4E61DF6F" w14:textId="77777777" w:rsidR="00275C03" w:rsidRPr="0037585C" w:rsidRDefault="00275C03" w:rsidP="00275C03">
            <w:r w:rsidRPr="0037585C">
              <w:t>AHRC, NSW</w:t>
            </w:r>
          </w:p>
        </w:tc>
      </w:tr>
      <w:tr w:rsidR="00275C03" w:rsidRPr="0037585C" w14:paraId="5B878DF8" w14:textId="77777777" w:rsidTr="00275C03">
        <w:tc>
          <w:tcPr>
            <w:tcW w:w="1242" w:type="dxa"/>
          </w:tcPr>
          <w:p w14:paraId="03A38BD1" w14:textId="4030EB3F" w:rsidR="00275C03" w:rsidRPr="0037585C" w:rsidRDefault="00275C03" w:rsidP="00275C03">
            <w:r w:rsidRPr="0037585C">
              <w:t>07.10.14</w:t>
            </w:r>
          </w:p>
        </w:tc>
        <w:tc>
          <w:tcPr>
            <w:tcW w:w="5954" w:type="dxa"/>
          </w:tcPr>
          <w:p w14:paraId="343771BF" w14:textId="77777777" w:rsidR="00275C03" w:rsidRPr="0037585C" w:rsidRDefault="00275C03" w:rsidP="00275C03">
            <w:pPr>
              <w:rPr>
                <w:bCs/>
              </w:rPr>
            </w:pPr>
            <w:r w:rsidRPr="0037585C">
              <w:rPr>
                <w:bCs/>
              </w:rPr>
              <w:t>Jeremy Lasek, Chief Executive Officer, National Australia Day Council</w:t>
            </w:r>
          </w:p>
        </w:tc>
        <w:tc>
          <w:tcPr>
            <w:tcW w:w="2090" w:type="dxa"/>
          </w:tcPr>
          <w:p w14:paraId="4E13754B" w14:textId="77777777" w:rsidR="00275C03" w:rsidRPr="0037585C" w:rsidRDefault="00275C03" w:rsidP="00275C03">
            <w:r w:rsidRPr="0037585C">
              <w:t>AHRC, NSW</w:t>
            </w:r>
          </w:p>
        </w:tc>
      </w:tr>
      <w:tr w:rsidR="00275C03" w:rsidRPr="0037585C" w14:paraId="072C7F97" w14:textId="77777777" w:rsidTr="00275C03">
        <w:tc>
          <w:tcPr>
            <w:tcW w:w="1242" w:type="dxa"/>
          </w:tcPr>
          <w:p w14:paraId="7A5E471F" w14:textId="77777777" w:rsidR="00275C03" w:rsidRPr="0037585C" w:rsidRDefault="00275C03" w:rsidP="00275C03">
            <w:r w:rsidRPr="0037585C">
              <w:t>13.10.14</w:t>
            </w:r>
          </w:p>
        </w:tc>
        <w:tc>
          <w:tcPr>
            <w:tcW w:w="5954" w:type="dxa"/>
          </w:tcPr>
          <w:p w14:paraId="0DDB5CE9" w14:textId="77777777" w:rsidR="00275C03" w:rsidRPr="0037585C" w:rsidRDefault="00275C03" w:rsidP="00275C03">
            <w:pPr>
              <w:rPr>
                <w:bCs/>
              </w:rPr>
            </w:pPr>
            <w:r w:rsidRPr="0037585C">
              <w:rPr>
                <w:bCs/>
              </w:rPr>
              <w:t>Cate McKenzie, Group Manager, Multicultural, Settlement Services and Communities Group, and Kris Cala</w:t>
            </w:r>
            <w:r w:rsidRPr="0037585C">
              <w:rPr>
                <w:rFonts w:ascii="Calibri" w:eastAsiaTheme="minorHAnsi" w:hAnsi="Calibri"/>
                <w:color w:val="000000"/>
                <w:sz w:val="22"/>
                <w:szCs w:val="22"/>
                <w:lang w:eastAsia="en-US"/>
              </w:rPr>
              <w:t xml:space="preserve">, </w:t>
            </w:r>
            <w:r w:rsidRPr="0037585C">
              <w:rPr>
                <w:bCs/>
              </w:rPr>
              <w:t>Branch Manager, Settlement Branch, Department of Social Services</w:t>
            </w:r>
          </w:p>
        </w:tc>
        <w:tc>
          <w:tcPr>
            <w:tcW w:w="2090" w:type="dxa"/>
          </w:tcPr>
          <w:p w14:paraId="338818CF" w14:textId="77777777" w:rsidR="00275C03" w:rsidRPr="0037585C" w:rsidRDefault="00275C03" w:rsidP="00275C03">
            <w:r w:rsidRPr="0037585C">
              <w:t>AHRC, NSW</w:t>
            </w:r>
          </w:p>
        </w:tc>
      </w:tr>
      <w:tr w:rsidR="00275C03" w:rsidRPr="0037585C" w14:paraId="28195171" w14:textId="77777777" w:rsidTr="00275C03">
        <w:tc>
          <w:tcPr>
            <w:tcW w:w="1242" w:type="dxa"/>
          </w:tcPr>
          <w:p w14:paraId="512774C8" w14:textId="77777777" w:rsidR="00275C03" w:rsidRPr="0037585C" w:rsidRDefault="00275C03" w:rsidP="00275C03">
            <w:r w:rsidRPr="0037585C">
              <w:t>14.10.14</w:t>
            </w:r>
          </w:p>
        </w:tc>
        <w:tc>
          <w:tcPr>
            <w:tcW w:w="5954" w:type="dxa"/>
          </w:tcPr>
          <w:p w14:paraId="71B80DF2" w14:textId="77777777" w:rsidR="00275C03" w:rsidRPr="0037585C" w:rsidRDefault="00275C03" w:rsidP="00275C03">
            <w:pPr>
              <w:rPr>
                <w:bCs/>
              </w:rPr>
            </w:pPr>
            <w:r w:rsidRPr="0037585C">
              <w:rPr>
                <w:bCs/>
              </w:rPr>
              <w:t>Jayne Meyer Tucker, Good Beginnings</w:t>
            </w:r>
          </w:p>
        </w:tc>
        <w:tc>
          <w:tcPr>
            <w:tcW w:w="2090" w:type="dxa"/>
          </w:tcPr>
          <w:p w14:paraId="3CFBEF55" w14:textId="77777777" w:rsidR="00275C03" w:rsidRPr="0037585C" w:rsidRDefault="00275C03" w:rsidP="00275C03">
            <w:r w:rsidRPr="0037585C">
              <w:t>AHRC, NSW</w:t>
            </w:r>
          </w:p>
        </w:tc>
      </w:tr>
      <w:tr w:rsidR="00275C03" w:rsidRPr="0037585C" w14:paraId="060EF250" w14:textId="77777777" w:rsidTr="00275C03">
        <w:tc>
          <w:tcPr>
            <w:tcW w:w="1242" w:type="dxa"/>
          </w:tcPr>
          <w:p w14:paraId="6E56336A" w14:textId="77777777" w:rsidR="00275C03" w:rsidRPr="0037585C" w:rsidRDefault="00275C03" w:rsidP="00275C03">
            <w:r w:rsidRPr="0037585C">
              <w:t>15.10.14</w:t>
            </w:r>
          </w:p>
        </w:tc>
        <w:tc>
          <w:tcPr>
            <w:tcW w:w="5954" w:type="dxa"/>
          </w:tcPr>
          <w:p w14:paraId="7BFF61C4" w14:textId="77777777" w:rsidR="00275C03" w:rsidRPr="0037585C" w:rsidRDefault="00275C03" w:rsidP="00275C03">
            <w:pPr>
              <w:rPr>
                <w:bCs/>
              </w:rPr>
            </w:pPr>
            <w:r w:rsidRPr="0037585C">
              <w:rPr>
                <w:bCs/>
              </w:rPr>
              <w:t>Obesity Policy Coalition</w:t>
            </w:r>
          </w:p>
        </w:tc>
        <w:tc>
          <w:tcPr>
            <w:tcW w:w="2090" w:type="dxa"/>
          </w:tcPr>
          <w:p w14:paraId="0F568A93" w14:textId="77777777" w:rsidR="00275C03" w:rsidRPr="0037585C" w:rsidRDefault="00275C03" w:rsidP="00275C03">
            <w:r w:rsidRPr="0037585C">
              <w:t>AHRC, NSW</w:t>
            </w:r>
          </w:p>
        </w:tc>
      </w:tr>
      <w:tr w:rsidR="00275C03" w:rsidRPr="0037585C" w14:paraId="19A5C513" w14:textId="77777777" w:rsidTr="00275C03">
        <w:tc>
          <w:tcPr>
            <w:tcW w:w="1242" w:type="dxa"/>
          </w:tcPr>
          <w:p w14:paraId="0672906D" w14:textId="77777777" w:rsidR="00275C03" w:rsidRPr="0037585C" w:rsidRDefault="00275C03" w:rsidP="00275C03">
            <w:r w:rsidRPr="0037585C">
              <w:t>16.10.14</w:t>
            </w:r>
          </w:p>
        </w:tc>
        <w:tc>
          <w:tcPr>
            <w:tcW w:w="5954" w:type="dxa"/>
          </w:tcPr>
          <w:p w14:paraId="741B6343" w14:textId="77777777" w:rsidR="00275C03" w:rsidRPr="0037585C" w:rsidRDefault="00275C03" w:rsidP="00275C03">
            <w:pPr>
              <w:rPr>
                <w:bCs/>
              </w:rPr>
            </w:pPr>
            <w:r w:rsidRPr="0037585C">
              <w:rPr>
                <w:bCs/>
              </w:rPr>
              <w:t>Jacqui Reed, Chief Executive Officer, and Noelle Hudson</w:t>
            </w:r>
            <w:r w:rsidRPr="0037585C">
              <w:rPr>
                <w:rFonts w:cs="Arial"/>
                <w:color w:val="545454"/>
                <w:shd w:val="clear" w:color="auto" w:fill="FFFFFF"/>
              </w:rPr>
              <w:t xml:space="preserve">, </w:t>
            </w:r>
            <w:r w:rsidRPr="0037585C">
              <w:rPr>
                <w:bCs/>
              </w:rPr>
              <w:t>National Policy and Advocacy Manager, CREATE Foundation</w:t>
            </w:r>
          </w:p>
        </w:tc>
        <w:tc>
          <w:tcPr>
            <w:tcW w:w="2090" w:type="dxa"/>
          </w:tcPr>
          <w:p w14:paraId="59BBEDFC" w14:textId="77777777" w:rsidR="00275C03" w:rsidRPr="0037585C" w:rsidRDefault="00275C03" w:rsidP="00275C03">
            <w:r w:rsidRPr="0037585C">
              <w:t>AHRC, NSW</w:t>
            </w:r>
          </w:p>
        </w:tc>
      </w:tr>
      <w:tr w:rsidR="00275C03" w:rsidRPr="0037585C" w14:paraId="1604EED9" w14:textId="77777777" w:rsidTr="00275C03">
        <w:tc>
          <w:tcPr>
            <w:tcW w:w="1242" w:type="dxa"/>
          </w:tcPr>
          <w:p w14:paraId="07862C4B" w14:textId="77777777" w:rsidR="00275C03" w:rsidRPr="0037585C" w:rsidRDefault="00275C03" w:rsidP="00275C03">
            <w:r w:rsidRPr="0037585C">
              <w:t>17.10.14</w:t>
            </w:r>
          </w:p>
        </w:tc>
        <w:tc>
          <w:tcPr>
            <w:tcW w:w="5954" w:type="dxa"/>
          </w:tcPr>
          <w:p w14:paraId="415DEA2D" w14:textId="77777777" w:rsidR="00275C03" w:rsidRPr="0037585C" w:rsidRDefault="00275C03" w:rsidP="00275C03">
            <w:pPr>
              <w:rPr>
                <w:bCs/>
              </w:rPr>
            </w:pPr>
            <w:r w:rsidRPr="0037585C">
              <w:rPr>
                <w:bCs/>
              </w:rPr>
              <w:t>Professor Elizabeth Handsley, President of the Australian Council on Children and the Media</w:t>
            </w:r>
          </w:p>
        </w:tc>
        <w:tc>
          <w:tcPr>
            <w:tcW w:w="2090" w:type="dxa"/>
          </w:tcPr>
          <w:p w14:paraId="4AED8B47" w14:textId="77777777" w:rsidR="00275C03" w:rsidRPr="0037585C" w:rsidRDefault="00275C03" w:rsidP="00275C03">
            <w:r w:rsidRPr="0037585C">
              <w:t>Adelaide, SA</w:t>
            </w:r>
          </w:p>
        </w:tc>
      </w:tr>
      <w:tr w:rsidR="00275C03" w:rsidRPr="0037585C" w14:paraId="6DB0F10F" w14:textId="77777777" w:rsidTr="00275C03">
        <w:tc>
          <w:tcPr>
            <w:tcW w:w="1242" w:type="dxa"/>
          </w:tcPr>
          <w:p w14:paraId="564BBC51" w14:textId="77777777" w:rsidR="00275C03" w:rsidRPr="0037585C" w:rsidRDefault="00275C03" w:rsidP="00275C03">
            <w:r w:rsidRPr="0037585C">
              <w:t>20.10.14</w:t>
            </w:r>
          </w:p>
        </w:tc>
        <w:tc>
          <w:tcPr>
            <w:tcW w:w="5954" w:type="dxa"/>
          </w:tcPr>
          <w:p w14:paraId="32846630" w14:textId="64C9A51A" w:rsidR="00275C03" w:rsidRPr="0037585C" w:rsidRDefault="008033BC" w:rsidP="00275C03">
            <w:pPr>
              <w:rPr>
                <w:bCs/>
              </w:rPr>
            </w:pPr>
            <w:r>
              <w:rPr>
                <w:bCs/>
              </w:rPr>
              <w:t xml:space="preserve">The Hon </w:t>
            </w:r>
            <w:r w:rsidR="00275C03" w:rsidRPr="0037585C">
              <w:rPr>
                <w:bCs/>
              </w:rPr>
              <w:t>Mark Dreyfus QC MP, Shadow Attorney-General, Shadow Minister for Arts, Federal Labor Member for Isaacs </w:t>
            </w:r>
          </w:p>
        </w:tc>
        <w:tc>
          <w:tcPr>
            <w:tcW w:w="2090" w:type="dxa"/>
          </w:tcPr>
          <w:p w14:paraId="1C511575" w14:textId="77777777" w:rsidR="00275C03" w:rsidRPr="0037585C" w:rsidRDefault="00275C03" w:rsidP="00275C03">
            <w:r w:rsidRPr="0037585C">
              <w:t>Sydney, NSW</w:t>
            </w:r>
          </w:p>
        </w:tc>
      </w:tr>
      <w:tr w:rsidR="00275C03" w:rsidRPr="0037585C" w14:paraId="486FFF4A" w14:textId="77777777" w:rsidTr="00275C03">
        <w:tc>
          <w:tcPr>
            <w:tcW w:w="1242" w:type="dxa"/>
          </w:tcPr>
          <w:p w14:paraId="381CB832" w14:textId="77777777" w:rsidR="00275C03" w:rsidRPr="0037585C" w:rsidRDefault="00275C03" w:rsidP="00275C03">
            <w:r w:rsidRPr="0037585C">
              <w:t>22.10.14</w:t>
            </w:r>
          </w:p>
        </w:tc>
        <w:tc>
          <w:tcPr>
            <w:tcW w:w="5954" w:type="dxa"/>
          </w:tcPr>
          <w:p w14:paraId="40D337CC" w14:textId="77777777" w:rsidR="00275C03" w:rsidRPr="0037585C" w:rsidRDefault="00275C03" w:rsidP="00275C03">
            <w:pPr>
              <w:rPr>
                <w:bCs/>
              </w:rPr>
            </w:pPr>
            <w:r w:rsidRPr="0037585C">
              <w:rPr>
                <w:bCs/>
              </w:rPr>
              <w:t>Professor Richard Chisholm AM, Australian National University</w:t>
            </w:r>
          </w:p>
        </w:tc>
        <w:tc>
          <w:tcPr>
            <w:tcW w:w="2090" w:type="dxa"/>
          </w:tcPr>
          <w:p w14:paraId="02105A97" w14:textId="77777777" w:rsidR="00275C03" w:rsidRPr="0037585C" w:rsidRDefault="00275C03" w:rsidP="00275C03">
            <w:r w:rsidRPr="0037585C">
              <w:t>Sydney, NSW</w:t>
            </w:r>
          </w:p>
        </w:tc>
      </w:tr>
      <w:tr w:rsidR="00275C03" w:rsidRPr="0037585C" w14:paraId="12D794D8" w14:textId="77777777" w:rsidTr="00275C03">
        <w:tc>
          <w:tcPr>
            <w:tcW w:w="1242" w:type="dxa"/>
          </w:tcPr>
          <w:p w14:paraId="0BA188B7" w14:textId="77777777" w:rsidR="00275C03" w:rsidRPr="0037585C" w:rsidRDefault="00275C03" w:rsidP="00275C03">
            <w:r w:rsidRPr="0037585C">
              <w:t>29.10.14</w:t>
            </w:r>
          </w:p>
        </w:tc>
        <w:tc>
          <w:tcPr>
            <w:tcW w:w="5954" w:type="dxa"/>
          </w:tcPr>
          <w:p w14:paraId="4F067BE4" w14:textId="77777777" w:rsidR="00275C03" w:rsidRPr="0037585C" w:rsidRDefault="00275C03" w:rsidP="00275C03">
            <w:pPr>
              <w:rPr>
                <w:bCs/>
                <w:highlight w:val="magenta"/>
              </w:rPr>
            </w:pPr>
            <w:r w:rsidRPr="0037585C">
              <w:rPr>
                <w:bCs/>
              </w:rPr>
              <w:t>Liz Hefren-Webb,</w:t>
            </w:r>
            <w:r w:rsidRPr="0037585C">
              <w:rPr>
                <w:rFonts w:eastAsiaTheme="minorHAnsi" w:cs="Arial"/>
                <w:bCs/>
                <w:color w:val="5F5F5F"/>
                <w:sz w:val="22"/>
                <w:szCs w:val="22"/>
              </w:rPr>
              <w:t xml:space="preserve"> </w:t>
            </w:r>
            <w:r w:rsidRPr="0037585C">
              <w:rPr>
                <w:bCs/>
              </w:rPr>
              <w:t>A/g Group Manager, Families Group, Department of Social Services</w:t>
            </w:r>
            <w:r w:rsidRPr="0037585C">
              <w:rPr>
                <w:rFonts w:eastAsiaTheme="minorHAnsi" w:cs="Arial"/>
                <w:color w:val="5F5F5F"/>
                <w:sz w:val="18"/>
                <w:szCs w:val="18"/>
              </w:rPr>
              <w:t xml:space="preserve"> </w:t>
            </w:r>
          </w:p>
        </w:tc>
        <w:tc>
          <w:tcPr>
            <w:tcW w:w="2090" w:type="dxa"/>
          </w:tcPr>
          <w:p w14:paraId="46CBC87F" w14:textId="77777777" w:rsidR="00275C03" w:rsidRPr="0037585C" w:rsidRDefault="00275C03" w:rsidP="00275C03">
            <w:r w:rsidRPr="0037585C">
              <w:t>Sydney, NSW</w:t>
            </w:r>
          </w:p>
        </w:tc>
      </w:tr>
      <w:tr w:rsidR="00275C03" w:rsidRPr="0037585C" w14:paraId="282F460C" w14:textId="77777777" w:rsidTr="00275C03">
        <w:tc>
          <w:tcPr>
            <w:tcW w:w="1242" w:type="dxa"/>
          </w:tcPr>
          <w:p w14:paraId="7375DABD" w14:textId="77777777" w:rsidR="00275C03" w:rsidRPr="0037585C" w:rsidRDefault="00275C03" w:rsidP="00275C03">
            <w:r w:rsidRPr="0037585C">
              <w:t>30.10.14</w:t>
            </w:r>
          </w:p>
        </w:tc>
        <w:tc>
          <w:tcPr>
            <w:tcW w:w="5954" w:type="dxa"/>
          </w:tcPr>
          <w:p w14:paraId="0B556E50" w14:textId="6895994B" w:rsidR="00275C03" w:rsidRPr="0037585C" w:rsidRDefault="00275C03" w:rsidP="00275C03">
            <w:pPr>
              <w:rPr>
                <w:bCs/>
              </w:rPr>
            </w:pPr>
            <w:r w:rsidRPr="0037585C">
              <w:rPr>
                <w:bCs/>
              </w:rPr>
              <w:t>Greg Priory, Deputy Director General</w:t>
            </w:r>
            <w:r w:rsidR="004833CA">
              <w:rPr>
                <w:bCs/>
              </w:rPr>
              <w:t>,</w:t>
            </w:r>
            <w:r w:rsidRPr="0037585C">
              <w:rPr>
                <w:bCs/>
              </w:rPr>
              <w:t xml:space="preserve"> Department of Education New South Wales; Jim Davies, Chief Executive Officer, Principals Australia Institute; and Suzanne Curyer, Director of Programs,  Principals Australia Institute </w:t>
            </w:r>
          </w:p>
        </w:tc>
        <w:tc>
          <w:tcPr>
            <w:tcW w:w="2090" w:type="dxa"/>
          </w:tcPr>
          <w:p w14:paraId="6775AB08" w14:textId="77777777" w:rsidR="00275C03" w:rsidRPr="0037585C" w:rsidRDefault="00275C03" w:rsidP="00275C03">
            <w:r w:rsidRPr="0037585C">
              <w:t>Sydney, NSW</w:t>
            </w:r>
          </w:p>
        </w:tc>
      </w:tr>
      <w:tr w:rsidR="00275C03" w:rsidRPr="0037585C" w14:paraId="3F582926" w14:textId="77777777" w:rsidTr="00275C03">
        <w:tc>
          <w:tcPr>
            <w:tcW w:w="1242" w:type="dxa"/>
          </w:tcPr>
          <w:p w14:paraId="389F02AA" w14:textId="77777777" w:rsidR="00275C03" w:rsidRPr="0037585C" w:rsidRDefault="00275C03" w:rsidP="00275C03">
            <w:r w:rsidRPr="0037585C">
              <w:t>06.11.14</w:t>
            </w:r>
          </w:p>
        </w:tc>
        <w:tc>
          <w:tcPr>
            <w:tcW w:w="5954" w:type="dxa"/>
          </w:tcPr>
          <w:p w14:paraId="47361876" w14:textId="77777777" w:rsidR="00275C03" w:rsidRPr="0037585C" w:rsidRDefault="00275C03" w:rsidP="00275C03">
            <w:pPr>
              <w:rPr>
                <w:bCs/>
              </w:rPr>
            </w:pPr>
            <w:r w:rsidRPr="0037585C">
              <w:rPr>
                <w:bCs/>
              </w:rPr>
              <w:t xml:space="preserve">Kate Strohm, Director, Siblings Australia Inc. </w:t>
            </w:r>
          </w:p>
        </w:tc>
        <w:tc>
          <w:tcPr>
            <w:tcW w:w="2090" w:type="dxa"/>
          </w:tcPr>
          <w:p w14:paraId="01554581" w14:textId="77777777" w:rsidR="00275C03" w:rsidRPr="0037585C" w:rsidRDefault="00275C03" w:rsidP="00275C03">
            <w:r w:rsidRPr="0037585C">
              <w:t>Sydney, NSW</w:t>
            </w:r>
          </w:p>
        </w:tc>
      </w:tr>
      <w:tr w:rsidR="00275C03" w:rsidRPr="0037585C" w14:paraId="2679CBDB" w14:textId="77777777" w:rsidTr="00275C03">
        <w:tc>
          <w:tcPr>
            <w:tcW w:w="1242" w:type="dxa"/>
          </w:tcPr>
          <w:p w14:paraId="342F74FE" w14:textId="77777777" w:rsidR="00275C03" w:rsidRPr="0037585C" w:rsidRDefault="00275C03" w:rsidP="00275C03">
            <w:r w:rsidRPr="0037585C">
              <w:t>07.11.14</w:t>
            </w:r>
          </w:p>
        </w:tc>
        <w:tc>
          <w:tcPr>
            <w:tcW w:w="5954" w:type="dxa"/>
          </w:tcPr>
          <w:p w14:paraId="1BA7FF94" w14:textId="77777777" w:rsidR="00275C03" w:rsidRPr="0037585C" w:rsidRDefault="00275C03" w:rsidP="00275C03">
            <w:pPr>
              <w:rPr>
                <w:bCs/>
              </w:rPr>
            </w:pPr>
            <w:r w:rsidRPr="0037585C">
              <w:rPr>
                <w:bCs/>
              </w:rPr>
              <w:t>Dr Robyn Mildon, Director, and Warren Cann, Chief Executive Officer,  Parenting Research Centre</w:t>
            </w:r>
          </w:p>
        </w:tc>
        <w:tc>
          <w:tcPr>
            <w:tcW w:w="2090" w:type="dxa"/>
          </w:tcPr>
          <w:p w14:paraId="1704994D" w14:textId="77777777" w:rsidR="00275C03" w:rsidRPr="0037585C" w:rsidRDefault="00275C03" w:rsidP="00275C03">
            <w:r w:rsidRPr="0037585C">
              <w:t>AHRC NSW</w:t>
            </w:r>
          </w:p>
        </w:tc>
      </w:tr>
      <w:tr w:rsidR="00275C03" w:rsidRPr="0037585C" w14:paraId="160B5B1E" w14:textId="77777777" w:rsidTr="00275C03">
        <w:tc>
          <w:tcPr>
            <w:tcW w:w="1242" w:type="dxa"/>
          </w:tcPr>
          <w:p w14:paraId="298E62D5" w14:textId="77777777" w:rsidR="00275C03" w:rsidRPr="0037585C" w:rsidRDefault="00275C03" w:rsidP="00275C03">
            <w:r w:rsidRPr="0037585C">
              <w:t>10.11.14</w:t>
            </w:r>
          </w:p>
        </w:tc>
        <w:tc>
          <w:tcPr>
            <w:tcW w:w="5954" w:type="dxa"/>
          </w:tcPr>
          <w:p w14:paraId="567249CA" w14:textId="77777777" w:rsidR="00275C03" w:rsidRPr="0037585C" w:rsidRDefault="00275C03" w:rsidP="00275C03">
            <w:pPr>
              <w:rPr>
                <w:bCs/>
              </w:rPr>
            </w:pPr>
            <w:r w:rsidRPr="0037585C">
              <w:rPr>
                <w:bCs/>
              </w:rPr>
              <w:t xml:space="preserve">Marvin Bernstein, Chief Policy Advisor/Conseiller Principal en Matière de Politiques, UNICEF Canada </w:t>
            </w:r>
          </w:p>
        </w:tc>
        <w:tc>
          <w:tcPr>
            <w:tcW w:w="2090" w:type="dxa"/>
          </w:tcPr>
          <w:p w14:paraId="79859E00" w14:textId="77777777" w:rsidR="00275C03" w:rsidRPr="0037585C" w:rsidRDefault="00275C03" w:rsidP="00275C03">
            <w:r w:rsidRPr="0037585C">
              <w:t>Sydney, NSW</w:t>
            </w:r>
          </w:p>
        </w:tc>
      </w:tr>
      <w:tr w:rsidR="00275C03" w:rsidRPr="0037585C" w14:paraId="249178BF" w14:textId="77777777" w:rsidTr="00275C03">
        <w:tc>
          <w:tcPr>
            <w:tcW w:w="1242" w:type="dxa"/>
          </w:tcPr>
          <w:p w14:paraId="4CB33DC7" w14:textId="77777777" w:rsidR="00275C03" w:rsidRPr="0037585C" w:rsidRDefault="00275C03" w:rsidP="00275C03">
            <w:r w:rsidRPr="0037585C">
              <w:t>13.11.14</w:t>
            </w:r>
          </w:p>
        </w:tc>
        <w:tc>
          <w:tcPr>
            <w:tcW w:w="5954" w:type="dxa"/>
          </w:tcPr>
          <w:p w14:paraId="1355D7C2" w14:textId="77777777" w:rsidR="00275C03" w:rsidRPr="0037585C" w:rsidRDefault="00275C03" w:rsidP="00275C03">
            <w:pPr>
              <w:rPr>
                <w:bCs/>
              </w:rPr>
            </w:pPr>
            <w:r w:rsidRPr="0037585C">
              <w:rPr>
                <w:bCs/>
              </w:rPr>
              <w:t xml:space="preserve">Tarina Russell, Policy and Strategy, Royal Commission into Institutional Responses to Child Sexual Abuse </w:t>
            </w:r>
          </w:p>
        </w:tc>
        <w:tc>
          <w:tcPr>
            <w:tcW w:w="2090" w:type="dxa"/>
          </w:tcPr>
          <w:p w14:paraId="5F42E67F" w14:textId="77777777" w:rsidR="00275C03" w:rsidRPr="0037585C" w:rsidRDefault="00275C03" w:rsidP="00275C03">
            <w:r w:rsidRPr="0037585C">
              <w:t>AHRC, NSW</w:t>
            </w:r>
          </w:p>
        </w:tc>
      </w:tr>
      <w:tr w:rsidR="00275C03" w:rsidRPr="0037585C" w14:paraId="72E67DB6" w14:textId="77777777" w:rsidTr="00275C03">
        <w:tc>
          <w:tcPr>
            <w:tcW w:w="1242" w:type="dxa"/>
          </w:tcPr>
          <w:p w14:paraId="7BD1EC5C" w14:textId="77777777" w:rsidR="00275C03" w:rsidRPr="0037585C" w:rsidRDefault="00275C03" w:rsidP="00275C03">
            <w:r w:rsidRPr="0037585C">
              <w:t>14.11.14</w:t>
            </w:r>
          </w:p>
        </w:tc>
        <w:tc>
          <w:tcPr>
            <w:tcW w:w="5954" w:type="dxa"/>
          </w:tcPr>
          <w:p w14:paraId="3F656F5F" w14:textId="77777777" w:rsidR="00275C03" w:rsidRPr="0037585C" w:rsidRDefault="00275C03" w:rsidP="00275C03">
            <w:pPr>
              <w:rPr>
                <w:bCs/>
                <w:highlight w:val="magenta"/>
              </w:rPr>
            </w:pPr>
            <w:r w:rsidRPr="0037585C">
              <w:rPr>
                <w:bCs/>
              </w:rPr>
              <w:t>Anne McLeish, Director, Grandparents Victoria</w:t>
            </w:r>
          </w:p>
        </w:tc>
        <w:tc>
          <w:tcPr>
            <w:tcW w:w="2090" w:type="dxa"/>
          </w:tcPr>
          <w:p w14:paraId="316E635C" w14:textId="77777777" w:rsidR="00275C03" w:rsidRPr="0037585C" w:rsidRDefault="00275C03" w:rsidP="00275C03">
            <w:r w:rsidRPr="0037585C">
              <w:t>AHRC, NSW</w:t>
            </w:r>
          </w:p>
        </w:tc>
      </w:tr>
      <w:tr w:rsidR="00275C03" w:rsidRPr="0037585C" w14:paraId="796F16B2" w14:textId="77777777" w:rsidTr="00275C03">
        <w:tc>
          <w:tcPr>
            <w:tcW w:w="1242" w:type="dxa"/>
          </w:tcPr>
          <w:p w14:paraId="0F719F4A" w14:textId="77777777" w:rsidR="00275C03" w:rsidRPr="0037585C" w:rsidRDefault="00275C03" w:rsidP="00275C03">
            <w:r w:rsidRPr="0037585C">
              <w:t>14.11.14</w:t>
            </w:r>
          </w:p>
        </w:tc>
        <w:tc>
          <w:tcPr>
            <w:tcW w:w="5954" w:type="dxa"/>
          </w:tcPr>
          <w:p w14:paraId="14F88A37" w14:textId="77777777" w:rsidR="00275C03" w:rsidRPr="0037585C" w:rsidRDefault="00275C03" w:rsidP="00275C03">
            <w:pPr>
              <w:rPr>
                <w:bCs/>
              </w:rPr>
            </w:pPr>
            <w:r w:rsidRPr="0037585C">
              <w:rPr>
                <w:bCs/>
              </w:rPr>
              <w:t>Dr Terry Harding, General Manager, Schools Department, Christian Education Ministries</w:t>
            </w:r>
          </w:p>
        </w:tc>
        <w:tc>
          <w:tcPr>
            <w:tcW w:w="2090" w:type="dxa"/>
          </w:tcPr>
          <w:p w14:paraId="1DDB1987" w14:textId="77777777" w:rsidR="00275C03" w:rsidRPr="0037585C" w:rsidRDefault="00275C03" w:rsidP="00275C03">
            <w:r w:rsidRPr="0037585C">
              <w:t>AHRC, NSW</w:t>
            </w:r>
          </w:p>
        </w:tc>
      </w:tr>
      <w:tr w:rsidR="00275C03" w:rsidRPr="0037585C" w14:paraId="16E4E387" w14:textId="77777777" w:rsidTr="00275C03">
        <w:tc>
          <w:tcPr>
            <w:tcW w:w="1242" w:type="dxa"/>
          </w:tcPr>
          <w:p w14:paraId="35C6B5E2" w14:textId="77777777" w:rsidR="00275C03" w:rsidRPr="0037585C" w:rsidRDefault="00275C03" w:rsidP="00275C03">
            <w:r w:rsidRPr="0037585C">
              <w:t>17.11.14</w:t>
            </w:r>
          </w:p>
        </w:tc>
        <w:tc>
          <w:tcPr>
            <w:tcW w:w="5954" w:type="dxa"/>
          </w:tcPr>
          <w:p w14:paraId="233C6576" w14:textId="1460CCD3" w:rsidR="00275C03" w:rsidRPr="0037585C" w:rsidRDefault="00275C03" w:rsidP="00275C03">
            <w:pPr>
              <w:rPr>
                <w:bCs/>
              </w:rPr>
            </w:pPr>
            <w:r w:rsidRPr="0037585C">
              <w:rPr>
                <w:bCs/>
              </w:rPr>
              <w:t>Jodie Christinat, Coordinator, and Glen Gerreyn</w:t>
            </w:r>
            <w:r w:rsidR="00A52881">
              <w:rPr>
                <w:bCs/>
              </w:rPr>
              <w:t>,</w:t>
            </w:r>
            <w:r w:rsidRPr="0037585C">
              <w:rPr>
                <w:bCs/>
              </w:rPr>
              <w:t xml:space="preserve"> Director, The Roar Effect</w:t>
            </w:r>
          </w:p>
        </w:tc>
        <w:tc>
          <w:tcPr>
            <w:tcW w:w="2090" w:type="dxa"/>
          </w:tcPr>
          <w:p w14:paraId="5F0D28D9" w14:textId="77777777" w:rsidR="00275C03" w:rsidRPr="0037585C" w:rsidRDefault="00275C03" w:rsidP="00275C03">
            <w:r w:rsidRPr="0037585C">
              <w:t>AHRC, NSW</w:t>
            </w:r>
          </w:p>
        </w:tc>
      </w:tr>
      <w:tr w:rsidR="00275C03" w:rsidRPr="0037585C" w14:paraId="1F207FA0" w14:textId="77777777" w:rsidTr="00275C03">
        <w:tc>
          <w:tcPr>
            <w:tcW w:w="1242" w:type="dxa"/>
          </w:tcPr>
          <w:p w14:paraId="65F96B96" w14:textId="77777777" w:rsidR="00275C03" w:rsidRPr="0037585C" w:rsidRDefault="00275C03" w:rsidP="00275C03">
            <w:r w:rsidRPr="0037585C">
              <w:t>19.11.14</w:t>
            </w:r>
          </w:p>
        </w:tc>
        <w:tc>
          <w:tcPr>
            <w:tcW w:w="5954" w:type="dxa"/>
          </w:tcPr>
          <w:p w14:paraId="2CA14684" w14:textId="77777777" w:rsidR="00275C03" w:rsidRPr="0037585C" w:rsidRDefault="00275C03" w:rsidP="00275C03">
            <w:pPr>
              <w:rPr>
                <w:bCs/>
              </w:rPr>
            </w:pPr>
            <w:r w:rsidRPr="0037585C">
              <w:rPr>
                <w:bCs/>
              </w:rPr>
              <w:t>Professor Alan Hayes, Director, Australian Institute of Family Studies</w:t>
            </w:r>
          </w:p>
        </w:tc>
        <w:tc>
          <w:tcPr>
            <w:tcW w:w="2090" w:type="dxa"/>
          </w:tcPr>
          <w:p w14:paraId="421AF472" w14:textId="77777777" w:rsidR="00275C03" w:rsidRPr="0037585C" w:rsidRDefault="00275C03" w:rsidP="00275C03">
            <w:r w:rsidRPr="0037585C">
              <w:t>Melbourne, VIC</w:t>
            </w:r>
          </w:p>
        </w:tc>
      </w:tr>
      <w:tr w:rsidR="00275C03" w:rsidRPr="0037585C" w14:paraId="7D2F4315" w14:textId="77777777" w:rsidTr="00275C03">
        <w:tc>
          <w:tcPr>
            <w:tcW w:w="1242" w:type="dxa"/>
          </w:tcPr>
          <w:p w14:paraId="3CCCD82B" w14:textId="77777777" w:rsidR="00275C03" w:rsidRPr="0037585C" w:rsidRDefault="00275C03" w:rsidP="00275C03">
            <w:r w:rsidRPr="0037585C">
              <w:t>20.11.14</w:t>
            </w:r>
          </w:p>
        </w:tc>
        <w:tc>
          <w:tcPr>
            <w:tcW w:w="5954" w:type="dxa"/>
          </w:tcPr>
          <w:p w14:paraId="198DC88F" w14:textId="4D72DD1A" w:rsidR="00275C03" w:rsidRPr="0037585C" w:rsidRDefault="00275C03" w:rsidP="00275C03">
            <w:pPr>
              <w:rPr>
                <w:bCs/>
              </w:rPr>
            </w:pPr>
            <w:r w:rsidRPr="0037585C">
              <w:rPr>
                <w:bCs/>
              </w:rPr>
              <w:t>Cath</w:t>
            </w:r>
            <w:r w:rsidR="00A52881">
              <w:rPr>
                <w:bCs/>
              </w:rPr>
              <w:t>e</w:t>
            </w:r>
            <w:r w:rsidRPr="0037585C">
              <w:rPr>
                <w:bCs/>
              </w:rPr>
              <w:t>rine Lynch,</w:t>
            </w:r>
            <w:r w:rsidRPr="0037585C">
              <w:t xml:space="preserve"> </w:t>
            </w:r>
            <w:r w:rsidRPr="0037585C">
              <w:rPr>
                <w:bCs/>
              </w:rPr>
              <w:t>General Manager,</w:t>
            </w:r>
            <w:r w:rsidRPr="0037585C">
              <w:rPr>
                <w:color w:val="1F497D"/>
              </w:rPr>
              <w:t xml:space="preserve"> </w:t>
            </w:r>
            <w:r w:rsidRPr="0037585C">
              <w:rPr>
                <w:bCs/>
              </w:rPr>
              <w:t>Policy and Research Branch, Royal Commission into Institutional Responses to Child Sexual Abuse</w:t>
            </w:r>
          </w:p>
        </w:tc>
        <w:tc>
          <w:tcPr>
            <w:tcW w:w="2090" w:type="dxa"/>
          </w:tcPr>
          <w:p w14:paraId="6F53CEBE" w14:textId="77777777" w:rsidR="00275C03" w:rsidRPr="0037585C" w:rsidRDefault="00275C03" w:rsidP="00275C03">
            <w:r w:rsidRPr="0037585C">
              <w:t>AHRC, NSW</w:t>
            </w:r>
          </w:p>
        </w:tc>
      </w:tr>
      <w:tr w:rsidR="00275C03" w:rsidRPr="0037585C" w14:paraId="10DEC35F" w14:textId="77777777" w:rsidTr="00275C03">
        <w:tc>
          <w:tcPr>
            <w:tcW w:w="1242" w:type="dxa"/>
          </w:tcPr>
          <w:p w14:paraId="192D8AC5" w14:textId="77777777" w:rsidR="00275C03" w:rsidRPr="00F77787" w:rsidRDefault="00275C03" w:rsidP="00275C03">
            <w:r w:rsidRPr="00F77787">
              <w:t>21.11.14</w:t>
            </w:r>
          </w:p>
        </w:tc>
        <w:tc>
          <w:tcPr>
            <w:tcW w:w="5954" w:type="dxa"/>
          </w:tcPr>
          <w:p w14:paraId="03317113" w14:textId="09377C38" w:rsidR="00275C03" w:rsidRPr="00F77787" w:rsidRDefault="00F77787" w:rsidP="00E767C7">
            <w:pPr>
              <w:rPr>
                <w:bCs/>
              </w:rPr>
            </w:pPr>
            <w:r w:rsidRPr="00F77787">
              <w:rPr>
                <w:bCs/>
              </w:rPr>
              <w:t>Chryne Griffiths, Aboriginal and Perinatal &amp; Infant Social &amp; Emotional Wellbeing Consultant, NSW Government Health, South Western Sydney Local Health District</w:t>
            </w:r>
          </w:p>
        </w:tc>
        <w:tc>
          <w:tcPr>
            <w:tcW w:w="2090" w:type="dxa"/>
          </w:tcPr>
          <w:p w14:paraId="1ACBA0A6" w14:textId="77777777" w:rsidR="00275C03" w:rsidRPr="00F77787" w:rsidRDefault="00275C03" w:rsidP="00275C03">
            <w:r w:rsidRPr="00F77787">
              <w:t>AHRC, NSW</w:t>
            </w:r>
          </w:p>
        </w:tc>
      </w:tr>
      <w:tr w:rsidR="00275C03" w:rsidRPr="0037585C" w14:paraId="74ADB7FA" w14:textId="77777777" w:rsidTr="00275C03">
        <w:tc>
          <w:tcPr>
            <w:tcW w:w="1242" w:type="dxa"/>
          </w:tcPr>
          <w:p w14:paraId="4CF9CD6E" w14:textId="77777777" w:rsidR="00275C03" w:rsidRPr="0037585C" w:rsidRDefault="00275C03" w:rsidP="00275C03">
            <w:r w:rsidRPr="0037585C">
              <w:t>21.11.14</w:t>
            </w:r>
          </w:p>
        </w:tc>
        <w:tc>
          <w:tcPr>
            <w:tcW w:w="5954" w:type="dxa"/>
          </w:tcPr>
          <w:p w14:paraId="264ADE76" w14:textId="77777777" w:rsidR="00275C03" w:rsidRPr="0037585C" w:rsidRDefault="00275C03" w:rsidP="00275C03">
            <w:pPr>
              <w:rPr>
                <w:bCs/>
                <w:highlight w:val="magenta"/>
              </w:rPr>
            </w:pPr>
            <w:r w:rsidRPr="0037585C">
              <w:rPr>
                <w:bCs/>
              </w:rPr>
              <w:t>Claire Robbs, Chief Executive, Life Without Barriers and Mary McKinnon, Director Practice &amp; Service, Life Without Barriers</w:t>
            </w:r>
          </w:p>
        </w:tc>
        <w:tc>
          <w:tcPr>
            <w:tcW w:w="2090" w:type="dxa"/>
          </w:tcPr>
          <w:p w14:paraId="2145251E" w14:textId="77777777" w:rsidR="00275C03" w:rsidRPr="0037585C" w:rsidRDefault="00275C03" w:rsidP="00275C03">
            <w:r w:rsidRPr="0037585C">
              <w:t>AHRC, NSW</w:t>
            </w:r>
          </w:p>
        </w:tc>
      </w:tr>
      <w:tr w:rsidR="00275C03" w:rsidRPr="0037585C" w14:paraId="67E0146F" w14:textId="77777777" w:rsidTr="00275C03">
        <w:tc>
          <w:tcPr>
            <w:tcW w:w="1242" w:type="dxa"/>
          </w:tcPr>
          <w:p w14:paraId="4777E7FB" w14:textId="77777777" w:rsidR="00275C03" w:rsidRPr="0037585C" w:rsidRDefault="00275C03" w:rsidP="00275C03">
            <w:r w:rsidRPr="0037585C">
              <w:t>26.11.14</w:t>
            </w:r>
          </w:p>
        </w:tc>
        <w:tc>
          <w:tcPr>
            <w:tcW w:w="5954" w:type="dxa"/>
          </w:tcPr>
          <w:p w14:paraId="5E0B7341" w14:textId="5234947D" w:rsidR="00275C03" w:rsidRPr="0037585C" w:rsidRDefault="00275C03" w:rsidP="00275C03">
            <w:pPr>
              <w:rPr>
                <w:bCs/>
              </w:rPr>
            </w:pPr>
            <w:r w:rsidRPr="0037585C">
              <w:rPr>
                <w:bCs/>
              </w:rPr>
              <w:t xml:space="preserve">Reuben Cunningham, </w:t>
            </w:r>
            <w:r w:rsidR="00294875" w:rsidRPr="00294875">
              <w:rPr>
                <w:bCs/>
              </w:rPr>
              <w:t>Operations Manager</w:t>
            </w:r>
            <w:r w:rsidR="00294875">
              <w:rPr>
                <w:bCs/>
              </w:rPr>
              <w:t xml:space="preserve">, </w:t>
            </w:r>
            <w:r w:rsidRPr="0037585C">
              <w:rPr>
                <w:bCs/>
              </w:rPr>
              <w:t>Angels Goal</w:t>
            </w:r>
          </w:p>
        </w:tc>
        <w:tc>
          <w:tcPr>
            <w:tcW w:w="2090" w:type="dxa"/>
          </w:tcPr>
          <w:p w14:paraId="7851741A" w14:textId="77777777" w:rsidR="00275C03" w:rsidRPr="0037585C" w:rsidRDefault="00275C03" w:rsidP="00275C03">
            <w:r w:rsidRPr="0037585C">
              <w:t>AHRC, NSW</w:t>
            </w:r>
          </w:p>
        </w:tc>
      </w:tr>
      <w:tr w:rsidR="00275C03" w:rsidRPr="0037585C" w14:paraId="67A36E8F" w14:textId="77777777" w:rsidTr="00275C03">
        <w:tc>
          <w:tcPr>
            <w:tcW w:w="1242" w:type="dxa"/>
          </w:tcPr>
          <w:p w14:paraId="1A7CE46E" w14:textId="77777777" w:rsidR="00275C03" w:rsidRPr="0037585C" w:rsidRDefault="00275C03" w:rsidP="00275C03">
            <w:r w:rsidRPr="0037585C">
              <w:t>26.11.14</w:t>
            </w:r>
          </w:p>
        </w:tc>
        <w:tc>
          <w:tcPr>
            <w:tcW w:w="5954" w:type="dxa"/>
          </w:tcPr>
          <w:p w14:paraId="44541E56" w14:textId="77777777" w:rsidR="00275C03" w:rsidRPr="0037585C" w:rsidRDefault="00275C03" w:rsidP="00275C03">
            <w:pPr>
              <w:rPr>
                <w:bCs/>
              </w:rPr>
            </w:pPr>
            <w:r w:rsidRPr="0037585C">
              <w:rPr>
                <w:bCs/>
              </w:rPr>
              <w:t>Lynne Coulson Barr, Mental Health Complaints Commissioner</w:t>
            </w:r>
          </w:p>
        </w:tc>
        <w:tc>
          <w:tcPr>
            <w:tcW w:w="2090" w:type="dxa"/>
          </w:tcPr>
          <w:p w14:paraId="6A1CA2EE" w14:textId="77777777" w:rsidR="00275C03" w:rsidRPr="0037585C" w:rsidRDefault="00275C03" w:rsidP="00275C03">
            <w:r w:rsidRPr="0037585C">
              <w:t>AHRC, NSW</w:t>
            </w:r>
          </w:p>
        </w:tc>
      </w:tr>
      <w:tr w:rsidR="00275C03" w:rsidRPr="0037585C" w14:paraId="3E1BD5A2" w14:textId="77777777" w:rsidTr="00275C03">
        <w:tc>
          <w:tcPr>
            <w:tcW w:w="1242" w:type="dxa"/>
          </w:tcPr>
          <w:p w14:paraId="03D54596" w14:textId="77777777" w:rsidR="00275C03" w:rsidRPr="0037585C" w:rsidRDefault="00275C03" w:rsidP="00275C03">
            <w:r w:rsidRPr="0037585C">
              <w:t>27.11.14</w:t>
            </w:r>
          </w:p>
        </w:tc>
        <w:tc>
          <w:tcPr>
            <w:tcW w:w="5954" w:type="dxa"/>
          </w:tcPr>
          <w:p w14:paraId="27DB329B" w14:textId="77777777" w:rsidR="00275C03" w:rsidRPr="0037585C" w:rsidRDefault="00275C03" w:rsidP="00275C03">
            <w:pPr>
              <w:rPr>
                <w:bCs/>
              </w:rPr>
            </w:pPr>
            <w:r w:rsidRPr="0037585C">
              <w:rPr>
                <w:bCs/>
              </w:rPr>
              <w:t>Julie Hamblin and Jenny Owen, Consultants to the Royal Commission into Institutional Responses to Child Sexual Abuse, WestWood Spice</w:t>
            </w:r>
          </w:p>
        </w:tc>
        <w:tc>
          <w:tcPr>
            <w:tcW w:w="2090" w:type="dxa"/>
          </w:tcPr>
          <w:p w14:paraId="1F31371B" w14:textId="77777777" w:rsidR="00275C03" w:rsidRPr="0037585C" w:rsidRDefault="00275C03" w:rsidP="00275C03">
            <w:r w:rsidRPr="0037585C">
              <w:t>AHRC, NSW</w:t>
            </w:r>
          </w:p>
        </w:tc>
      </w:tr>
      <w:tr w:rsidR="00275C03" w:rsidRPr="0037585C" w14:paraId="35DDD4FB" w14:textId="77777777" w:rsidTr="00275C03">
        <w:tc>
          <w:tcPr>
            <w:tcW w:w="1242" w:type="dxa"/>
          </w:tcPr>
          <w:p w14:paraId="4CDF84FD" w14:textId="702A3CD7" w:rsidR="00275C03" w:rsidRPr="0037585C" w:rsidRDefault="00294875" w:rsidP="00275C03">
            <w:r>
              <w:t>02.12.</w:t>
            </w:r>
            <w:r w:rsidR="00275C03" w:rsidRPr="0037585C">
              <w:t>14</w:t>
            </w:r>
          </w:p>
        </w:tc>
        <w:tc>
          <w:tcPr>
            <w:tcW w:w="5954" w:type="dxa"/>
          </w:tcPr>
          <w:p w14:paraId="35FDAF49" w14:textId="1F6CEF68" w:rsidR="00275C03" w:rsidRPr="0037585C" w:rsidRDefault="00275C03" w:rsidP="00294875">
            <w:pPr>
              <w:rPr>
                <w:bCs/>
                <w:highlight w:val="magenta"/>
              </w:rPr>
            </w:pPr>
            <w:r w:rsidRPr="0037585C">
              <w:rPr>
                <w:bCs/>
              </w:rPr>
              <w:t>Lyndal Ryan, National Vice President, and Rachel Colbourne-Hoffman, Early Childhood Education and Care Campaign Coordinator, United Voice</w:t>
            </w:r>
          </w:p>
        </w:tc>
        <w:tc>
          <w:tcPr>
            <w:tcW w:w="2090" w:type="dxa"/>
          </w:tcPr>
          <w:p w14:paraId="603A4109" w14:textId="77777777" w:rsidR="00275C03" w:rsidRPr="0037585C" w:rsidRDefault="00275C03" w:rsidP="00275C03">
            <w:r w:rsidRPr="0037585C">
              <w:t>AHRC, NSW</w:t>
            </w:r>
          </w:p>
        </w:tc>
      </w:tr>
      <w:tr w:rsidR="00275C03" w:rsidRPr="0037585C" w14:paraId="397D288B" w14:textId="77777777" w:rsidTr="00275C03">
        <w:tc>
          <w:tcPr>
            <w:tcW w:w="1242" w:type="dxa"/>
          </w:tcPr>
          <w:p w14:paraId="1A406B71" w14:textId="77777777" w:rsidR="00275C03" w:rsidRPr="0037585C" w:rsidRDefault="00275C03" w:rsidP="00275C03">
            <w:r w:rsidRPr="0037585C">
              <w:t>04.12.14</w:t>
            </w:r>
          </w:p>
        </w:tc>
        <w:tc>
          <w:tcPr>
            <w:tcW w:w="5954" w:type="dxa"/>
          </w:tcPr>
          <w:p w14:paraId="346681C1" w14:textId="77777777" w:rsidR="00275C03" w:rsidRPr="0037585C" w:rsidRDefault="00275C03" w:rsidP="00275C03">
            <w:pPr>
              <w:rPr>
                <w:bCs/>
                <w:highlight w:val="green"/>
              </w:rPr>
            </w:pPr>
            <w:r w:rsidRPr="0037585C">
              <w:rPr>
                <w:bCs/>
              </w:rPr>
              <w:t>Senate Standing Committee for Community Affairs</w:t>
            </w:r>
          </w:p>
        </w:tc>
        <w:tc>
          <w:tcPr>
            <w:tcW w:w="2090" w:type="dxa"/>
          </w:tcPr>
          <w:p w14:paraId="5B8C8953" w14:textId="77777777" w:rsidR="00275C03" w:rsidRPr="0037585C" w:rsidRDefault="00275C03" w:rsidP="00275C03">
            <w:r w:rsidRPr="0037585C">
              <w:t>Canberra, ACT</w:t>
            </w:r>
          </w:p>
        </w:tc>
      </w:tr>
      <w:tr w:rsidR="00275C03" w:rsidRPr="0037585C" w14:paraId="63749EE4" w14:textId="77777777" w:rsidTr="00275C03">
        <w:tc>
          <w:tcPr>
            <w:tcW w:w="1242" w:type="dxa"/>
          </w:tcPr>
          <w:p w14:paraId="11892BD9" w14:textId="77777777" w:rsidR="00275C03" w:rsidRPr="0037585C" w:rsidRDefault="00275C03" w:rsidP="00275C03">
            <w:r w:rsidRPr="0037585C">
              <w:t>04.12.14</w:t>
            </w:r>
          </w:p>
        </w:tc>
        <w:tc>
          <w:tcPr>
            <w:tcW w:w="5954" w:type="dxa"/>
          </w:tcPr>
          <w:p w14:paraId="5663E505" w14:textId="11CEDA69" w:rsidR="00275C03" w:rsidRPr="0037585C" w:rsidRDefault="00275C03" w:rsidP="00294875">
            <w:pPr>
              <w:rPr>
                <w:bCs/>
              </w:rPr>
            </w:pPr>
            <w:r w:rsidRPr="0037585C">
              <w:rPr>
                <w:bCs/>
              </w:rPr>
              <w:t>Dr Susan Cochrane, Advisor</w:t>
            </w:r>
            <w:r>
              <w:rPr>
                <w:bCs/>
              </w:rPr>
              <w:t xml:space="preserve"> for the</w:t>
            </w:r>
            <w:r w:rsidRPr="0037585C">
              <w:rPr>
                <w:bCs/>
              </w:rPr>
              <w:t xml:space="preserve"> Office of the Attorney-General and Minister for the Arts</w:t>
            </w:r>
          </w:p>
        </w:tc>
        <w:tc>
          <w:tcPr>
            <w:tcW w:w="2090" w:type="dxa"/>
          </w:tcPr>
          <w:p w14:paraId="5155CBB4" w14:textId="77777777" w:rsidR="00275C03" w:rsidRPr="0037585C" w:rsidRDefault="00275C03" w:rsidP="00275C03">
            <w:r w:rsidRPr="0037585C">
              <w:t>Canberra, ACT</w:t>
            </w:r>
          </w:p>
        </w:tc>
      </w:tr>
      <w:tr w:rsidR="00275C03" w:rsidRPr="0037585C" w14:paraId="06639B3B" w14:textId="77777777" w:rsidTr="00275C03">
        <w:tc>
          <w:tcPr>
            <w:tcW w:w="1242" w:type="dxa"/>
          </w:tcPr>
          <w:p w14:paraId="0C007D41" w14:textId="77777777" w:rsidR="00275C03" w:rsidRPr="0037585C" w:rsidRDefault="00275C03" w:rsidP="00275C03">
            <w:r w:rsidRPr="0037585C">
              <w:t>04.12.14</w:t>
            </w:r>
          </w:p>
        </w:tc>
        <w:tc>
          <w:tcPr>
            <w:tcW w:w="5954" w:type="dxa"/>
          </w:tcPr>
          <w:p w14:paraId="09D1D3B9" w14:textId="6547E88E" w:rsidR="00275C03" w:rsidRPr="0037585C" w:rsidRDefault="00275C03" w:rsidP="00440C68">
            <w:pPr>
              <w:rPr>
                <w:bCs/>
              </w:rPr>
            </w:pPr>
            <w:r w:rsidRPr="0037585C">
              <w:rPr>
                <w:bCs/>
              </w:rPr>
              <w:t xml:space="preserve">Dr Kirthana Sharma, </w:t>
            </w:r>
            <w:r w:rsidR="00440C68">
              <w:rPr>
                <w:bCs/>
              </w:rPr>
              <w:t>Co-</w:t>
            </w:r>
            <w:r w:rsidRPr="0037585C">
              <w:rPr>
                <w:bCs/>
              </w:rPr>
              <w:t>Founder</w:t>
            </w:r>
            <w:r w:rsidR="0031522F">
              <w:rPr>
                <w:bCs/>
              </w:rPr>
              <w:t>,</w:t>
            </w:r>
            <w:r w:rsidRPr="0037585C">
              <w:rPr>
                <w:bCs/>
              </w:rPr>
              <w:t xml:space="preserve"> Doctors Against Pollution</w:t>
            </w:r>
          </w:p>
        </w:tc>
        <w:tc>
          <w:tcPr>
            <w:tcW w:w="2090" w:type="dxa"/>
          </w:tcPr>
          <w:p w14:paraId="51B42105" w14:textId="77777777" w:rsidR="00275C03" w:rsidRPr="0037585C" w:rsidRDefault="00275C03" w:rsidP="00275C03">
            <w:r w:rsidRPr="0037585C">
              <w:t>AHRC, NSW</w:t>
            </w:r>
          </w:p>
        </w:tc>
      </w:tr>
      <w:tr w:rsidR="00275C03" w:rsidRPr="0037585C" w14:paraId="6693375C" w14:textId="77777777" w:rsidTr="00275C03">
        <w:tc>
          <w:tcPr>
            <w:tcW w:w="1242" w:type="dxa"/>
          </w:tcPr>
          <w:p w14:paraId="3646D4D1" w14:textId="77777777" w:rsidR="00275C03" w:rsidRPr="0037585C" w:rsidRDefault="00275C03" w:rsidP="00275C03">
            <w:r w:rsidRPr="0037585C">
              <w:t>04.12.14</w:t>
            </w:r>
          </w:p>
        </w:tc>
        <w:tc>
          <w:tcPr>
            <w:tcW w:w="5954" w:type="dxa"/>
          </w:tcPr>
          <w:p w14:paraId="565F1A1C" w14:textId="77777777" w:rsidR="00275C03" w:rsidRPr="0037585C" w:rsidRDefault="00275C03" w:rsidP="00275C03">
            <w:pPr>
              <w:rPr>
                <w:bCs/>
              </w:rPr>
            </w:pPr>
            <w:r w:rsidRPr="0037585C">
              <w:rPr>
                <w:bCs/>
              </w:rPr>
              <w:t xml:space="preserve">Murray Hansen, Chief of </w:t>
            </w:r>
            <w:r>
              <w:rPr>
                <w:bCs/>
              </w:rPr>
              <w:t>Staff to the Hon</w:t>
            </w:r>
            <w:r w:rsidRPr="0037585C">
              <w:rPr>
                <w:bCs/>
              </w:rPr>
              <w:t xml:space="preserve"> Julie Bishop MP, Minister for Foreign Affairs  </w:t>
            </w:r>
          </w:p>
        </w:tc>
        <w:tc>
          <w:tcPr>
            <w:tcW w:w="2090" w:type="dxa"/>
          </w:tcPr>
          <w:p w14:paraId="19798941" w14:textId="25537C33" w:rsidR="00275C03" w:rsidRPr="0037585C" w:rsidRDefault="00275C03" w:rsidP="00440C68">
            <w:r w:rsidRPr="0037585C">
              <w:t xml:space="preserve">Canberra, </w:t>
            </w:r>
            <w:r w:rsidR="00440C68">
              <w:t>ACT</w:t>
            </w:r>
          </w:p>
        </w:tc>
      </w:tr>
      <w:tr w:rsidR="00275C03" w:rsidRPr="0037585C" w14:paraId="005505C1" w14:textId="77777777" w:rsidTr="00275C03">
        <w:tc>
          <w:tcPr>
            <w:tcW w:w="1242" w:type="dxa"/>
          </w:tcPr>
          <w:p w14:paraId="38BFBFD4" w14:textId="77777777" w:rsidR="00275C03" w:rsidRPr="0037585C" w:rsidRDefault="00275C03" w:rsidP="00275C03">
            <w:r w:rsidRPr="0037585C">
              <w:t>04.12.14</w:t>
            </w:r>
          </w:p>
        </w:tc>
        <w:tc>
          <w:tcPr>
            <w:tcW w:w="5954" w:type="dxa"/>
          </w:tcPr>
          <w:p w14:paraId="2F2F0813" w14:textId="1EBD71F6" w:rsidR="00275C03" w:rsidRPr="0037585C" w:rsidRDefault="008033BC" w:rsidP="00275C03">
            <w:pPr>
              <w:rPr>
                <w:bCs/>
              </w:rPr>
            </w:pPr>
            <w:r>
              <w:rPr>
                <w:bCs/>
              </w:rPr>
              <w:t xml:space="preserve">The Hon </w:t>
            </w:r>
            <w:r w:rsidR="00275C03" w:rsidRPr="0037585C">
              <w:rPr>
                <w:bCs/>
              </w:rPr>
              <w:t>Craig Laundy MP, Federal Member for Reid</w:t>
            </w:r>
          </w:p>
        </w:tc>
        <w:tc>
          <w:tcPr>
            <w:tcW w:w="2090" w:type="dxa"/>
          </w:tcPr>
          <w:p w14:paraId="3A55957F" w14:textId="77777777" w:rsidR="00275C03" w:rsidRPr="0037585C" w:rsidRDefault="00275C03" w:rsidP="00275C03">
            <w:r w:rsidRPr="0037585C">
              <w:t>Canberra, ACT</w:t>
            </w:r>
          </w:p>
        </w:tc>
      </w:tr>
      <w:tr w:rsidR="00275C03" w:rsidRPr="0037585C" w14:paraId="5D955A9F" w14:textId="77777777" w:rsidTr="00275C03">
        <w:tc>
          <w:tcPr>
            <w:tcW w:w="1242" w:type="dxa"/>
          </w:tcPr>
          <w:p w14:paraId="58CA5DB5" w14:textId="77777777" w:rsidR="00275C03" w:rsidRPr="0037585C" w:rsidRDefault="00275C03" w:rsidP="00275C03">
            <w:r w:rsidRPr="0037585C">
              <w:t>08.12.14</w:t>
            </w:r>
          </w:p>
        </w:tc>
        <w:tc>
          <w:tcPr>
            <w:tcW w:w="5954" w:type="dxa"/>
          </w:tcPr>
          <w:p w14:paraId="6679C31E" w14:textId="7A1A163B" w:rsidR="00275C03" w:rsidRPr="0037585C" w:rsidRDefault="00275C03" w:rsidP="00275C03">
            <w:pPr>
              <w:rPr>
                <w:bCs/>
              </w:rPr>
            </w:pPr>
            <w:r w:rsidRPr="0037585C">
              <w:rPr>
                <w:bCs/>
              </w:rPr>
              <w:t>Catherine Burn, NSW Deputy Police Commissioner</w:t>
            </w:r>
            <w:r w:rsidR="009D1695">
              <w:rPr>
                <w:bCs/>
              </w:rPr>
              <w:t>,</w:t>
            </w:r>
            <w:r w:rsidRPr="0037585C">
              <w:rPr>
                <w:bCs/>
              </w:rPr>
              <w:t xml:space="preserve"> with Mick Gooda, Aboriginal and Torres Strait Islander Social Justice Commissioner</w:t>
            </w:r>
          </w:p>
        </w:tc>
        <w:tc>
          <w:tcPr>
            <w:tcW w:w="2090" w:type="dxa"/>
          </w:tcPr>
          <w:p w14:paraId="683F405F" w14:textId="77777777" w:rsidR="00275C03" w:rsidRPr="0037585C" w:rsidRDefault="00275C03" w:rsidP="00275C03">
            <w:r w:rsidRPr="0037585C">
              <w:t>AHRC, NSW</w:t>
            </w:r>
          </w:p>
        </w:tc>
      </w:tr>
      <w:tr w:rsidR="00275C03" w:rsidRPr="0037585C" w14:paraId="7F0DF834" w14:textId="77777777" w:rsidTr="00275C03">
        <w:tc>
          <w:tcPr>
            <w:tcW w:w="1242" w:type="dxa"/>
          </w:tcPr>
          <w:p w14:paraId="45C264FF" w14:textId="77777777" w:rsidR="00275C03" w:rsidRPr="0037585C" w:rsidRDefault="00275C03" w:rsidP="00275C03">
            <w:r w:rsidRPr="0037585C">
              <w:t>09.12.14</w:t>
            </w:r>
          </w:p>
        </w:tc>
        <w:tc>
          <w:tcPr>
            <w:tcW w:w="5954" w:type="dxa"/>
          </w:tcPr>
          <w:p w14:paraId="4DA95F4E" w14:textId="77777777" w:rsidR="00275C03" w:rsidRPr="0037585C" w:rsidRDefault="00275C03" w:rsidP="00275C03">
            <w:pPr>
              <w:rPr>
                <w:bCs/>
                <w:highlight w:val="magenta"/>
              </w:rPr>
            </w:pPr>
            <w:r>
              <w:rPr>
                <w:bCs/>
              </w:rPr>
              <w:t>Gabrielle Vuletich, Chair, and</w:t>
            </w:r>
            <w:r w:rsidRPr="0037585C">
              <w:rPr>
                <w:bCs/>
              </w:rPr>
              <w:t xml:space="preserve"> </w:t>
            </w:r>
            <w:r w:rsidRPr="005824D8">
              <w:rPr>
                <w:bCs/>
              </w:rPr>
              <w:t>Rod Ellinson, Trustee, Sabemo Foundation</w:t>
            </w:r>
          </w:p>
        </w:tc>
        <w:tc>
          <w:tcPr>
            <w:tcW w:w="2090" w:type="dxa"/>
          </w:tcPr>
          <w:p w14:paraId="75BA16EA" w14:textId="77777777" w:rsidR="00275C03" w:rsidRPr="0037585C" w:rsidRDefault="00275C03" w:rsidP="00275C03">
            <w:r w:rsidRPr="0037585C">
              <w:t>AHRC, NSW</w:t>
            </w:r>
          </w:p>
        </w:tc>
      </w:tr>
      <w:tr w:rsidR="00275C03" w:rsidRPr="0037585C" w14:paraId="10119765" w14:textId="77777777" w:rsidTr="00275C03">
        <w:tc>
          <w:tcPr>
            <w:tcW w:w="1242" w:type="dxa"/>
          </w:tcPr>
          <w:p w14:paraId="55F7E3FE" w14:textId="77777777" w:rsidR="00275C03" w:rsidRPr="0037585C" w:rsidRDefault="00275C03" w:rsidP="00275C03">
            <w:r w:rsidRPr="0037585C">
              <w:t>09.12.14</w:t>
            </w:r>
          </w:p>
        </w:tc>
        <w:tc>
          <w:tcPr>
            <w:tcW w:w="5954" w:type="dxa"/>
          </w:tcPr>
          <w:p w14:paraId="21F25FEA" w14:textId="77777777" w:rsidR="00275C03" w:rsidRPr="0037585C" w:rsidRDefault="00275C03" w:rsidP="00275C03">
            <w:pPr>
              <w:rPr>
                <w:bCs/>
              </w:rPr>
            </w:pPr>
            <w:r w:rsidRPr="0037585C">
              <w:rPr>
                <w:bCs/>
              </w:rPr>
              <w:t>Ron Mell, Chief Executive Officer, YMCA</w:t>
            </w:r>
          </w:p>
        </w:tc>
        <w:tc>
          <w:tcPr>
            <w:tcW w:w="2090" w:type="dxa"/>
          </w:tcPr>
          <w:p w14:paraId="6A566946" w14:textId="77777777" w:rsidR="00275C03" w:rsidRPr="0037585C" w:rsidRDefault="00275C03" w:rsidP="00275C03">
            <w:r w:rsidRPr="0037585C">
              <w:t>AHRC, NSW</w:t>
            </w:r>
          </w:p>
        </w:tc>
      </w:tr>
      <w:tr w:rsidR="00275C03" w:rsidRPr="0037585C" w14:paraId="4A2B119B" w14:textId="77777777" w:rsidTr="00275C03">
        <w:tc>
          <w:tcPr>
            <w:tcW w:w="1242" w:type="dxa"/>
          </w:tcPr>
          <w:p w14:paraId="0DE9C5ED" w14:textId="77777777" w:rsidR="00275C03" w:rsidRPr="0037585C" w:rsidRDefault="00275C03" w:rsidP="00275C03">
            <w:r w:rsidRPr="0037585C">
              <w:t>10.12.14</w:t>
            </w:r>
          </w:p>
        </w:tc>
        <w:tc>
          <w:tcPr>
            <w:tcW w:w="5954" w:type="dxa"/>
          </w:tcPr>
          <w:p w14:paraId="5C5ACC78" w14:textId="77777777" w:rsidR="00275C03" w:rsidRPr="0037585C" w:rsidRDefault="00275C03" w:rsidP="00275C03">
            <w:pPr>
              <w:rPr>
                <w:bCs/>
              </w:rPr>
            </w:pPr>
            <w:r w:rsidRPr="0037585C">
              <w:rPr>
                <w:bCs/>
              </w:rPr>
              <w:t>Online Safety Consultative Working Group, Department of Communications, Cyber Safety and Policy Coordination</w:t>
            </w:r>
          </w:p>
        </w:tc>
        <w:tc>
          <w:tcPr>
            <w:tcW w:w="2090" w:type="dxa"/>
          </w:tcPr>
          <w:p w14:paraId="2262FA5A" w14:textId="77777777" w:rsidR="00275C03" w:rsidRPr="0037585C" w:rsidRDefault="00275C03" w:rsidP="00275C03">
            <w:r w:rsidRPr="0037585C">
              <w:t>Sydney, NSW</w:t>
            </w:r>
          </w:p>
        </w:tc>
      </w:tr>
      <w:tr w:rsidR="00275C03" w:rsidRPr="0037585C" w14:paraId="4C40F681" w14:textId="77777777" w:rsidTr="00275C03">
        <w:tc>
          <w:tcPr>
            <w:tcW w:w="1242" w:type="dxa"/>
          </w:tcPr>
          <w:p w14:paraId="714F4903" w14:textId="77777777" w:rsidR="00275C03" w:rsidRPr="0037585C" w:rsidRDefault="00275C03" w:rsidP="00275C03">
            <w:r w:rsidRPr="0037585C">
              <w:t xml:space="preserve">11.12.14 </w:t>
            </w:r>
          </w:p>
        </w:tc>
        <w:tc>
          <w:tcPr>
            <w:tcW w:w="5954" w:type="dxa"/>
          </w:tcPr>
          <w:p w14:paraId="09B0F2E7" w14:textId="77777777" w:rsidR="00275C03" w:rsidRPr="0037585C" w:rsidRDefault="00275C03" w:rsidP="00275C03">
            <w:pPr>
              <w:rPr>
                <w:bCs/>
              </w:rPr>
            </w:pPr>
            <w:r w:rsidRPr="0037585C">
              <w:rPr>
                <w:bCs/>
              </w:rPr>
              <w:t>Briony Scott, Principal, Wenona Girls School</w:t>
            </w:r>
          </w:p>
        </w:tc>
        <w:tc>
          <w:tcPr>
            <w:tcW w:w="2090" w:type="dxa"/>
          </w:tcPr>
          <w:p w14:paraId="6463304D" w14:textId="77777777" w:rsidR="00275C03" w:rsidRPr="0037585C" w:rsidRDefault="00275C03" w:rsidP="00275C03">
            <w:r w:rsidRPr="0037585C">
              <w:t>AHRC, NSW</w:t>
            </w:r>
          </w:p>
        </w:tc>
      </w:tr>
      <w:tr w:rsidR="00275C03" w:rsidRPr="0037585C" w14:paraId="555F6F5B" w14:textId="77777777" w:rsidTr="00275C03">
        <w:tc>
          <w:tcPr>
            <w:tcW w:w="1242" w:type="dxa"/>
          </w:tcPr>
          <w:p w14:paraId="733D885B" w14:textId="77777777" w:rsidR="00275C03" w:rsidRPr="0037585C" w:rsidRDefault="00275C03" w:rsidP="00275C03">
            <w:r w:rsidRPr="0037585C">
              <w:t>22.12.14</w:t>
            </w:r>
          </w:p>
        </w:tc>
        <w:tc>
          <w:tcPr>
            <w:tcW w:w="5954" w:type="dxa"/>
          </w:tcPr>
          <w:p w14:paraId="1AA4EE91" w14:textId="77777777" w:rsidR="00275C03" w:rsidRPr="0037585C" w:rsidRDefault="00275C03" w:rsidP="00275C03">
            <w:pPr>
              <w:rPr>
                <w:bCs/>
                <w:highlight w:val="magenta"/>
              </w:rPr>
            </w:pPr>
            <w:r w:rsidRPr="0037585C">
              <w:rPr>
                <w:bCs/>
              </w:rPr>
              <w:t>Brian Babington, Chief Executive Officer, Families Australia</w:t>
            </w:r>
          </w:p>
        </w:tc>
        <w:tc>
          <w:tcPr>
            <w:tcW w:w="2090" w:type="dxa"/>
          </w:tcPr>
          <w:p w14:paraId="4460EC8B" w14:textId="77777777" w:rsidR="00275C03" w:rsidRPr="0037585C" w:rsidRDefault="00275C03" w:rsidP="00275C03">
            <w:r w:rsidRPr="0037585C">
              <w:t>Canberra, ACT</w:t>
            </w:r>
          </w:p>
        </w:tc>
      </w:tr>
      <w:tr w:rsidR="00275C03" w:rsidRPr="0037585C" w14:paraId="78DB16A1" w14:textId="77777777" w:rsidTr="00275C03">
        <w:tc>
          <w:tcPr>
            <w:tcW w:w="1242" w:type="dxa"/>
          </w:tcPr>
          <w:p w14:paraId="493FCE40" w14:textId="312D36F8" w:rsidR="00275C03" w:rsidRPr="0037585C" w:rsidRDefault="00275C03" w:rsidP="00EC3AB3">
            <w:r w:rsidRPr="0037585C">
              <w:t>12.01.1</w:t>
            </w:r>
            <w:r w:rsidR="00EC3AB3">
              <w:t>5</w:t>
            </w:r>
          </w:p>
        </w:tc>
        <w:tc>
          <w:tcPr>
            <w:tcW w:w="5954" w:type="dxa"/>
          </w:tcPr>
          <w:p w14:paraId="2FD83F13" w14:textId="77777777" w:rsidR="00275C03" w:rsidRPr="0037585C" w:rsidRDefault="00275C03" w:rsidP="00275C03">
            <w:pPr>
              <w:rPr>
                <w:bCs/>
              </w:rPr>
            </w:pPr>
            <w:r w:rsidRPr="0037585C">
              <w:rPr>
                <w:bCs/>
              </w:rPr>
              <w:t xml:space="preserve">Marc Bryant, Program Manager, Hunter Institute of Mental Health </w:t>
            </w:r>
          </w:p>
        </w:tc>
        <w:tc>
          <w:tcPr>
            <w:tcW w:w="2090" w:type="dxa"/>
          </w:tcPr>
          <w:p w14:paraId="15F87CDE" w14:textId="77777777" w:rsidR="00275C03" w:rsidRPr="0037585C" w:rsidRDefault="00275C03" w:rsidP="00275C03">
            <w:r w:rsidRPr="0037585C">
              <w:t>AHRC, NSW</w:t>
            </w:r>
          </w:p>
        </w:tc>
      </w:tr>
      <w:tr w:rsidR="00275C03" w:rsidRPr="0037585C" w14:paraId="5141C2DB" w14:textId="77777777" w:rsidTr="00275C03">
        <w:tc>
          <w:tcPr>
            <w:tcW w:w="1242" w:type="dxa"/>
          </w:tcPr>
          <w:p w14:paraId="0800115B" w14:textId="77777777" w:rsidR="00275C03" w:rsidRPr="0037585C" w:rsidRDefault="00275C03" w:rsidP="00275C03">
            <w:r w:rsidRPr="0037585C">
              <w:t>19.01.15</w:t>
            </w:r>
          </w:p>
        </w:tc>
        <w:tc>
          <w:tcPr>
            <w:tcW w:w="5954" w:type="dxa"/>
          </w:tcPr>
          <w:p w14:paraId="05A69512" w14:textId="77777777" w:rsidR="00275C03" w:rsidRPr="0037585C" w:rsidRDefault="00275C03" w:rsidP="00275C03">
            <w:pPr>
              <w:rPr>
                <w:bCs/>
              </w:rPr>
            </w:pPr>
            <w:r w:rsidRPr="0037585C">
              <w:rPr>
                <w:bCs/>
              </w:rPr>
              <w:t>Robyn Monro Miller, Chief Executive Officer, Network of Community Activities</w:t>
            </w:r>
          </w:p>
        </w:tc>
        <w:tc>
          <w:tcPr>
            <w:tcW w:w="2090" w:type="dxa"/>
          </w:tcPr>
          <w:p w14:paraId="62B1922D" w14:textId="77777777" w:rsidR="00275C03" w:rsidRPr="0037585C" w:rsidRDefault="00275C03" w:rsidP="00275C03">
            <w:r w:rsidRPr="0037585C">
              <w:t>Sydney, NSW</w:t>
            </w:r>
          </w:p>
        </w:tc>
      </w:tr>
      <w:tr w:rsidR="00275C03" w:rsidRPr="0037585C" w14:paraId="0719D4C5" w14:textId="77777777" w:rsidTr="00275C03">
        <w:tc>
          <w:tcPr>
            <w:tcW w:w="1242" w:type="dxa"/>
          </w:tcPr>
          <w:p w14:paraId="62DD24B9" w14:textId="77777777" w:rsidR="00275C03" w:rsidRPr="0037585C" w:rsidRDefault="00275C03" w:rsidP="00275C03">
            <w:r w:rsidRPr="0037585C">
              <w:t>21.01.15</w:t>
            </w:r>
          </w:p>
        </w:tc>
        <w:tc>
          <w:tcPr>
            <w:tcW w:w="5954" w:type="dxa"/>
            <w:shd w:val="clear" w:color="auto" w:fill="auto"/>
          </w:tcPr>
          <w:p w14:paraId="58D6ACE4" w14:textId="77777777" w:rsidR="00275C03" w:rsidRPr="0037585C" w:rsidRDefault="00275C03" w:rsidP="00275C03">
            <w:pPr>
              <w:rPr>
                <w:bCs/>
              </w:rPr>
            </w:pPr>
            <w:r w:rsidRPr="0037585C">
              <w:rPr>
                <w:bCs/>
              </w:rPr>
              <w:t>Niki Norris, Vice Chairperson, National Child Protection Alliance</w:t>
            </w:r>
          </w:p>
        </w:tc>
        <w:tc>
          <w:tcPr>
            <w:tcW w:w="2090" w:type="dxa"/>
          </w:tcPr>
          <w:p w14:paraId="3EB37EF2" w14:textId="77777777" w:rsidR="00275C03" w:rsidRPr="0037585C" w:rsidRDefault="00275C03" w:rsidP="00275C03">
            <w:r w:rsidRPr="0037585C">
              <w:t>AHRC, NSW</w:t>
            </w:r>
          </w:p>
        </w:tc>
      </w:tr>
      <w:tr w:rsidR="00275C03" w:rsidRPr="0037585C" w14:paraId="1A11A478" w14:textId="77777777" w:rsidTr="00275C03">
        <w:tc>
          <w:tcPr>
            <w:tcW w:w="1242" w:type="dxa"/>
          </w:tcPr>
          <w:p w14:paraId="05044EA7" w14:textId="77777777" w:rsidR="00275C03" w:rsidRPr="0037585C" w:rsidRDefault="00275C03" w:rsidP="00275C03">
            <w:r w:rsidRPr="0037585C">
              <w:t>22.01.15</w:t>
            </w:r>
          </w:p>
        </w:tc>
        <w:tc>
          <w:tcPr>
            <w:tcW w:w="5954" w:type="dxa"/>
          </w:tcPr>
          <w:p w14:paraId="114A2248" w14:textId="22BE365D" w:rsidR="00275C03" w:rsidRPr="0037585C" w:rsidRDefault="00275C03" w:rsidP="00EC3AB3">
            <w:pPr>
              <w:rPr>
                <w:bCs/>
                <w:highlight w:val="magenta"/>
              </w:rPr>
            </w:pPr>
            <w:r w:rsidRPr="0037585C">
              <w:rPr>
                <w:bCs/>
              </w:rPr>
              <w:t xml:space="preserve">Claire Robbs, Chief Executive, Life Without Barriers </w:t>
            </w:r>
          </w:p>
        </w:tc>
        <w:tc>
          <w:tcPr>
            <w:tcW w:w="2090" w:type="dxa"/>
          </w:tcPr>
          <w:p w14:paraId="6411CDD1" w14:textId="77777777" w:rsidR="00275C03" w:rsidRPr="0037585C" w:rsidRDefault="00275C03" w:rsidP="00275C03">
            <w:r w:rsidRPr="0037585C">
              <w:t>AHRC, NSW</w:t>
            </w:r>
          </w:p>
        </w:tc>
      </w:tr>
      <w:tr w:rsidR="00275C03" w:rsidRPr="0037585C" w14:paraId="4203513D" w14:textId="77777777" w:rsidTr="00275C03">
        <w:tc>
          <w:tcPr>
            <w:tcW w:w="1242" w:type="dxa"/>
          </w:tcPr>
          <w:p w14:paraId="31DF4565" w14:textId="77777777" w:rsidR="00275C03" w:rsidRPr="0037585C" w:rsidRDefault="00275C03" w:rsidP="00275C03">
            <w:r w:rsidRPr="0037585C">
              <w:t>22.01.15</w:t>
            </w:r>
          </w:p>
        </w:tc>
        <w:tc>
          <w:tcPr>
            <w:tcW w:w="5954" w:type="dxa"/>
          </w:tcPr>
          <w:p w14:paraId="5D75F733" w14:textId="77777777" w:rsidR="00275C03" w:rsidRPr="0037585C" w:rsidRDefault="00275C03" w:rsidP="00275C03">
            <w:pPr>
              <w:rPr>
                <w:bCs/>
              </w:rPr>
            </w:pPr>
            <w:r w:rsidRPr="0037585C">
              <w:rPr>
                <w:bCs/>
              </w:rPr>
              <w:t>Tammy Solonec, Indigenous People's Rights Manager, Amnesty International</w:t>
            </w:r>
          </w:p>
        </w:tc>
        <w:tc>
          <w:tcPr>
            <w:tcW w:w="2090" w:type="dxa"/>
          </w:tcPr>
          <w:p w14:paraId="1199529F" w14:textId="77777777" w:rsidR="00275C03" w:rsidRPr="0037585C" w:rsidRDefault="00275C03" w:rsidP="00275C03">
            <w:r w:rsidRPr="0037585C">
              <w:t>AHRC, NSW</w:t>
            </w:r>
          </w:p>
        </w:tc>
      </w:tr>
      <w:tr w:rsidR="00275C03" w:rsidRPr="0037585C" w14:paraId="58D92C7F" w14:textId="77777777" w:rsidTr="00275C03">
        <w:tc>
          <w:tcPr>
            <w:tcW w:w="1242" w:type="dxa"/>
          </w:tcPr>
          <w:p w14:paraId="145062D6" w14:textId="77777777" w:rsidR="00275C03" w:rsidRPr="0037585C" w:rsidRDefault="00275C03" w:rsidP="00275C03">
            <w:r w:rsidRPr="0037585C">
              <w:t>23.01.15</w:t>
            </w:r>
          </w:p>
        </w:tc>
        <w:tc>
          <w:tcPr>
            <w:tcW w:w="5954" w:type="dxa"/>
          </w:tcPr>
          <w:p w14:paraId="6AEC5EC4" w14:textId="77777777" w:rsidR="00275C03" w:rsidRPr="0037585C" w:rsidRDefault="00275C03" w:rsidP="00275C03">
            <w:pPr>
              <w:rPr>
                <w:bCs/>
                <w:highlight w:val="magenta"/>
              </w:rPr>
            </w:pPr>
            <w:r w:rsidRPr="0037585C">
              <w:rPr>
                <w:bCs/>
              </w:rPr>
              <w:t>Magdelena Madden,</w:t>
            </w:r>
            <w:r w:rsidRPr="0037585C">
              <w:rPr>
                <w:rFonts w:ascii="Calibri" w:eastAsiaTheme="minorHAnsi" w:hAnsi="Calibri" w:cs="Arial"/>
                <w:color w:val="244061"/>
                <w:sz w:val="22"/>
                <w:szCs w:val="22"/>
              </w:rPr>
              <w:t xml:space="preserve"> </w:t>
            </w:r>
            <w:r w:rsidRPr="0037585C">
              <w:rPr>
                <w:bCs/>
              </w:rPr>
              <w:t>Principal Consultant, Council for the Care of Children in South Australia</w:t>
            </w:r>
          </w:p>
        </w:tc>
        <w:tc>
          <w:tcPr>
            <w:tcW w:w="2090" w:type="dxa"/>
          </w:tcPr>
          <w:p w14:paraId="08FC79CC" w14:textId="77777777" w:rsidR="00275C03" w:rsidRPr="0037585C" w:rsidRDefault="00275C03" w:rsidP="00275C03">
            <w:r w:rsidRPr="0037585C">
              <w:t>AHRC, NSW</w:t>
            </w:r>
          </w:p>
        </w:tc>
      </w:tr>
      <w:tr w:rsidR="00275C03" w:rsidRPr="0037585C" w14:paraId="5FE153C9" w14:textId="77777777" w:rsidTr="00275C03">
        <w:tc>
          <w:tcPr>
            <w:tcW w:w="1242" w:type="dxa"/>
          </w:tcPr>
          <w:p w14:paraId="1E8CF67B" w14:textId="77777777" w:rsidR="00275C03" w:rsidRPr="0037585C" w:rsidRDefault="00275C03" w:rsidP="00275C03">
            <w:r w:rsidRPr="0037585C">
              <w:t>27.01.15</w:t>
            </w:r>
          </w:p>
        </w:tc>
        <w:tc>
          <w:tcPr>
            <w:tcW w:w="5954" w:type="dxa"/>
          </w:tcPr>
          <w:p w14:paraId="20D88734" w14:textId="77777777" w:rsidR="00275C03" w:rsidRPr="0037585C" w:rsidRDefault="00275C03" w:rsidP="00275C03">
            <w:pPr>
              <w:rPr>
                <w:bCs/>
              </w:rPr>
            </w:pPr>
            <w:r w:rsidRPr="0037585C">
              <w:rPr>
                <w:bCs/>
              </w:rPr>
              <w:t>Pam Simmons</w:t>
            </w:r>
            <w:r w:rsidRPr="0037585C">
              <w:rPr>
                <w:rFonts w:ascii="Trebuchet MS" w:hAnsi="Trebuchet MS"/>
                <w:bCs/>
              </w:rPr>
              <w:t xml:space="preserve">, </w:t>
            </w:r>
            <w:r w:rsidRPr="0037585C">
              <w:rPr>
                <w:bCs/>
              </w:rPr>
              <w:t>Guardian for Children and Young People, Office of the Guardian for Children and Young People in South Australia</w:t>
            </w:r>
          </w:p>
        </w:tc>
        <w:tc>
          <w:tcPr>
            <w:tcW w:w="2090" w:type="dxa"/>
          </w:tcPr>
          <w:p w14:paraId="2DC7AA69" w14:textId="77777777" w:rsidR="00275C03" w:rsidRPr="0037585C" w:rsidRDefault="00275C03" w:rsidP="00275C03">
            <w:r w:rsidRPr="0037585C">
              <w:t>AHRC, NSW</w:t>
            </w:r>
          </w:p>
        </w:tc>
      </w:tr>
      <w:tr w:rsidR="00275C03" w:rsidRPr="0037585C" w14:paraId="3C046AC5" w14:textId="77777777" w:rsidTr="00275C03">
        <w:tc>
          <w:tcPr>
            <w:tcW w:w="1242" w:type="dxa"/>
          </w:tcPr>
          <w:p w14:paraId="62583776" w14:textId="77777777" w:rsidR="00275C03" w:rsidRPr="0037585C" w:rsidRDefault="00275C03" w:rsidP="00275C03">
            <w:r w:rsidRPr="0037585C">
              <w:t>02.02.15</w:t>
            </w:r>
          </w:p>
        </w:tc>
        <w:tc>
          <w:tcPr>
            <w:tcW w:w="5954" w:type="dxa"/>
          </w:tcPr>
          <w:p w14:paraId="6D5483DB" w14:textId="77777777" w:rsidR="00275C03" w:rsidRPr="0037585C" w:rsidRDefault="00275C03" w:rsidP="00275C03">
            <w:pPr>
              <w:rPr>
                <w:bCs/>
              </w:rPr>
            </w:pPr>
            <w:r w:rsidRPr="0037585C">
              <w:rPr>
                <w:bCs/>
              </w:rPr>
              <w:t>Commissioner Lindiwe Mokate, South African Commissioner for Children’s Rights and Basic Education</w:t>
            </w:r>
          </w:p>
        </w:tc>
        <w:tc>
          <w:tcPr>
            <w:tcW w:w="2090" w:type="dxa"/>
          </w:tcPr>
          <w:p w14:paraId="5E53482A" w14:textId="77777777" w:rsidR="00275C03" w:rsidRPr="0037585C" w:rsidRDefault="00275C03" w:rsidP="00275C03">
            <w:r w:rsidRPr="0037585C">
              <w:t>AHRC, NSW</w:t>
            </w:r>
          </w:p>
        </w:tc>
      </w:tr>
      <w:tr w:rsidR="00275C03" w:rsidRPr="0037585C" w14:paraId="2349753B" w14:textId="77777777" w:rsidTr="00275C03">
        <w:tc>
          <w:tcPr>
            <w:tcW w:w="1242" w:type="dxa"/>
          </w:tcPr>
          <w:p w14:paraId="1080D68B" w14:textId="77777777" w:rsidR="00275C03" w:rsidRPr="0037585C" w:rsidRDefault="00275C03" w:rsidP="00275C03">
            <w:r w:rsidRPr="0037585C">
              <w:t>02.02.15</w:t>
            </w:r>
          </w:p>
        </w:tc>
        <w:tc>
          <w:tcPr>
            <w:tcW w:w="5954" w:type="dxa"/>
          </w:tcPr>
          <w:p w14:paraId="39B35735" w14:textId="311C7F58" w:rsidR="00275C03" w:rsidRPr="0037585C" w:rsidRDefault="00275C03" w:rsidP="00275C03">
            <w:pPr>
              <w:rPr>
                <w:bCs/>
              </w:rPr>
            </w:pPr>
            <w:r w:rsidRPr="0037585C">
              <w:rPr>
                <w:bCs/>
              </w:rPr>
              <w:t xml:space="preserve">Dr Ruth </w:t>
            </w:r>
            <w:r w:rsidR="00F33648">
              <w:rPr>
                <w:bCs/>
              </w:rPr>
              <w:t xml:space="preserve">Rudge </w:t>
            </w:r>
            <w:r w:rsidRPr="0037585C">
              <w:rPr>
                <w:bCs/>
              </w:rPr>
              <w:t xml:space="preserve">and Dr John Rudge, Clinical Psychologists, </w:t>
            </w:r>
            <w:r w:rsidRPr="0037585C">
              <w:rPr>
                <w:bCs/>
                <w:iCs/>
              </w:rPr>
              <w:t>Southern Cross Clinical Psychology Services</w:t>
            </w:r>
          </w:p>
        </w:tc>
        <w:tc>
          <w:tcPr>
            <w:tcW w:w="2090" w:type="dxa"/>
          </w:tcPr>
          <w:p w14:paraId="30255563" w14:textId="77777777" w:rsidR="00275C03" w:rsidRPr="0037585C" w:rsidRDefault="00275C03" w:rsidP="00275C03">
            <w:r w:rsidRPr="0037585C">
              <w:t>AHRC, NSW</w:t>
            </w:r>
          </w:p>
        </w:tc>
      </w:tr>
      <w:tr w:rsidR="00275C03" w:rsidRPr="0037585C" w14:paraId="5230D116" w14:textId="77777777" w:rsidTr="00275C03">
        <w:tc>
          <w:tcPr>
            <w:tcW w:w="1242" w:type="dxa"/>
          </w:tcPr>
          <w:p w14:paraId="54233019" w14:textId="77777777" w:rsidR="00275C03" w:rsidRPr="0037585C" w:rsidRDefault="00275C03" w:rsidP="00275C03">
            <w:r w:rsidRPr="0037585C">
              <w:t>03.02.15</w:t>
            </w:r>
          </w:p>
        </w:tc>
        <w:tc>
          <w:tcPr>
            <w:tcW w:w="5954" w:type="dxa"/>
          </w:tcPr>
          <w:p w14:paraId="64F91CDA" w14:textId="77777777" w:rsidR="00275C03" w:rsidRPr="0037585C" w:rsidRDefault="00275C03" w:rsidP="00275C03">
            <w:pPr>
              <w:rPr>
                <w:bCs/>
              </w:rPr>
            </w:pPr>
            <w:r>
              <w:rPr>
                <w:bCs/>
              </w:rPr>
              <w:t>Samantha Yorke</w:t>
            </w:r>
            <w:r w:rsidRPr="0037585C">
              <w:rPr>
                <w:bCs/>
              </w:rPr>
              <w:t>, Public Policy and Government Affairs, Google Australia</w:t>
            </w:r>
          </w:p>
        </w:tc>
        <w:tc>
          <w:tcPr>
            <w:tcW w:w="2090" w:type="dxa"/>
          </w:tcPr>
          <w:p w14:paraId="43D4B501" w14:textId="77777777" w:rsidR="00275C03" w:rsidRPr="0037585C" w:rsidRDefault="00275C03" w:rsidP="00275C03">
            <w:r w:rsidRPr="0037585C">
              <w:t>AHRC, NSW</w:t>
            </w:r>
          </w:p>
        </w:tc>
      </w:tr>
      <w:tr w:rsidR="00275C03" w:rsidRPr="0037585C" w14:paraId="75905060" w14:textId="77777777" w:rsidTr="00275C03">
        <w:tc>
          <w:tcPr>
            <w:tcW w:w="1242" w:type="dxa"/>
          </w:tcPr>
          <w:p w14:paraId="35D21E25" w14:textId="77777777" w:rsidR="00275C03" w:rsidRPr="0037585C" w:rsidRDefault="00275C03" w:rsidP="00275C03">
            <w:r w:rsidRPr="0037585C">
              <w:t>05.02.15</w:t>
            </w:r>
          </w:p>
        </w:tc>
        <w:tc>
          <w:tcPr>
            <w:tcW w:w="5954" w:type="dxa"/>
          </w:tcPr>
          <w:p w14:paraId="58DB5385" w14:textId="77777777" w:rsidR="00275C03" w:rsidRPr="0037585C" w:rsidRDefault="00275C03" w:rsidP="00275C03">
            <w:pPr>
              <w:rPr>
                <w:bCs/>
              </w:rPr>
            </w:pPr>
            <w:r w:rsidRPr="0037585C">
              <w:rPr>
                <w:bCs/>
              </w:rPr>
              <w:t>National Advisory Committee for the Aboriginal and Torres Strait Islander Suicide Prevention Evaluation Project</w:t>
            </w:r>
            <w:r>
              <w:rPr>
                <w:bCs/>
              </w:rPr>
              <w:t xml:space="preserve"> (ATSISPEP)</w:t>
            </w:r>
          </w:p>
        </w:tc>
        <w:tc>
          <w:tcPr>
            <w:tcW w:w="2090" w:type="dxa"/>
          </w:tcPr>
          <w:p w14:paraId="71200C99" w14:textId="77777777" w:rsidR="00275C03" w:rsidRPr="0037585C" w:rsidRDefault="00275C03" w:rsidP="00275C03">
            <w:r w:rsidRPr="0037585C">
              <w:t>AHRC, NSW</w:t>
            </w:r>
          </w:p>
        </w:tc>
      </w:tr>
      <w:tr w:rsidR="00275C03" w:rsidRPr="0037585C" w14:paraId="574D2D5C" w14:textId="77777777" w:rsidTr="00275C03">
        <w:tc>
          <w:tcPr>
            <w:tcW w:w="1242" w:type="dxa"/>
          </w:tcPr>
          <w:p w14:paraId="3C686A63" w14:textId="77777777" w:rsidR="00275C03" w:rsidRPr="0037585C" w:rsidRDefault="00275C03" w:rsidP="00275C03">
            <w:r w:rsidRPr="0037585C">
              <w:t>09.02.15</w:t>
            </w:r>
          </w:p>
        </w:tc>
        <w:tc>
          <w:tcPr>
            <w:tcW w:w="5954" w:type="dxa"/>
          </w:tcPr>
          <w:p w14:paraId="0CC62705" w14:textId="7DAA03C5" w:rsidR="00275C03" w:rsidRPr="0037585C" w:rsidRDefault="00275C03" w:rsidP="0031522F">
            <w:pPr>
              <w:rPr>
                <w:bCs/>
              </w:rPr>
            </w:pPr>
            <w:r w:rsidRPr="0037585C">
              <w:rPr>
                <w:bCs/>
              </w:rPr>
              <w:t>Ian Baker, Director, Education Policy and Programs, NS</w:t>
            </w:r>
            <w:r w:rsidR="0031522F">
              <w:rPr>
                <w:bCs/>
              </w:rPr>
              <w:t xml:space="preserve">W Catholic Education Commission, and </w:t>
            </w:r>
            <w:r w:rsidRPr="0037585C">
              <w:rPr>
                <w:bCs/>
              </w:rPr>
              <w:t xml:space="preserve">Ross Fox, Executive Director, National Catholic Education Commission </w:t>
            </w:r>
          </w:p>
        </w:tc>
        <w:tc>
          <w:tcPr>
            <w:tcW w:w="2090" w:type="dxa"/>
          </w:tcPr>
          <w:p w14:paraId="28D39022" w14:textId="77777777" w:rsidR="00275C03" w:rsidRPr="0037585C" w:rsidRDefault="00275C03" w:rsidP="00275C03">
            <w:r w:rsidRPr="0037585C">
              <w:t>AHRC, NSW</w:t>
            </w:r>
          </w:p>
        </w:tc>
      </w:tr>
      <w:tr w:rsidR="00275C03" w:rsidRPr="0037585C" w14:paraId="3FFF2F20" w14:textId="77777777" w:rsidTr="00275C03">
        <w:tc>
          <w:tcPr>
            <w:tcW w:w="1242" w:type="dxa"/>
          </w:tcPr>
          <w:p w14:paraId="46D2076D" w14:textId="77777777" w:rsidR="00275C03" w:rsidRPr="0037585C" w:rsidRDefault="00275C03" w:rsidP="00275C03">
            <w:r w:rsidRPr="0037585C">
              <w:t>11.02.15</w:t>
            </w:r>
          </w:p>
        </w:tc>
        <w:tc>
          <w:tcPr>
            <w:tcW w:w="5954" w:type="dxa"/>
          </w:tcPr>
          <w:p w14:paraId="0273B4BF" w14:textId="77777777" w:rsidR="00275C03" w:rsidRPr="0037585C" w:rsidRDefault="00275C03" w:rsidP="00275C03">
            <w:pPr>
              <w:rPr>
                <w:bCs/>
              </w:rPr>
            </w:pPr>
            <w:r w:rsidRPr="0037585C">
              <w:rPr>
                <w:bCs/>
              </w:rPr>
              <w:t>Professor Deborah Mitchell, Australian Demographic and Social Research Institute, Australian National University</w:t>
            </w:r>
          </w:p>
        </w:tc>
        <w:tc>
          <w:tcPr>
            <w:tcW w:w="2090" w:type="dxa"/>
          </w:tcPr>
          <w:p w14:paraId="2BE9B631" w14:textId="77777777" w:rsidR="00275C03" w:rsidRPr="0037585C" w:rsidRDefault="00275C03" w:rsidP="00275C03">
            <w:r w:rsidRPr="0037585C">
              <w:t>Canberra, ACT</w:t>
            </w:r>
          </w:p>
        </w:tc>
      </w:tr>
      <w:tr w:rsidR="00275C03" w:rsidRPr="0037585C" w14:paraId="77265FB1" w14:textId="77777777" w:rsidTr="00275C03">
        <w:tc>
          <w:tcPr>
            <w:tcW w:w="1242" w:type="dxa"/>
          </w:tcPr>
          <w:p w14:paraId="3BBFA762" w14:textId="77777777" w:rsidR="00275C03" w:rsidRPr="0037585C" w:rsidRDefault="00275C03" w:rsidP="00275C03">
            <w:r w:rsidRPr="0037585C">
              <w:t>12.02.15</w:t>
            </w:r>
          </w:p>
        </w:tc>
        <w:tc>
          <w:tcPr>
            <w:tcW w:w="5954" w:type="dxa"/>
          </w:tcPr>
          <w:p w14:paraId="42851C64" w14:textId="77777777" w:rsidR="00275C03" w:rsidRPr="0037585C" w:rsidRDefault="00275C03" w:rsidP="00275C03">
            <w:pPr>
              <w:rPr>
                <w:bCs/>
              </w:rPr>
            </w:pPr>
            <w:r w:rsidRPr="0037585C">
              <w:rPr>
                <w:bCs/>
              </w:rPr>
              <w:t>Professor Elizabeth Handsley, President of the Australian Council on Children and the Media</w:t>
            </w:r>
          </w:p>
        </w:tc>
        <w:tc>
          <w:tcPr>
            <w:tcW w:w="2090" w:type="dxa"/>
          </w:tcPr>
          <w:p w14:paraId="079EEE3D" w14:textId="77777777" w:rsidR="00275C03" w:rsidRPr="0037585C" w:rsidRDefault="00275C03" w:rsidP="00275C03">
            <w:r w:rsidRPr="0037585C">
              <w:t>AHRC, NSW</w:t>
            </w:r>
          </w:p>
        </w:tc>
      </w:tr>
      <w:tr w:rsidR="00275C03" w:rsidRPr="0037585C" w14:paraId="49676F97" w14:textId="77777777" w:rsidTr="00275C03">
        <w:tc>
          <w:tcPr>
            <w:tcW w:w="1242" w:type="dxa"/>
          </w:tcPr>
          <w:p w14:paraId="1631F8B9" w14:textId="77777777" w:rsidR="00275C03" w:rsidRPr="0037585C" w:rsidRDefault="00275C03" w:rsidP="00275C03">
            <w:r w:rsidRPr="0037585C">
              <w:t>16.02.15</w:t>
            </w:r>
          </w:p>
        </w:tc>
        <w:tc>
          <w:tcPr>
            <w:tcW w:w="5954" w:type="dxa"/>
          </w:tcPr>
          <w:p w14:paraId="161F8895" w14:textId="77777777" w:rsidR="00275C03" w:rsidRPr="0037585C" w:rsidRDefault="00275C03" w:rsidP="00275C03">
            <w:pPr>
              <w:rPr>
                <w:bCs/>
              </w:rPr>
            </w:pPr>
            <w:r w:rsidRPr="0037585C">
              <w:rPr>
                <w:bCs/>
              </w:rPr>
              <w:t>Andrew Johnson, NSW Advocate, Advocate for Children and Young People</w:t>
            </w:r>
          </w:p>
        </w:tc>
        <w:tc>
          <w:tcPr>
            <w:tcW w:w="2090" w:type="dxa"/>
          </w:tcPr>
          <w:p w14:paraId="52C77885" w14:textId="77777777" w:rsidR="00275C03" w:rsidRPr="0037585C" w:rsidRDefault="00275C03" w:rsidP="00275C03">
            <w:r w:rsidRPr="0037585C">
              <w:t>AHRC, NSW</w:t>
            </w:r>
          </w:p>
        </w:tc>
      </w:tr>
      <w:tr w:rsidR="00275C03" w:rsidRPr="0037585C" w14:paraId="53D7355E" w14:textId="77777777" w:rsidTr="00275C03">
        <w:tc>
          <w:tcPr>
            <w:tcW w:w="1242" w:type="dxa"/>
          </w:tcPr>
          <w:p w14:paraId="2030D590" w14:textId="77777777" w:rsidR="00275C03" w:rsidRPr="0037585C" w:rsidRDefault="00275C03" w:rsidP="00275C03">
            <w:r w:rsidRPr="0037585C">
              <w:t>19.02.15</w:t>
            </w:r>
          </w:p>
        </w:tc>
        <w:tc>
          <w:tcPr>
            <w:tcW w:w="5954" w:type="dxa"/>
          </w:tcPr>
          <w:p w14:paraId="0C7DC9C3" w14:textId="7E1F22A4" w:rsidR="00275C03" w:rsidRPr="0037585C" w:rsidRDefault="00275C03" w:rsidP="0031522F">
            <w:pPr>
              <w:rPr>
                <w:bCs/>
              </w:rPr>
            </w:pPr>
            <w:r w:rsidRPr="0037585C">
              <w:rPr>
                <w:bCs/>
              </w:rPr>
              <w:t xml:space="preserve">Professor Patrick McGorry AO, Executive Director, Orygen </w:t>
            </w:r>
            <w:r w:rsidR="0031522F">
              <w:rPr>
                <w:bCs/>
              </w:rPr>
              <w:t xml:space="preserve">– </w:t>
            </w:r>
            <w:r w:rsidRPr="0037585C">
              <w:rPr>
                <w:bCs/>
              </w:rPr>
              <w:t>The National Centre of Excellence in Youth Mental Health</w:t>
            </w:r>
          </w:p>
        </w:tc>
        <w:tc>
          <w:tcPr>
            <w:tcW w:w="2090" w:type="dxa"/>
          </w:tcPr>
          <w:p w14:paraId="50B1E627" w14:textId="77777777" w:rsidR="00275C03" w:rsidRPr="0037585C" w:rsidRDefault="00275C03" w:rsidP="00275C03">
            <w:r w:rsidRPr="0037585C">
              <w:t>AHRC, NSW</w:t>
            </w:r>
          </w:p>
        </w:tc>
      </w:tr>
      <w:tr w:rsidR="00275C03" w:rsidRPr="0037585C" w14:paraId="31D8FEF0" w14:textId="77777777" w:rsidTr="00275C03">
        <w:tc>
          <w:tcPr>
            <w:tcW w:w="1242" w:type="dxa"/>
          </w:tcPr>
          <w:p w14:paraId="022730C4" w14:textId="77777777" w:rsidR="00275C03" w:rsidRPr="0037585C" w:rsidRDefault="00275C03" w:rsidP="00275C03">
            <w:r w:rsidRPr="0037585C">
              <w:t>23.02.15</w:t>
            </w:r>
          </w:p>
        </w:tc>
        <w:tc>
          <w:tcPr>
            <w:tcW w:w="5954" w:type="dxa"/>
          </w:tcPr>
          <w:p w14:paraId="34868BF9" w14:textId="1F5416A2" w:rsidR="00275C03" w:rsidRPr="0037585C" w:rsidRDefault="00275C03" w:rsidP="0031522F">
            <w:pPr>
              <w:rPr>
                <w:bCs/>
              </w:rPr>
            </w:pPr>
            <w:r w:rsidRPr="0037585C">
              <w:rPr>
                <w:bCs/>
              </w:rPr>
              <w:t>Dr Susan Cochrane, Advisor</w:t>
            </w:r>
            <w:r>
              <w:rPr>
                <w:bCs/>
              </w:rPr>
              <w:t xml:space="preserve"> for the </w:t>
            </w:r>
            <w:r w:rsidRPr="0037585C">
              <w:rPr>
                <w:bCs/>
              </w:rPr>
              <w:t>Office of the Attorney-General and Minister for the Arts</w:t>
            </w:r>
          </w:p>
        </w:tc>
        <w:tc>
          <w:tcPr>
            <w:tcW w:w="2090" w:type="dxa"/>
          </w:tcPr>
          <w:p w14:paraId="28B48EDA" w14:textId="77777777" w:rsidR="00275C03" w:rsidRPr="0037585C" w:rsidRDefault="00275C03" w:rsidP="00275C03">
            <w:r w:rsidRPr="0037585C">
              <w:t>Canberra, ACT</w:t>
            </w:r>
          </w:p>
        </w:tc>
      </w:tr>
      <w:tr w:rsidR="00275C03" w:rsidRPr="0037585C" w14:paraId="347E446A" w14:textId="77777777" w:rsidTr="00275C03">
        <w:tc>
          <w:tcPr>
            <w:tcW w:w="1242" w:type="dxa"/>
          </w:tcPr>
          <w:p w14:paraId="6CB90A70" w14:textId="77777777" w:rsidR="00275C03" w:rsidRPr="0037585C" w:rsidRDefault="00275C03" w:rsidP="00275C03">
            <w:r w:rsidRPr="0037585C">
              <w:t>23.02.15</w:t>
            </w:r>
          </w:p>
        </w:tc>
        <w:tc>
          <w:tcPr>
            <w:tcW w:w="5954" w:type="dxa"/>
          </w:tcPr>
          <w:p w14:paraId="11D24EF2" w14:textId="77777777" w:rsidR="00275C03" w:rsidRPr="0037585C" w:rsidRDefault="00275C03" w:rsidP="00275C03">
            <w:pPr>
              <w:rPr>
                <w:bCs/>
              </w:rPr>
            </w:pPr>
            <w:r>
              <w:rPr>
                <w:bCs/>
              </w:rPr>
              <w:t>Natasha Cole, Advisor to</w:t>
            </w:r>
            <w:r w:rsidRPr="0037585C">
              <w:rPr>
                <w:bCs/>
              </w:rPr>
              <w:t xml:space="preserve"> the Hon Sussan Ley MP</w:t>
            </w:r>
            <w:r w:rsidRPr="0037585C">
              <w:t xml:space="preserve">, </w:t>
            </w:r>
            <w:r w:rsidRPr="0037585C">
              <w:rPr>
                <w:bCs/>
              </w:rPr>
              <w:t>Minister for Health, Minister for Sport</w:t>
            </w:r>
          </w:p>
        </w:tc>
        <w:tc>
          <w:tcPr>
            <w:tcW w:w="2090" w:type="dxa"/>
          </w:tcPr>
          <w:p w14:paraId="4C2B4EE3" w14:textId="77777777" w:rsidR="00275C03" w:rsidRPr="0037585C" w:rsidRDefault="00275C03" w:rsidP="00275C03">
            <w:r w:rsidRPr="0037585C">
              <w:t>Canberra, ACT</w:t>
            </w:r>
          </w:p>
        </w:tc>
      </w:tr>
      <w:tr w:rsidR="00275C03" w:rsidRPr="0037585C" w14:paraId="543D44B6" w14:textId="77777777" w:rsidTr="00275C03">
        <w:tc>
          <w:tcPr>
            <w:tcW w:w="1242" w:type="dxa"/>
          </w:tcPr>
          <w:p w14:paraId="6B136A33" w14:textId="77777777" w:rsidR="00275C03" w:rsidRPr="0037585C" w:rsidRDefault="00275C03" w:rsidP="00275C03">
            <w:r w:rsidRPr="0037585C">
              <w:t>23.02.15</w:t>
            </w:r>
          </w:p>
        </w:tc>
        <w:tc>
          <w:tcPr>
            <w:tcW w:w="5954" w:type="dxa"/>
          </w:tcPr>
          <w:p w14:paraId="62DE229B" w14:textId="26CFB0A0" w:rsidR="00275C03" w:rsidRPr="0037585C" w:rsidRDefault="00275C03" w:rsidP="00275C03">
            <w:pPr>
              <w:rPr>
                <w:bCs/>
                <w:highlight w:val="magenta"/>
              </w:rPr>
            </w:pPr>
            <w:r w:rsidRPr="0037585C">
              <w:rPr>
                <w:bCs/>
              </w:rPr>
              <w:t xml:space="preserve">Senator </w:t>
            </w:r>
            <w:r w:rsidR="008033BC">
              <w:rPr>
                <w:bCs/>
              </w:rPr>
              <w:t xml:space="preserve">the Hon </w:t>
            </w:r>
            <w:r w:rsidRPr="0037585C">
              <w:rPr>
                <w:bCs/>
              </w:rPr>
              <w:t>Penny Wright</w:t>
            </w:r>
            <w:r>
              <w:rPr>
                <w:bCs/>
              </w:rPr>
              <w:t>,</w:t>
            </w:r>
            <w:r w:rsidRPr="0037585C">
              <w:rPr>
                <w:bCs/>
                <w:color w:val="5FA737"/>
                <w:sz w:val="20"/>
                <w:szCs w:val="20"/>
              </w:rPr>
              <w:t xml:space="preserve"> </w:t>
            </w:r>
            <w:r w:rsidRPr="0037585C">
              <w:rPr>
                <w:bCs/>
              </w:rPr>
              <w:t>Senator for South Australia</w:t>
            </w:r>
            <w:r>
              <w:rPr>
                <w:bCs/>
              </w:rPr>
              <w:t xml:space="preserve">, </w:t>
            </w:r>
            <w:r w:rsidRPr="0037585C">
              <w:rPr>
                <w:bCs/>
              </w:rPr>
              <w:t>Australian Greens</w:t>
            </w:r>
          </w:p>
        </w:tc>
        <w:tc>
          <w:tcPr>
            <w:tcW w:w="2090" w:type="dxa"/>
          </w:tcPr>
          <w:p w14:paraId="7EE28CB7" w14:textId="77777777" w:rsidR="00275C03" w:rsidRPr="0037585C" w:rsidRDefault="00275C03" w:rsidP="00275C03">
            <w:r w:rsidRPr="0037585C">
              <w:t>Canberra, ACT</w:t>
            </w:r>
          </w:p>
        </w:tc>
      </w:tr>
      <w:tr w:rsidR="00275C03" w:rsidRPr="0037585C" w14:paraId="0B47186C" w14:textId="77777777" w:rsidTr="00275C03">
        <w:tc>
          <w:tcPr>
            <w:tcW w:w="1242" w:type="dxa"/>
          </w:tcPr>
          <w:p w14:paraId="4D81DA40" w14:textId="77777777" w:rsidR="00275C03" w:rsidRPr="0037585C" w:rsidRDefault="00275C03" w:rsidP="00275C03">
            <w:r w:rsidRPr="0037585C">
              <w:t>25.02.15</w:t>
            </w:r>
          </w:p>
        </w:tc>
        <w:tc>
          <w:tcPr>
            <w:tcW w:w="5954" w:type="dxa"/>
          </w:tcPr>
          <w:p w14:paraId="099EA4D1" w14:textId="1DDA930C" w:rsidR="00275C03" w:rsidRPr="0037585C" w:rsidRDefault="00275C03" w:rsidP="0031522F">
            <w:pPr>
              <w:rPr>
                <w:bCs/>
              </w:rPr>
            </w:pPr>
            <w:r w:rsidRPr="0037585C">
              <w:rPr>
                <w:bCs/>
              </w:rPr>
              <w:t>Dr Kirthana Sharma</w:t>
            </w:r>
            <w:r w:rsidR="0031522F">
              <w:rPr>
                <w:bCs/>
              </w:rPr>
              <w:t>,</w:t>
            </w:r>
            <w:r w:rsidRPr="0037585C">
              <w:rPr>
                <w:bCs/>
              </w:rPr>
              <w:t xml:space="preserve"> Co-Founder</w:t>
            </w:r>
            <w:r>
              <w:rPr>
                <w:bCs/>
              </w:rPr>
              <w:t>,</w:t>
            </w:r>
            <w:r w:rsidRPr="0037585C">
              <w:rPr>
                <w:bCs/>
              </w:rPr>
              <w:t xml:space="preserve"> Doctors Against Pollution</w:t>
            </w:r>
          </w:p>
        </w:tc>
        <w:tc>
          <w:tcPr>
            <w:tcW w:w="2090" w:type="dxa"/>
          </w:tcPr>
          <w:p w14:paraId="2625980E" w14:textId="77777777" w:rsidR="00275C03" w:rsidRPr="0037585C" w:rsidRDefault="00275C03" w:rsidP="00275C03">
            <w:r w:rsidRPr="0037585C">
              <w:t>AHRC, NSW</w:t>
            </w:r>
          </w:p>
        </w:tc>
      </w:tr>
      <w:tr w:rsidR="00275C03" w:rsidRPr="0037585C" w14:paraId="1EA3E91F" w14:textId="77777777" w:rsidTr="00275C03">
        <w:tc>
          <w:tcPr>
            <w:tcW w:w="1242" w:type="dxa"/>
          </w:tcPr>
          <w:p w14:paraId="418097B7" w14:textId="77777777" w:rsidR="00275C03" w:rsidRPr="0037585C" w:rsidRDefault="00275C03" w:rsidP="00275C03">
            <w:r w:rsidRPr="0037585C">
              <w:t>25.02.15</w:t>
            </w:r>
          </w:p>
        </w:tc>
        <w:tc>
          <w:tcPr>
            <w:tcW w:w="5954" w:type="dxa"/>
          </w:tcPr>
          <w:p w14:paraId="7D490EF5" w14:textId="77777777" w:rsidR="00275C03" w:rsidRPr="0037585C" w:rsidRDefault="00275C03" w:rsidP="00275C03">
            <w:pPr>
              <w:rPr>
                <w:bCs/>
                <w:highlight w:val="magenta"/>
              </w:rPr>
            </w:pPr>
            <w:r w:rsidRPr="0037585C">
              <w:rPr>
                <w:bCs/>
              </w:rPr>
              <w:t>Philip Brown, A/g Group Manager, Families, Department of Social Services</w:t>
            </w:r>
          </w:p>
        </w:tc>
        <w:tc>
          <w:tcPr>
            <w:tcW w:w="2090" w:type="dxa"/>
          </w:tcPr>
          <w:p w14:paraId="76CFD825" w14:textId="77777777" w:rsidR="00275C03" w:rsidRPr="0037585C" w:rsidRDefault="00275C03" w:rsidP="00275C03">
            <w:r w:rsidRPr="0037585C">
              <w:t>AHRC, NSW</w:t>
            </w:r>
          </w:p>
        </w:tc>
      </w:tr>
      <w:tr w:rsidR="00275C03" w:rsidRPr="0037585C" w14:paraId="39B52B0F" w14:textId="77777777" w:rsidTr="00275C03">
        <w:tc>
          <w:tcPr>
            <w:tcW w:w="1242" w:type="dxa"/>
          </w:tcPr>
          <w:p w14:paraId="11331079" w14:textId="77777777" w:rsidR="00275C03" w:rsidRPr="0037585C" w:rsidRDefault="00275C03" w:rsidP="00275C03">
            <w:r w:rsidRPr="0037585C">
              <w:t>26.02.15</w:t>
            </w:r>
          </w:p>
        </w:tc>
        <w:tc>
          <w:tcPr>
            <w:tcW w:w="5954" w:type="dxa"/>
          </w:tcPr>
          <w:p w14:paraId="6F0BACFF" w14:textId="77777777" w:rsidR="00275C03" w:rsidRPr="0037585C" w:rsidRDefault="00275C03" w:rsidP="00275C03">
            <w:pPr>
              <w:rPr>
                <w:bCs/>
              </w:rPr>
            </w:pPr>
            <w:r w:rsidRPr="0097781B">
              <w:rPr>
                <w:bCs/>
              </w:rPr>
              <w:t xml:space="preserve">Natasha Scully and Helen Freeland, </w:t>
            </w:r>
            <w:r>
              <w:rPr>
                <w:bCs/>
              </w:rPr>
              <w:t>project for establishing Australia’s first national sovereign wealth fund for children</w:t>
            </w:r>
          </w:p>
        </w:tc>
        <w:tc>
          <w:tcPr>
            <w:tcW w:w="2090" w:type="dxa"/>
          </w:tcPr>
          <w:p w14:paraId="2DF8B7F0" w14:textId="77777777" w:rsidR="00275C03" w:rsidRPr="0037585C" w:rsidRDefault="00275C03" w:rsidP="00275C03">
            <w:r w:rsidRPr="0037585C">
              <w:t>AHRC, NSW</w:t>
            </w:r>
          </w:p>
        </w:tc>
      </w:tr>
      <w:tr w:rsidR="00275C03" w:rsidRPr="0037585C" w14:paraId="76DEE6EC" w14:textId="77777777" w:rsidTr="00275C03">
        <w:tc>
          <w:tcPr>
            <w:tcW w:w="1242" w:type="dxa"/>
          </w:tcPr>
          <w:p w14:paraId="7641B31D" w14:textId="77777777" w:rsidR="00275C03" w:rsidRPr="0037585C" w:rsidRDefault="00275C03" w:rsidP="00275C03">
            <w:r w:rsidRPr="0037585C">
              <w:t>26.02.15</w:t>
            </w:r>
          </w:p>
        </w:tc>
        <w:tc>
          <w:tcPr>
            <w:tcW w:w="5954" w:type="dxa"/>
          </w:tcPr>
          <w:p w14:paraId="5181697A" w14:textId="77777777" w:rsidR="00275C03" w:rsidRPr="0037585C" w:rsidRDefault="00275C03" w:rsidP="00275C03">
            <w:r w:rsidRPr="0037585C">
              <w:rPr>
                <w:bCs/>
              </w:rPr>
              <w:t xml:space="preserve">Eddie Cubillo, </w:t>
            </w:r>
            <w:r w:rsidRPr="0037585C">
              <w:t>Executive Officer, National Aboriginal &amp; Torres Strait Islander Legal Services</w:t>
            </w:r>
          </w:p>
        </w:tc>
        <w:tc>
          <w:tcPr>
            <w:tcW w:w="2090" w:type="dxa"/>
          </w:tcPr>
          <w:p w14:paraId="6CB85698" w14:textId="77777777" w:rsidR="00275C03" w:rsidRPr="0037585C" w:rsidRDefault="00275C03" w:rsidP="00275C03">
            <w:r w:rsidRPr="0037585C">
              <w:t>AHRC, NSW</w:t>
            </w:r>
          </w:p>
        </w:tc>
      </w:tr>
      <w:tr w:rsidR="00275C03" w:rsidRPr="0037585C" w14:paraId="4FA63294" w14:textId="77777777" w:rsidTr="00275C03">
        <w:tc>
          <w:tcPr>
            <w:tcW w:w="1242" w:type="dxa"/>
          </w:tcPr>
          <w:p w14:paraId="604DE68A" w14:textId="0AAFA707" w:rsidR="00275C03" w:rsidRPr="0037585C" w:rsidRDefault="00275C03" w:rsidP="0057418F">
            <w:r w:rsidRPr="0037585C">
              <w:t>06.0</w:t>
            </w:r>
            <w:r w:rsidR="0057418F">
              <w:t>3</w:t>
            </w:r>
            <w:r w:rsidRPr="0037585C">
              <w:t>.15</w:t>
            </w:r>
          </w:p>
        </w:tc>
        <w:tc>
          <w:tcPr>
            <w:tcW w:w="5954" w:type="dxa"/>
          </w:tcPr>
          <w:p w14:paraId="2792313F" w14:textId="5A6267EF" w:rsidR="00275C03" w:rsidRPr="0037585C" w:rsidRDefault="003B2D20" w:rsidP="00275C03">
            <w:pPr>
              <w:rPr>
                <w:bCs/>
              </w:rPr>
            </w:pPr>
            <w:r>
              <w:rPr>
                <w:bCs/>
              </w:rPr>
              <w:t xml:space="preserve">Ashley Hill, Project Officer and Consultant, </w:t>
            </w:r>
            <w:r w:rsidR="00275C03" w:rsidRPr="0037585C">
              <w:rPr>
                <w:bCs/>
              </w:rPr>
              <w:t>Ethnic Child Care, Family and Community Services Co-operative Ltd</w:t>
            </w:r>
          </w:p>
        </w:tc>
        <w:tc>
          <w:tcPr>
            <w:tcW w:w="2090" w:type="dxa"/>
          </w:tcPr>
          <w:p w14:paraId="2E78140E" w14:textId="77777777" w:rsidR="00275C03" w:rsidRPr="0037585C" w:rsidRDefault="00275C03" w:rsidP="00275C03">
            <w:r w:rsidRPr="0037585C">
              <w:t>AHRC, NSW</w:t>
            </w:r>
          </w:p>
        </w:tc>
      </w:tr>
      <w:tr w:rsidR="00275C03" w:rsidRPr="0037585C" w14:paraId="12CFB5CA" w14:textId="77777777" w:rsidTr="00275C03">
        <w:tc>
          <w:tcPr>
            <w:tcW w:w="1242" w:type="dxa"/>
          </w:tcPr>
          <w:p w14:paraId="35EF3B45" w14:textId="77B8A2BE" w:rsidR="00275C03" w:rsidRPr="0037585C" w:rsidRDefault="00275C03" w:rsidP="00275C03">
            <w:r w:rsidRPr="0037585C">
              <w:t>10.</w:t>
            </w:r>
            <w:r w:rsidR="0057418F">
              <w:t>0</w:t>
            </w:r>
            <w:r w:rsidRPr="0037585C">
              <w:t>3.15</w:t>
            </w:r>
          </w:p>
        </w:tc>
        <w:tc>
          <w:tcPr>
            <w:tcW w:w="5954" w:type="dxa"/>
          </w:tcPr>
          <w:p w14:paraId="35C1A84C" w14:textId="77777777" w:rsidR="00275C03" w:rsidRPr="0037585C" w:rsidRDefault="00275C03" w:rsidP="00275C03">
            <w:pPr>
              <w:rPr>
                <w:bCs/>
              </w:rPr>
            </w:pPr>
            <w:r w:rsidRPr="0037585C">
              <w:rPr>
                <w:bCs/>
              </w:rPr>
              <w:t>Child Rights Taskforce Meeting</w:t>
            </w:r>
          </w:p>
        </w:tc>
        <w:tc>
          <w:tcPr>
            <w:tcW w:w="2090" w:type="dxa"/>
          </w:tcPr>
          <w:p w14:paraId="61624A78" w14:textId="77777777" w:rsidR="00275C03" w:rsidRPr="0037585C" w:rsidRDefault="00275C03" w:rsidP="00275C03">
            <w:r w:rsidRPr="0037585C">
              <w:t>Sydney, NSW</w:t>
            </w:r>
          </w:p>
        </w:tc>
      </w:tr>
      <w:tr w:rsidR="00275C03" w:rsidRPr="0037585C" w14:paraId="0A443735" w14:textId="77777777" w:rsidTr="00275C03">
        <w:tc>
          <w:tcPr>
            <w:tcW w:w="1242" w:type="dxa"/>
          </w:tcPr>
          <w:p w14:paraId="457DB1D7" w14:textId="77777777" w:rsidR="00275C03" w:rsidRPr="0037585C" w:rsidRDefault="00275C03" w:rsidP="00275C03">
            <w:r w:rsidRPr="0037585C">
              <w:t>11.03.15</w:t>
            </w:r>
          </w:p>
        </w:tc>
        <w:tc>
          <w:tcPr>
            <w:tcW w:w="5954" w:type="dxa"/>
          </w:tcPr>
          <w:p w14:paraId="021C6C70" w14:textId="58DBC81B" w:rsidR="00275C03" w:rsidRPr="0037585C" w:rsidRDefault="00275C03" w:rsidP="00275C03">
            <w:pPr>
              <w:rPr>
                <w:rFonts w:asciiTheme="minorHAnsi" w:eastAsiaTheme="minorHAnsi" w:hAnsiTheme="minorHAnsi" w:cstheme="minorBidi"/>
                <w:b/>
                <w:sz w:val="22"/>
                <w:szCs w:val="22"/>
                <w:lang w:eastAsia="en-US"/>
              </w:rPr>
            </w:pPr>
            <w:r w:rsidRPr="0037585C">
              <w:rPr>
                <w:bCs/>
              </w:rPr>
              <w:t xml:space="preserve">John </w:t>
            </w:r>
            <w:r w:rsidR="00E04B65" w:rsidRPr="0037585C">
              <w:rPr>
                <w:bCs/>
              </w:rPr>
              <w:t>Shevlin</w:t>
            </w:r>
            <w:r w:rsidRPr="0037585C">
              <w:rPr>
                <w:bCs/>
              </w:rPr>
              <w:t>,</w:t>
            </w:r>
            <w:r w:rsidRPr="0037585C">
              <w:rPr>
                <w:rFonts w:asciiTheme="minorHAnsi" w:eastAsiaTheme="minorHAnsi" w:hAnsiTheme="minorHAnsi" w:cstheme="minorBidi"/>
                <w:b/>
                <w:sz w:val="22"/>
                <w:szCs w:val="22"/>
                <w:lang w:eastAsia="en-US"/>
              </w:rPr>
              <w:t xml:space="preserve"> </w:t>
            </w:r>
            <w:r w:rsidRPr="0037585C">
              <w:rPr>
                <w:rFonts w:eastAsiaTheme="minorHAnsi" w:cs="Arial"/>
                <w:szCs w:val="22"/>
                <w:lang w:eastAsia="en-US"/>
              </w:rPr>
              <w:t>Project Executive Officer, Aboriginal and Torres Strait Islander Suicide Prevent</w:t>
            </w:r>
            <w:r w:rsidR="0057418F">
              <w:rPr>
                <w:rFonts w:eastAsiaTheme="minorHAnsi" w:cs="Arial"/>
                <w:szCs w:val="22"/>
                <w:lang w:eastAsia="en-US"/>
              </w:rPr>
              <w:t>ion</w:t>
            </w:r>
            <w:r w:rsidRPr="0037585C">
              <w:rPr>
                <w:rFonts w:eastAsiaTheme="minorHAnsi" w:cs="Arial"/>
                <w:szCs w:val="22"/>
                <w:lang w:eastAsia="en-US"/>
              </w:rPr>
              <w:t xml:space="preserve"> Evaluation Project </w:t>
            </w:r>
            <w:r>
              <w:rPr>
                <w:rFonts w:eastAsiaTheme="minorHAnsi" w:cs="Arial"/>
                <w:szCs w:val="22"/>
                <w:lang w:eastAsia="en-US"/>
              </w:rPr>
              <w:t>(</w:t>
            </w:r>
            <w:r w:rsidRPr="0037585C">
              <w:rPr>
                <w:rFonts w:eastAsiaTheme="minorHAnsi" w:cs="Arial"/>
                <w:szCs w:val="22"/>
                <w:lang w:eastAsia="en-US"/>
              </w:rPr>
              <w:t>ATSISPEP</w:t>
            </w:r>
            <w:r>
              <w:rPr>
                <w:rFonts w:eastAsiaTheme="minorHAnsi" w:cs="Arial"/>
                <w:szCs w:val="22"/>
                <w:lang w:eastAsia="en-US"/>
              </w:rPr>
              <w:t>)</w:t>
            </w:r>
            <w:r w:rsidR="0057418F">
              <w:rPr>
                <w:rFonts w:eastAsiaTheme="minorHAnsi" w:cs="Arial"/>
                <w:szCs w:val="22"/>
                <w:lang w:eastAsia="en-US"/>
              </w:rPr>
              <w:t xml:space="preserve"> </w:t>
            </w:r>
          </w:p>
        </w:tc>
        <w:tc>
          <w:tcPr>
            <w:tcW w:w="2090" w:type="dxa"/>
          </w:tcPr>
          <w:p w14:paraId="1778A44F" w14:textId="77777777" w:rsidR="00275C03" w:rsidRPr="0037585C" w:rsidRDefault="00275C03" w:rsidP="00275C03">
            <w:r w:rsidRPr="0037585C">
              <w:t>AHRC, NSW</w:t>
            </w:r>
          </w:p>
        </w:tc>
      </w:tr>
      <w:tr w:rsidR="00275C03" w:rsidRPr="0037585C" w14:paraId="1897F7C0" w14:textId="77777777" w:rsidTr="00275C03">
        <w:tc>
          <w:tcPr>
            <w:tcW w:w="1242" w:type="dxa"/>
          </w:tcPr>
          <w:p w14:paraId="7606A1D3" w14:textId="77777777" w:rsidR="00275C03" w:rsidRPr="0037585C" w:rsidRDefault="00275C03" w:rsidP="00275C03">
            <w:r w:rsidRPr="0037585C">
              <w:t>13.03.15</w:t>
            </w:r>
          </w:p>
        </w:tc>
        <w:tc>
          <w:tcPr>
            <w:tcW w:w="5954" w:type="dxa"/>
          </w:tcPr>
          <w:p w14:paraId="777B16FB" w14:textId="77777777" w:rsidR="00275C03" w:rsidRPr="0037585C" w:rsidRDefault="00275C03" w:rsidP="00275C03">
            <w:pPr>
              <w:rPr>
                <w:bCs/>
                <w:highlight w:val="magenta"/>
              </w:rPr>
            </w:pPr>
            <w:r w:rsidRPr="0037585C">
              <w:rPr>
                <w:bCs/>
              </w:rPr>
              <w:t xml:space="preserve">Professor Anne Graham, Director, Centre for Children &amp; Young People, Southern Cross University </w:t>
            </w:r>
          </w:p>
        </w:tc>
        <w:tc>
          <w:tcPr>
            <w:tcW w:w="2090" w:type="dxa"/>
          </w:tcPr>
          <w:p w14:paraId="482D9AC9" w14:textId="77777777" w:rsidR="00275C03" w:rsidRPr="0037585C" w:rsidRDefault="00275C03" w:rsidP="00275C03">
            <w:r w:rsidRPr="0037585C">
              <w:t>AHRC, NSW</w:t>
            </w:r>
          </w:p>
        </w:tc>
      </w:tr>
      <w:tr w:rsidR="00275C03" w:rsidRPr="0037585C" w14:paraId="316A43C7" w14:textId="77777777" w:rsidTr="00275C03">
        <w:tc>
          <w:tcPr>
            <w:tcW w:w="1242" w:type="dxa"/>
          </w:tcPr>
          <w:p w14:paraId="1908355A" w14:textId="77777777" w:rsidR="00275C03" w:rsidRPr="0037585C" w:rsidRDefault="00275C03" w:rsidP="00275C03">
            <w:r w:rsidRPr="0037585C">
              <w:t>18.03.15</w:t>
            </w:r>
          </w:p>
        </w:tc>
        <w:tc>
          <w:tcPr>
            <w:tcW w:w="5954" w:type="dxa"/>
          </w:tcPr>
          <w:p w14:paraId="6AF384CD" w14:textId="01D60021" w:rsidR="00275C03" w:rsidRPr="0037585C" w:rsidRDefault="00275C03" w:rsidP="00275C03">
            <w:pPr>
              <w:rPr>
                <w:bCs/>
              </w:rPr>
            </w:pPr>
            <w:r w:rsidRPr="0037585C">
              <w:rPr>
                <w:bCs/>
              </w:rPr>
              <w:t>Nick Rushworth</w:t>
            </w:r>
            <w:r w:rsidR="0057418F">
              <w:rPr>
                <w:bCs/>
              </w:rPr>
              <w:t>,</w:t>
            </w:r>
            <w:r w:rsidRPr="0037585C">
              <w:rPr>
                <w:bCs/>
              </w:rPr>
              <w:t xml:space="preserve"> Executive Officer, Brain Injury Australia </w:t>
            </w:r>
          </w:p>
        </w:tc>
        <w:tc>
          <w:tcPr>
            <w:tcW w:w="2090" w:type="dxa"/>
          </w:tcPr>
          <w:p w14:paraId="1B3A94C7" w14:textId="77777777" w:rsidR="00275C03" w:rsidRPr="0037585C" w:rsidRDefault="00275C03" w:rsidP="00275C03">
            <w:r w:rsidRPr="0037585C">
              <w:t>AHRC, NSW</w:t>
            </w:r>
          </w:p>
        </w:tc>
      </w:tr>
      <w:tr w:rsidR="00275C03" w:rsidRPr="0037585C" w14:paraId="3CA57E03" w14:textId="77777777" w:rsidTr="00275C03">
        <w:tc>
          <w:tcPr>
            <w:tcW w:w="1242" w:type="dxa"/>
          </w:tcPr>
          <w:p w14:paraId="54B6E695" w14:textId="77777777" w:rsidR="00275C03" w:rsidRPr="0037585C" w:rsidRDefault="00275C03" w:rsidP="00275C03">
            <w:r w:rsidRPr="0037585C">
              <w:t>18.03.15</w:t>
            </w:r>
          </w:p>
        </w:tc>
        <w:tc>
          <w:tcPr>
            <w:tcW w:w="5954" w:type="dxa"/>
          </w:tcPr>
          <w:p w14:paraId="07B8D24D" w14:textId="77777777" w:rsidR="00275C03" w:rsidRPr="0037585C" w:rsidRDefault="00275C03" w:rsidP="00275C03">
            <w:pPr>
              <w:rPr>
                <w:bCs/>
              </w:rPr>
            </w:pPr>
            <w:r w:rsidRPr="0037585C">
              <w:rPr>
                <w:bCs/>
              </w:rPr>
              <w:t>Philip Brown, A/g Group Manager, Families, Department of Social Services</w:t>
            </w:r>
          </w:p>
        </w:tc>
        <w:tc>
          <w:tcPr>
            <w:tcW w:w="2090" w:type="dxa"/>
          </w:tcPr>
          <w:p w14:paraId="5868843A" w14:textId="77777777" w:rsidR="00275C03" w:rsidRPr="0037585C" w:rsidRDefault="00275C03" w:rsidP="00275C03">
            <w:r w:rsidRPr="0037585C">
              <w:t>AHRC, NSW</w:t>
            </w:r>
          </w:p>
        </w:tc>
      </w:tr>
      <w:tr w:rsidR="00275C03" w:rsidRPr="0037585C" w14:paraId="1396917F" w14:textId="77777777" w:rsidTr="00275C03">
        <w:tc>
          <w:tcPr>
            <w:tcW w:w="1242" w:type="dxa"/>
          </w:tcPr>
          <w:p w14:paraId="33E003DF" w14:textId="77777777" w:rsidR="00275C03" w:rsidRPr="0037585C" w:rsidRDefault="00275C03" w:rsidP="00275C03">
            <w:r w:rsidRPr="0037585C">
              <w:t>19.03.15</w:t>
            </w:r>
          </w:p>
        </w:tc>
        <w:tc>
          <w:tcPr>
            <w:tcW w:w="5954" w:type="dxa"/>
          </w:tcPr>
          <w:p w14:paraId="34014021" w14:textId="1E008602" w:rsidR="00275C03" w:rsidRPr="0037585C" w:rsidRDefault="00275C03" w:rsidP="0057418F">
            <w:pPr>
              <w:rPr>
                <w:bCs/>
              </w:rPr>
            </w:pPr>
            <w:r w:rsidRPr="0037585C">
              <w:rPr>
                <w:bCs/>
              </w:rPr>
              <w:t>Tracy Adams, Chief Executive Officer, and John Dalgleish</w:t>
            </w:r>
            <w:r w:rsidRPr="0037585C">
              <w:rPr>
                <w:rFonts w:cs="Arial"/>
                <w:sz w:val="20"/>
                <w:szCs w:val="20"/>
              </w:rPr>
              <w:t xml:space="preserve">, </w:t>
            </w:r>
            <w:r w:rsidRPr="0037585C">
              <w:rPr>
                <w:bCs/>
              </w:rPr>
              <w:t>Manager, Strategy and Research</w:t>
            </w:r>
            <w:r w:rsidR="0057418F">
              <w:rPr>
                <w:bCs/>
              </w:rPr>
              <w:t xml:space="preserve">, </w:t>
            </w:r>
            <w:r w:rsidRPr="0037585C">
              <w:rPr>
                <w:bCs/>
              </w:rPr>
              <w:t>BoysTown</w:t>
            </w:r>
          </w:p>
        </w:tc>
        <w:tc>
          <w:tcPr>
            <w:tcW w:w="2090" w:type="dxa"/>
          </w:tcPr>
          <w:p w14:paraId="2F05FBB8" w14:textId="77777777" w:rsidR="00275C03" w:rsidRPr="0037585C" w:rsidRDefault="00275C03" w:rsidP="00275C03">
            <w:r w:rsidRPr="0037585C">
              <w:t>AHRC, NSW</w:t>
            </w:r>
          </w:p>
        </w:tc>
      </w:tr>
      <w:tr w:rsidR="00275C03" w:rsidRPr="0037585C" w14:paraId="66DA6762" w14:textId="77777777" w:rsidTr="00275C03">
        <w:tc>
          <w:tcPr>
            <w:tcW w:w="1242" w:type="dxa"/>
          </w:tcPr>
          <w:p w14:paraId="12586BD6" w14:textId="77777777" w:rsidR="00275C03" w:rsidRPr="0037585C" w:rsidRDefault="00275C03" w:rsidP="00275C03">
            <w:r w:rsidRPr="0037585C">
              <w:t>23.03.15</w:t>
            </w:r>
          </w:p>
        </w:tc>
        <w:tc>
          <w:tcPr>
            <w:tcW w:w="5954" w:type="dxa"/>
          </w:tcPr>
          <w:p w14:paraId="652DBB25" w14:textId="77777777" w:rsidR="00275C03" w:rsidRPr="0037585C" w:rsidRDefault="00275C03" w:rsidP="00275C03">
            <w:pPr>
              <w:rPr>
                <w:bCs/>
              </w:rPr>
            </w:pPr>
            <w:r w:rsidRPr="0097781B">
              <w:rPr>
                <w:bCs/>
              </w:rPr>
              <w:t>James McAdams, Advisor to the Hon Sussan Ley MP, Minister for Health, Minister for Sport</w:t>
            </w:r>
            <w:r w:rsidRPr="0037585C">
              <w:rPr>
                <w:bCs/>
              </w:rPr>
              <w:t xml:space="preserve"> </w:t>
            </w:r>
          </w:p>
        </w:tc>
        <w:tc>
          <w:tcPr>
            <w:tcW w:w="2090" w:type="dxa"/>
          </w:tcPr>
          <w:p w14:paraId="26716272" w14:textId="77777777" w:rsidR="00275C03" w:rsidRPr="0037585C" w:rsidRDefault="00275C03" w:rsidP="00275C03">
            <w:r w:rsidRPr="0037585C">
              <w:t>Canberra, ACT</w:t>
            </w:r>
          </w:p>
        </w:tc>
      </w:tr>
      <w:tr w:rsidR="00275C03" w:rsidRPr="0037585C" w14:paraId="329B40FB" w14:textId="77777777" w:rsidTr="00275C03">
        <w:tc>
          <w:tcPr>
            <w:tcW w:w="1242" w:type="dxa"/>
          </w:tcPr>
          <w:p w14:paraId="63BD0EBD" w14:textId="77777777" w:rsidR="00275C03" w:rsidRPr="0037585C" w:rsidRDefault="00275C03" w:rsidP="00275C03">
            <w:r w:rsidRPr="0037585C">
              <w:t>23.03.15</w:t>
            </w:r>
          </w:p>
        </w:tc>
        <w:tc>
          <w:tcPr>
            <w:tcW w:w="5954" w:type="dxa"/>
          </w:tcPr>
          <w:p w14:paraId="66EB5754" w14:textId="77777777" w:rsidR="00275C03" w:rsidRPr="0037585C" w:rsidRDefault="00275C03" w:rsidP="00275C03">
            <w:pPr>
              <w:rPr>
                <w:bCs/>
                <w:highlight w:val="magenta"/>
              </w:rPr>
            </w:pPr>
            <w:r w:rsidRPr="00ED7332">
              <w:rPr>
                <w:bCs/>
              </w:rPr>
              <w:t>Kate Pope</w:t>
            </w:r>
            <w:r w:rsidRPr="00ED7332">
              <w:rPr>
                <w:rFonts w:ascii="Calibri" w:hAnsi="Calibri" w:cs="Calibri"/>
                <w:sz w:val="22"/>
                <w:szCs w:val="22"/>
                <w:lang w:eastAsia="en-US"/>
              </w:rPr>
              <w:t xml:space="preserve"> </w:t>
            </w:r>
            <w:r w:rsidRPr="00ED7332">
              <w:rPr>
                <w:bCs/>
              </w:rPr>
              <w:t>PSM, First Assistant Secretary, Children and Community Services Division, and Hawari Badri,</w:t>
            </w:r>
            <w:r w:rsidRPr="00ED7332">
              <w:t xml:space="preserve"> </w:t>
            </w:r>
            <w:r w:rsidRPr="00ED7332">
              <w:rPr>
                <w:bCs/>
              </w:rPr>
              <w:t>Assistant Secretary, Child Protection and Wellbeing Branch, Department of Immigration and Boarder Protection</w:t>
            </w:r>
          </w:p>
        </w:tc>
        <w:tc>
          <w:tcPr>
            <w:tcW w:w="2090" w:type="dxa"/>
          </w:tcPr>
          <w:p w14:paraId="6D821637" w14:textId="77777777" w:rsidR="00275C03" w:rsidRPr="0037585C" w:rsidRDefault="00275C03" w:rsidP="00275C03">
            <w:r w:rsidRPr="0037585C">
              <w:t>Canberra, ACT</w:t>
            </w:r>
          </w:p>
        </w:tc>
      </w:tr>
      <w:tr w:rsidR="00275C03" w:rsidRPr="0037585C" w14:paraId="172981E4" w14:textId="77777777" w:rsidTr="00275C03">
        <w:tc>
          <w:tcPr>
            <w:tcW w:w="1242" w:type="dxa"/>
          </w:tcPr>
          <w:p w14:paraId="0918A08C" w14:textId="77777777" w:rsidR="00275C03" w:rsidRPr="0037585C" w:rsidRDefault="00275C03" w:rsidP="00275C03">
            <w:r w:rsidRPr="0037585C">
              <w:t>23.03.15</w:t>
            </w:r>
          </w:p>
        </w:tc>
        <w:tc>
          <w:tcPr>
            <w:tcW w:w="5954" w:type="dxa"/>
          </w:tcPr>
          <w:p w14:paraId="10D3D9A7" w14:textId="08256C6E" w:rsidR="00275C03" w:rsidRPr="0037585C" w:rsidRDefault="00275C03" w:rsidP="008033BC">
            <w:pPr>
              <w:rPr>
                <w:bCs/>
                <w:highlight w:val="magenta"/>
              </w:rPr>
            </w:pPr>
            <w:r w:rsidRPr="008414D5">
              <w:rPr>
                <w:bCs/>
              </w:rPr>
              <w:t xml:space="preserve">The Hon Philip Ruddock MP, Chair, and </w:t>
            </w:r>
            <w:r w:rsidR="008033BC">
              <w:rPr>
                <w:bCs/>
              </w:rPr>
              <w:t>t</w:t>
            </w:r>
            <w:r w:rsidR="003B2D20">
              <w:rPr>
                <w:bCs/>
              </w:rPr>
              <w:t xml:space="preserve">he Hon </w:t>
            </w:r>
            <w:r w:rsidRPr="008414D5">
              <w:rPr>
                <w:bCs/>
              </w:rPr>
              <w:t xml:space="preserve">Laurie Ferguson MP, Deputy, Parliamentary Joint Committee on Human Rights </w:t>
            </w:r>
          </w:p>
        </w:tc>
        <w:tc>
          <w:tcPr>
            <w:tcW w:w="2090" w:type="dxa"/>
          </w:tcPr>
          <w:p w14:paraId="2A519763" w14:textId="77777777" w:rsidR="00275C03" w:rsidRPr="0037585C" w:rsidRDefault="00275C03" w:rsidP="00275C03">
            <w:r w:rsidRPr="0037585C">
              <w:t>Canberra, ACT</w:t>
            </w:r>
          </w:p>
        </w:tc>
      </w:tr>
      <w:tr w:rsidR="00275C03" w:rsidRPr="0037585C" w14:paraId="3C1365F8" w14:textId="77777777" w:rsidTr="00275C03">
        <w:tc>
          <w:tcPr>
            <w:tcW w:w="1242" w:type="dxa"/>
          </w:tcPr>
          <w:p w14:paraId="2E68C1E6" w14:textId="77777777" w:rsidR="00275C03" w:rsidRPr="0037585C" w:rsidRDefault="00275C03" w:rsidP="00275C03">
            <w:r w:rsidRPr="0037585C">
              <w:t>24.03.15</w:t>
            </w:r>
          </w:p>
        </w:tc>
        <w:tc>
          <w:tcPr>
            <w:tcW w:w="5954" w:type="dxa"/>
          </w:tcPr>
          <w:p w14:paraId="03E365A2" w14:textId="126BD21C" w:rsidR="00275C03" w:rsidRPr="0037585C" w:rsidRDefault="00275C03" w:rsidP="0057418F">
            <w:pPr>
              <w:rPr>
                <w:b/>
                <w:bCs/>
              </w:rPr>
            </w:pPr>
            <w:r w:rsidRPr="0037585C">
              <w:rPr>
                <w:bCs/>
              </w:rPr>
              <w:t xml:space="preserve">Lara Purdy, Branch Manager, Financial Capability and Children’s </w:t>
            </w:r>
            <w:r w:rsidRPr="0057418F">
              <w:rPr>
                <w:bCs/>
              </w:rPr>
              <w:t>Policy, Department</w:t>
            </w:r>
            <w:r w:rsidRPr="0037585C">
              <w:rPr>
                <w:bCs/>
              </w:rPr>
              <w:t xml:space="preserve"> of Social Services and Professor Anne Graham, Director, Centre for Children &amp; Young People, Southern Cross University</w:t>
            </w:r>
          </w:p>
        </w:tc>
        <w:tc>
          <w:tcPr>
            <w:tcW w:w="2090" w:type="dxa"/>
          </w:tcPr>
          <w:p w14:paraId="45BE997F" w14:textId="77777777" w:rsidR="00275C03" w:rsidRPr="0037585C" w:rsidRDefault="00275C03" w:rsidP="00275C03">
            <w:r w:rsidRPr="0037585C">
              <w:t>AHRC, NSW</w:t>
            </w:r>
          </w:p>
        </w:tc>
      </w:tr>
      <w:tr w:rsidR="00275C03" w:rsidRPr="0037585C" w14:paraId="6CB80E09" w14:textId="77777777" w:rsidTr="00275C03">
        <w:tc>
          <w:tcPr>
            <w:tcW w:w="1242" w:type="dxa"/>
          </w:tcPr>
          <w:p w14:paraId="4F3BA3D9" w14:textId="77777777" w:rsidR="00275C03" w:rsidRPr="0037585C" w:rsidRDefault="00275C03" w:rsidP="00275C03">
            <w:r w:rsidRPr="0037585C">
              <w:t>25.03.15</w:t>
            </w:r>
          </w:p>
        </w:tc>
        <w:tc>
          <w:tcPr>
            <w:tcW w:w="5954" w:type="dxa"/>
          </w:tcPr>
          <w:p w14:paraId="3E09A3FC" w14:textId="77777777" w:rsidR="00275C03" w:rsidRPr="0037585C" w:rsidRDefault="00275C03" w:rsidP="00275C03">
            <w:pPr>
              <w:rPr>
                <w:bCs/>
              </w:rPr>
            </w:pPr>
            <w:r w:rsidRPr="0037585C">
              <w:rPr>
                <w:bCs/>
              </w:rPr>
              <w:t>Maree Walk,</w:t>
            </w:r>
            <w:r>
              <w:rPr>
                <w:bCs/>
              </w:rPr>
              <w:t xml:space="preserve"> </w:t>
            </w:r>
            <w:r w:rsidRPr="008414D5">
              <w:rPr>
                <w:bCs/>
              </w:rPr>
              <w:t>Deputy Secretary, Programs and Service Design</w:t>
            </w:r>
            <w:r>
              <w:rPr>
                <w:bCs/>
              </w:rPr>
              <w:t>,</w:t>
            </w:r>
            <w:r w:rsidRPr="0037585C">
              <w:rPr>
                <w:bCs/>
              </w:rPr>
              <w:t xml:space="preserve"> NSW Department of Family and Community Services </w:t>
            </w:r>
          </w:p>
        </w:tc>
        <w:tc>
          <w:tcPr>
            <w:tcW w:w="2090" w:type="dxa"/>
          </w:tcPr>
          <w:p w14:paraId="12E4C075" w14:textId="77777777" w:rsidR="00275C03" w:rsidRPr="0037585C" w:rsidRDefault="00275C03" w:rsidP="00275C03">
            <w:r w:rsidRPr="0037585C">
              <w:t>Sydney, NSW</w:t>
            </w:r>
          </w:p>
        </w:tc>
      </w:tr>
      <w:tr w:rsidR="00275C03" w:rsidRPr="0037585C" w14:paraId="197F0D4F" w14:textId="77777777" w:rsidTr="00275C03">
        <w:tc>
          <w:tcPr>
            <w:tcW w:w="1242" w:type="dxa"/>
          </w:tcPr>
          <w:p w14:paraId="6BFF5EB0" w14:textId="77777777" w:rsidR="00275C03" w:rsidRPr="0037585C" w:rsidRDefault="00275C03" w:rsidP="00275C03">
            <w:r w:rsidRPr="0037585C">
              <w:t>26.03.15</w:t>
            </w:r>
          </w:p>
        </w:tc>
        <w:tc>
          <w:tcPr>
            <w:tcW w:w="5954" w:type="dxa"/>
          </w:tcPr>
          <w:p w14:paraId="3EE063AC" w14:textId="77777777" w:rsidR="00275C03" w:rsidRPr="0037585C" w:rsidRDefault="00275C03" w:rsidP="00275C03">
            <w:pPr>
              <w:rPr>
                <w:bCs/>
                <w:highlight w:val="magenta"/>
              </w:rPr>
            </w:pPr>
            <w:r w:rsidRPr="0037585C">
              <w:rPr>
                <w:bCs/>
              </w:rPr>
              <w:t>Professor Elizabeth Handsley, President</w:t>
            </w:r>
            <w:r>
              <w:rPr>
                <w:bCs/>
              </w:rPr>
              <w:t>,</w:t>
            </w:r>
            <w:r w:rsidRPr="0037585C">
              <w:rPr>
                <w:bCs/>
              </w:rPr>
              <w:t xml:space="preserve"> Australian Council on Children and the Media</w:t>
            </w:r>
          </w:p>
        </w:tc>
        <w:tc>
          <w:tcPr>
            <w:tcW w:w="2090" w:type="dxa"/>
          </w:tcPr>
          <w:p w14:paraId="415CA051" w14:textId="77777777" w:rsidR="00275C03" w:rsidRPr="0037585C" w:rsidRDefault="00275C03" w:rsidP="00275C03">
            <w:r w:rsidRPr="0037585C">
              <w:t>AHRC, NSW</w:t>
            </w:r>
          </w:p>
        </w:tc>
      </w:tr>
      <w:tr w:rsidR="00275C03" w:rsidRPr="0037585C" w14:paraId="3C8E5D9E" w14:textId="77777777" w:rsidTr="00275C03">
        <w:tc>
          <w:tcPr>
            <w:tcW w:w="1242" w:type="dxa"/>
          </w:tcPr>
          <w:p w14:paraId="3A2E46EC" w14:textId="77777777" w:rsidR="00275C03" w:rsidRPr="0037585C" w:rsidRDefault="00275C03" w:rsidP="00275C03">
            <w:r w:rsidRPr="0037585C">
              <w:t>26.03.15</w:t>
            </w:r>
          </w:p>
        </w:tc>
        <w:tc>
          <w:tcPr>
            <w:tcW w:w="5954" w:type="dxa"/>
          </w:tcPr>
          <w:p w14:paraId="1C63A08E" w14:textId="77777777" w:rsidR="00275C03" w:rsidRPr="0037585C" w:rsidRDefault="00275C03" w:rsidP="00275C03">
            <w:pPr>
              <w:rPr>
                <w:bCs/>
              </w:rPr>
            </w:pPr>
            <w:r w:rsidRPr="0037585C">
              <w:rPr>
                <w:bCs/>
              </w:rPr>
              <w:t>Anania Tagaro, Senior Project Officer, Save the Children Australia</w:t>
            </w:r>
          </w:p>
        </w:tc>
        <w:tc>
          <w:tcPr>
            <w:tcW w:w="2090" w:type="dxa"/>
          </w:tcPr>
          <w:p w14:paraId="351332BD" w14:textId="77777777" w:rsidR="00275C03" w:rsidRPr="0037585C" w:rsidRDefault="00275C03" w:rsidP="00275C03">
            <w:r w:rsidRPr="0037585C">
              <w:t>AHRC, NSW</w:t>
            </w:r>
          </w:p>
        </w:tc>
      </w:tr>
      <w:tr w:rsidR="00275C03" w:rsidRPr="0037585C" w14:paraId="5B065953" w14:textId="77777777" w:rsidTr="00275C03">
        <w:tc>
          <w:tcPr>
            <w:tcW w:w="1242" w:type="dxa"/>
          </w:tcPr>
          <w:p w14:paraId="3CAA51E3" w14:textId="77777777" w:rsidR="00275C03" w:rsidRPr="0037585C" w:rsidRDefault="00275C03" w:rsidP="00275C03">
            <w:r w:rsidRPr="0037585C">
              <w:t>30.03.15</w:t>
            </w:r>
          </w:p>
        </w:tc>
        <w:tc>
          <w:tcPr>
            <w:tcW w:w="5954" w:type="dxa"/>
          </w:tcPr>
          <w:p w14:paraId="6D1442FC" w14:textId="570005FD" w:rsidR="00275C03" w:rsidRPr="0037585C" w:rsidRDefault="00275C03" w:rsidP="00FD7F10">
            <w:pPr>
              <w:rPr>
                <w:b/>
                <w:bCs/>
              </w:rPr>
            </w:pPr>
            <w:r w:rsidRPr="0037585C">
              <w:rPr>
                <w:bCs/>
              </w:rPr>
              <w:t>Professor Fiona Arney</w:t>
            </w:r>
            <w:r w:rsidR="00FD7F10">
              <w:rPr>
                <w:bCs/>
              </w:rPr>
              <w:t>,</w:t>
            </w:r>
            <w:r w:rsidRPr="0037585C">
              <w:rPr>
                <w:bCs/>
              </w:rPr>
              <w:t xml:space="preserve"> Director, Australian Centre for Child Protection, University of South Australia</w:t>
            </w:r>
            <w:r w:rsidR="00FD7F10">
              <w:rPr>
                <w:bCs/>
              </w:rPr>
              <w:t xml:space="preserve">, </w:t>
            </w:r>
            <w:r w:rsidRPr="0037585C">
              <w:rPr>
                <w:bCs/>
              </w:rPr>
              <w:t>and Magdelena Madden, Principal Consultant, Council for the Care of Children</w:t>
            </w:r>
          </w:p>
        </w:tc>
        <w:tc>
          <w:tcPr>
            <w:tcW w:w="2090" w:type="dxa"/>
          </w:tcPr>
          <w:p w14:paraId="3D5AAF5D" w14:textId="77777777" w:rsidR="00275C03" w:rsidRPr="0037585C" w:rsidRDefault="00275C03" w:rsidP="00275C03">
            <w:r w:rsidRPr="0037585C">
              <w:t>AHRC, NSW</w:t>
            </w:r>
          </w:p>
        </w:tc>
      </w:tr>
      <w:tr w:rsidR="00275C03" w:rsidRPr="0037585C" w14:paraId="40254916" w14:textId="77777777" w:rsidTr="00275C03">
        <w:tc>
          <w:tcPr>
            <w:tcW w:w="1242" w:type="dxa"/>
          </w:tcPr>
          <w:p w14:paraId="1D9DBD7D" w14:textId="77777777" w:rsidR="00275C03" w:rsidRPr="0037585C" w:rsidRDefault="00275C03" w:rsidP="00275C03">
            <w:r w:rsidRPr="0037585C">
              <w:t>01.04.15</w:t>
            </w:r>
          </w:p>
        </w:tc>
        <w:tc>
          <w:tcPr>
            <w:tcW w:w="5954" w:type="dxa"/>
          </w:tcPr>
          <w:p w14:paraId="477B334F" w14:textId="77777777" w:rsidR="00275C03" w:rsidRPr="0037585C" w:rsidRDefault="00275C03" w:rsidP="00275C03">
            <w:pPr>
              <w:rPr>
                <w:bCs/>
                <w:highlight w:val="magenta"/>
              </w:rPr>
            </w:pPr>
            <w:r w:rsidRPr="0037585C">
              <w:rPr>
                <w:bCs/>
              </w:rPr>
              <w:t xml:space="preserve">Nicole Mayo, Chief Operating Officer, CRIMTRAC </w:t>
            </w:r>
          </w:p>
        </w:tc>
        <w:tc>
          <w:tcPr>
            <w:tcW w:w="2090" w:type="dxa"/>
          </w:tcPr>
          <w:p w14:paraId="5C6C41CD" w14:textId="77777777" w:rsidR="00275C03" w:rsidRPr="0037585C" w:rsidRDefault="00275C03" w:rsidP="00275C03">
            <w:r w:rsidRPr="0037585C">
              <w:t>AHRC, NSW</w:t>
            </w:r>
          </w:p>
        </w:tc>
      </w:tr>
      <w:tr w:rsidR="00275C03" w:rsidRPr="0037585C" w14:paraId="6EDD65D0" w14:textId="77777777" w:rsidTr="00275C03">
        <w:tc>
          <w:tcPr>
            <w:tcW w:w="1242" w:type="dxa"/>
          </w:tcPr>
          <w:p w14:paraId="7171B53E" w14:textId="77777777" w:rsidR="00275C03" w:rsidRPr="0037585C" w:rsidRDefault="00275C03" w:rsidP="00275C03">
            <w:r w:rsidRPr="0037585C">
              <w:t>01.04.15</w:t>
            </w:r>
          </w:p>
        </w:tc>
        <w:tc>
          <w:tcPr>
            <w:tcW w:w="5954" w:type="dxa"/>
          </w:tcPr>
          <w:p w14:paraId="32430D13" w14:textId="4502E802" w:rsidR="00275C03" w:rsidRPr="0037585C" w:rsidRDefault="00275C03" w:rsidP="00275C03">
            <w:pPr>
              <w:rPr>
                <w:bCs/>
                <w:highlight w:val="magenta"/>
              </w:rPr>
            </w:pPr>
            <w:r w:rsidRPr="0037585C">
              <w:rPr>
                <w:bCs/>
              </w:rPr>
              <w:t>Morgan Carpenter, President, O</w:t>
            </w:r>
            <w:r>
              <w:rPr>
                <w:bCs/>
              </w:rPr>
              <w:t xml:space="preserve">rganisation </w:t>
            </w:r>
            <w:r w:rsidRPr="0037585C">
              <w:rPr>
                <w:bCs/>
              </w:rPr>
              <w:t>I</w:t>
            </w:r>
            <w:r>
              <w:rPr>
                <w:bCs/>
              </w:rPr>
              <w:t xml:space="preserve">ntersex </w:t>
            </w:r>
            <w:r w:rsidRPr="0037585C">
              <w:rPr>
                <w:bCs/>
              </w:rPr>
              <w:t>I</w:t>
            </w:r>
            <w:r>
              <w:rPr>
                <w:bCs/>
              </w:rPr>
              <w:t>nternational</w:t>
            </w:r>
            <w:r w:rsidRPr="0037585C">
              <w:rPr>
                <w:bCs/>
              </w:rPr>
              <w:t xml:space="preserve"> Australia</w:t>
            </w:r>
            <w:r w:rsidR="00FD7F10">
              <w:rPr>
                <w:bCs/>
              </w:rPr>
              <w:t>,</w:t>
            </w:r>
            <w:r w:rsidRPr="0037585C">
              <w:rPr>
                <w:bCs/>
              </w:rPr>
              <w:t xml:space="preserve"> </w:t>
            </w:r>
            <w:r>
              <w:rPr>
                <w:bCs/>
              </w:rPr>
              <w:t>with</w:t>
            </w:r>
            <w:r w:rsidRPr="0037585C">
              <w:rPr>
                <w:bCs/>
              </w:rPr>
              <w:t xml:space="preserve"> Tim Wilson, Human Rights Commissioner</w:t>
            </w:r>
          </w:p>
        </w:tc>
        <w:tc>
          <w:tcPr>
            <w:tcW w:w="2090" w:type="dxa"/>
          </w:tcPr>
          <w:p w14:paraId="51596DFD" w14:textId="77777777" w:rsidR="00275C03" w:rsidRPr="0037585C" w:rsidRDefault="00275C03" w:rsidP="00275C03">
            <w:r w:rsidRPr="0037585C">
              <w:t>AHRC, NSW</w:t>
            </w:r>
          </w:p>
        </w:tc>
      </w:tr>
      <w:tr w:rsidR="00275C03" w:rsidRPr="0037585C" w14:paraId="3BAA7CFD" w14:textId="77777777" w:rsidTr="00275C03">
        <w:tc>
          <w:tcPr>
            <w:tcW w:w="1242" w:type="dxa"/>
          </w:tcPr>
          <w:p w14:paraId="3E97D3C6" w14:textId="77777777" w:rsidR="00275C03" w:rsidRPr="0037585C" w:rsidRDefault="00275C03" w:rsidP="00275C03">
            <w:r w:rsidRPr="0037585C">
              <w:t>02.04.15</w:t>
            </w:r>
          </w:p>
        </w:tc>
        <w:tc>
          <w:tcPr>
            <w:tcW w:w="5954" w:type="dxa"/>
          </w:tcPr>
          <w:p w14:paraId="61A42C78" w14:textId="77777777" w:rsidR="00275C03" w:rsidRPr="0037585C" w:rsidRDefault="00275C03" w:rsidP="00275C03">
            <w:pPr>
              <w:rPr>
                <w:bCs/>
              </w:rPr>
            </w:pPr>
            <w:r w:rsidRPr="0037585C">
              <w:rPr>
                <w:bCs/>
              </w:rPr>
              <w:t>Sarah Court, Commissioner, Australian Competition &amp; Consumer Commission</w:t>
            </w:r>
          </w:p>
        </w:tc>
        <w:tc>
          <w:tcPr>
            <w:tcW w:w="2090" w:type="dxa"/>
          </w:tcPr>
          <w:p w14:paraId="724AD3C1" w14:textId="77777777" w:rsidR="00275C03" w:rsidRPr="0037585C" w:rsidRDefault="00275C03" w:rsidP="00275C03">
            <w:r w:rsidRPr="0037585C">
              <w:t>AHRC, NSW</w:t>
            </w:r>
          </w:p>
        </w:tc>
      </w:tr>
      <w:tr w:rsidR="00275C03" w:rsidRPr="0037585C" w14:paraId="6E8DC711" w14:textId="77777777" w:rsidTr="00275C03">
        <w:tc>
          <w:tcPr>
            <w:tcW w:w="1242" w:type="dxa"/>
          </w:tcPr>
          <w:p w14:paraId="1689C2B7" w14:textId="77777777" w:rsidR="00275C03" w:rsidRPr="0037585C" w:rsidRDefault="00275C03" w:rsidP="00275C03">
            <w:r w:rsidRPr="0037585C">
              <w:t>09.04.15</w:t>
            </w:r>
          </w:p>
        </w:tc>
        <w:tc>
          <w:tcPr>
            <w:tcW w:w="5954" w:type="dxa"/>
          </w:tcPr>
          <w:p w14:paraId="3DFFA0ED" w14:textId="77777777" w:rsidR="00275C03" w:rsidRPr="0037585C" w:rsidRDefault="00275C03" w:rsidP="00275C03">
            <w:pPr>
              <w:rPr>
                <w:bCs/>
              </w:rPr>
            </w:pPr>
            <w:r w:rsidRPr="0037585C">
              <w:rPr>
                <w:bCs/>
              </w:rPr>
              <w:t>Professor Elizabeth Handsley, President</w:t>
            </w:r>
            <w:r>
              <w:rPr>
                <w:bCs/>
              </w:rPr>
              <w:t>,</w:t>
            </w:r>
            <w:r w:rsidRPr="0037585C">
              <w:rPr>
                <w:bCs/>
              </w:rPr>
              <w:t xml:space="preserve"> Australian Council on Children and the Media</w:t>
            </w:r>
          </w:p>
        </w:tc>
        <w:tc>
          <w:tcPr>
            <w:tcW w:w="2090" w:type="dxa"/>
          </w:tcPr>
          <w:p w14:paraId="12CD71A7" w14:textId="77777777" w:rsidR="00275C03" w:rsidRPr="0037585C" w:rsidRDefault="00275C03" w:rsidP="00275C03">
            <w:r w:rsidRPr="0037585C">
              <w:t>AHRC, NSW</w:t>
            </w:r>
          </w:p>
        </w:tc>
      </w:tr>
      <w:tr w:rsidR="00275C03" w:rsidRPr="0037585C" w14:paraId="43F9596D" w14:textId="77777777" w:rsidTr="00275C03">
        <w:tc>
          <w:tcPr>
            <w:tcW w:w="1242" w:type="dxa"/>
          </w:tcPr>
          <w:p w14:paraId="501AC83E" w14:textId="77777777" w:rsidR="00275C03" w:rsidRPr="0037585C" w:rsidRDefault="00275C03" w:rsidP="00275C03">
            <w:r w:rsidRPr="0037585C">
              <w:t>14.04.15</w:t>
            </w:r>
          </w:p>
        </w:tc>
        <w:tc>
          <w:tcPr>
            <w:tcW w:w="5954" w:type="dxa"/>
          </w:tcPr>
          <w:p w14:paraId="2E80D01C" w14:textId="45868EFD" w:rsidR="00275C03" w:rsidRPr="0037585C" w:rsidRDefault="00275C03" w:rsidP="00275C03">
            <w:pPr>
              <w:rPr>
                <w:bCs/>
              </w:rPr>
            </w:pPr>
            <w:r w:rsidRPr="0037585C">
              <w:rPr>
                <w:bCs/>
              </w:rPr>
              <w:t>Melissa Stewart</w:t>
            </w:r>
            <w:r>
              <w:rPr>
                <w:bCs/>
              </w:rPr>
              <w:t xml:space="preserve">, </w:t>
            </w:r>
            <w:r w:rsidRPr="0037585C">
              <w:rPr>
                <w:bCs/>
              </w:rPr>
              <w:t>Senior Advisor, Child Protection &amp; Trafficking in Persons, World Vision Australia</w:t>
            </w:r>
            <w:r w:rsidR="00FD7F10">
              <w:rPr>
                <w:bCs/>
              </w:rPr>
              <w:t>,</w:t>
            </w:r>
            <w:r w:rsidRPr="0037585C">
              <w:rPr>
                <w:bCs/>
              </w:rPr>
              <w:t xml:space="preserve"> and Aivee Robinson, Head of Advocacy, UNICEF Australia</w:t>
            </w:r>
          </w:p>
        </w:tc>
        <w:tc>
          <w:tcPr>
            <w:tcW w:w="2090" w:type="dxa"/>
          </w:tcPr>
          <w:p w14:paraId="1EBC96FE" w14:textId="77777777" w:rsidR="00275C03" w:rsidRPr="0037585C" w:rsidRDefault="00275C03" w:rsidP="00275C03">
            <w:r w:rsidRPr="0037585C">
              <w:t>AHRC, NSW</w:t>
            </w:r>
          </w:p>
        </w:tc>
      </w:tr>
      <w:tr w:rsidR="00275C03" w:rsidRPr="0037585C" w14:paraId="2ED1150D" w14:textId="77777777" w:rsidTr="00275C03">
        <w:tc>
          <w:tcPr>
            <w:tcW w:w="1242" w:type="dxa"/>
          </w:tcPr>
          <w:p w14:paraId="4FE88B8E" w14:textId="77777777" w:rsidR="00275C03" w:rsidRPr="0037585C" w:rsidRDefault="00275C03" w:rsidP="00275C03">
            <w:r w:rsidRPr="0037585C">
              <w:t>23.04.15</w:t>
            </w:r>
          </w:p>
        </w:tc>
        <w:tc>
          <w:tcPr>
            <w:tcW w:w="5954" w:type="dxa"/>
          </w:tcPr>
          <w:p w14:paraId="273EA213" w14:textId="77777777" w:rsidR="00275C03" w:rsidRPr="0037585C" w:rsidRDefault="00275C03" w:rsidP="00275C03">
            <w:pPr>
              <w:rPr>
                <w:bCs/>
              </w:rPr>
            </w:pPr>
            <w:r w:rsidRPr="0037585C">
              <w:rPr>
                <w:bCs/>
              </w:rPr>
              <w:t>Philip Brown, A/g Group Manager, Families, Department of Social Services</w:t>
            </w:r>
          </w:p>
        </w:tc>
        <w:tc>
          <w:tcPr>
            <w:tcW w:w="2090" w:type="dxa"/>
          </w:tcPr>
          <w:p w14:paraId="28DC846D" w14:textId="77777777" w:rsidR="00275C03" w:rsidRPr="0037585C" w:rsidRDefault="00275C03" w:rsidP="00275C03">
            <w:r w:rsidRPr="0037585C">
              <w:t>AHRC, NSW</w:t>
            </w:r>
          </w:p>
        </w:tc>
      </w:tr>
      <w:tr w:rsidR="00275C03" w:rsidRPr="0037585C" w14:paraId="2BB2C64A" w14:textId="77777777" w:rsidTr="00275C03">
        <w:tc>
          <w:tcPr>
            <w:tcW w:w="1242" w:type="dxa"/>
          </w:tcPr>
          <w:p w14:paraId="26216A31" w14:textId="77777777" w:rsidR="00275C03" w:rsidRPr="0037585C" w:rsidRDefault="00275C03" w:rsidP="00275C03">
            <w:r w:rsidRPr="0037585C">
              <w:t>27.04.15</w:t>
            </w:r>
          </w:p>
        </w:tc>
        <w:tc>
          <w:tcPr>
            <w:tcW w:w="5954" w:type="dxa"/>
          </w:tcPr>
          <w:p w14:paraId="6AF3A4CD" w14:textId="1C15360B" w:rsidR="00275C03" w:rsidRPr="0037585C" w:rsidRDefault="00275C03" w:rsidP="00275C03">
            <w:pPr>
              <w:rPr>
                <w:bCs/>
                <w:highlight w:val="magenta"/>
              </w:rPr>
            </w:pPr>
            <w:r w:rsidRPr="0037585C">
              <w:rPr>
                <w:bCs/>
              </w:rPr>
              <w:t>Graham Tardif, Director</w:t>
            </w:r>
            <w:r w:rsidR="0053584F">
              <w:rPr>
                <w:bCs/>
              </w:rPr>
              <w:t>,</w:t>
            </w:r>
            <w:r w:rsidRPr="0037585C">
              <w:rPr>
                <w:bCs/>
              </w:rPr>
              <w:t xml:space="preserve"> Australia Program, World Vision Australia </w:t>
            </w:r>
          </w:p>
        </w:tc>
        <w:tc>
          <w:tcPr>
            <w:tcW w:w="2090" w:type="dxa"/>
          </w:tcPr>
          <w:p w14:paraId="200645DC" w14:textId="77777777" w:rsidR="00275C03" w:rsidRPr="0037585C" w:rsidRDefault="00275C03" w:rsidP="00275C03">
            <w:r w:rsidRPr="0037585C">
              <w:t>AHRC, NSW</w:t>
            </w:r>
          </w:p>
        </w:tc>
      </w:tr>
      <w:tr w:rsidR="00275C03" w:rsidRPr="0037585C" w14:paraId="71BC34AD" w14:textId="77777777" w:rsidTr="00275C03">
        <w:tc>
          <w:tcPr>
            <w:tcW w:w="1242" w:type="dxa"/>
          </w:tcPr>
          <w:p w14:paraId="046DD5A9" w14:textId="77777777" w:rsidR="00275C03" w:rsidRPr="0037585C" w:rsidRDefault="00275C03" w:rsidP="00275C03">
            <w:r w:rsidRPr="0037585C">
              <w:t>27.04.15</w:t>
            </w:r>
          </w:p>
        </w:tc>
        <w:tc>
          <w:tcPr>
            <w:tcW w:w="5954" w:type="dxa"/>
          </w:tcPr>
          <w:p w14:paraId="04AA6088" w14:textId="77777777" w:rsidR="00275C03" w:rsidRPr="0037585C" w:rsidRDefault="00275C03" w:rsidP="00275C03">
            <w:pPr>
              <w:rPr>
                <w:bCs/>
              </w:rPr>
            </w:pPr>
            <w:r w:rsidRPr="0037585C">
              <w:rPr>
                <w:bCs/>
              </w:rPr>
              <w:t xml:space="preserve">Susan Murray, Chief Executive Officer, Suicide Prevention Australia </w:t>
            </w:r>
          </w:p>
        </w:tc>
        <w:tc>
          <w:tcPr>
            <w:tcW w:w="2090" w:type="dxa"/>
          </w:tcPr>
          <w:p w14:paraId="1745F45C" w14:textId="77777777" w:rsidR="00275C03" w:rsidRPr="0037585C" w:rsidRDefault="00275C03" w:rsidP="00275C03">
            <w:r w:rsidRPr="0037585C">
              <w:t>AHRC, NSW</w:t>
            </w:r>
          </w:p>
        </w:tc>
      </w:tr>
      <w:tr w:rsidR="00275C03" w:rsidRPr="0037585C" w14:paraId="7E52A1AA" w14:textId="77777777" w:rsidTr="00275C03">
        <w:tc>
          <w:tcPr>
            <w:tcW w:w="1242" w:type="dxa"/>
          </w:tcPr>
          <w:p w14:paraId="5C3DC715" w14:textId="77777777" w:rsidR="00275C03" w:rsidRPr="0037585C" w:rsidRDefault="00275C03" w:rsidP="00275C03">
            <w:r w:rsidRPr="0037585C">
              <w:t>28.04.15</w:t>
            </w:r>
          </w:p>
        </w:tc>
        <w:tc>
          <w:tcPr>
            <w:tcW w:w="5954" w:type="dxa"/>
          </w:tcPr>
          <w:p w14:paraId="490B62BF" w14:textId="77777777" w:rsidR="00275C03" w:rsidRPr="0037585C" w:rsidRDefault="00275C03" w:rsidP="00275C03">
            <w:pPr>
              <w:rPr>
                <w:bCs/>
                <w:highlight w:val="magenta"/>
              </w:rPr>
            </w:pPr>
            <w:r w:rsidRPr="008414D5">
              <w:rPr>
                <w:bCs/>
              </w:rPr>
              <w:t>Justice Jenifer Coates, Judge of the Family Court of Australia, Royal Commission into Institutional Responses to Child Sexual Abuse</w:t>
            </w:r>
          </w:p>
        </w:tc>
        <w:tc>
          <w:tcPr>
            <w:tcW w:w="2090" w:type="dxa"/>
          </w:tcPr>
          <w:p w14:paraId="54D8055D" w14:textId="77777777" w:rsidR="00275C03" w:rsidRPr="0037585C" w:rsidRDefault="00275C03" w:rsidP="00275C03">
            <w:r w:rsidRPr="0037585C">
              <w:t>AHRC, NSW</w:t>
            </w:r>
          </w:p>
        </w:tc>
      </w:tr>
      <w:tr w:rsidR="00275C03" w:rsidRPr="0037585C" w14:paraId="110A0029" w14:textId="77777777" w:rsidTr="00275C03">
        <w:tc>
          <w:tcPr>
            <w:tcW w:w="1242" w:type="dxa"/>
          </w:tcPr>
          <w:p w14:paraId="4310F1A4" w14:textId="77777777" w:rsidR="00275C03" w:rsidRPr="0037585C" w:rsidRDefault="00275C03" w:rsidP="00275C03">
            <w:r w:rsidRPr="0037585C">
              <w:t>30.04.15</w:t>
            </w:r>
          </w:p>
        </w:tc>
        <w:tc>
          <w:tcPr>
            <w:tcW w:w="5954" w:type="dxa"/>
          </w:tcPr>
          <w:p w14:paraId="7C12F638" w14:textId="77777777" w:rsidR="00275C03" w:rsidRPr="0037585C" w:rsidRDefault="00275C03" w:rsidP="00275C03">
            <w:pPr>
              <w:rPr>
                <w:rFonts w:ascii="Calibri" w:eastAsiaTheme="minorHAnsi" w:hAnsi="Calibri"/>
                <w:b/>
                <w:bCs/>
                <w:color w:val="5F5F5F"/>
                <w:sz w:val="20"/>
                <w:szCs w:val="20"/>
              </w:rPr>
            </w:pPr>
            <w:r w:rsidRPr="006F5728">
              <w:rPr>
                <w:bCs/>
              </w:rPr>
              <w:t>Philip Brown, A/g Group Manager, Families, Department of Social Services; Brian Babington, Chief Executive Officer, Families Australia; and Adele Cox, Member, Aboriginal and Torres Strait Islander Mental Health and Suicide Prevention Advisory Group</w:t>
            </w:r>
          </w:p>
        </w:tc>
        <w:tc>
          <w:tcPr>
            <w:tcW w:w="2090" w:type="dxa"/>
          </w:tcPr>
          <w:p w14:paraId="7E7CB3C8" w14:textId="77777777" w:rsidR="00275C03" w:rsidRPr="0037585C" w:rsidRDefault="00275C03" w:rsidP="00275C03">
            <w:r w:rsidRPr="00E60287">
              <w:t>Albury, NSW</w:t>
            </w:r>
          </w:p>
        </w:tc>
      </w:tr>
      <w:tr w:rsidR="00275C03" w:rsidRPr="0037585C" w14:paraId="36BF62FD" w14:textId="77777777" w:rsidTr="00275C03">
        <w:tc>
          <w:tcPr>
            <w:tcW w:w="1242" w:type="dxa"/>
          </w:tcPr>
          <w:p w14:paraId="47B4EC27" w14:textId="77777777" w:rsidR="00275C03" w:rsidRPr="0037585C" w:rsidRDefault="00275C03" w:rsidP="00275C03">
            <w:r w:rsidRPr="0037585C">
              <w:t>08.05.15</w:t>
            </w:r>
          </w:p>
        </w:tc>
        <w:tc>
          <w:tcPr>
            <w:tcW w:w="5954" w:type="dxa"/>
          </w:tcPr>
          <w:p w14:paraId="02D4640C" w14:textId="77777777" w:rsidR="00275C03" w:rsidRPr="0037585C" w:rsidRDefault="00275C03" w:rsidP="00275C03">
            <w:pPr>
              <w:rPr>
                <w:bCs/>
              </w:rPr>
            </w:pPr>
            <w:r w:rsidRPr="0037585C">
              <w:rPr>
                <w:bCs/>
              </w:rPr>
              <w:t xml:space="preserve">Paul McDonald, Chief Executive Officer, Anglicare Victoria </w:t>
            </w:r>
          </w:p>
        </w:tc>
        <w:tc>
          <w:tcPr>
            <w:tcW w:w="2090" w:type="dxa"/>
          </w:tcPr>
          <w:p w14:paraId="290EC59A" w14:textId="77777777" w:rsidR="00275C03" w:rsidRPr="0037585C" w:rsidRDefault="00275C03" w:rsidP="00275C03">
            <w:r w:rsidRPr="0037585C">
              <w:t>AHRC, NSW</w:t>
            </w:r>
          </w:p>
        </w:tc>
      </w:tr>
      <w:tr w:rsidR="00275C03" w:rsidRPr="0037585C" w14:paraId="4DB9C026" w14:textId="77777777" w:rsidTr="00275C03">
        <w:tc>
          <w:tcPr>
            <w:tcW w:w="1242" w:type="dxa"/>
          </w:tcPr>
          <w:p w14:paraId="67455DAC" w14:textId="77777777" w:rsidR="00275C03" w:rsidRPr="0037585C" w:rsidRDefault="00275C03" w:rsidP="00275C03">
            <w:r w:rsidRPr="0037585C">
              <w:t>11.05.15</w:t>
            </w:r>
          </w:p>
        </w:tc>
        <w:tc>
          <w:tcPr>
            <w:tcW w:w="5954" w:type="dxa"/>
          </w:tcPr>
          <w:p w14:paraId="6B27808D" w14:textId="77777777" w:rsidR="00275C03" w:rsidRPr="0037585C" w:rsidRDefault="00275C03" w:rsidP="00275C03">
            <w:pPr>
              <w:rPr>
                <w:bCs/>
              </w:rPr>
            </w:pPr>
            <w:r w:rsidRPr="0037585C">
              <w:rPr>
                <w:bCs/>
              </w:rPr>
              <w:t>Professor Elizabeth Handsley, President of the Australian Council on Children and the Media, and Melanie Mclean, King &amp; Wood Mallesons</w:t>
            </w:r>
          </w:p>
        </w:tc>
        <w:tc>
          <w:tcPr>
            <w:tcW w:w="2090" w:type="dxa"/>
          </w:tcPr>
          <w:p w14:paraId="657B7EBB" w14:textId="77777777" w:rsidR="00275C03" w:rsidRPr="0037585C" w:rsidRDefault="00275C03" w:rsidP="00275C03">
            <w:r w:rsidRPr="0037585C">
              <w:t>AHRC, NSW</w:t>
            </w:r>
          </w:p>
        </w:tc>
      </w:tr>
      <w:tr w:rsidR="00275C03" w:rsidRPr="0037585C" w14:paraId="0F7F713C" w14:textId="77777777" w:rsidTr="00275C03">
        <w:tc>
          <w:tcPr>
            <w:tcW w:w="1242" w:type="dxa"/>
          </w:tcPr>
          <w:p w14:paraId="6A0D4114" w14:textId="77777777" w:rsidR="00275C03" w:rsidRPr="0037585C" w:rsidRDefault="00275C03" w:rsidP="00275C03">
            <w:r w:rsidRPr="0037585C">
              <w:t>11.05.15</w:t>
            </w:r>
          </w:p>
        </w:tc>
        <w:tc>
          <w:tcPr>
            <w:tcW w:w="5954" w:type="dxa"/>
          </w:tcPr>
          <w:p w14:paraId="19867CDA" w14:textId="77777777" w:rsidR="00275C03" w:rsidRPr="0037585C" w:rsidRDefault="00275C03" w:rsidP="00275C03">
            <w:pPr>
              <w:rPr>
                <w:bCs/>
              </w:rPr>
            </w:pPr>
            <w:r w:rsidRPr="0037585C">
              <w:rPr>
                <w:bCs/>
              </w:rPr>
              <w:t xml:space="preserve">David Griffith, Principal, ACIL Allen Consulting </w:t>
            </w:r>
          </w:p>
        </w:tc>
        <w:tc>
          <w:tcPr>
            <w:tcW w:w="2090" w:type="dxa"/>
          </w:tcPr>
          <w:p w14:paraId="57706FD7" w14:textId="77777777" w:rsidR="00275C03" w:rsidRPr="0037585C" w:rsidRDefault="00275C03" w:rsidP="00275C03">
            <w:r w:rsidRPr="0037585C">
              <w:t>AHRC, NSW</w:t>
            </w:r>
          </w:p>
        </w:tc>
      </w:tr>
      <w:tr w:rsidR="00275C03" w:rsidRPr="0037585C" w14:paraId="0F3D0EC9" w14:textId="77777777" w:rsidTr="00275C03">
        <w:tc>
          <w:tcPr>
            <w:tcW w:w="1242" w:type="dxa"/>
          </w:tcPr>
          <w:p w14:paraId="2727D461" w14:textId="77777777" w:rsidR="00275C03" w:rsidRPr="0037585C" w:rsidRDefault="00275C03" w:rsidP="00275C03">
            <w:r w:rsidRPr="0037585C">
              <w:t>12.05.15</w:t>
            </w:r>
          </w:p>
        </w:tc>
        <w:tc>
          <w:tcPr>
            <w:tcW w:w="5954" w:type="dxa"/>
          </w:tcPr>
          <w:p w14:paraId="3E0B4EF3" w14:textId="2554840A" w:rsidR="00275C03" w:rsidRPr="0037585C" w:rsidRDefault="00275C03" w:rsidP="0053584F">
            <w:pPr>
              <w:rPr>
                <w:bCs/>
              </w:rPr>
            </w:pPr>
            <w:r w:rsidRPr="0037585C">
              <w:rPr>
                <w:bCs/>
              </w:rPr>
              <w:t xml:space="preserve">Sandie de Wolf, </w:t>
            </w:r>
            <w:r>
              <w:rPr>
                <w:bCs/>
              </w:rPr>
              <w:t xml:space="preserve">Chief Executive Officer; </w:t>
            </w:r>
            <w:r w:rsidRPr="0037585C">
              <w:rPr>
                <w:bCs/>
              </w:rPr>
              <w:t>Marg Hamley, Director</w:t>
            </w:r>
            <w:r>
              <w:rPr>
                <w:bCs/>
              </w:rPr>
              <w:t>;</w:t>
            </w:r>
            <w:r w:rsidRPr="0037585C">
              <w:rPr>
                <w:bCs/>
              </w:rPr>
              <w:t xml:space="preserve"> and Dr Sarah Wise, Berry Street Childhood Institute</w:t>
            </w:r>
          </w:p>
        </w:tc>
        <w:tc>
          <w:tcPr>
            <w:tcW w:w="2090" w:type="dxa"/>
          </w:tcPr>
          <w:p w14:paraId="52E0A594" w14:textId="77777777" w:rsidR="00275C03" w:rsidRPr="0037585C" w:rsidRDefault="00275C03" w:rsidP="00275C03">
            <w:r w:rsidRPr="0037585C">
              <w:t>Melbourne, VIC</w:t>
            </w:r>
          </w:p>
        </w:tc>
      </w:tr>
      <w:tr w:rsidR="00275C03" w:rsidRPr="0037585C" w14:paraId="2BFAA777" w14:textId="77777777" w:rsidTr="00275C03">
        <w:tc>
          <w:tcPr>
            <w:tcW w:w="1242" w:type="dxa"/>
          </w:tcPr>
          <w:p w14:paraId="346CFDB3" w14:textId="77777777" w:rsidR="00275C03" w:rsidRPr="0037585C" w:rsidRDefault="00275C03" w:rsidP="00275C03">
            <w:r w:rsidRPr="0037585C">
              <w:t>19.05.15</w:t>
            </w:r>
          </w:p>
        </w:tc>
        <w:tc>
          <w:tcPr>
            <w:tcW w:w="5954" w:type="dxa"/>
          </w:tcPr>
          <w:p w14:paraId="544D9D35" w14:textId="77777777" w:rsidR="00275C03" w:rsidRPr="0037585C" w:rsidRDefault="00275C03" w:rsidP="00275C03">
            <w:pPr>
              <w:rPr>
                <w:bCs/>
              </w:rPr>
            </w:pPr>
            <w:r w:rsidRPr="0037585C">
              <w:rPr>
                <w:bCs/>
              </w:rPr>
              <w:t>Michael Gallus, Founder/Director, The Footys4All Foundation</w:t>
            </w:r>
          </w:p>
        </w:tc>
        <w:tc>
          <w:tcPr>
            <w:tcW w:w="2090" w:type="dxa"/>
          </w:tcPr>
          <w:p w14:paraId="4094EAA6" w14:textId="77777777" w:rsidR="00275C03" w:rsidRPr="0037585C" w:rsidRDefault="00275C03" w:rsidP="00275C03">
            <w:r w:rsidRPr="0037585C">
              <w:t>Melbourne, VIC</w:t>
            </w:r>
          </w:p>
        </w:tc>
      </w:tr>
      <w:tr w:rsidR="00275C03" w:rsidRPr="0037585C" w14:paraId="53729A10" w14:textId="77777777" w:rsidTr="00275C03">
        <w:tc>
          <w:tcPr>
            <w:tcW w:w="1242" w:type="dxa"/>
          </w:tcPr>
          <w:p w14:paraId="49F74CCF" w14:textId="77777777" w:rsidR="00275C03" w:rsidRPr="0037585C" w:rsidRDefault="00275C03" w:rsidP="00275C03">
            <w:r w:rsidRPr="0037585C">
              <w:t>25.05.15</w:t>
            </w:r>
          </w:p>
        </w:tc>
        <w:tc>
          <w:tcPr>
            <w:tcW w:w="5954" w:type="dxa"/>
          </w:tcPr>
          <w:p w14:paraId="2F4A6D1A" w14:textId="365A39FE" w:rsidR="00275C03" w:rsidRPr="0037585C" w:rsidRDefault="00275C03" w:rsidP="00275C03">
            <w:pPr>
              <w:rPr>
                <w:bCs/>
                <w:highlight w:val="magenta"/>
              </w:rPr>
            </w:pPr>
            <w:r w:rsidRPr="0037585C">
              <w:rPr>
                <w:bCs/>
              </w:rPr>
              <w:t xml:space="preserve">Timothy Pilgrim, Privacy Commissioner, Office of </w:t>
            </w:r>
            <w:r w:rsidR="0053584F">
              <w:rPr>
                <w:bCs/>
              </w:rPr>
              <w:t xml:space="preserve">the </w:t>
            </w:r>
            <w:r w:rsidRPr="0037585C">
              <w:rPr>
                <w:bCs/>
              </w:rPr>
              <w:t xml:space="preserve">Australian Information Commissioner </w:t>
            </w:r>
          </w:p>
        </w:tc>
        <w:tc>
          <w:tcPr>
            <w:tcW w:w="2090" w:type="dxa"/>
          </w:tcPr>
          <w:p w14:paraId="5548585C" w14:textId="77777777" w:rsidR="00275C03" w:rsidRPr="0037585C" w:rsidRDefault="00275C03" w:rsidP="00275C03">
            <w:r w:rsidRPr="0037585C">
              <w:t>AHRC, NSW</w:t>
            </w:r>
          </w:p>
        </w:tc>
      </w:tr>
      <w:tr w:rsidR="00275C03" w:rsidRPr="0037585C" w14:paraId="45326F5D" w14:textId="77777777" w:rsidTr="00275C03">
        <w:tc>
          <w:tcPr>
            <w:tcW w:w="1242" w:type="dxa"/>
          </w:tcPr>
          <w:p w14:paraId="6E8D2D14" w14:textId="77777777" w:rsidR="00275C03" w:rsidRPr="0037585C" w:rsidRDefault="00275C03" w:rsidP="00275C03">
            <w:r w:rsidRPr="0037585C">
              <w:t>25.05.15</w:t>
            </w:r>
          </w:p>
        </w:tc>
        <w:tc>
          <w:tcPr>
            <w:tcW w:w="5954" w:type="dxa"/>
          </w:tcPr>
          <w:p w14:paraId="39074D3B" w14:textId="3E7A2661" w:rsidR="00275C03" w:rsidRPr="0037585C" w:rsidRDefault="00275C03" w:rsidP="00275C03">
            <w:pPr>
              <w:rPr>
                <w:bCs/>
              </w:rPr>
            </w:pPr>
            <w:r w:rsidRPr="0037585C">
              <w:rPr>
                <w:bCs/>
              </w:rPr>
              <w:t>Rohan</w:t>
            </w:r>
            <w:r w:rsidR="00D36D62">
              <w:rPr>
                <w:bCs/>
              </w:rPr>
              <w:t xml:space="preserve"> Buettel, Assistant Secretary, </w:t>
            </w:r>
            <w:r w:rsidRPr="0037585C">
              <w:rPr>
                <w:bCs/>
              </w:rPr>
              <w:t>Consumer Protection,</w:t>
            </w:r>
            <w:r w:rsidRPr="0037585C">
              <w:rPr>
                <w:rFonts w:ascii="Calibri" w:eastAsiaTheme="minorHAnsi" w:hAnsi="Calibri"/>
                <w:b/>
                <w:bCs/>
                <w:color w:val="333333"/>
                <w:sz w:val="22"/>
                <w:szCs w:val="22"/>
              </w:rPr>
              <w:t xml:space="preserve"> </w:t>
            </w:r>
            <w:r w:rsidRPr="0037585C">
              <w:rPr>
                <w:bCs/>
              </w:rPr>
              <w:t>Department of Communications</w:t>
            </w:r>
          </w:p>
        </w:tc>
        <w:tc>
          <w:tcPr>
            <w:tcW w:w="2090" w:type="dxa"/>
          </w:tcPr>
          <w:p w14:paraId="682A98BD" w14:textId="77777777" w:rsidR="00275C03" w:rsidRPr="0037585C" w:rsidRDefault="00275C03" w:rsidP="00275C03">
            <w:r w:rsidRPr="0037585C">
              <w:t>AHRC, NSW</w:t>
            </w:r>
          </w:p>
        </w:tc>
      </w:tr>
      <w:tr w:rsidR="00275C03" w:rsidRPr="0037585C" w14:paraId="7601D7B3" w14:textId="77777777" w:rsidTr="00275C03">
        <w:tc>
          <w:tcPr>
            <w:tcW w:w="1242" w:type="dxa"/>
          </w:tcPr>
          <w:p w14:paraId="3AE7216C" w14:textId="77777777" w:rsidR="00275C03" w:rsidRPr="0037585C" w:rsidRDefault="00275C03" w:rsidP="00275C03">
            <w:r w:rsidRPr="0037585C">
              <w:t>27.05.15</w:t>
            </w:r>
          </w:p>
        </w:tc>
        <w:tc>
          <w:tcPr>
            <w:tcW w:w="5954" w:type="dxa"/>
          </w:tcPr>
          <w:p w14:paraId="4FF9EF85" w14:textId="77777777" w:rsidR="00275C03" w:rsidRPr="0037585C" w:rsidRDefault="00275C03" w:rsidP="00275C03">
            <w:pPr>
              <w:rPr>
                <w:bCs/>
              </w:rPr>
            </w:pPr>
            <w:r w:rsidRPr="0037585C">
              <w:rPr>
                <w:bCs/>
              </w:rPr>
              <w:t>The Hon Scott Morrison MP, Minister for Social Services</w:t>
            </w:r>
          </w:p>
        </w:tc>
        <w:tc>
          <w:tcPr>
            <w:tcW w:w="2090" w:type="dxa"/>
          </w:tcPr>
          <w:p w14:paraId="42669F80" w14:textId="77777777" w:rsidR="00275C03" w:rsidRPr="0037585C" w:rsidRDefault="00275C03" w:rsidP="00275C03">
            <w:r w:rsidRPr="0037585C">
              <w:t xml:space="preserve">Canberra, ACT </w:t>
            </w:r>
          </w:p>
        </w:tc>
      </w:tr>
      <w:tr w:rsidR="00275C03" w:rsidRPr="0037585C" w14:paraId="22EC8B81" w14:textId="77777777" w:rsidTr="00275C03">
        <w:tc>
          <w:tcPr>
            <w:tcW w:w="1242" w:type="dxa"/>
          </w:tcPr>
          <w:p w14:paraId="3FBCE4F0" w14:textId="77777777" w:rsidR="00275C03" w:rsidRPr="0037585C" w:rsidRDefault="00275C03" w:rsidP="00275C03">
            <w:r w:rsidRPr="0037585C">
              <w:t>27.05.15</w:t>
            </w:r>
          </w:p>
        </w:tc>
        <w:tc>
          <w:tcPr>
            <w:tcW w:w="5954" w:type="dxa"/>
          </w:tcPr>
          <w:p w14:paraId="4CA7AF37" w14:textId="741F3057" w:rsidR="00275C03" w:rsidRPr="0037585C" w:rsidRDefault="00275C03" w:rsidP="00D36D62">
            <w:pPr>
              <w:rPr>
                <w:bCs/>
              </w:rPr>
            </w:pPr>
            <w:r w:rsidRPr="003D18ED">
              <w:rPr>
                <w:bCs/>
              </w:rPr>
              <w:t>J</w:t>
            </w:r>
            <w:r w:rsidR="002A267F">
              <w:rPr>
                <w:bCs/>
              </w:rPr>
              <w:t xml:space="preserve">osh Faulk, Chief of Staff, and </w:t>
            </w:r>
            <w:r w:rsidRPr="003D18ED">
              <w:rPr>
                <w:bCs/>
              </w:rPr>
              <w:t>Dr Susan Cochrane, Advisor for the Office of the Attorney-General and Minister for the Arts</w:t>
            </w:r>
          </w:p>
        </w:tc>
        <w:tc>
          <w:tcPr>
            <w:tcW w:w="2090" w:type="dxa"/>
          </w:tcPr>
          <w:p w14:paraId="57F9BDA0" w14:textId="77777777" w:rsidR="00275C03" w:rsidRPr="0037585C" w:rsidRDefault="00275C03" w:rsidP="00275C03">
            <w:r w:rsidRPr="0037585C">
              <w:t>Canberra, ACT</w:t>
            </w:r>
          </w:p>
        </w:tc>
      </w:tr>
      <w:tr w:rsidR="00275C03" w:rsidRPr="0037585C" w14:paraId="11F0EB17" w14:textId="77777777" w:rsidTr="00275C03">
        <w:tc>
          <w:tcPr>
            <w:tcW w:w="1242" w:type="dxa"/>
          </w:tcPr>
          <w:p w14:paraId="67B08850" w14:textId="77777777" w:rsidR="00275C03" w:rsidRPr="0037585C" w:rsidRDefault="00275C03" w:rsidP="00275C03">
            <w:r w:rsidRPr="0037585C">
              <w:t>27.05.15</w:t>
            </w:r>
          </w:p>
        </w:tc>
        <w:tc>
          <w:tcPr>
            <w:tcW w:w="5954" w:type="dxa"/>
          </w:tcPr>
          <w:p w14:paraId="7A6A4498" w14:textId="77777777" w:rsidR="00275C03" w:rsidRPr="0037585C" w:rsidRDefault="00275C03" w:rsidP="00275C03">
            <w:pPr>
              <w:rPr>
                <w:bCs/>
              </w:rPr>
            </w:pPr>
            <w:r w:rsidRPr="003D18ED">
              <w:rPr>
                <w:bCs/>
              </w:rPr>
              <w:t>James McAdams, Advisor to the Hon Sussan Ley MP, Minister for Health, Minister for Sport</w:t>
            </w:r>
            <w:r w:rsidRPr="0037585C">
              <w:rPr>
                <w:bCs/>
              </w:rPr>
              <w:t xml:space="preserve"> </w:t>
            </w:r>
          </w:p>
        </w:tc>
        <w:tc>
          <w:tcPr>
            <w:tcW w:w="2090" w:type="dxa"/>
          </w:tcPr>
          <w:p w14:paraId="59D66BC3" w14:textId="77777777" w:rsidR="00275C03" w:rsidRPr="0037585C" w:rsidRDefault="00275C03" w:rsidP="00275C03">
            <w:r w:rsidRPr="0037585C">
              <w:t>Canberra, ACT</w:t>
            </w:r>
          </w:p>
        </w:tc>
      </w:tr>
      <w:tr w:rsidR="00275C03" w:rsidRPr="0037585C" w14:paraId="4CBC9748" w14:textId="77777777" w:rsidTr="00275C03">
        <w:tc>
          <w:tcPr>
            <w:tcW w:w="1242" w:type="dxa"/>
          </w:tcPr>
          <w:p w14:paraId="62777D43" w14:textId="77777777" w:rsidR="00275C03" w:rsidRPr="0037585C" w:rsidRDefault="00275C03" w:rsidP="00275C03">
            <w:r w:rsidRPr="0037585C">
              <w:t>01.06.15</w:t>
            </w:r>
          </w:p>
        </w:tc>
        <w:tc>
          <w:tcPr>
            <w:tcW w:w="5954" w:type="dxa"/>
          </w:tcPr>
          <w:p w14:paraId="1D0D5E1D" w14:textId="77777777" w:rsidR="00275C03" w:rsidRPr="0037585C" w:rsidRDefault="00275C03" w:rsidP="00275C03">
            <w:pPr>
              <w:rPr>
                <w:bCs/>
              </w:rPr>
            </w:pPr>
            <w:r w:rsidRPr="0037585C">
              <w:rPr>
                <w:bCs/>
              </w:rPr>
              <w:t>Amy Prendergast, Director, Policy &amp; Coordination, Family Safety Taskforce, Department of Social Services</w:t>
            </w:r>
          </w:p>
        </w:tc>
        <w:tc>
          <w:tcPr>
            <w:tcW w:w="2090" w:type="dxa"/>
          </w:tcPr>
          <w:p w14:paraId="24E05228" w14:textId="77777777" w:rsidR="00275C03" w:rsidRPr="0037585C" w:rsidRDefault="00275C03" w:rsidP="00275C03">
            <w:r w:rsidRPr="0037585C">
              <w:t>Canberra, ACT</w:t>
            </w:r>
          </w:p>
        </w:tc>
      </w:tr>
      <w:tr w:rsidR="00275C03" w:rsidRPr="0037585C" w14:paraId="3A0F7484" w14:textId="77777777" w:rsidTr="00275C03">
        <w:tc>
          <w:tcPr>
            <w:tcW w:w="1242" w:type="dxa"/>
          </w:tcPr>
          <w:p w14:paraId="7A047B52" w14:textId="77777777" w:rsidR="00275C03" w:rsidRPr="0037585C" w:rsidRDefault="00275C03" w:rsidP="00275C03">
            <w:r w:rsidRPr="0037585C">
              <w:t>29.06.15</w:t>
            </w:r>
          </w:p>
        </w:tc>
        <w:tc>
          <w:tcPr>
            <w:tcW w:w="5954" w:type="dxa"/>
          </w:tcPr>
          <w:p w14:paraId="18FBF4A6" w14:textId="77777777" w:rsidR="00275C03" w:rsidRPr="0037585C" w:rsidRDefault="00275C03" w:rsidP="00275C03">
            <w:pPr>
              <w:rPr>
                <w:bCs/>
              </w:rPr>
            </w:pPr>
            <w:r w:rsidRPr="003D18ED">
              <w:rPr>
                <w:bCs/>
              </w:rPr>
              <w:t>Senator the Hon Marise Payne, Senator for Western Sydney, Minister for Human Services</w:t>
            </w:r>
          </w:p>
        </w:tc>
        <w:tc>
          <w:tcPr>
            <w:tcW w:w="2090" w:type="dxa"/>
          </w:tcPr>
          <w:p w14:paraId="14E54186" w14:textId="77777777" w:rsidR="00275C03" w:rsidRPr="0037585C" w:rsidRDefault="00275C03" w:rsidP="00275C03">
            <w:r w:rsidRPr="0037585C">
              <w:t>Sydney, NSW</w:t>
            </w:r>
          </w:p>
        </w:tc>
      </w:tr>
    </w:tbl>
    <w:p w14:paraId="51896B89" w14:textId="0459E721" w:rsidR="00275C03" w:rsidRDefault="00A01F6B" w:rsidP="00A01F6B">
      <w:pPr>
        <w:pStyle w:val="Heading2"/>
        <w:numPr>
          <w:ilvl w:val="0"/>
          <w:numId w:val="0"/>
        </w:numPr>
        <w:ind w:left="851" w:hanging="851"/>
      </w:pPr>
      <w:bookmarkStart w:id="220" w:name="_Toc432577334"/>
      <w:r>
        <w:t>Appendix 3: Memberships of advisory groups and ambassadorships</w:t>
      </w:r>
      <w:bookmarkEnd w:id="220"/>
    </w:p>
    <w:p w14:paraId="69A5667A" w14:textId="77777777" w:rsidR="00A01F6B" w:rsidRPr="00A01F6B" w:rsidRDefault="00A01F6B" w:rsidP="000D1D92">
      <w:pPr>
        <w:numPr>
          <w:ilvl w:val="0"/>
          <w:numId w:val="76"/>
        </w:numPr>
        <w:spacing w:after="120"/>
        <w:jc w:val="both"/>
        <w:rPr>
          <w:rFonts w:eastAsia="Calibri" w:cs="Arial"/>
          <w:lang w:eastAsia="en-US"/>
        </w:rPr>
      </w:pPr>
      <w:r w:rsidRPr="00A01F6B">
        <w:rPr>
          <w:rFonts w:eastAsia="Calibri" w:cs="Arial"/>
          <w:lang w:eastAsia="en-US"/>
        </w:rPr>
        <w:t xml:space="preserve">National Forum for Protecting Australia’s Children </w:t>
      </w:r>
    </w:p>
    <w:p w14:paraId="09594F8F" w14:textId="77777777" w:rsidR="00A01F6B" w:rsidRPr="00A01F6B" w:rsidRDefault="00A01F6B" w:rsidP="000D1D92">
      <w:pPr>
        <w:numPr>
          <w:ilvl w:val="0"/>
          <w:numId w:val="76"/>
        </w:numPr>
        <w:spacing w:after="120"/>
        <w:jc w:val="both"/>
        <w:rPr>
          <w:rFonts w:eastAsia="Calibri" w:cs="Arial"/>
          <w:lang w:eastAsia="en-US"/>
        </w:rPr>
      </w:pPr>
      <w:r w:rsidRPr="00A01F6B">
        <w:rPr>
          <w:rFonts w:eastAsia="Calibri" w:cs="Arial"/>
          <w:lang w:eastAsia="en-US"/>
        </w:rPr>
        <w:t>National Advisory Committee for the Aboriginal and Torres Strait Islander Suicide Prevention Evaluation Project (ATSISPEP)</w:t>
      </w:r>
    </w:p>
    <w:p w14:paraId="424DD061" w14:textId="77777777" w:rsidR="00A01F6B" w:rsidRPr="00A01F6B" w:rsidRDefault="00A01F6B" w:rsidP="000D1D92">
      <w:pPr>
        <w:numPr>
          <w:ilvl w:val="0"/>
          <w:numId w:val="76"/>
        </w:numPr>
        <w:spacing w:after="120"/>
        <w:jc w:val="both"/>
        <w:rPr>
          <w:rFonts w:eastAsia="Calibri" w:cs="Arial"/>
          <w:lang w:eastAsia="en-US"/>
        </w:rPr>
      </w:pPr>
      <w:r w:rsidRPr="00A01F6B">
        <w:rPr>
          <w:rFonts w:eastAsia="Calibri" w:cs="Arial"/>
          <w:lang w:eastAsia="en-US"/>
        </w:rPr>
        <w:t xml:space="preserve">Centre of Research Excellence in Suicide Prevention (CRESP) </w:t>
      </w:r>
    </w:p>
    <w:p w14:paraId="3E3FF241" w14:textId="77777777" w:rsidR="00A01F6B" w:rsidRPr="00A01F6B" w:rsidRDefault="00A01F6B" w:rsidP="000D1D92">
      <w:pPr>
        <w:numPr>
          <w:ilvl w:val="0"/>
          <w:numId w:val="76"/>
        </w:numPr>
        <w:spacing w:after="120"/>
        <w:jc w:val="both"/>
        <w:rPr>
          <w:rFonts w:eastAsia="Calibri" w:cs="Arial"/>
          <w:lang w:eastAsia="en-US"/>
        </w:rPr>
      </w:pPr>
      <w:r w:rsidRPr="00A01F6B">
        <w:rPr>
          <w:rFonts w:eastAsia="Calibri" w:cs="Arial"/>
          <w:lang w:eastAsia="en-US"/>
        </w:rPr>
        <w:t>Online Safety Consultative Working Group</w:t>
      </w:r>
    </w:p>
    <w:p w14:paraId="363D795C" w14:textId="2F125E21" w:rsidR="00A01F6B" w:rsidRPr="00A01F6B" w:rsidRDefault="00A01F6B" w:rsidP="000D1D92">
      <w:pPr>
        <w:numPr>
          <w:ilvl w:val="0"/>
          <w:numId w:val="76"/>
        </w:numPr>
        <w:spacing w:after="120"/>
        <w:jc w:val="both"/>
        <w:rPr>
          <w:rFonts w:eastAsia="Calibri" w:cs="Arial"/>
          <w:lang w:eastAsia="en-US"/>
        </w:rPr>
      </w:pPr>
      <w:r w:rsidRPr="00A01F6B">
        <w:rPr>
          <w:rFonts w:eastAsia="Calibri" w:cs="Arial"/>
          <w:lang w:eastAsia="en-US"/>
        </w:rPr>
        <w:t xml:space="preserve">Australian Children’s Commissioners </w:t>
      </w:r>
      <w:r w:rsidR="00CC2BA8">
        <w:rPr>
          <w:rFonts w:eastAsia="Calibri" w:cs="Arial"/>
          <w:lang w:eastAsia="en-US"/>
        </w:rPr>
        <w:t>and</w:t>
      </w:r>
      <w:r w:rsidRPr="00A01F6B">
        <w:rPr>
          <w:rFonts w:eastAsia="Calibri" w:cs="Arial"/>
          <w:lang w:eastAsia="en-US"/>
        </w:rPr>
        <w:t xml:space="preserve"> Guardians</w:t>
      </w:r>
    </w:p>
    <w:p w14:paraId="6F659EC7" w14:textId="77777777" w:rsidR="00A01F6B" w:rsidRPr="00A01F6B" w:rsidRDefault="00A01F6B" w:rsidP="000D1D92">
      <w:pPr>
        <w:numPr>
          <w:ilvl w:val="0"/>
          <w:numId w:val="76"/>
        </w:numPr>
        <w:spacing w:after="120"/>
        <w:jc w:val="both"/>
        <w:rPr>
          <w:rFonts w:eastAsia="Calibri" w:cs="Arial"/>
          <w:lang w:eastAsia="en-US"/>
        </w:rPr>
      </w:pPr>
      <w:r w:rsidRPr="00A01F6B">
        <w:rPr>
          <w:rFonts w:eastAsia="Calibri" w:cs="Arial"/>
          <w:lang w:eastAsia="en-US"/>
        </w:rPr>
        <w:t>National Families Week Ambassador, 2015</w:t>
      </w:r>
    </w:p>
    <w:p w14:paraId="288928C3" w14:textId="77777777" w:rsidR="00A01F6B" w:rsidRPr="00A01F6B" w:rsidRDefault="00A01F6B" w:rsidP="000D1D92">
      <w:pPr>
        <w:numPr>
          <w:ilvl w:val="0"/>
          <w:numId w:val="76"/>
        </w:numPr>
        <w:spacing w:after="120"/>
        <w:jc w:val="both"/>
        <w:rPr>
          <w:rFonts w:eastAsia="Calibri" w:cs="Arial"/>
          <w:lang w:eastAsia="en-US"/>
        </w:rPr>
      </w:pPr>
      <w:r w:rsidRPr="00A01F6B">
        <w:rPr>
          <w:rFonts w:eastAsia="Calibri" w:cs="Arial"/>
          <w:lang w:eastAsia="en-US"/>
        </w:rPr>
        <w:t>National Advisory Group for the Statement of Intent on Children’s Rights in Early Childhood Education and Care, since April 2014</w:t>
      </w:r>
    </w:p>
    <w:p w14:paraId="30ED8D0B" w14:textId="77777777" w:rsidR="00A01F6B" w:rsidRPr="00A01F6B" w:rsidRDefault="00A01F6B" w:rsidP="000D1D92">
      <w:pPr>
        <w:numPr>
          <w:ilvl w:val="0"/>
          <w:numId w:val="76"/>
        </w:numPr>
        <w:spacing w:after="120"/>
        <w:jc w:val="both"/>
        <w:rPr>
          <w:rFonts w:eastAsia="Calibri" w:cs="Arial"/>
          <w:lang w:eastAsia="en-US"/>
        </w:rPr>
      </w:pPr>
      <w:r w:rsidRPr="00A01F6B">
        <w:rPr>
          <w:rFonts w:eastAsia="Calibri" w:cs="Arial"/>
          <w:lang w:eastAsia="en-US"/>
        </w:rPr>
        <w:t>Bourke Justice Reinvestment Strategic Advisory Group, since May 2014</w:t>
      </w:r>
    </w:p>
    <w:p w14:paraId="2448AE6C" w14:textId="6EB1EEC1" w:rsidR="00A01F6B" w:rsidRPr="00A01F6B" w:rsidRDefault="00A01F6B" w:rsidP="000D1D92">
      <w:pPr>
        <w:numPr>
          <w:ilvl w:val="0"/>
          <w:numId w:val="76"/>
        </w:numPr>
        <w:spacing w:after="120"/>
        <w:jc w:val="both"/>
        <w:rPr>
          <w:rFonts w:eastAsia="Calibri" w:cs="Arial"/>
          <w:lang w:eastAsia="en-US"/>
        </w:rPr>
      </w:pPr>
      <w:r w:rsidRPr="00A01F6B">
        <w:rPr>
          <w:rFonts w:eastAsia="Calibri" w:cs="Arial"/>
          <w:lang w:eastAsia="en-US"/>
        </w:rPr>
        <w:t>Justice Reinvestment Champion</w:t>
      </w:r>
      <w:r w:rsidR="00CC2BA8">
        <w:rPr>
          <w:rFonts w:eastAsia="Calibri" w:cs="Arial"/>
          <w:lang w:eastAsia="en-US"/>
        </w:rPr>
        <w:t>,</w:t>
      </w:r>
      <w:r w:rsidRPr="00A01F6B">
        <w:rPr>
          <w:rFonts w:eastAsia="Calibri" w:cs="Arial"/>
          <w:lang w:eastAsia="en-US"/>
        </w:rPr>
        <w:t xml:space="preserve"> since May 2013</w:t>
      </w:r>
    </w:p>
    <w:p w14:paraId="13582D65" w14:textId="77777777" w:rsidR="00A01F6B" w:rsidRPr="00CC2BA8" w:rsidRDefault="00A01F6B" w:rsidP="000D1D92">
      <w:pPr>
        <w:numPr>
          <w:ilvl w:val="0"/>
          <w:numId w:val="76"/>
        </w:numPr>
        <w:spacing w:after="120"/>
        <w:jc w:val="both"/>
        <w:rPr>
          <w:rFonts w:eastAsia="Calibri" w:cs="Arial"/>
          <w:lang w:eastAsia="en-US"/>
        </w:rPr>
      </w:pPr>
      <w:r w:rsidRPr="00CC2BA8">
        <w:rPr>
          <w:rFonts w:eastAsia="Calibri" w:cs="Arial"/>
          <w:lang w:eastAsia="en-US"/>
        </w:rPr>
        <w:t>Advisory Group to the Preventing Anxiety and Victimisation through education (PAVe) Project, since December 2013</w:t>
      </w:r>
    </w:p>
    <w:p w14:paraId="38D22C19" w14:textId="67DBD688" w:rsidR="00A01F6B" w:rsidRPr="00A01F6B" w:rsidRDefault="00A01F6B" w:rsidP="000D1D92">
      <w:pPr>
        <w:numPr>
          <w:ilvl w:val="0"/>
          <w:numId w:val="76"/>
        </w:numPr>
        <w:spacing w:after="120"/>
        <w:jc w:val="both"/>
        <w:rPr>
          <w:rFonts w:eastAsia="Calibri" w:cs="Arial"/>
          <w:lang w:eastAsia="en-US"/>
        </w:rPr>
      </w:pPr>
      <w:r w:rsidRPr="00A01F6B">
        <w:rPr>
          <w:rFonts w:eastAsia="Calibri" w:cs="Arial"/>
          <w:lang w:eastAsia="en-US"/>
        </w:rPr>
        <w:t>Foster and Kinship Care Spokesperson</w:t>
      </w:r>
      <w:r w:rsidR="009F2C41">
        <w:rPr>
          <w:rFonts w:eastAsia="Calibri" w:cs="Arial"/>
          <w:lang w:eastAsia="en-US"/>
        </w:rPr>
        <w:t>,</w:t>
      </w:r>
      <w:r w:rsidRPr="00A01F6B">
        <w:rPr>
          <w:rFonts w:eastAsia="Calibri" w:cs="Arial"/>
          <w:lang w:eastAsia="en-US"/>
        </w:rPr>
        <w:t xml:space="preserve"> since 2013 </w:t>
      </w:r>
    </w:p>
    <w:p w14:paraId="71F27B98" w14:textId="77777777" w:rsidR="00A01F6B" w:rsidRPr="00A01F6B" w:rsidRDefault="00A01F6B" w:rsidP="000D1D92">
      <w:pPr>
        <w:numPr>
          <w:ilvl w:val="0"/>
          <w:numId w:val="76"/>
        </w:numPr>
        <w:spacing w:before="0" w:after="0"/>
        <w:jc w:val="both"/>
        <w:rPr>
          <w:rFonts w:eastAsia="Calibri" w:cs="Arial"/>
          <w:lang w:eastAsia="en-US"/>
        </w:rPr>
      </w:pPr>
      <w:r w:rsidRPr="00A01F6B">
        <w:rPr>
          <w:rFonts w:eastAsia="Calibri" w:cs="Arial"/>
          <w:lang w:eastAsia="en-US"/>
        </w:rPr>
        <w:t xml:space="preserve">Children’s Week National Ambassador, 2014. </w:t>
      </w:r>
    </w:p>
    <w:p w14:paraId="6BDB9CD9" w14:textId="40E262A5" w:rsidR="00A01F6B" w:rsidRPr="00A01F6B" w:rsidRDefault="00A01F6B" w:rsidP="00A01F6B">
      <w:pPr>
        <w:pStyle w:val="Heading2"/>
        <w:numPr>
          <w:ilvl w:val="0"/>
          <w:numId w:val="0"/>
        </w:numPr>
        <w:ind w:left="851" w:hanging="851"/>
      </w:pPr>
      <w:bookmarkStart w:id="221" w:name="_Toc432577335"/>
      <w:r>
        <w:t xml:space="preserve">Appendix 4: </w:t>
      </w:r>
      <w:r w:rsidRPr="00A01F6B">
        <w:t>Consultations</w:t>
      </w:r>
      <w:r w:rsidR="003B2D20">
        <w:t xml:space="preserve"> about business and children’s rights</w:t>
      </w:r>
      <w:bookmarkEnd w:id="221"/>
    </w:p>
    <w:tbl>
      <w:tblPr>
        <w:tblStyle w:val="TableGrid"/>
        <w:tblW w:w="0" w:type="auto"/>
        <w:tblLook w:val="04A0" w:firstRow="1" w:lastRow="0" w:firstColumn="1" w:lastColumn="0" w:noHBand="0" w:noVBand="1"/>
      </w:tblPr>
      <w:tblGrid>
        <w:gridCol w:w="1238"/>
        <w:gridCol w:w="5765"/>
        <w:gridCol w:w="2057"/>
      </w:tblGrid>
      <w:tr w:rsidR="00A01F6B" w:rsidRPr="00764534" w14:paraId="5DBE50DF" w14:textId="77777777" w:rsidTr="00AE0B34">
        <w:tc>
          <w:tcPr>
            <w:tcW w:w="1238" w:type="dxa"/>
          </w:tcPr>
          <w:p w14:paraId="6328D163" w14:textId="77777777" w:rsidR="00A01F6B" w:rsidRPr="00764534" w:rsidRDefault="00A01F6B" w:rsidP="00AE0B34">
            <w:pPr>
              <w:rPr>
                <w:b/>
              </w:rPr>
            </w:pPr>
            <w:r w:rsidRPr="00764534">
              <w:rPr>
                <w:b/>
              </w:rPr>
              <w:t>Date</w:t>
            </w:r>
          </w:p>
        </w:tc>
        <w:tc>
          <w:tcPr>
            <w:tcW w:w="5765" w:type="dxa"/>
          </w:tcPr>
          <w:p w14:paraId="2FF5A798" w14:textId="77777777" w:rsidR="00A01F6B" w:rsidRPr="00764534" w:rsidRDefault="00A01F6B" w:rsidP="00AE0B34">
            <w:pPr>
              <w:rPr>
                <w:b/>
              </w:rPr>
            </w:pPr>
            <w:r>
              <w:rPr>
                <w:b/>
              </w:rPr>
              <w:t xml:space="preserve">Consultation </w:t>
            </w:r>
          </w:p>
        </w:tc>
        <w:tc>
          <w:tcPr>
            <w:tcW w:w="2057" w:type="dxa"/>
          </w:tcPr>
          <w:p w14:paraId="7E2B49E2" w14:textId="77777777" w:rsidR="00A01F6B" w:rsidRPr="00764534" w:rsidRDefault="00A01F6B" w:rsidP="00AE0B34">
            <w:pPr>
              <w:rPr>
                <w:b/>
              </w:rPr>
            </w:pPr>
            <w:r w:rsidRPr="00764534">
              <w:rPr>
                <w:b/>
              </w:rPr>
              <w:t>Location</w:t>
            </w:r>
          </w:p>
        </w:tc>
      </w:tr>
      <w:tr w:rsidR="00A01F6B" w:rsidRPr="00764534" w14:paraId="48351ECF" w14:textId="77777777" w:rsidTr="00AE0B34">
        <w:tc>
          <w:tcPr>
            <w:tcW w:w="1238" w:type="dxa"/>
          </w:tcPr>
          <w:p w14:paraId="693158E5" w14:textId="6C6BDF0A" w:rsidR="00A01F6B" w:rsidRPr="00764534" w:rsidRDefault="009F2C41" w:rsidP="00AE0B34">
            <w:r>
              <w:t>21.03.</w:t>
            </w:r>
            <w:r w:rsidR="00A01F6B">
              <w:t xml:space="preserve">15 </w:t>
            </w:r>
          </w:p>
        </w:tc>
        <w:tc>
          <w:tcPr>
            <w:tcW w:w="5765" w:type="dxa"/>
          </w:tcPr>
          <w:p w14:paraId="252C39E3" w14:textId="77777777" w:rsidR="00A01F6B" w:rsidRPr="00764534" w:rsidRDefault="00A01F6B" w:rsidP="00AE0B34">
            <w:r w:rsidRPr="00BF6F2E">
              <w:t>YMCA youth group</w:t>
            </w:r>
          </w:p>
        </w:tc>
        <w:tc>
          <w:tcPr>
            <w:tcW w:w="2057" w:type="dxa"/>
          </w:tcPr>
          <w:p w14:paraId="2CB57423" w14:textId="77777777" w:rsidR="00A01F6B" w:rsidRPr="00764534" w:rsidRDefault="00A01F6B" w:rsidP="00AE0B34">
            <w:r>
              <w:t>Melbourne, VIC</w:t>
            </w:r>
          </w:p>
        </w:tc>
      </w:tr>
      <w:tr w:rsidR="00A01F6B" w:rsidRPr="00764534" w14:paraId="6079E322" w14:textId="77777777" w:rsidTr="00AE0B34">
        <w:tc>
          <w:tcPr>
            <w:tcW w:w="1238" w:type="dxa"/>
          </w:tcPr>
          <w:p w14:paraId="38EBB89A" w14:textId="3BE51A63" w:rsidR="00A01F6B" w:rsidRPr="00764534" w:rsidRDefault="009F2C41" w:rsidP="00AE0B34">
            <w:r>
              <w:t>30.04.</w:t>
            </w:r>
            <w:r w:rsidR="00A01F6B">
              <w:t xml:space="preserve">15 </w:t>
            </w:r>
          </w:p>
        </w:tc>
        <w:tc>
          <w:tcPr>
            <w:tcW w:w="5765" w:type="dxa"/>
          </w:tcPr>
          <w:p w14:paraId="4615B7C6" w14:textId="77777777" w:rsidR="00A01F6B" w:rsidRPr="00764534" w:rsidRDefault="00A01F6B" w:rsidP="00AE0B34">
            <w:r>
              <w:rPr>
                <w:lang w:val="en-US"/>
              </w:rPr>
              <w:t>Highwater T</w:t>
            </w:r>
            <w:r w:rsidRPr="00BF6F2E">
              <w:rPr>
                <w:lang w:val="en-US"/>
              </w:rPr>
              <w:t>heatre</w:t>
            </w:r>
            <w:r>
              <w:rPr>
                <w:lang w:val="en-US"/>
              </w:rPr>
              <w:t xml:space="preserve"> Program</w:t>
            </w:r>
          </w:p>
        </w:tc>
        <w:tc>
          <w:tcPr>
            <w:tcW w:w="2057" w:type="dxa"/>
          </w:tcPr>
          <w:p w14:paraId="4A37F9E0" w14:textId="77777777" w:rsidR="00A01F6B" w:rsidRPr="00764534" w:rsidRDefault="00A01F6B" w:rsidP="00AE0B34">
            <w:r>
              <w:t>Albury, NSW</w:t>
            </w:r>
          </w:p>
        </w:tc>
      </w:tr>
      <w:tr w:rsidR="00A01F6B" w:rsidRPr="00764534" w14:paraId="39EB4BFE" w14:textId="77777777" w:rsidTr="00AE0B34">
        <w:tc>
          <w:tcPr>
            <w:tcW w:w="1238" w:type="dxa"/>
          </w:tcPr>
          <w:p w14:paraId="3F0B8A9C" w14:textId="6AFF26E1" w:rsidR="00A01F6B" w:rsidRPr="00764534" w:rsidRDefault="00B341A4" w:rsidP="00AE0B34">
            <w:r>
              <w:t>0</w:t>
            </w:r>
            <w:r w:rsidR="009F2C41">
              <w:t>6.05.</w:t>
            </w:r>
            <w:r w:rsidR="00A01F6B">
              <w:t>15</w:t>
            </w:r>
          </w:p>
        </w:tc>
        <w:tc>
          <w:tcPr>
            <w:tcW w:w="5765" w:type="dxa"/>
          </w:tcPr>
          <w:p w14:paraId="38D154CB" w14:textId="77777777" w:rsidR="00A01F6B" w:rsidRPr="00764534" w:rsidRDefault="00A01F6B" w:rsidP="00AE0B34">
            <w:r w:rsidRPr="00BF6F2E">
              <w:rPr>
                <w:lang w:val="en-US"/>
              </w:rPr>
              <w:t>Holroyd High School</w:t>
            </w:r>
          </w:p>
        </w:tc>
        <w:tc>
          <w:tcPr>
            <w:tcW w:w="2057" w:type="dxa"/>
          </w:tcPr>
          <w:p w14:paraId="51AECC95" w14:textId="77777777" w:rsidR="00A01F6B" w:rsidRPr="00764534" w:rsidRDefault="00A01F6B" w:rsidP="00AE0B34">
            <w:r>
              <w:t>Sydney, NSW</w:t>
            </w:r>
          </w:p>
        </w:tc>
      </w:tr>
      <w:tr w:rsidR="00A01F6B" w:rsidRPr="00764534" w14:paraId="42253121" w14:textId="77777777" w:rsidTr="00AE0B34">
        <w:tc>
          <w:tcPr>
            <w:tcW w:w="1238" w:type="dxa"/>
          </w:tcPr>
          <w:p w14:paraId="12CF1D47" w14:textId="515EF7DC" w:rsidR="00A01F6B" w:rsidRPr="00764534" w:rsidRDefault="00A01F6B" w:rsidP="00AE0B34">
            <w:r>
              <w:t>14.05.15</w:t>
            </w:r>
          </w:p>
        </w:tc>
        <w:tc>
          <w:tcPr>
            <w:tcW w:w="5765" w:type="dxa"/>
          </w:tcPr>
          <w:p w14:paraId="2EA2E3A4" w14:textId="77777777" w:rsidR="00A01F6B" w:rsidRPr="00764534" w:rsidRDefault="00A01F6B" w:rsidP="00AE0B34">
            <w:r w:rsidRPr="00BF6F2E">
              <w:rPr>
                <w:lang w:val="en-US"/>
              </w:rPr>
              <w:t>Marrickville West Primary School</w:t>
            </w:r>
          </w:p>
        </w:tc>
        <w:tc>
          <w:tcPr>
            <w:tcW w:w="2057" w:type="dxa"/>
          </w:tcPr>
          <w:p w14:paraId="3A03E2EB" w14:textId="77777777" w:rsidR="00A01F6B" w:rsidRPr="00764534" w:rsidRDefault="00A01F6B" w:rsidP="00AE0B34">
            <w:r>
              <w:t>Sydney, NSW</w:t>
            </w:r>
          </w:p>
        </w:tc>
      </w:tr>
      <w:tr w:rsidR="00A01F6B" w:rsidRPr="00764534" w14:paraId="3271C5F0" w14:textId="77777777" w:rsidTr="00AE0B34">
        <w:tc>
          <w:tcPr>
            <w:tcW w:w="1238" w:type="dxa"/>
          </w:tcPr>
          <w:p w14:paraId="27DA9E13" w14:textId="77CE46A6" w:rsidR="00A01F6B" w:rsidRPr="00764534" w:rsidRDefault="009F2C41" w:rsidP="009F2C41">
            <w:r>
              <w:t>19.05.</w:t>
            </w:r>
            <w:r w:rsidR="00A01F6B">
              <w:t>15</w:t>
            </w:r>
          </w:p>
        </w:tc>
        <w:tc>
          <w:tcPr>
            <w:tcW w:w="5765" w:type="dxa"/>
          </w:tcPr>
          <w:p w14:paraId="08EF05A3" w14:textId="77777777" w:rsidR="00A01F6B" w:rsidRPr="00764534" w:rsidRDefault="00A01F6B" w:rsidP="00AE0B34">
            <w:r>
              <w:rPr>
                <w:lang w:val="en-US"/>
              </w:rPr>
              <w:t>Keilor Heights Primary School</w:t>
            </w:r>
          </w:p>
        </w:tc>
        <w:tc>
          <w:tcPr>
            <w:tcW w:w="2057" w:type="dxa"/>
          </w:tcPr>
          <w:p w14:paraId="54B803AC" w14:textId="77777777" w:rsidR="00A01F6B" w:rsidRPr="00764534" w:rsidRDefault="00A01F6B" w:rsidP="00AE0B34">
            <w:r>
              <w:t>Melbourne, VIC</w:t>
            </w:r>
          </w:p>
        </w:tc>
      </w:tr>
      <w:tr w:rsidR="00A01F6B" w:rsidRPr="00764534" w14:paraId="66929799" w14:textId="77777777" w:rsidTr="00AE0B34">
        <w:tc>
          <w:tcPr>
            <w:tcW w:w="1238" w:type="dxa"/>
          </w:tcPr>
          <w:p w14:paraId="51C3439B" w14:textId="2A333515" w:rsidR="00A01F6B" w:rsidRDefault="009F2C41" w:rsidP="00AE0B34">
            <w:r>
              <w:t>15.07.</w:t>
            </w:r>
            <w:r w:rsidR="00A01F6B">
              <w:t>15</w:t>
            </w:r>
          </w:p>
        </w:tc>
        <w:tc>
          <w:tcPr>
            <w:tcW w:w="5765" w:type="dxa"/>
          </w:tcPr>
          <w:p w14:paraId="2A28BFC3" w14:textId="3506D569" w:rsidR="00A01F6B" w:rsidRDefault="00A01F6B" w:rsidP="009F2C41">
            <w:r>
              <w:t>Canterbury Boys</w:t>
            </w:r>
            <w:r w:rsidRPr="00547E01">
              <w:t xml:space="preserve"> High School </w:t>
            </w:r>
          </w:p>
        </w:tc>
        <w:tc>
          <w:tcPr>
            <w:tcW w:w="2057" w:type="dxa"/>
          </w:tcPr>
          <w:p w14:paraId="78516B69" w14:textId="59837BC0" w:rsidR="00A01F6B" w:rsidRDefault="00A01F6B" w:rsidP="00AE0B34">
            <w:r w:rsidRPr="00547E01">
              <w:t>Sydney</w:t>
            </w:r>
            <w:r w:rsidR="00B341A4">
              <w:t>,</w:t>
            </w:r>
            <w:r w:rsidRPr="00547E01">
              <w:t xml:space="preserve"> NSW</w:t>
            </w:r>
          </w:p>
        </w:tc>
      </w:tr>
    </w:tbl>
    <w:p w14:paraId="31747023" w14:textId="50B456E4" w:rsidR="0073631C" w:rsidRDefault="00872643" w:rsidP="00872643">
      <w:pPr>
        <w:pStyle w:val="Heading2"/>
        <w:numPr>
          <w:ilvl w:val="0"/>
          <w:numId w:val="0"/>
        </w:numPr>
        <w:ind w:left="851" w:hanging="851"/>
      </w:pPr>
      <w:bookmarkStart w:id="222" w:name="_Toc432577336"/>
      <w:r>
        <w:t xml:space="preserve">Appendix 5: </w:t>
      </w:r>
      <w:r w:rsidRPr="00872643">
        <w:t xml:space="preserve">Submissions to my examination </w:t>
      </w:r>
      <w:r w:rsidR="009F7E40">
        <w:t>of</w:t>
      </w:r>
      <w:r w:rsidRPr="00872643">
        <w:t xml:space="preserve"> family and domestic violence</w:t>
      </w:r>
      <w:r>
        <w:t xml:space="preserve"> affecting children</w:t>
      </w:r>
      <w:bookmarkEnd w:id="222"/>
    </w:p>
    <w:p w14:paraId="57388AE2" w14:textId="77777777" w:rsidR="00872643" w:rsidRDefault="00872643" w:rsidP="00872643">
      <w:pPr>
        <w:jc w:val="both"/>
      </w:pPr>
      <w:r w:rsidRPr="002B5E5F">
        <w:t>62 written submissions</w:t>
      </w:r>
      <w:r>
        <w:t xml:space="preserve"> were received in response to the National Children’s Commissioner’s examination into family and domestic violence.</w:t>
      </w:r>
    </w:p>
    <w:p w14:paraId="2F34E721" w14:textId="77777777" w:rsidR="00872643" w:rsidRDefault="00872643" w:rsidP="00872643">
      <w:pPr>
        <w:jc w:val="both"/>
      </w:pPr>
      <w:r>
        <w:t>Submissions were received from individuals, government, private and non-government organisations.</w:t>
      </w:r>
    </w:p>
    <w:p w14:paraId="1B93AD77" w14:textId="77777777" w:rsidR="00872643" w:rsidRDefault="00872643" w:rsidP="00872643">
      <w:pPr>
        <w:jc w:val="both"/>
      </w:pPr>
      <w:r>
        <w:t>Some submissions are redacted to protect privacy and confidentiality.</w:t>
      </w:r>
    </w:p>
    <w:tbl>
      <w:tblPr>
        <w:tblStyle w:val="TableGrid"/>
        <w:tblW w:w="9209" w:type="dxa"/>
        <w:tblLook w:val="04A0" w:firstRow="1" w:lastRow="0" w:firstColumn="1" w:lastColumn="0" w:noHBand="0" w:noVBand="1"/>
      </w:tblPr>
      <w:tblGrid>
        <w:gridCol w:w="1980"/>
        <w:gridCol w:w="7229"/>
      </w:tblGrid>
      <w:tr w:rsidR="00872643" w:rsidRPr="005D5059" w14:paraId="4B5E4465" w14:textId="77777777" w:rsidTr="00AE0B34">
        <w:trPr>
          <w:trHeight w:val="300"/>
        </w:trPr>
        <w:tc>
          <w:tcPr>
            <w:tcW w:w="1980" w:type="dxa"/>
            <w:noWrap/>
          </w:tcPr>
          <w:p w14:paraId="0B7264DB" w14:textId="77777777" w:rsidR="00872643" w:rsidRPr="005D5059" w:rsidRDefault="00872643" w:rsidP="00AE0B34">
            <w:pPr>
              <w:spacing w:before="0" w:after="0"/>
            </w:pPr>
            <w:r w:rsidRPr="005D5059">
              <w:t>Submission No</w:t>
            </w:r>
          </w:p>
        </w:tc>
        <w:tc>
          <w:tcPr>
            <w:tcW w:w="7229" w:type="dxa"/>
            <w:noWrap/>
          </w:tcPr>
          <w:p w14:paraId="3E93E8FF" w14:textId="77777777" w:rsidR="00872643" w:rsidRPr="005D5059" w:rsidRDefault="00872643" w:rsidP="00AE0B34">
            <w:pPr>
              <w:spacing w:before="0" w:after="0"/>
            </w:pPr>
            <w:r w:rsidRPr="005D5059">
              <w:t xml:space="preserve">Submission by </w:t>
            </w:r>
          </w:p>
        </w:tc>
      </w:tr>
      <w:tr w:rsidR="00872643" w:rsidRPr="005D5059" w14:paraId="34CE4FB8" w14:textId="77777777" w:rsidTr="00AE0B34">
        <w:trPr>
          <w:trHeight w:val="300"/>
        </w:trPr>
        <w:tc>
          <w:tcPr>
            <w:tcW w:w="1980" w:type="dxa"/>
            <w:noWrap/>
            <w:hideMark/>
          </w:tcPr>
          <w:p w14:paraId="7A72B4A6" w14:textId="77777777" w:rsidR="00872643" w:rsidRPr="005D5059" w:rsidRDefault="00872643" w:rsidP="00AE0B34">
            <w:pPr>
              <w:spacing w:before="0" w:after="0"/>
            </w:pPr>
            <w:r w:rsidRPr="005D5059">
              <w:t>1</w:t>
            </w:r>
          </w:p>
        </w:tc>
        <w:tc>
          <w:tcPr>
            <w:tcW w:w="7229" w:type="dxa"/>
            <w:noWrap/>
            <w:hideMark/>
          </w:tcPr>
          <w:p w14:paraId="1D893BF8" w14:textId="77777777" w:rsidR="00872643" w:rsidRPr="005D5059" w:rsidRDefault="00872643" w:rsidP="00AE0B34">
            <w:pPr>
              <w:spacing w:before="0" w:after="0"/>
            </w:pPr>
            <w:r w:rsidRPr="005D5059">
              <w:t xml:space="preserve">Professor Patricia Easteal </w:t>
            </w:r>
          </w:p>
        </w:tc>
      </w:tr>
      <w:tr w:rsidR="00872643" w:rsidRPr="005D5059" w14:paraId="08E1F2F9" w14:textId="77777777" w:rsidTr="00AE0B34">
        <w:trPr>
          <w:trHeight w:val="300"/>
        </w:trPr>
        <w:tc>
          <w:tcPr>
            <w:tcW w:w="1980" w:type="dxa"/>
            <w:noWrap/>
          </w:tcPr>
          <w:p w14:paraId="69D50947" w14:textId="77777777" w:rsidR="00872643" w:rsidRPr="005D5059" w:rsidRDefault="00872643" w:rsidP="00AE0B34">
            <w:pPr>
              <w:spacing w:before="0" w:after="0"/>
            </w:pPr>
            <w:r w:rsidRPr="005D5059">
              <w:t>Attachment 1.1</w:t>
            </w:r>
          </w:p>
        </w:tc>
        <w:tc>
          <w:tcPr>
            <w:tcW w:w="7229" w:type="dxa"/>
            <w:noWrap/>
          </w:tcPr>
          <w:p w14:paraId="2CD1D4EA" w14:textId="77777777" w:rsidR="00872643" w:rsidRPr="005D5059" w:rsidRDefault="00872643" w:rsidP="00AE0B34">
            <w:pPr>
              <w:spacing w:before="0" w:after="0"/>
            </w:pPr>
            <w:r w:rsidRPr="005D5059">
              <w:t xml:space="preserve">Patricia Easteal AM and Dimian Grey, 'Risk of harm to children from exposure to family violence: Looking at how it is understood and considered by the judiciary' (2013) 27 </w:t>
            </w:r>
            <w:r w:rsidRPr="005D5059">
              <w:rPr>
                <w:i/>
              </w:rPr>
              <w:t>Australian Journal of Family Law</w:t>
            </w:r>
            <w:r w:rsidRPr="005D5059">
              <w:t xml:space="preserve"> 59.</w:t>
            </w:r>
          </w:p>
        </w:tc>
      </w:tr>
      <w:tr w:rsidR="00872643" w:rsidRPr="005D5059" w14:paraId="4370A8FE" w14:textId="77777777" w:rsidTr="00AE0B34">
        <w:trPr>
          <w:trHeight w:val="300"/>
        </w:trPr>
        <w:tc>
          <w:tcPr>
            <w:tcW w:w="1980" w:type="dxa"/>
            <w:noWrap/>
          </w:tcPr>
          <w:p w14:paraId="5F32E564" w14:textId="77777777" w:rsidR="00872643" w:rsidRPr="005D5059" w:rsidRDefault="00872643" w:rsidP="00AE0B34">
            <w:pPr>
              <w:spacing w:before="0" w:after="0"/>
            </w:pPr>
            <w:r w:rsidRPr="005D5059">
              <w:t>Attachment 1.2</w:t>
            </w:r>
          </w:p>
        </w:tc>
        <w:tc>
          <w:tcPr>
            <w:tcW w:w="7229" w:type="dxa"/>
            <w:noWrap/>
          </w:tcPr>
          <w:p w14:paraId="3E970A3D" w14:textId="77777777" w:rsidR="00872643" w:rsidRPr="005D5059" w:rsidRDefault="00872643" w:rsidP="00AE0B34">
            <w:pPr>
              <w:spacing w:before="0" w:after="0"/>
            </w:pPr>
            <w:r w:rsidRPr="005D5059">
              <w:t xml:space="preserve">Patricia Easteal, ‘Violence Against Women in the Home: Kaleidoscopes on a Collision Course?’ (2013) 3(2) </w:t>
            </w:r>
            <w:r w:rsidRPr="005D5059">
              <w:rPr>
                <w:i/>
              </w:rPr>
              <w:t>QUT Law &amp; Justice Journal</w:t>
            </w:r>
            <w:r w:rsidRPr="005D5059">
              <w:t xml:space="preserve"> 250.  </w:t>
            </w:r>
          </w:p>
        </w:tc>
      </w:tr>
      <w:tr w:rsidR="00872643" w:rsidRPr="005D5059" w14:paraId="1025F3EF" w14:textId="77777777" w:rsidTr="00AE0B34">
        <w:trPr>
          <w:trHeight w:val="300"/>
        </w:trPr>
        <w:tc>
          <w:tcPr>
            <w:tcW w:w="1980" w:type="dxa"/>
            <w:noWrap/>
            <w:hideMark/>
          </w:tcPr>
          <w:p w14:paraId="540FE227" w14:textId="77777777" w:rsidR="00872643" w:rsidRPr="005D5059" w:rsidRDefault="00872643" w:rsidP="00AE0B34">
            <w:pPr>
              <w:spacing w:before="0" w:after="0"/>
            </w:pPr>
            <w:r w:rsidRPr="005D5059">
              <w:t>2</w:t>
            </w:r>
          </w:p>
        </w:tc>
        <w:tc>
          <w:tcPr>
            <w:tcW w:w="7229" w:type="dxa"/>
            <w:noWrap/>
            <w:hideMark/>
          </w:tcPr>
          <w:p w14:paraId="0063CFC2" w14:textId="77777777" w:rsidR="00872643" w:rsidRPr="005D5059" w:rsidRDefault="00872643" w:rsidP="00AE0B34">
            <w:pPr>
              <w:spacing w:before="0" w:after="0"/>
            </w:pPr>
            <w:r w:rsidRPr="005D5059">
              <w:t>Professor Belinda Fehlberg</w:t>
            </w:r>
          </w:p>
        </w:tc>
      </w:tr>
      <w:tr w:rsidR="00872643" w:rsidRPr="005D5059" w14:paraId="17B3EA01" w14:textId="77777777" w:rsidTr="00AE0B34">
        <w:trPr>
          <w:trHeight w:val="300"/>
        </w:trPr>
        <w:tc>
          <w:tcPr>
            <w:tcW w:w="1980" w:type="dxa"/>
            <w:noWrap/>
          </w:tcPr>
          <w:p w14:paraId="1B0BE2FB" w14:textId="77777777" w:rsidR="00872643" w:rsidRPr="005D5059" w:rsidRDefault="00872643" w:rsidP="00AE0B34">
            <w:pPr>
              <w:spacing w:before="0" w:after="0"/>
            </w:pPr>
            <w:r w:rsidRPr="005D5059">
              <w:t>Attachment 2.1</w:t>
            </w:r>
          </w:p>
        </w:tc>
        <w:tc>
          <w:tcPr>
            <w:tcW w:w="7229" w:type="dxa"/>
            <w:noWrap/>
          </w:tcPr>
          <w:p w14:paraId="320F8025" w14:textId="77777777" w:rsidR="00872643" w:rsidRPr="005D5059" w:rsidRDefault="00872643" w:rsidP="00AE0B34">
            <w:pPr>
              <w:spacing w:before="0" w:after="0"/>
            </w:pPr>
            <w:r w:rsidRPr="005D5059">
              <w:t xml:space="preserve">Belinda Fehlberg, Rae Kaspiew, Jenni Millbank, Fiona Kelly and Juliet Behrens (eds), </w:t>
            </w:r>
            <w:r w:rsidRPr="005D5059">
              <w:rPr>
                <w:i/>
              </w:rPr>
              <w:t>Australian Family Law: the contemporary context</w:t>
            </w:r>
            <w:r w:rsidRPr="005D5059">
              <w:t xml:space="preserve"> (Oxford University Press, 2</w:t>
            </w:r>
            <w:r w:rsidRPr="005D5059">
              <w:rPr>
                <w:vertAlign w:val="superscript"/>
              </w:rPr>
              <w:t>nd</w:t>
            </w:r>
            <w:r w:rsidRPr="005D5059">
              <w:t xml:space="preserve"> ed, 2014) ch 5–8. </w:t>
            </w:r>
          </w:p>
        </w:tc>
      </w:tr>
      <w:tr w:rsidR="00872643" w:rsidRPr="005D5059" w14:paraId="01F0B2C9" w14:textId="77777777" w:rsidTr="00AE0B34">
        <w:trPr>
          <w:trHeight w:val="300"/>
        </w:trPr>
        <w:tc>
          <w:tcPr>
            <w:tcW w:w="1980" w:type="dxa"/>
            <w:noWrap/>
            <w:hideMark/>
          </w:tcPr>
          <w:p w14:paraId="6C24E4AE" w14:textId="77777777" w:rsidR="00872643" w:rsidRPr="005D5059" w:rsidRDefault="00872643" w:rsidP="00AE0B34">
            <w:pPr>
              <w:spacing w:before="0" w:after="0"/>
            </w:pPr>
            <w:r w:rsidRPr="005D5059">
              <w:t>3</w:t>
            </w:r>
          </w:p>
        </w:tc>
        <w:tc>
          <w:tcPr>
            <w:tcW w:w="7229" w:type="dxa"/>
            <w:noWrap/>
            <w:hideMark/>
          </w:tcPr>
          <w:p w14:paraId="5E65C984" w14:textId="77777777" w:rsidR="00872643" w:rsidRPr="005D5059" w:rsidRDefault="00872643" w:rsidP="00AE0B34">
            <w:pPr>
              <w:spacing w:before="0" w:after="0"/>
            </w:pPr>
            <w:r w:rsidRPr="005D5059">
              <w:t>inTouch Multicultural Centre against Family Violence</w:t>
            </w:r>
          </w:p>
        </w:tc>
      </w:tr>
      <w:tr w:rsidR="00872643" w:rsidRPr="005D5059" w14:paraId="6F324D00" w14:textId="77777777" w:rsidTr="00AE0B34">
        <w:trPr>
          <w:trHeight w:val="300"/>
        </w:trPr>
        <w:tc>
          <w:tcPr>
            <w:tcW w:w="1980" w:type="dxa"/>
            <w:noWrap/>
          </w:tcPr>
          <w:p w14:paraId="0A0776BB" w14:textId="77777777" w:rsidR="00872643" w:rsidRPr="005D5059" w:rsidRDefault="00872643" w:rsidP="00AE0B34">
            <w:pPr>
              <w:spacing w:before="0" w:after="0"/>
            </w:pPr>
            <w:r w:rsidRPr="005D5059">
              <w:t>Attachment 3.1</w:t>
            </w:r>
          </w:p>
        </w:tc>
        <w:tc>
          <w:tcPr>
            <w:tcW w:w="7229" w:type="dxa"/>
            <w:noWrap/>
          </w:tcPr>
          <w:p w14:paraId="5B628FC5" w14:textId="77777777" w:rsidR="00872643" w:rsidRPr="005D5059" w:rsidRDefault="00872643" w:rsidP="00AE0B34">
            <w:pPr>
              <w:spacing w:before="0" w:after="0"/>
            </w:pPr>
            <w:r w:rsidRPr="005D5059">
              <w:t xml:space="preserve">InTouch Multicultural Centre Against Family Violence and Safe Futures Foundation, </w:t>
            </w:r>
            <w:r w:rsidRPr="005D5059">
              <w:rPr>
                <w:i/>
              </w:rPr>
              <w:t xml:space="preserve">Making Childhood Memories; “CALD Children in Refuge Matter” Holiday Program 2014 Evaluation report </w:t>
            </w:r>
            <w:r w:rsidRPr="005D5059">
              <w:t>(2014).</w:t>
            </w:r>
          </w:p>
        </w:tc>
      </w:tr>
      <w:tr w:rsidR="00872643" w:rsidRPr="005D5059" w14:paraId="370D571D" w14:textId="77777777" w:rsidTr="00AE0B34">
        <w:trPr>
          <w:trHeight w:val="300"/>
        </w:trPr>
        <w:tc>
          <w:tcPr>
            <w:tcW w:w="1980" w:type="dxa"/>
            <w:noWrap/>
          </w:tcPr>
          <w:p w14:paraId="77C0DEC0" w14:textId="77777777" w:rsidR="00872643" w:rsidRPr="005D5059" w:rsidRDefault="00872643" w:rsidP="00AE0B34">
            <w:pPr>
              <w:spacing w:before="0" w:after="0"/>
            </w:pPr>
            <w:r w:rsidRPr="005D5059">
              <w:t>Attachment 3.2</w:t>
            </w:r>
          </w:p>
        </w:tc>
        <w:tc>
          <w:tcPr>
            <w:tcW w:w="7229" w:type="dxa"/>
            <w:noWrap/>
          </w:tcPr>
          <w:p w14:paraId="3D2E5F5D" w14:textId="77777777" w:rsidR="00872643" w:rsidRPr="005D5059" w:rsidRDefault="00872643" w:rsidP="00AE0B34">
            <w:pPr>
              <w:tabs>
                <w:tab w:val="left" w:pos="2680"/>
              </w:tabs>
              <w:spacing w:before="0" w:after="0"/>
              <w:rPr>
                <w:highlight w:val="green"/>
              </w:rPr>
            </w:pPr>
            <w:r w:rsidRPr="005D5059">
              <w:t xml:space="preserve">Immigrant Women’s Domestic Violence Service, </w:t>
            </w:r>
            <w:r w:rsidRPr="005D5059">
              <w:rPr>
                <w:i/>
              </w:rPr>
              <w:t>What about the Children? The Voices of Culturally and Linguistically Diverse Children affected by Family Violence</w:t>
            </w:r>
            <w:r w:rsidRPr="005D5059">
              <w:t xml:space="preserve"> (2008).</w:t>
            </w:r>
          </w:p>
        </w:tc>
      </w:tr>
      <w:tr w:rsidR="00872643" w:rsidRPr="005D5059" w14:paraId="42E8971D" w14:textId="77777777" w:rsidTr="00AE0B34">
        <w:trPr>
          <w:trHeight w:val="300"/>
        </w:trPr>
        <w:tc>
          <w:tcPr>
            <w:tcW w:w="1980" w:type="dxa"/>
            <w:noWrap/>
            <w:hideMark/>
          </w:tcPr>
          <w:p w14:paraId="15D3D5B2" w14:textId="77777777" w:rsidR="00872643" w:rsidRPr="005D5059" w:rsidRDefault="00872643" w:rsidP="00AE0B34">
            <w:pPr>
              <w:spacing w:before="0" w:after="0"/>
            </w:pPr>
            <w:r w:rsidRPr="005D5059">
              <w:t>4</w:t>
            </w:r>
          </w:p>
        </w:tc>
        <w:tc>
          <w:tcPr>
            <w:tcW w:w="7229" w:type="dxa"/>
            <w:noWrap/>
            <w:hideMark/>
          </w:tcPr>
          <w:p w14:paraId="7AB9BF30" w14:textId="77777777" w:rsidR="00872643" w:rsidRPr="005D5059" w:rsidRDefault="00872643" w:rsidP="00AE0B34">
            <w:pPr>
              <w:spacing w:before="0" w:after="0"/>
            </w:pPr>
            <w:r w:rsidRPr="005D5059">
              <w:t>Wendy Bunston</w:t>
            </w:r>
          </w:p>
        </w:tc>
      </w:tr>
      <w:tr w:rsidR="000F2091" w:rsidRPr="005D5059" w14:paraId="00DB6195" w14:textId="77777777" w:rsidTr="00AE0B34">
        <w:trPr>
          <w:trHeight w:val="300"/>
        </w:trPr>
        <w:tc>
          <w:tcPr>
            <w:tcW w:w="1980" w:type="dxa"/>
            <w:noWrap/>
          </w:tcPr>
          <w:p w14:paraId="62421693" w14:textId="4865356E" w:rsidR="000F2091" w:rsidRPr="005D5059" w:rsidRDefault="000F2091" w:rsidP="00AE0B34">
            <w:pPr>
              <w:spacing w:before="0" w:after="0"/>
            </w:pPr>
            <w:r>
              <w:t>Attachment 4.1</w:t>
            </w:r>
          </w:p>
        </w:tc>
        <w:tc>
          <w:tcPr>
            <w:tcW w:w="7229" w:type="dxa"/>
            <w:noWrap/>
          </w:tcPr>
          <w:p w14:paraId="1C68F067" w14:textId="1F3C90F8" w:rsidR="000F2091" w:rsidRPr="005D5059" w:rsidRDefault="000F2091" w:rsidP="00AE0B34">
            <w:pPr>
              <w:spacing w:before="0" w:after="0"/>
            </w:pPr>
            <w:r>
              <w:t>Wendy Bunston, ‘Summary of Evaluation (Quantitative and Qualitative) of 4 Infant/Child and Parent Interventions to Address Family Violence’.</w:t>
            </w:r>
          </w:p>
        </w:tc>
      </w:tr>
      <w:tr w:rsidR="00872643" w:rsidRPr="005D5059" w14:paraId="78DA99A4" w14:textId="77777777" w:rsidTr="00AE0B34">
        <w:trPr>
          <w:trHeight w:val="300"/>
        </w:trPr>
        <w:tc>
          <w:tcPr>
            <w:tcW w:w="1980" w:type="dxa"/>
            <w:noWrap/>
          </w:tcPr>
          <w:p w14:paraId="6FFA04FB" w14:textId="68DB35B9" w:rsidR="00872643" w:rsidRPr="005D5059" w:rsidRDefault="00872643" w:rsidP="000F2091">
            <w:pPr>
              <w:spacing w:before="0" w:after="0"/>
            </w:pPr>
            <w:r w:rsidRPr="005D5059">
              <w:t>Attachment 4.</w:t>
            </w:r>
            <w:r w:rsidR="000F2091">
              <w:t>2</w:t>
            </w:r>
          </w:p>
        </w:tc>
        <w:tc>
          <w:tcPr>
            <w:tcW w:w="7229" w:type="dxa"/>
            <w:noWrap/>
          </w:tcPr>
          <w:p w14:paraId="659DFC08" w14:textId="77777777" w:rsidR="00872643" w:rsidRPr="005D5059" w:rsidRDefault="00872643" w:rsidP="00AE0B34">
            <w:pPr>
              <w:spacing w:before="0" w:after="0"/>
            </w:pPr>
            <w:r w:rsidRPr="005D5059">
              <w:t xml:space="preserve">Wendy Bunston, Kathy Eyre, Anthony Carlsson and Kristen Pringle, 'Evaluating relational repair work with infants and mothers impacted by family violence' [2014] </w:t>
            </w:r>
            <w:r w:rsidRPr="005D5059">
              <w:rPr>
                <w:i/>
              </w:rPr>
              <w:t>Australian &amp; New Zealand Journal of Criminology</w:t>
            </w:r>
            <w:r w:rsidRPr="005D5059">
              <w:t xml:space="preserve"> 1.</w:t>
            </w:r>
          </w:p>
        </w:tc>
      </w:tr>
      <w:tr w:rsidR="00872643" w:rsidRPr="005D5059" w14:paraId="7ACDF194" w14:textId="77777777" w:rsidTr="00AE0B34">
        <w:trPr>
          <w:trHeight w:val="300"/>
        </w:trPr>
        <w:tc>
          <w:tcPr>
            <w:tcW w:w="1980" w:type="dxa"/>
            <w:noWrap/>
          </w:tcPr>
          <w:p w14:paraId="75452781" w14:textId="3568502F" w:rsidR="00872643" w:rsidRPr="005D5059" w:rsidRDefault="00872643" w:rsidP="000F2091">
            <w:pPr>
              <w:spacing w:before="0" w:after="0"/>
            </w:pPr>
            <w:r w:rsidRPr="005D5059">
              <w:t>Attachment 4.</w:t>
            </w:r>
            <w:r w:rsidR="000F2091">
              <w:t>3</w:t>
            </w:r>
          </w:p>
        </w:tc>
        <w:tc>
          <w:tcPr>
            <w:tcW w:w="7229" w:type="dxa"/>
            <w:noWrap/>
          </w:tcPr>
          <w:p w14:paraId="790974AC" w14:textId="77777777" w:rsidR="00872643" w:rsidRPr="005D5059" w:rsidRDefault="00872643" w:rsidP="00AE0B34">
            <w:pPr>
              <w:spacing w:before="0" w:after="0"/>
            </w:pPr>
            <w:r w:rsidRPr="005D5059">
              <w:t xml:space="preserve">Wendy Bunston and Alexandra Heynatz (eds), </w:t>
            </w:r>
            <w:r w:rsidRPr="005D5059">
              <w:rPr>
                <w:i/>
              </w:rPr>
              <w:t>Addressing Family Violence Programs: Groupwork Interventions for infants, children and their parents</w:t>
            </w:r>
            <w:r w:rsidRPr="005D5059">
              <w:t xml:space="preserve"> (The Royal Children's Hospital Mental Health Service, 2006).</w:t>
            </w:r>
          </w:p>
        </w:tc>
      </w:tr>
      <w:tr w:rsidR="00872643" w:rsidRPr="005D5059" w14:paraId="68526D74" w14:textId="77777777" w:rsidTr="00AE0B34">
        <w:trPr>
          <w:trHeight w:val="300"/>
        </w:trPr>
        <w:tc>
          <w:tcPr>
            <w:tcW w:w="1980" w:type="dxa"/>
            <w:noWrap/>
          </w:tcPr>
          <w:p w14:paraId="49B9A7C9" w14:textId="0829FBD2" w:rsidR="00872643" w:rsidRPr="005D5059" w:rsidRDefault="00872643" w:rsidP="000F2091">
            <w:pPr>
              <w:spacing w:before="0" w:after="0"/>
            </w:pPr>
            <w:r w:rsidRPr="005D5059">
              <w:t>Attachment 4.</w:t>
            </w:r>
            <w:r w:rsidR="000F2091">
              <w:t>4</w:t>
            </w:r>
          </w:p>
        </w:tc>
        <w:tc>
          <w:tcPr>
            <w:tcW w:w="7229" w:type="dxa"/>
            <w:noWrap/>
          </w:tcPr>
          <w:p w14:paraId="7266AEF2" w14:textId="77777777" w:rsidR="00872643" w:rsidRPr="005D5059" w:rsidRDefault="00872643" w:rsidP="00AE0B34">
            <w:pPr>
              <w:spacing w:before="0" w:after="0"/>
            </w:pPr>
            <w:r w:rsidRPr="005D5059">
              <w:t xml:space="preserve">Wendy Bunston, ‘“BuBs” On Board: (Building Up Bonds) Family violence and mother/infant group work in women’s shelters  Report on the Pilot of the “BuBs On Board” program in Five Women’s Shelters in Tasmania’ (2008) 3 (Spring) </w:t>
            </w:r>
            <w:r w:rsidRPr="005D5059">
              <w:rPr>
                <w:i/>
              </w:rPr>
              <w:t>The Quarterly, DVRC</w:t>
            </w:r>
            <w:r w:rsidRPr="005D5059">
              <w:t>.</w:t>
            </w:r>
          </w:p>
        </w:tc>
      </w:tr>
      <w:tr w:rsidR="00872643" w:rsidRPr="005D5059" w14:paraId="0D16EFB4" w14:textId="77777777" w:rsidTr="00AE0B34">
        <w:trPr>
          <w:trHeight w:val="300"/>
        </w:trPr>
        <w:tc>
          <w:tcPr>
            <w:tcW w:w="1980" w:type="dxa"/>
            <w:noWrap/>
          </w:tcPr>
          <w:p w14:paraId="3D3DD894" w14:textId="34AEE4F2" w:rsidR="00872643" w:rsidRPr="005D5059" w:rsidRDefault="00872643" w:rsidP="000F2091">
            <w:pPr>
              <w:spacing w:before="0" w:after="0"/>
            </w:pPr>
            <w:r w:rsidRPr="005D5059">
              <w:t>Attachment 4.</w:t>
            </w:r>
            <w:r w:rsidR="000F2091">
              <w:t>5</w:t>
            </w:r>
          </w:p>
        </w:tc>
        <w:tc>
          <w:tcPr>
            <w:tcW w:w="7229" w:type="dxa"/>
            <w:noWrap/>
          </w:tcPr>
          <w:p w14:paraId="08AA6CA7" w14:textId="77777777" w:rsidR="00872643" w:rsidRPr="005D5059" w:rsidRDefault="00872643" w:rsidP="00AE0B34">
            <w:pPr>
              <w:spacing w:before="0" w:after="0"/>
            </w:pPr>
            <w:r w:rsidRPr="005D5059">
              <w:t xml:space="preserve">Wendy Bunston, ‘”What about the fathers?” Bringing “Dads on Board™” with their infants and toddlers following violence’ (2013) 19(1) </w:t>
            </w:r>
            <w:r w:rsidRPr="005D5059">
              <w:rPr>
                <w:i/>
              </w:rPr>
              <w:t>Journal of family Studies</w:t>
            </w:r>
            <w:r w:rsidRPr="005D5059">
              <w:t xml:space="preserve"> 70.</w:t>
            </w:r>
          </w:p>
        </w:tc>
      </w:tr>
      <w:tr w:rsidR="00872643" w:rsidRPr="005D5059" w14:paraId="08C900E3" w14:textId="77777777" w:rsidTr="00AE0B34">
        <w:trPr>
          <w:trHeight w:val="300"/>
        </w:trPr>
        <w:tc>
          <w:tcPr>
            <w:tcW w:w="1980" w:type="dxa"/>
            <w:noWrap/>
          </w:tcPr>
          <w:p w14:paraId="43F6863C" w14:textId="5C451E2F" w:rsidR="00872643" w:rsidRPr="005D5059" w:rsidRDefault="00872643" w:rsidP="000F2091">
            <w:pPr>
              <w:spacing w:before="0" w:after="0"/>
            </w:pPr>
            <w:r w:rsidRPr="005D5059">
              <w:t>Attachment 4.</w:t>
            </w:r>
            <w:r w:rsidR="000F2091">
              <w:t>6</w:t>
            </w:r>
          </w:p>
        </w:tc>
        <w:tc>
          <w:tcPr>
            <w:tcW w:w="7229" w:type="dxa"/>
            <w:noWrap/>
          </w:tcPr>
          <w:p w14:paraId="63888E53" w14:textId="77777777" w:rsidR="00872643" w:rsidRPr="005D5059" w:rsidRDefault="00872643" w:rsidP="00AE0B34">
            <w:pPr>
              <w:spacing w:before="0" w:after="0"/>
              <w:rPr>
                <w:highlight w:val="red"/>
              </w:rPr>
            </w:pPr>
            <w:r w:rsidRPr="005D5059">
              <w:t xml:space="preserve">Wendy Bunston, </w:t>
            </w:r>
            <w:r w:rsidRPr="005D5059">
              <w:rPr>
                <w:i/>
              </w:rPr>
              <w:t>parkas: parents accepting responsibility kids are safe</w:t>
            </w:r>
            <w:r w:rsidRPr="005D5059">
              <w:t xml:space="preserve"> (Royal Children’s Hospital Mental Health Service, 1998)</w:t>
            </w:r>
          </w:p>
        </w:tc>
      </w:tr>
      <w:tr w:rsidR="00872643" w:rsidRPr="005D5059" w14:paraId="1F4F9494" w14:textId="77777777" w:rsidTr="00AE0B34">
        <w:trPr>
          <w:trHeight w:val="300"/>
        </w:trPr>
        <w:tc>
          <w:tcPr>
            <w:tcW w:w="1980" w:type="dxa"/>
            <w:noWrap/>
          </w:tcPr>
          <w:p w14:paraId="2233CC2C" w14:textId="4141BDF4" w:rsidR="00872643" w:rsidRPr="005D5059" w:rsidRDefault="00872643" w:rsidP="000F2091">
            <w:pPr>
              <w:spacing w:before="0" w:after="0"/>
            </w:pPr>
            <w:r w:rsidRPr="005D5059">
              <w:t>Attachment 4.</w:t>
            </w:r>
            <w:r w:rsidR="000F2091">
              <w:t>7</w:t>
            </w:r>
          </w:p>
        </w:tc>
        <w:tc>
          <w:tcPr>
            <w:tcW w:w="7229" w:type="dxa"/>
            <w:noWrap/>
          </w:tcPr>
          <w:p w14:paraId="382C874E" w14:textId="77777777" w:rsidR="00872643" w:rsidRPr="005D5059" w:rsidRDefault="00872643" w:rsidP="00AE0B34">
            <w:pPr>
              <w:tabs>
                <w:tab w:val="left" w:pos="4950"/>
              </w:tabs>
              <w:spacing w:before="0" w:after="0"/>
            </w:pPr>
            <w:r w:rsidRPr="005D5059">
              <w:t xml:space="preserve">Wendy Bunston and Julie Stone, </w:t>
            </w:r>
            <w:r w:rsidRPr="005D5059">
              <w:rPr>
                <w:i/>
              </w:rPr>
              <w:t>Submission to Royal Commission into Family Violence</w:t>
            </w:r>
            <w:r w:rsidRPr="005D5059">
              <w:t xml:space="preserve"> </w:t>
            </w:r>
            <w:r w:rsidRPr="005D5059">
              <w:rPr>
                <w:i/>
              </w:rPr>
              <w:t>(VIC</w:t>
            </w:r>
            <w:r w:rsidRPr="005D5059">
              <w:t>), 2015.</w:t>
            </w:r>
          </w:p>
        </w:tc>
      </w:tr>
      <w:tr w:rsidR="00872643" w:rsidRPr="005D5059" w14:paraId="14FACBDC" w14:textId="77777777" w:rsidTr="00AE0B34">
        <w:trPr>
          <w:trHeight w:val="300"/>
        </w:trPr>
        <w:tc>
          <w:tcPr>
            <w:tcW w:w="1980" w:type="dxa"/>
            <w:noWrap/>
            <w:hideMark/>
          </w:tcPr>
          <w:p w14:paraId="4B03B20E" w14:textId="77777777" w:rsidR="00872643" w:rsidRPr="005D5059" w:rsidRDefault="00872643" w:rsidP="00AE0B34">
            <w:pPr>
              <w:spacing w:before="0" w:after="0"/>
            </w:pPr>
            <w:r w:rsidRPr="005D5059">
              <w:t>5</w:t>
            </w:r>
          </w:p>
        </w:tc>
        <w:tc>
          <w:tcPr>
            <w:tcW w:w="7229" w:type="dxa"/>
            <w:noWrap/>
            <w:hideMark/>
          </w:tcPr>
          <w:p w14:paraId="67D29714" w14:textId="77777777" w:rsidR="00872643" w:rsidRPr="005D5059" w:rsidRDefault="00872643" w:rsidP="00AE0B34">
            <w:pPr>
              <w:spacing w:before="0" w:after="0"/>
            </w:pPr>
            <w:r w:rsidRPr="005D5059">
              <w:t>Australian Association of Social Workers (AASW)</w:t>
            </w:r>
          </w:p>
        </w:tc>
      </w:tr>
      <w:tr w:rsidR="00872643" w:rsidRPr="005D5059" w14:paraId="6788288D" w14:textId="77777777" w:rsidTr="00AE0B34">
        <w:trPr>
          <w:trHeight w:val="300"/>
        </w:trPr>
        <w:tc>
          <w:tcPr>
            <w:tcW w:w="1980" w:type="dxa"/>
            <w:noWrap/>
            <w:hideMark/>
          </w:tcPr>
          <w:p w14:paraId="746B787B" w14:textId="77777777" w:rsidR="00872643" w:rsidRPr="005D5059" w:rsidRDefault="00872643" w:rsidP="00AE0B34">
            <w:pPr>
              <w:spacing w:before="0" w:after="0"/>
            </w:pPr>
            <w:r w:rsidRPr="005D5059">
              <w:t>6</w:t>
            </w:r>
          </w:p>
        </w:tc>
        <w:tc>
          <w:tcPr>
            <w:tcW w:w="7229" w:type="dxa"/>
            <w:noWrap/>
            <w:hideMark/>
          </w:tcPr>
          <w:p w14:paraId="59FA0469" w14:textId="77777777" w:rsidR="00872643" w:rsidRPr="005D5059" w:rsidRDefault="00872643" w:rsidP="00AE0B34">
            <w:pPr>
              <w:spacing w:before="0" w:after="0"/>
            </w:pPr>
            <w:r w:rsidRPr="005D5059">
              <w:t>Australian Institute of Family Studies (AIFS) and Australia’s National Research Organisation for Women’s Safety (ANROWS)</w:t>
            </w:r>
          </w:p>
        </w:tc>
      </w:tr>
      <w:tr w:rsidR="00872643" w:rsidRPr="005D5059" w14:paraId="6FF62053" w14:textId="77777777" w:rsidTr="00AE0B34">
        <w:trPr>
          <w:trHeight w:val="300"/>
        </w:trPr>
        <w:tc>
          <w:tcPr>
            <w:tcW w:w="1980" w:type="dxa"/>
            <w:noWrap/>
            <w:hideMark/>
          </w:tcPr>
          <w:p w14:paraId="6D88A574" w14:textId="77777777" w:rsidR="00872643" w:rsidRPr="005D5059" w:rsidRDefault="00872643" w:rsidP="00AE0B34">
            <w:pPr>
              <w:spacing w:before="0" w:after="0"/>
            </w:pPr>
            <w:r w:rsidRPr="005D5059">
              <w:t>7</w:t>
            </w:r>
          </w:p>
        </w:tc>
        <w:tc>
          <w:tcPr>
            <w:tcW w:w="7229" w:type="dxa"/>
            <w:noWrap/>
            <w:hideMark/>
          </w:tcPr>
          <w:p w14:paraId="2E403320" w14:textId="77777777" w:rsidR="00872643" w:rsidRPr="005D5059" w:rsidRDefault="00872643" w:rsidP="00AE0B34">
            <w:pPr>
              <w:spacing w:before="0" w:after="0"/>
            </w:pPr>
            <w:r w:rsidRPr="005D5059">
              <w:t>Save the Children Australia</w:t>
            </w:r>
          </w:p>
        </w:tc>
      </w:tr>
      <w:tr w:rsidR="00872643" w:rsidRPr="005D5059" w14:paraId="7C835113" w14:textId="77777777" w:rsidTr="00AE0B34">
        <w:trPr>
          <w:trHeight w:val="300"/>
        </w:trPr>
        <w:tc>
          <w:tcPr>
            <w:tcW w:w="1980" w:type="dxa"/>
            <w:noWrap/>
          </w:tcPr>
          <w:p w14:paraId="5042F7DA" w14:textId="77777777" w:rsidR="00872643" w:rsidRPr="005D5059" w:rsidRDefault="00872643" w:rsidP="00AE0B34">
            <w:pPr>
              <w:spacing w:before="0" w:after="0"/>
            </w:pPr>
            <w:r w:rsidRPr="005D5059">
              <w:t>Attachment 7.1</w:t>
            </w:r>
          </w:p>
        </w:tc>
        <w:tc>
          <w:tcPr>
            <w:tcW w:w="7229" w:type="dxa"/>
            <w:noWrap/>
          </w:tcPr>
          <w:p w14:paraId="342B4F05" w14:textId="77777777" w:rsidR="00872643" w:rsidRPr="005D5059" w:rsidRDefault="00872643" w:rsidP="00AE0B34">
            <w:pPr>
              <w:spacing w:before="0" w:after="0"/>
            </w:pPr>
            <w:r w:rsidRPr="005D5059">
              <w:t xml:space="preserve">Save the Children Australia, </w:t>
            </w:r>
            <w:r w:rsidRPr="005D5059">
              <w:rPr>
                <w:i/>
              </w:rPr>
              <w:t>Fact sheet - Queensland Future Parents Program, Save the Children Australia</w:t>
            </w:r>
            <w:r w:rsidRPr="005D5059">
              <w:t>.</w:t>
            </w:r>
          </w:p>
        </w:tc>
      </w:tr>
      <w:tr w:rsidR="00872643" w:rsidRPr="005D5059" w14:paraId="29B256B8" w14:textId="77777777" w:rsidTr="00AE0B34">
        <w:trPr>
          <w:trHeight w:val="300"/>
        </w:trPr>
        <w:tc>
          <w:tcPr>
            <w:tcW w:w="1980" w:type="dxa"/>
            <w:noWrap/>
            <w:hideMark/>
          </w:tcPr>
          <w:p w14:paraId="54CA3312" w14:textId="77777777" w:rsidR="00872643" w:rsidRPr="005D5059" w:rsidRDefault="00872643" w:rsidP="00AE0B34">
            <w:pPr>
              <w:spacing w:before="0" w:after="0"/>
            </w:pPr>
            <w:r w:rsidRPr="005D5059">
              <w:t>8</w:t>
            </w:r>
          </w:p>
        </w:tc>
        <w:tc>
          <w:tcPr>
            <w:tcW w:w="7229" w:type="dxa"/>
            <w:noWrap/>
            <w:hideMark/>
          </w:tcPr>
          <w:p w14:paraId="6C162C67" w14:textId="77777777" w:rsidR="00872643" w:rsidRPr="005D5059" w:rsidRDefault="00872643" w:rsidP="00AE0B34">
            <w:pPr>
              <w:spacing w:before="0" w:after="0"/>
            </w:pPr>
            <w:r w:rsidRPr="005D5059">
              <w:t>Public Health Association of Australia (PHAA)</w:t>
            </w:r>
          </w:p>
        </w:tc>
      </w:tr>
      <w:tr w:rsidR="00872643" w:rsidRPr="005D5059" w14:paraId="1A9F2523" w14:textId="77777777" w:rsidTr="00AE0B34">
        <w:trPr>
          <w:trHeight w:val="300"/>
        </w:trPr>
        <w:tc>
          <w:tcPr>
            <w:tcW w:w="1980" w:type="dxa"/>
            <w:noWrap/>
            <w:hideMark/>
          </w:tcPr>
          <w:p w14:paraId="39B58884" w14:textId="77777777" w:rsidR="00872643" w:rsidRPr="005D5059" w:rsidRDefault="00872643" w:rsidP="00AE0B34">
            <w:pPr>
              <w:spacing w:before="0" w:after="0"/>
            </w:pPr>
            <w:r w:rsidRPr="005D5059">
              <w:t>9</w:t>
            </w:r>
          </w:p>
        </w:tc>
        <w:tc>
          <w:tcPr>
            <w:tcW w:w="7229" w:type="dxa"/>
            <w:noWrap/>
            <w:hideMark/>
          </w:tcPr>
          <w:p w14:paraId="04430839" w14:textId="10B442A9" w:rsidR="00872643" w:rsidRPr="005D5059" w:rsidRDefault="00872643" w:rsidP="00AE0B34">
            <w:pPr>
              <w:spacing w:before="0" w:after="0"/>
            </w:pPr>
            <w:r w:rsidRPr="005D5059">
              <w:t xml:space="preserve">St Vincent de Paul </w:t>
            </w:r>
            <w:r w:rsidR="000F2091">
              <w:t>Society National Council</w:t>
            </w:r>
          </w:p>
        </w:tc>
      </w:tr>
      <w:tr w:rsidR="00872643" w:rsidRPr="005D5059" w14:paraId="2FAE4FAE" w14:textId="77777777" w:rsidTr="00AE0B34">
        <w:trPr>
          <w:trHeight w:val="300"/>
        </w:trPr>
        <w:tc>
          <w:tcPr>
            <w:tcW w:w="1980" w:type="dxa"/>
            <w:noWrap/>
            <w:hideMark/>
          </w:tcPr>
          <w:p w14:paraId="66606C8E" w14:textId="77777777" w:rsidR="00872643" w:rsidRPr="005D5059" w:rsidRDefault="00872643" w:rsidP="00AE0B34">
            <w:pPr>
              <w:spacing w:before="0" w:after="0"/>
            </w:pPr>
            <w:r w:rsidRPr="005D5059">
              <w:t>10</w:t>
            </w:r>
          </w:p>
        </w:tc>
        <w:tc>
          <w:tcPr>
            <w:tcW w:w="7229" w:type="dxa"/>
            <w:noWrap/>
            <w:hideMark/>
          </w:tcPr>
          <w:p w14:paraId="1C31704F" w14:textId="77777777" w:rsidR="00872643" w:rsidRPr="005D5059" w:rsidRDefault="00872643" w:rsidP="00AE0B34">
            <w:pPr>
              <w:spacing w:before="0" w:after="0"/>
            </w:pPr>
            <w:r w:rsidRPr="005D5059">
              <w:t>National Aboriginal and Torres Strait Islander Services (NATSILS)</w:t>
            </w:r>
          </w:p>
        </w:tc>
      </w:tr>
      <w:tr w:rsidR="00872643" w:rsidRPr="005D5059" w14:paraId="23AC70AD" w14:textId="77777777" w:rsidTr="00AE0B34">
        <w:trPr>
          <w:trHeight w:val="300"/>
        </w:trPr>
        <w:tc>
          <w:tcPr>
            <w:tcW w:w="1980" w:type="dxa"/>
            <w:noWrap/>
            <w:hideMark/>
          </w:tcPr>
          <w:p w14:paraId="4D339CE7" w14:textId="77777777" w:rsidR="00872643" w:rsidRPr="005D5059" w:rsidRDefault="00872643" w:rsidP="00AE0B34">
            <w:pPr>
              <w:spacing w:before="0" w:after="0"/>
            </w:pPr>
            <w:r w:rsidRPr="005D5059">
              <w:t>11</w:t>
            </w:r>
          </w:p>
        </w:tc>
        <w:tc>
          <w:tcPr>
            <w:tcW w:w="7229" w:type="dxa"/>
            <w:noWrap/>
            <w:hideMark/>
          </w:tcPr>
          <w:p w14:paraId="501729D3" w14:textId="77777777" w:rsidR="00872643" w:rsidRPr="005D5059" w:rsidRDefault="00872643" w:rsidP="00AE0B34">
            <w:pPr>
              <w:spacing w:before="0" w:after="0"/>
            </w:pPr>
            <w:r w:rsidRPr="005D5059">
              <w:t>Andrew Johnson, Advocate for Children and Young People NSW</w:t>
            </w:r>
          </w:p>
        </w:tc>
      </w:tr>
      <w:tr w:rsidR="00872643" w:rsidRPr="005D5059" w14:paraId="74BFB2F7" w14:textId="77777777" w:rsidTr="00AE0B34">
        <w:trPr>
          <w:trHeight w:val="300"/>
        </w:trPr>
        <w:tc>
          <w:tcPr>
            <w:tcW w:w="1980" w:type="dxa"/>
            <w:noWrap/>
            <w:hideMark/>
          </w:tcPr>
          <w:p w14:paraId="296B5B57" w14:textId="77777777" w:rsidR="00872643" w:rsidRPr="005D5059" w:rsidRDefault="00872643" w:rsidP="00AE0B34">
            <w:pPr>
              <w:spacing w:before="0" w:after="0"/>
            </w:pPr>
            <w:r w:rsidRPr="005D5059">
              <w:t>12</w:t>
            </w:r>
          </w:p>
        </w:tc>
        <w:tc>
          <w:tcPr>
            <w:tcW w:w="7229" w:type="dxa"/>
            <w:noWrap/>
            <w:hideMark/>
          </w:tcPr>
          <w:p w14:paraId="169BDED1" w14:textId="77777777" w:rsidR="00872643" w:rsidRPr="005D5059" w:rsidRDefault="00872643" w:rsidP="00AE0B34">
            <w:pPr>
              <w:spacing w:before="0" w:after="0"/>
            </w:pPr>
            <w:r w:rsidRPr="005D5059">
              <w:t>National Rural Health Alliance (NHRA)</w:t>
            </w:r>
          </w:p>
        </w:tc>
      </w:tr>
      <w:tr w:rsidR="00872643" w:rsidRPr="005D5059" w14:paraId="42D79109" w14:textId="77777777" w:rsidTr="00AE0B34">
        <w:trPr>
          <w:trHeight w:val="300"/>
        </w:trPr>
        <w:tc>
          <w:tcPr>
            <w:tcW w:w="1980" w:type="dxa"/>
            <w:noWrap/>
            <w:hideMark/>
          </w:tcPr>
          <w:p w14:paraId="7941B306" w14:textId="77777777" w:rsidR="00872643" w:rsidRPr="005D5059" w:rsidRDefault="00872643" w:rsidP="00AE0B34">
            <w:pPr>
              <w:spacing w:before="0" w:after="0"/>
            </w:pPr>
            <w:r w:rsidRPr="005D5059">
              <w:t>13</w:t>
            </w:r>
          </w:p>
        </w:tc>
        <w:tc>
          <w:tcPr>
            <w:tcW w:w="7229" w:type="dxa"/>
            <w:noWrap/>
            <w:hideMark/>
          </w:tcPr>
          <w:p w14:paraId="687DF2C6" w14:textId="77777777" w:rsidR="00872643" w:rsidRPr="005D5059" w:rsidRDefault="00872643" w:rsidP="00AE0B34">
            <w:pPr>
              <w:spacing w:before="0" w:after="0"/>
            </w:pPr>
            <w:r w:rsidRPr="005D5059">
              <w:t>Tasmanian Government (Jacqui Petrusma MP, Minister for Women)</w:t>
            </w:r>
          </w:p>
        </w:tc>
      </w:tr>
      <w:tr w:rsidR="00872643" w:rsidRPr="005D5059" w14:paraId="076E6C7B" w14:textId="77777777" w:rsidTr="00AE0B34">
        <w:trPr>
          <w:trHeight w:val="300"/>
        </w:trPr>
        <w:tc>
          <w:tcPr>
            <w:tcW w:w="1980" w:type="dxa"/>
            <w:noWrap/>
          </w:tcPr>
          <w:p w14:paraId="62E3F0D1" w14:textId="77777777" w:rsidR="00872643" w:rsidRPr="005D5059" w:rsidRDefault="00872643" w:rsidP="00AE0B34">
            <w:pPr>
              <w:spacing w:before="0" w:after="0"/>
            </w:pPr>
            <w:r w:rsidRPr="005D5059">
              <w:t>Attachment 13.1</w:t>
            </w:r>
          </w:p>
        </w:tc>
        <w:tc>
          <w:tcPr>
            <w:tcW w:w="7229" w:type="dxa"/>
            <w:noWrap/>
          </w:tcPr>
          <w:p w14:paraId="5D9A6701" w14:textId="77777777" w:rsidR="00872643" w:rsidRPr="005D5059" w:rsidRDefault="00872643" w:rsidP="00AE0B34">
            <w:pPr>
              <w:spacing w:before="0" w:after="0"/>
            </w:pPr>
            <w:r w:rsidRPr="005D5059">
              <w:t xml:space="preserve">Tasmanian Government, Submission No 117 to Senate Finance and Public Administration References Committee, </w:t>
            </w:r>
            <w:r w:rsidRPr="005D5059">
              <w:rPr>
                <w:i/>
              </w:rPr>
              <w:t>Inquiry into Domestic Violence in Australia</w:t>
            </w:r>
            <w:r w:rsidRPr="005D5059">
              <w:t>, 12 August 2014.</w:t>
            </w:r>
          </w:p>
        </w:tc>
      </w:tr>
      <w:tr w:rsidR="00872643" w:rsidRPr="005D5059" w14:paraId="43034710" w14:textId="77777777" w:rsidTr="00AE0B34">
        <w:trPr>
          <w:trHeight w:val="300"/>
        </w:trPr>
        <w:tc>
          <w:tcPr>
            <w:tcW w:w="1980" w:type="dxa"/>
            <w:noWrap/>
            <w:hideMark/>
          </w:tcPr>
          <w:p w14:paraId="3244595D" w14:textId="77777777" w:rsidR="00872643" w:rsidRPr="005D5059" w:rsidRDefault="00872643" w:rsidP="00AE0B34">
            <w:pPr>
              <w:spacing w:before="0" w:after="0"/>
            </w:pPr>
            <w:r w:rsidRPr="005D5059">
              <w:t>14</w:t>
            </w:r>
          </w:p>
        </w:tc>
        <w:tc>
          <w:tcPr>
            <w:tcW w:w="7229" w:type="dxa"/>
            <w:noWrap/>
            <w:hideMark/>
          </w:tcPr>
          <w:p w14:paraId="032524D9" w14:textId="77777777" w:rsidR="00872643" w:rsidRPr="005D5059" w:rsidRDefault="00872643" w:rsidP="00AE0B34">
            <w:pPr>
              <w:spacing w:before="0" w:after="0"/>
            </w:pPr>
            <w:r w:rsidRPr="005D5059">
              <w:t>BoysTown (Kids Helpline)</w:t>
            </w:r>
          </w:p>
        </w:tc>
      </w:tr>
      <w:tr w:rsidR="00872643" w:rsidRPr="005D5059" w14:paraId="6E8CFB65" w14:textId="77777777" w:rsidTr="00AE0B34">
        <w:trPr>
          <w:trHeight w:val="300"/>
        </w:trPr>
        <w:tc>
          <w:tcPr>
            <w:tcW w:w="1980" w:type="dxa"/>
            <w:noWrap/>
            <w:hideMark/>
          </w:tcPr>
          <w:p w14:paraId="6FCA0D6C" w14:textId="77777777" w:rsidR="00872643" w:rsidRPr="005D5059" w:rsidRDefault="00872643" w:rsidP="00AE0B34">
            <w:pPr>
              <w:spacing w:before="0" w:after="0"/>
            </w:pPr>
            <w:r w:rsidRPr="005D5059">
              <w:t>15</w:t>
            </w:r>
          </w:p>
        </w:tc>
        <w:tc>
          <w:tcPr>
            <w:tcW w:w="7229" w:type="dxa"/>
            <w:noWrap/>
            <w:hideMark/>
          </w:tcPr>
          <w:p w14:paraId="3571EC8F" w14:textId="77777777" w:rsidR="00872643" w:rsidRPr="005D5059" w:rsidRDefault="00872643" w:rsidP="00AE0B34">
            <w:pPr>
              <w:spacing w:before="0" w:after="0"/>
            </w:pPr>
            <w:r w:rsidRPr="005D5059">
              <w:t>VicHealth</w:t>
            </w:r>
          </w:p>
        </w:tc>
      </w:tr>
      <w:tr w:rsidR="00872643" w:rsidRPr="005D5059" w14:paraId="5004C794" w14:textId="77777777" w:rsidTr="00AE0B34">
        <w:trPr>
          <w:trHeight w:val="300"/>
        </w:trPr>
        <w:tc>
          <w:tcPr>
            <w:tcW w:w="1980" w:type="dxa"/>
            <w:noWrap/>
            <w:hideMark/>
          </w:tcPr>
          <w:p w14:paraId="31953C8A" w14:textId="77777777" w:rsidR="00872643" w:rsidRPr="005D5059" w:rsidRDefault="00872643" w:rsidP="00AE0B34">
            <w:pPr>
              <w:spacing w:before="0" w:after="0"/>
            </w:pPr>
            <w:r w:rsidRPr="005D5059">
              <w:t>16</w:t>
            </w:r>
          </w:p>
        </w:tc>
        <w:tc>
          <w:tcPr>
            <w:tcW w:w="7229" w:type="dxa"/>
            <w:noWrap/>
            <w:hideMark/>
          </w:tcPr>
          <w:p w14:paraId="454054DF" w14:textId="77777777" w:rsidR="00872643" w:rsidRPr="005D5059" w:rsidRDefault="00872643" w:rsidP="00AE0B34">
            <w:pPr>
              <w:spacing w:before="0" w:after="0"/>
            </w:pPr>
            <w:r w:rsidRPr="005D5059">
              <w:t>Queensland Family and Child Commission</w:t>
            </w:r>
          </w:p>
        </w:tc>
      </w:tr>
      <w:tr w:rsidR="00872643" w:rsidRPr="005D5059" w14:paraId="2ECC246A" w14:textId="77777777" w:rsidTr="00AE0B34">
        <w:trPr>
          <w:trHeight w:val="300"/>
        </w:trPr>
        <w:tc>
          <w:tcPr>
            <w:tcW w:w="1980" w:type="dxa"/>
            <w:noWrap/>
            <w:hideMark/>
          </w:tcPr>
          <w:p w14:paraId="62694710" w14:textId="77777777" w:rsidR="00872643" w:rsidRPr="005D5059" w:rsidRDefault="00872643" w:rsidP="00AE0B34">
            <w:pPr>
              <w:spacing w:before="0" w:after="0"/>
            </w:pPr>
            <w:r w:rsidRPr="005D5059">
              <w:t>17</w:t>
            </w:r>
          </w:p>
        </w:tc>
        <w:tc>
          <w:tcPr>
            <w:tcW w:w="7229" w:type="dxa"/>
            <w:noWrap/>
            <w:hideMark/>
          </w:tcPr>
          <w:p w14:paraId="7BD829E5" w14:textId="77777777" w:rsidR="00872643" w:rsidRPr="005D5059" w:rsidRDefault="00872643" w:rsidP="00AE0B34">
            <w:pPr>
              <w:spacing w:before="0" w:after="0"/>
            </w:pPr>
            <w:r w:rsidRPr="005D5059">
              <w:t>Victims of Crime Assistance League (VOCAL) Inc NSW</w:t>
            </w:r>
          </w:p>
        </w:tc>
      </w:tr>
      <w:tr w:rsidR="00872643" w:rsidRPr="005D5059" w14:paraId="32A36CCD" w14:textId="77777777" w:rsidTr="00AE0B34">
        <w:trPr>
          <w:trHeight w:val="300"/>
        </w:trPr>
        <w:tc>
          <w:tcPr>
            <w:tcW w:w="1980" w:type="dxa"/>
            <w:noWrap/>
          </w:tcPr>
          <w:p w14:paraId="689DB179" w14:textId="77777777" w:rsidR="00872643" w:rsidRPr="005D5059" w:rsidRDefault="00872643" w:rsidP="00AE0B34">
            <w:pPr>
              <w:spacing w:before="0" w:after="0"/>
            </w:pPr>
            <w:r w:rsidRPr="005D5059">
              <w:t>Attachment 17.1</w:t>
            </w:r>
          </w:p>
        </w:tc>
        <w:tc>
          <w:tcPr>
            <w:tcW w:w="7229" w:type="dxa"/>
            <w:noWrap/>
          </w:tcPr>
          <w:p w14:paraId="04AE6D4A" w14:textId="77777777" w:rsidR="00872643" w:rsidRPr="005D5059" w:rsidRDefault="00872643" w:rsidP="00AE0B34">
            <w:pPr>
              <w:spacing w:before="0" w:after="0"/>
            </w:pPr>
            <w:r w:rsidRPr="005D5059">
              <w:t xml:space="preserve">Elspeth McInnes, 'Madness in Family Law: Mothers’ Mental Health in the Australian Family Law System' (2013) 21(1) </w:t>
            </w:r>
            <w:r w:rsidRPr="005D5059">
              <w:rPr>
                <w:i/>
              </w:rPr>
              <w:t>Psychiatry, Psychology and Law</w:t>
            </w:r>
            <w:r w:rsidRPr="005D5059">
              <w:t xml:space="preserve"> 78.</w:t>
            </w:r>
          </w:p>
        </w:tc>
      </w:tr>
      <w:tr w:rsidR="00872643" w:rsidRPr="005D5059" w14:paraId="4D6185F2" w14:textId="77777777" w:rsidTr="00AE0B34">
        <w:trPr>
          <w:trHeight w:val="300"/>
        </w:trPr>
        <w:tc>
          <w:tcPr>
            <w:tcW w:w="1980" w:type="dxa"/>
            <w:noWrap/>
            <w:hideMark/>
          </w:tcPr>
          <w:p w14:paraId="4291C1CC" w14:textId="77777777" w:rsidR="00872643" w:rsidRPr="005D5059" w:rsidRDefault="00872643" w:rsidP="00AE0B34">
            <w:pPr>
              <w:spacing w:before="0" w:after="0"/>
            </w:pPr>
            <w:r w:rsidRPr="005D5059">
              <w:t>18</w:t>
            </w:r>
          </w:p>
        </w:tc>
        <w:tc>
          <w:tcPr>
            <w:tcW w:w="7229" w:type="dxa"/>
            <w:noWrap/>
            <w:hideMark/>
          </w:tcPr>
          <w:p w14:paraId="6CC49A54" w14:textId="77777777" w:rsidR="00872643" w:rsidRPr="005D5059" w:rsidRDefault="00872643" w:rsidP="00AE0B34">
            <w:pPr>
              <w:spacing w:before="0" w:after="0"/>
            </w:pPr>
            <w:r w:rsidRPr="005D5059">
              <w:t>Melbourne Research Alliance to End Violence Against Women and their Children, University of Melbourne</w:t>
            </w:r>
          </w:p>
        </w:tc>
      </w:tr>
      <w:tr w:rsidR="00872643" w:rsidRPr="005D5059" w14:paraId="3E11E379" w14:textId="77777777" w:rsidTr="00AE0B34">
        <w:trPr>
          <w:trHeight w:val="300"/>
        </w:trPr>
        <w:tc>
          <w:tcPr>
            <w:tcW w:w="1980" w:type="dxa"/>
            <w:shd w:val="clear" w:color="auto" w:fill="auto"/>
            <w:noWrap/>
          </w:tcPr>
          <w:p w14:paraId="315C7174" w14:textId="77777777" w:rsidR="00872643" w:rsidRPr="005D5059" w:rsidRDefault="00872643" w:rsidP="00AE0B34">
            <w:pPr>
              <w:spacing w:before="0" w:after="0"/>
            </w:pPr>
            <w:r w:rsidRPr="005D5059">
              <w:t>Attachment 18.1</w:t>
            </w:r>
          </w:p>
        </w:tc>
        <w:tc>
          <w:tcPr>
            <w:tcW w:w="7229" w:type="dxa"/>
            <w:shd w:val="clear" w:color="auto" w:fill="auto"/>
            <w:noWrap/>
          </w:tcPr>
          <w:p w14:paraId="42792F21" w14:textId="77777777" w:rsidR="00872643" w:rsidRPr="005D5059" w:rsidRDefault="00872643" w:rsidP="00AE0B34">
            <w:pPr>
              <w:spacing w:before="0" w:after="0"/>
            </w:pPr>
            <w:r w:rsidRPr="005D5059">
              <w:t xml:space="preserve">Ravi K. Thiara and Cathy Humphreys, 'Absent presence: the ongoing impact of men’s violence on the mother–child relationship' (2015) </w:t>
            </w:r>
            <w:r w:rsidRPr="005D5059">
              <w:rPr>
                <w:i/>
              </w:rPr>
              <w:t>Child and Family Social Work.</w:t>
            </w:r>
          </w:p>
        </w:tc>
      </w:tr>
      <w:tr w:rsidR="00872643" w:rsidRPr="005D5059" w14:paraId="67D3A24F" w14:textId="77777777" w:rsidTr="00AE0B34">
        <w:trPr>
          <w:trHeight w:val="300"/>
        </w:trPr>
        <w:tc>
          <w:tcPr>
            <w:tcW w:w="1980" w:type="dxa"/>
            <w:noWrap/>
          </w:tcPr>
          <w:p w14:paraId="4F5074AB" w14:textId="77777777" w:rsidR="00872643" w:rsidRPr="005D5059" w:rsidRDefault="00872643" w:rsidP="00AE0B34">
            <w:pPr>
              <w:spacing w:before="0" w:after="0"/>
            </w:pPr>
            <w:r w:rsidRPr="005D5059">
              <w:t>Attachment 18.2</w:t>
            </w:r>
          </w:p>
        </w:tc>
        <w:tc>
          <w:tcPr>
            <w:tcW w:w="7229" w:type="dxa"/>
            <w:noWrap/>
          </w:tcPr>
          <w:p w14:paraId="5C98AA8C" w14:textId="77777777" w:rsidR="00872643" w:rsidRPr="005D5059" w:rsidRDefault="00872643" w:rsidP="00AE0B34">
            <w:pPr>
              <w:spacing w:before="0" w:after="0"/>
            </w:pPr>
            <w:r w:rsidRPr="005D5059">
              <w:t xml:space="preserve">Cathy Humphreys, </w:t>
            </w:r>
            <w:r w:rsidRPr="005D5059">
              <w:rPr>
                <w:i/>
              </w:rPr>
              <w:t>Domestic Violence and child protection: Challenging directions for practice</w:t>
            </w:r>
            <w:r w:rsidRPr="005D5059">
              <w:t xml:space="preserve"> (2007) Issue paper 13, Australian Domestic &amp; Family Violence Clearinghouse, UNSW.</w:t>
            </w:r>
          </w:p>
        </w:tc>
      </w:tr>
      <w:tr w:rsidR="00872643" w:rsidRPr="005D5059" w14:paraId="43C89486" w14:textId="77777777" w:rsidTr="00AE0B34">
        <w:trPr>
          <w:trHeight w:val="300"/>
        </w:trPr>
        <w:tc>
          <w:tcPr>
            <w:tcW w:w="1980" w:type="dxa"/>
            <w:noWrap/>
          </w:tcPr>
          <w:p w14:paraId="3D06AEA7" w14:textId="77777777" w:rsidR="00872643" w:rsidRPr="005D5059" w:rsidRDefault="00872643" w:rsidP="00AE0B34">
            <w:pPr>
              <w:spacing w:before="0" w:after="0"/>
            </w:pPr>
            <w:r w:rsidRPr="005D5059">
              <w:t>Attachment 18.3</w:t>
            </w:r>
          </w:p>
        </w:tc>
        <w:tc>
          <w:tcPr>
            <w:tcW w:w="7229" w:type="dxa"/>
            <w:noWrap/>
          </w:tcPr>
          <w:p w14:paraId="44672378" w14:textId="77777777" w:rsidR="00872643" w:rsidRPr="005D5059" w:rsidRDefault="00872643" w:rsidP="00AE0B34">
            <w:pPr>
              <w:spacing w:before="0" w:after="0"/>
            </w:pPr>
            <w:r w:rsidRPr="005D5059">
              <w:t>Nicky Stanley and Cathy Humphreys, 'Multi-agency risk assessment and management for children and families experiencing domestic violence' (2014) 47</w:t>
            </w:r>
            <w:r w:rsidRPr="005D5059">
              <w:rPr>
                <w:i/>
              </w:rPr>
              <w:t xml:space="preserve"> Children and Youth Services Review</w:t>
            </w:r>
            <w:r w:rsidRPr="005D5059">
              <w:t xml:space="preserve"> 78.</w:t>
            </w:r>
          </w:p>
        </w:tc>
      </w:tr>
      <w:tr w:rsidR="00872643" w:rsidRPr="005D5059" w14:paraId="2E7D87AB" w14:textId="77777777" w:rsidTr="00AE0B34">
        <w:trPr>
          <w:trHeight w:val="300"/>
        </w:trPr>
        <w:tc>
          <w:tcPr>
            <w:tcW w:w="1980" w:type="dxa"/>
            <w:noWrap/>
            <w:hideMark/>
          </w:tcPr>
          <w:p w14:paraId="00F6C208" w14:textId="77777777" w:rsidR="00872643" w:rsidRPr="005D5059" w:rsidRDefault="00872643" w:rsidP="00AE0B34">
            <w:pPr>
              <w:spacing w:before="0" w:after="0"/>
            </w:pPr>
            <w:r w:rsidRPr="005D5059">
              <w:t>19</w:t>
            </w:r>
          </w:p>
        </w:tc>
        <w:tc>
          <w:tcPr>
            <w:tcW w:w="7229" w:type="dxa"/>
            <w:noWrap/>
            <w:hideMark/>
          </w:tcPr>
          <w:p w14:paraId="157E6F39" w14:textId="77777777" w:rsidR="00872643" w:rsidRPr="005D5059" w:rsidRDefault="00872643" w:rsidP="00AE0B34">
            <w:pPr>
              <w:spacing w:before="0" w:after="0"/>
            </w:pPr>
            <w:r w:rsidRPr="005D5059">
              <w:t>Children with Disability Australia</w:t>
            </w:r>
          </w:p>
        </w:tc>
      </w:tr>
      <w:tr w:rsidR="00872643" w:rsidRPr="005D5059" w14:paraId="32277DFC" w14:textId="77777777" w:rsidTr="00AE0B34">
        <w:trPr>
          <w:trHeight w:val="300"/>
        </w:trPr>
        <w:tc>
          <w:tcPr>
            <w:tcW w:w="1980" w:type="dxa"/>
            <w:noWrap/>
            <w:hideMark/>
          </w:tcPr>
          <w:p w14:paraId="20CA85AD" w14:textId="77777777" w:rsidR="00872643" w:rsidRPr="005D5059" w:rsidRDefault="00872643" w:rsidP="00AE0B34">
            <w:pPr>
              <w:spacing w:before="0" w:after="0"/>
            </w:pPr>
            <w:r w:rsidRPr="005D5059">
              <w:t>20</w:t>
            </w:r>
          </w:p>
        </w:tc>
        <w:tc>
          <w:tcPr>
            <w:tcW w:w="7229" w:type="dxa"/>
            <w:noWrap/>
            <w:hideMark/>
          </w:tcPr>
          <w:p w14:paraId="1476F1D0" w14:textId="77777777" w:rsidR="00872643" w:rsidRPr="005D5059" w:rsidRDefault="00872643" w:rsidP="00AE0B34">
            <w:pPr>
              <w:spacing w:before="0" w:after="0"/>
            </w:pPr>
            <w:r w:rsidRPr="005D5059">
              <w:t>Government of South Australia (Gail Gago MLC, Minister for the Status of Women)</w:t>
            </w:r>
          </w:p>
        </w:tc>
      </w:tr>
      <w:tr w:rsidR="00872643" w:rsidRPr="005D5059" w14:paraId="777D305B" w14:textId="77777777" w:rsidTr="00AE0B34">
        <w:trPr>
          <w:trHeight w:val="300"/>
        </w:trPr>
        <w:tc>
          <w:tcPr>
            <w:tcW w:w="1980" w:type="dxa"/>
            <w:noWrap/>
            <w:hideMark/>
          </w:tcPr>
          <w:p w14:paraId="3018FE55" w14:textId="77777777" w:rsidR="00872643" w:rsidRPr="005D5059" w:rsidRDefault="00872643" w:rsidP="00AE0B34">
            <w:pPr>
              <w:spacing w:before="0" w:after="0"/>
            </w:pPr>
            <w:r w:rsidRPr="005D5059">
              <w:t>21</w:t>
            </w:r>
          </w:p>
        </w:tc>
        <w:tc>
          <w:tcPr>
            <w:tcW w:w="7229" w:type="dxa"/>
            <w:noWrap/>
            <w:hideMark/>
          </w:tcPr>
          <w:p w14:paraId="49E1D38A" w14:textId="77777777" w:rsidR="00872643" w:rsidRPr="005D5059" w:rsidRDefault="00872643" w:rsidP="00AE0B34">
            <w:pPr>
              <w:spacing w:before="0" w:after="0"/>
            </w:pPr>
            <w:r w:rsidRPr="005D5059">
              <w:t>National Council of Single Mothers and their Children (NCSMC)</w:t>
            </w:r>
          </w:p>
        </w:tc>
      </w:tr>
      <w:tr w:rsidR="00872643" w:rsidRPr="005D5059" w14:paraId="21730503" w14:textId="77777777" w:rsidTr="00AE0B34">
        <w:trPr>
          <w:trHeight w:val="300"/>
        </w:trPr>
        <w:tc>
          <w:tcPr>
            <w:tcW w:w="1980" w:type="dxa"/>
            <w:noWrap/>
            <w:hideMark/>
          </w:tcPr>
          <w:p w14:paraId="18B505B4" w14:textId="77777777" w:rsidR="00872643" w:rsidRPr="005D5059" w:rsidRDefault="00872643" w:rsidP="00AE0B34">
            <w:pPr>
              <w:spacing w:before="0" w:after="0"/>
            </w:pPr>
            <w:r w:rsidRPr="005D5059">
              <w:t>22</w:t>
            </w:r>
          </w:p>
        </w:tc>
        <w:tc>
          <w:tcPr>
            <w:tcW w:w="7229" w:type="dxa"/>
            <w:noWrap/>
            <w:hideMark/>
          </w:tcPr>
          <w:p w14:paraId="73A87A91" w14:textId="77777777" w:rsidR="00872643" w:rsidRPr="005D5059" w:rsidRDefault="00872643" w:rsidP="00AE0B34">
            <w:pPr>
              <w:spacing w:before="0" w:after="0"/>
            </w:pPr>
            <w:r w:rsidRPr="005D5059">
              <w:t xml:space="preserve">Families Australia </w:t>
            </w:r>
          </w:p>
        </w:tc>
      </w:tr>
      <w:tr w:rsidR="00872643" w:rsidRPr="005D5059" w14:paraId="0B2F327D" w14:textId="77777777" w:rsidTr="00AE0B34">
        <w:trPr>
          <w:trHeight w:val="300"/>
        </w:trPr>
        <w:tc>
          <w:tcPr>
            <w:tcW w:w="1980" w:type="dxa"/>
            <w:noWrap/>
            <w:hideMark/>
          </w:tcPr>
          <w:p w14:paraId="54941323" w14:textId="77777777" w:rsidR="00872643" w:rsidRPr="005D5059" w:rsidRDefault="00872643" w:rsidP="00AE0B34">
            <w:pPr>
              <w:spacing w:before="0" w:after="0"/>
            </w:pPr>
            <w:r w:rsidRPr="005D5059">
              <w:t>23</w:t>
            </w:r>
          </w:p>
        </w:tc>
        <w:tc>
          <w:tcPr>
            <w:tcW w:w="7229" w:type="dxa"/>
            <w:noWrap/>
            <w:hideMark/>
          </w:tcPr>
          <w:p w14:paraId="4FAF17C1" w14:textId="77777777" w:rsidR="00872643" w:rsidRPr="005D5059" w:rsidRDefault="00872643" w:rsidP="00AE0B34">
            <w:pPr>
              <w:spacing w:before="0" w:after="0"/>
            </w:pPr>
            <w:r w:rsidRPr="005D5059">
              <w:t>Women’s Legal Service Queensland</w:t>
            </w:r>
          </w:p>
        </w:tc>
      </w:tr>
      <w:tr w:rsidR="00872643" w:rsidRPr="005D5059" w14:paraId="7CB4CFCF" w14:textId="77777777" w:rsidTr="00AE0B34">
        <w:trPr>
          <w:trHeight w:val="300"/>
        </w:trPr>
        <w:tc>
          <w:tcPr>
            <w:tcW w:w="1980" w:type="dxa"/>
            <w:noWrap/>
            <w:hideMark/>
          </w:tcPr>
          <w:p w14:paraId="2CB0A40D" w14:textId="77777777" w:rsidR="00872643" w:rsidRPr="005D5059" w:rsidRDefault="00872643" w:rsidP="00AE0B34">
            <w:pPr>
              <w:spacing w:before="0" w:after="0"/>
            </w:pPr>
            <w:r w:rsidRPr="005D5059">
              <w:t>24</w:t>
            </w:r>
          </w:p>
        </w:tc>
        <w:tc>
          <w:tcPr>
            <w:tcW w:w="7229" w:type="dxa"/>
            <w:noWrap/>
            <w:hideMark/>
          </w:tcPr>
          <w:p w14:paraId="0F925ADF" w14:textId="77777777" w:rsidR="00872643" w:rsidRPr="005D5059" w:rsidRDefault="00872643" w:rsidP="00AE0B34">
            <w:pPr>
              <w:spacing w:before="0" w:after="0"/>
            </w:pPr>
            <w:r w:rsidRPr="005D5059">
              <w:t>Baptistcare</w:t>
            </w:r>
          </w:p>
        </w:tc>
      </w:tr>
      <w:tr w:rsidR="00872643" w:rsidRPr="005D5059" w14:paraId="1DF20417" w14:textId="77777777" w:rsidTr="00AE0B34">
        <w:trPr>
          <w:trHeight w:val="300"/>
        </w:trPr>
        <w:tc>
          <w:tcPr>
            <w:tcW w:w="1980" w:type="dxa"/>
            <w:noWrap/>
            <w:hideMark/>
          </w:tcPr>
          <w:p w14:paraId="3F953E3F" w14:textId="77777777" w:rsidR="00872643" w:rsidRPr="005D5059" w:rsidRDefault="00872643" w:rsidP="00AE0B34">
            <w:pPr>
              <w:spacing w:before="0" w:after="0"/>
            </w:pPr>
            <w:r w:rsidRPr="005D5059">
              <w:t>25</w:t>
            </w:r>
          </w:p>
        </w:tc>
        <w:tc>
          <w:tcPr>
            <w:tcW w:w="7229" w:type="dxa"/>
            <w:noWrap/>
            <w:hideMark/>
          </w:tcPr>
          <w:p w14:paraId="5B81CF13" w14:textId="77777777" w:rsidR="00872643" w:rsidRPr="005D5059" w:rsidRDefault="00872643" w:rsidP="00AE0B34">
            <w:pPr>
              <w:spacing w:before="0" w:after="0"/>
            </w:pPr>
            <w:r w:rsidRPr="005D5059">
              <w:t>WEAVE Inc</w:t>
            </w:r>
          </w:p>
        </w:tc>
      </w:tr>
      <w:tr w:rsidR="00872643" w:rsidRPr="005D5059" w14:paraId="62B80A6E" w14:textId="77777777" w:rsidTr="00AE0B34">
        <w:trPr>
          <w:trHeight w:val="300"/>
        </w:trPr>
        <w:tc>
          <w:tcPr>
            <w:tcW w:w="1980" w:type="dxa"/>
            <w:noWrap/>
          </w:tcPr>
          <w:p w14:paraId="6893A751" w14:textId="77777777" w:rsidR="00872643" w:rsidRPr="005D5059" w:rsidRDefault="00872643" w:rsidP="00AE0B34">
            <w:pPr>
              <w:spacing w:before="0" w:after="0"/>
            </w:pPr>
            <w:r w:rsidRPr="005D5059">
              <w:t>Attachment 25.1</w:t>
            </w:r>
          </w:p>
        </w:tc>
        <w:tc>
          <w:tcPr>
            <w:tcW w:w="7229" w:type="dxa"/>
            <w:noWrap/>
          </w:tcPr>
          <w:p w14:paraId="0386BAC7" w14:textId="77777777" w:rsidR="00872643" w:rsidRPr="005D5059" w:rsidRDefault="00872643" w:rsidP="00AE0B34">
            <w:pPr>
              <w:spacing w:before="0" w:after="0"/>
            </w:pPr>
            <w:r w:rsidRPr="005D5059">
              <w:t>Elspeth McInnes, 'Domestic Violence and its impact on children’s development' (Presentation delivered at the Department of Community Services’ Fourth Domestic Violence Forum, NSW Parenting Centre, Glebe, 24 September 2002)</w:t>
            </w:r>
          </w:p>
        </w:tc>
      </w:tr>
      <w:tr w:rsidR="00872643" w:rsidRPr="005D5059" w14:paraId="1EA6D65C" w14:textId="77777777" w:rsidTr="00AE0B34">
        <w:trPr>
          <w:trHeight w:val="300"/>
        </w:trPr>
        <w:tc>
          <w:tcPr>
            <w:tcW w:w="1980" w:type="dxa"/>
            <w:noWrap/>
          </w:tcPr>
          <w:p w14:paraId="49750942" w14:textId="77777777" w:rsidR="00872643" w:rsidRPr="005D5059" w:rsidRDefault="00872643" w:rsidP="00AE0B34">
            <w:pPr>
              <w:spacing w:before="0" w:after="0"/>
            </w:pPr>
            <w:r w:rsidRPr="005D5059">
              <w:t>Attachment 25.2</w:t>
            </w:r>
          </w:p>
        </w:tc>
        <w:tc>
          <w:tcPr>
            <w:tcW w:w="7229" w:type="dxa"/>
            <w:noWrap/>
          </w:tcPr>
          <w:p w14:paraId="29F10703" w14:textId="77777777" w:rsidR="00872643" w:rsidRPr="005D5059" w:rsidRDefault="00872643" w:rsidP="00AE0B34">
            <w:pPr>
              <w:spacing w:before="0" w:after="0"/>
            </w:pPr>
            <w:r w:rsidRPr="005D5059">
              <w:t xml:space="preserve">Annette Streeck-Fischer and Bessel A. van der Kolk, ‘Down will come baby, cradle and all: diagnostic and therapeutic implications of chronic trauma on child development’ (2000) 34 </w:t>
            </w:r>
            <w:r w:rsidRPr="005D5059">
              <w:rPr>
                <w:i/>
              </w:rPr>
              <w:t>Australian and New Zealand Journal of Psychiatry</w:t>
            </w:r>
            <w:r w:rsidRPr="005D5059">
              <w:t xml:space="preserve"> 903.</w:t>
            </w:r>
          </w:p>
        </w:tc>
      </w:tr>
      <w:tr w:rsidR="00872643" w:rsidRPr="005D5059" w14:paraId="2408CEFE" w14:textId="77777777" w:rsidTr="00AE0B34">
        <w:trPr>
          <w:trHeight w:val="300"/>
        </w:trPr>
        <w:tc>
          <w:tcPr>
            <w:tcW w:w="1980" w:type="dxa"/>
            <w:noWrap/>
            <w:hideMark/>
          </w:tcPr>
          <w:p w14:paraId="017A39DA" w14:textId="77777777" w:rsidR="00872643" w:rsidRPr="005D5059" w:rsidRDefault="00872643" w:rsidP="00AE0B34">
            <w:pPr>
              <w:spacing w:before="0" w:after="0"/>
            </w:pPr>
            <w:r w:rsidRPr="005D5059">
              <w:t>26</w:t>
            </w:r>
          </w:p>
        </w:tc>
        <w:tc>
          <w:tcPr>
            <w:tcW w:w="7229" w:type="dxa"/>
            <w:noWrap/>
            <w:hideMark/>
          </w:tcPr>
          <w:p w14:paraId="490A1D09" w14:textId="77777777" w:rsidR="00872643" w:rsidRPr="005D5059" w:rsidRDefault="00872643" w:rsidP="00AE0B34">
            <w:pPr>
              <w:spacing w:before="0" w:after="0"/>
            </w:pPr>
            <w:r w:rsidRPr="005D5059">
              <w:t xml:space="preserve">Relationships Australia </w:t>
            </w:r>
          </w:p>
        </w:tc>
      </w:tr>
      <w:tr w:rsidR="00872643" w:rsidRPr="005D5059" w14:paraId="5F970484" w14:textId="77777777" w:rsidTr="00AE0B34">
        <w:trPr>
          <w:trHeight w:val="300"/>
        </w:trPr>
        <w:tc>
          <w:tcPr>
            <w:tcW w:w="1980" w:type="dxa"/>
            <w:noWrap/>
            <w:hideMark/>
          </w:tcPr>
          <w:p w14:paraId="00F9BAB9" w14:textId="77777777" w:rsidR="00872643" w:rsidRPr="005D5059" w:rsidRDefault="00872643" w:rsidP="00AE0B34">
            <w:pPr>
              <w:spacing w:before="0" w:after="0"/>
            </w:pPr>
            <w:r w:rsidRPr="005D5059">
              <w:t>27</w:t>
            </w:r>
          </w:p>
        </w:tc>
        <w:tc>
          <w:tcPr>
            <w:tcW w:w="7229" w:type="dxa"/>
            <w:noWrap/>
            <w:hideMark/>
          </w:tcPr>
          <w:p w14:paraId="077CF386" w14:textId="77777777" w:rsidR="00872643" w:rsidRPr="005D5059" w:rsidRDefault="00872643" w:rsidP="00AE0B34">
            <w:pPr>
              <w:spacing w:before="0" w:after="0"/>
            </w:pPr>
            <w:r w:rsidRPr="005D5059">
              <w:t>No To Violence Male Family Violence Prevention Association</w:t>
            </w:r>
          </w:p>
        </w:tc>
      </w:tr>
      <w:tr w:rsidR="00872643" w:rsidRPr="005D5059" w14:paraId="60D258DE" w14:textId="77777777" w:rsidTr="00AE0B34">
        <w:trPr>
          <w:trHeight w:val="315"/>
        </w:trPr>
        <w:tc>
          <w:tcPr>
            <w:tcW w:w="1980" w:type="dxa"/>
            <w:noWrap/>
            <w:hideMark/>
          </w:tcPr>
          <w:p w14:paraId="3F952112" w14:textId="77777777" w:rsidR="00872643" w:rsidRPr="005D5059" w:rsidRDefault="00872643" w:rsidP="00AE0B34">
            <w:pPr>
              <w:spacing w:before="0" w:after="0"/>
            </w:pPr>
            <w:r w:rsidRPr="005D5059">
              <w:t>28</w:t>
            </w:r>
          </w:p>
        </w:tc>
        <w:tc>
          <w:tcPr>
            <w:tcW w:w="7229" w:type="dxa"/>
            <w:noWrap/>
            <w:hideMark/>
          </w:tcPr>
          <w:p w14:paraId="57227AEA" w14:textId="77777777" w:rsidR="00872643" w:rsidRPr="005D5059" w:rsidRDefault="00872643" w:rsidP="00AE0B34">
            <w:pPr>
              <w:spacing w:before="0" w:after="0"/>
            </w:pPr>
            <w:r w:rsidRPr="005D5059">
              <w:t>The Deli Women and Children's Centre</w:t>
            </w:r>
          </w:p>
        </w:tc>
      </w:tr>
      <w:tr w:rsidR="00872643" w:rsidRPr="005D5059" w14:paraId="1E2A1FAD" w14:textId="77777777" w:rsidTr="00AE0B34">
        <w:trPr>
          <w:trHeight w:val="315"/>
        </w:trPr>
        <w:tc>
          <w:tcPr>
            <w:tcW w:w="1980" w:type="dxa"/>
            <w:noWrap/>
            <w:hideMark/>
          </w:tcPr>
          <w:p w14:paraId="00A83224" w14:textId="77777777" w:rsidR="00872643" w:rsidRPr="005D5059" w:rsidRDefault="00872643" w:rsidP="00AE0B34">
            <w:pPr>
              <w:spacing w:before="0" w:after="0"/>
            </w:pPr>
            <w:r w:rsidRPr="005D5059">
              <w:t>29</w:t>
            </w:r>
          </w:p>
        </w:tc>
        <w:tc>
          <w:tcPr>
            <w:tcW w:w="7229" w:type="dxa"/>
            <w:noWrap/>
            <w:hideMark/>
          </w:tcPr>
          <w:p w14:paraId="4F983B5C" w14:textId="77777777" w:rsidR="00872643" w:rsidRPr="005D5059" w:rsidRDefault="00872643" w:rsidP="00AE0B34">
            <w:pPr>
              <w:spacing w:before="0" w:after="0"/>
            </w:pPr>
            <w:r w:rsidRPr="005D5059">
              <w:t>Aboriginal Family Law Services (WA)</w:t>
            </w:r>
          </w:p>
        </w:tc>
      </w:tr>
      <w:tr w:rsidR="00872643" w:rsidRPr="005D5059" w14:paraId="32EE4C7A" w14:textId="77777777" w:rsidTr="00AE0B34">
        <w:trPr>
          <w:trHeight w:val="315"/>
        </w:trPr>
        <w:tc>
          <w:tcPr>
            <w:tcW w:w="1980" w:type="dxa"/>
            <w:noWrap/>
            <w:hideMark/>
          </w:tcPr>
          <w:p w14:paraId="510DFA53" w14:textId="77777777" w:rsidR="00872643" w:rsidRPr="005D5059" w:rsidRDefault="00872643" w:rsidP="00AE0B34">
            <w:pPr>
              <w:spacing w:before="0" w:after="0"/>
            </w:pPr>
            <w:r w:rsidRPr="005D5059">
              <w:t>30</w:t>
            </w:r>
          </w:p>
        </w:tc>
        <w:tc>
          <w:tcPr>
            <w:tcW w:w="7229" w:type="dxa"/>
            <w:noWrap/>
            <w:hideMark/>
          </w:tcPr>
          <w:p w14:paraId="20493120" w14:textId="77777777" w:rsidR="00872643" w:rsidRPr="005D5059" w:rsidRDefault="00872643" w:rsidP="00AE0B34">
            <w:pPr>
              <w:spacing w:before="0" w:after="0"/>
            </w:pPr>
            <w:r w:rsidRPr="005D5059">
              <w:t>Judith Lumley Centre, La Trobe University</w:t>
            </w:r>
          </w:p>
        </w:tc>
      </w:tr>
      <w:tr w:rsidR="00872643" w:rsidRPr="005D5059" w14:paraId="02349947" w14:textId="77777777" w:rsidTr="00AE0B34">
        <w:trPr>
          <w:trHeight w:val="315"/>
        </w:trPr>
        <w:tc>
          <w:tcPr>
            <w:tcW w:w="1980" w:type="dxa"/>
            <w:noWrap/>
          </w:tcPr>
          <w:p w14:paraId="7AF8B278" w14:textId="77777777" w:rsidR="00872643" w:rsidRPr="005D5059" w:rsidRDefault="00872643" w:rsidP="00AE0B34">
            <w:pPr>
              <w:spacing w:before="0" w:after="0"/>
            </w:pPr>
            <w:r w:rsidRPr="005D5059">
              <w:t>31</w:t>
            </w:r>
          </w:p>
        </w:tc>
        <w:tc>
          <w:tcPr>
            <w:tcW w:w="7229" w:type="dxa"/>
            <w:noWrap/>
          </w:tcPr>
          <w:p w14:paraId="31E390BE" w14:textId="77777777" w:rsidR="00872643" w:rsidRPr="005D5059" w:rsidRDefault="00872643" w:rsidP="00AE0B34">
            <w:pPr>
              <w:spacing w:before="0" w:after="0"/>
            </w:pPr>
            <w:r w:rsidRPr="005D5059">
              <w:rPr>
                <w:rFonts w:ascii="LucidaGrande" w:hAnsi="LucidaGrande" w:cs="LucidaGrande"/>
              </w:rPr>
              <w:t>Lynda Diagne,</w:t>
            </w:r>
            <w:r w:rsidRPr="005D5059">
              <w:t xml:space="preserve"> Womens Council for Domestic and Family Violence Services (WA)</w:t>
            </w:r>
          </w:p>
        </w:tc>
      </w:tr>
      <w:tr w:rsidR="00872643" w:rsidRPr="005D5059" w14:paraId="72700EF6" w14:textId="77777777" w:rsidTr="00AE0B34">
        <w:trPr>
          <w:trHeight w:val="840"/>
        </w:trPr>
        <w:tc>
          <w:tcPr>
            <w:tcW w:w="1980" w:type="dxa"/>
            <w:noWrap/>
            <w:hideMark/>
          </w:tcPr>
          <w:p w14:paraId="36E8DA83" w14:textId="77777777" w:rsidR="00872643" w:rsidRPr="005D5059" w:rsidRDefault="00872643" w:rsidP="00AE0B34">
            <w:pPr>
              <w:spacing w:before="0" w:after="0"/>
            </w:pPr>
            <w:r w:rsidRPr="005D5059">
              <w:t>32</w:t>
            </w:r>
          </w:p>
        </w:tc>
        <w:tc>
          <w:tcPr>
            <w:tcW w:w="7229" w:type="dxa"/>
            <w:hideMark/>
          </w:tcPr>
          <w:p w14:paraId="1E13A365" w14:textId="77777777" w:rsidR="00872643" w:rsidRPr="005D5059" w:rsidRDefault="00872643" w:rsidP="00AE0B34">
            <w:pPr>
              <w:spacing w:before="0" w:after="0"/>
            </w:pPr>
            <w:r w:rsidRPr="005D5059">
              <w:t>Domestic Violence NSW and Hazell Cowan, Specialist Family Court Support Worker, Domestic Violence Service Management (DVSM).</w:t>
            </w:r>
          </w:p>
        </w:tc>
      </w:tr>
      <w:tr w:rsidR="00872643" w:rsidRPr="005D5059" w14:paraId="4A455A0C" w14:textId="77777777" w:rsidTr="00AE0B34">
        <w:trPr>
          <w:trHeight w:val="315"/>
        </w:trPr>
        <w:tc>
          <w:tcPr>
            <w:tcW w:w="1980" w:type="dxa"/>
            <w:noWrap/>
            <w:hideMark/>
          </w:tcPr>
          <w:p w14:paraId="4FFAF930" w14:textId="77777777" w:rsidR="00872643" w:rsidRPr="005D5059" w:rsidRDefault="00872643" w:rsidP="00AE0B34">
            <w:pPr>
              <w:spacing w:before="0" w:after="0"/>
            </w:pPr>
            <w:r w:rsidRPr="005D5059">
              <w:t>33</w:t>
            </w:r>
          </w:p>
        </w:tc>
        <w:tc>
          <w:tcPr>
            <w:tcW w:w="7229" w:type="dxa"/>
            <w:noWrap/>
            <w:hideMark/>
          </w:tcPr>
          <w:p w14:paraId="6A369029" w14:textId="77777777" w:rsidR="00872643" w:rsidRPr="005D5059" w:rsidRDefault="00872643" w:rsidP="00AE0B34">
            <w:pPr>
              <w:spacing w:before="0" w:after="0"/>
            </w:pPr>
            <w:r w:rsidRPr="005D5059">
              <w:t>Women's Legal Services NSW  </w:t>
            </w:r>
          </w:p>
        </w:tc>
      </w:tr>
      <w:tr w:rsidR="00872643" w:rsidRPr="005D5059" w14:paraId="1601F3E5" w14:textId="77777777" w:rsidTr="00AE0B34">
        <w:trPr>
          <w:trHeight w:val="315"/>
        </w:trPr>
        <w:tc>
          <w:tcPr>
            <w:tcW w:w="1980" w:type="dxa"/>
            <w:noWrap/>
            <w:hideMark/>
          </w:tcPr>
          <w:p w14:paraId="619C6070" w14:textId="77777777" w:rsidR="00872643" w:rsidRPr="005D5059" w:rsidRDefault="00872643" w:rsidP="00AE0B34">
            <w:pPr>
              <w:spacing w:before="0" w:after="0"/>
            </w:pPr>
            <w:r w:rsidRPr="005D5059">
              <w:t>34</w:t>
            </w:r>
          </w:p>
        </w:tc>
        <w:tc>
          <w:tcPr>
            <w:tcW w:w="7229" w:type="dxa"/>
            <w:noWrap/>
            <w:hideMark/>
          </w:tcPr>
          <w:p w14:paraId="472C9FF9" w14:textId="77777777" w:rsidR="00872643" w:rsidRPr="005D5059" w:rsidRDefault="00872643" w:rsidP="00AE0B34">
            <w:pPr>
              <w:spacing w:before="0" w:after="0"/>
            </w:pPr>
            <w:r w:rsidRPr="005D5059">
              <w:t>Government of Western Australian, Department for Child Protection and Family Support</w:t>
            </w:r>
          </w:p>
        </w:tc>
      </w:tr>
      <w:tr w:rsidR="00872643" w:rsidRPr="005D5059" w14:paraId="0D79CFEE" w14:textId="77777777" w:rsidTr="00AE0B34">
        <w:trPr>
          <w:trHeight w:val="315"/>
        </w:trPr>
        <w:tc>
          <w:tcPr>
            <w:tcW w:w="1980" w:type="dxa"/>
            <w:noWrap/>
          </w:tcPr>
          <w:p w14:paraId="63F642E6" w14:textId="77777777" w:rsidR="00872643" w:rsidRPr="005D5059" w:rsidRDefault="00872643" w:rsidP="00AE0B34">
            <w:pPr>
              <w:spacing w:before="0" w:after="0"/>
            </w:pPr>
            <w:r w:rsidRPr="005D5059">
              <w:t>Attachment 34.1</w:t>
            </w:r>
          </w:p>
        </w:tc>
        <w:tc>
          <w:tcPr>
            <w:tcW w:w="7229" w:type="dxa"/>
            <w:noWrap/>
          </w:tcPr>
          <w:p w14:paraId="79715FEC" w14:textId="77777777" w:rsidR="00872643" w:rsidRPr="005D5059" w:rsidRDefault="00872643" w:rsidP="00AE0B34">
            <w:pPr>
              <w:tabs>
                <w:tab w:val="left" w:pos="2517"/>
              </w:tabs>
              <w:spacing w:before="0" w:after="0"/>
            </w:pPr>
            <w:r w:rsidRPr="005D5059">
              <w:t xml:space="preserve">Department for Child Protection (WA), </w:t>
            </w:r>
            <w:r w:rsidRPr="005D5059">
              <w:rPr>
                <w:i/>
              </w:rPr>
              <w:t xml:space="preserve">Family and Domestic Violence Background Paper </w:t>
            </w:r>
            <w:r w:rsidRPr="005D5059">
              <w:t>(2012).</w:t>
            </w:r>
          </w:p>
        </w:tc>
      </w:tr>
      <w:tr w:rsidR="00872643" w:rsidRPr="005D5059" w14:paraId="0A6F0243" w14:textId="77777777" w:rsidTr="00AE0B34">
        <w:trPr>
          <w:trHeight w:val="315"/>
        </w:trPr>
        <w:tc>
          <w:tcPr>
            <w:tcW w:w="1980" w:type="dxa"/>
            <w:noWrap/>
          </w:tcPr>
          <w:p w14:paraId="152AA638" w14:textId="77777777" w:rsidR="00872643" w:rsidRPr="005D5059" w:rsidRDefault="00872643" w:rsidP="00AE0B34">
            <w:pPr>
              <w:spacing w:before="0" w:after="0"/>
            </w:pPr>
            <w:r w:rsidRPr="005D5059">
              <w:t>Attachment 34.2</w:t>
            </w:r>
          </w:p>
        </w:tc>
        <w:tc>
          <w:tcPr>
            <w:tcW w:w="7229" w:type="dxa"/>
            <w:noWrap/>
          </w:tcPr>
          <w:p w14:paraId="20377422" w14:textId="77777777" w:rsidR="00872643" w:rsidRPr="005D5059" w:rsidRDefault="00872643" w:rsidP="00AE0B34">
            <w:pPr>
              <w:spacing w:before="0" w:after="0"/>
            </w:pPr>
            <w:r w:rsidRPr="005D5059">
              <w:t xml:space="preserve">Department for Child Protection (WA), </w:t>
            </w:r>
            <w:r w:rsidRPr="005D5059">
              <w:rPr>
                <w:i/>
              </w:rPr>
              <w:t xml:space="preserve">Family and Domestic Violence Policy </w:t>
            </w:r>
            <w:r w:rsidRPr="005D5059">
              <w:t>(2012).</w:t>
            </w:r>
          </w:p>
        </w:tc>
      </w:tr>
      <w:tr w:rsidR="00872643" w:rsidRPr="005D5059" w14:paraId="7CC69C9E" w14:textId="77777777" w:rsidTr="00AE0B34">
        <w:trPr>
          <w:trHeight w:val="315"/>
        </w:trPr>
        <w:tc>
          <w:tcPr>
            <w:tcW w:w="1980" w:type="dxa"/>
            <w:noWrap/>
          </w:tcPr>
          <w:p w14:paraId="5FB689DF" w14:textId="77777777" w:rsidR="00872643" w:rsidRPr="005D5059" w:rsidRDefault="00872643" w:rsidP="00AE0B34">
            <w:pPr>
              <w:spacing w:before="0" w:after="0"/>
            </w:pPr>
            <w:r w:rsidRPr="005D5059">
              <w:t>Attachment 34.3</w:t>
            </w:r>
          </w:p>
        </w:tc>
        <w:tc>
          <w:tcPr>
            <w:tcW w:w="7229" w:type="dxa"/>
            <w:noWrap/>
          </w:tcPr>
          <w:p w14:paraId="78D41F6D" w14:textId="77777777" w:rsidR="00872643" w:rsidRPr="005D5059" w:rsidRDefault="00872643" w:rsidP="00AE0B34">
            <w:pPr>
              <w:spacing w:before="0" w:after="0"/>
            </w:pPr>
            <w:r w:rsidRPr="005D5059">
              <w:t>Western Australia’s Family and Domestic Violence Prevention Strategy to 2022</w:t>
            </w:r>
          </w:p>
        </w:tc>
      </w:tr>
      <w:tr w:rsidR="00872643" w:rsidRPr="005D5059" w14:paraId="7F290D98" w14:textId="77777777" w:rsidTr="00AE0B34">
        <w:trPr>
          <w:trHeight w:val="315"/>
        </w:trPr>
        <w:tc>
          <w:tcPr>
            <w:tcW w:w="1980" w:type="dxa"/>
            <w:noWrap/>
            <w:hideMark/>
          </w:tcPr>
          <w:p w14:paraId="6A735BB2" w14:textId="77777777" w:rsidR="00872643" w:rsidRPr="005D5059" w:rsidRDefault="00872643" w:rsidP="00AE0B34">
            <w:pPr>
              <w:spacing w:before="0" w:after="0"/>
            </w:pPr>
            <w:r w:rsidRPr="005D5059">
              <w:t>35</w:t>
            </w:r>
          </w:p>
        </w:tc>
        <w:tc>
          <w:tcPr>
            <w:tcW w:w="7229" w:type="dxa"/>
            <w:noWrap/>
            <w:hideMark/>
          </w:tcPr>
          <w:p w14:paraId="6691B712" w14:textId="62768F3C" w:rsidR="00872643" w:rsidRPr="005D5059" w:rsidRDefault="00872643" w:rsidP="00D158F8">
            <w:pPr>
              <w:spacing w:before="0" w:after="0"/>
            </w:pPr>
            <w:r w:rsidRPr="005D5059">
              <w:t xml:space="preserve">Andrew Jackomos, </w:t>
            </w:r>
            <w:r w:rsidR="000F2091">
              <w:t xml:space="preserve">Victorian </w:t>
            </w:r>
            <w:r w:rsidRPr="005D5059">
              <w:t xml:space="preserve">Commissioner for Aboriginal Children and Young </w:t>
            </w:r>
            <w:r w:rsidR="00D158F8">
              <w:t>P</w:t>
            </w:r>
            <w:r w:rsidRPr="005D5059">
              <w:t>eople</w:t>
            </w:r>
          </w:p>
        </w:tc>
      </w:tr>
      <w:tr w:rsidR="00872643" w:rsidRPr="005D5059" w14:paraId="12720933" w14:textId="77777777" w:rsidTr="00AE0B34">
        <w:trPr>
          <w:trHeight w:val="315"/>
        </w:trPr>
        <w:tc>
          <w:tcPr>
            <w:tcW w:w="1980" w:type="dxa"/>
            <w:noWrap/>
            <w:hideMark/>
          </w:tcPr>
          <w:p w14:paraId="64FB7B2D" w14:textId="77777777" w:rsidR="00872643" w:rsidRPr="005D5059" w:rsidRDefault="00872643" w:rsidP="00AE0B34">
            <w:pPr>
              <w:spacing w:before="0" w:after="0"/>
            </w:pPr>
            <w:r w:rsidRPr="005D5059">
              <w:t>36</w:t>
            </w:r>
          </w:p>
        </w:tc>
        <w:tc>
          <w:tcPr>
            <w:tcW w:w="7229" w:type="dxa"/>
            <w:noWrap/>
            <w:hideMark/>
          </w:tcPr>
          <w:p w14:paraId="1EB14A09" w14:textId="77777777" w:rsidR="00872643" w:rsidRPr="005D5059" w:rsidRDefault="00872643" w:rsidP="00AE0B34">
            <w:pPr>
              <w:spacing w:before="0" w:after="0"/>
            </w:pPr>
            <w:r w:rsidRPr="005D5059">
              <w:t>Relationships Australia, New South Wales</w:t>
            </w:r>
          </w:p>
        </w:tc>
      </w:tr>
      <w:tr w:rsidR="00872643" w:rsidRPr="005D5059" w14:paraId="7C93B4E7" w14:textId="77777777" w:rsidTr="00AE0B34">
        <w:trPr>
          <w:trHeight w:val="315"/>
        </w:trPr>
        <w:tc>
          <w:tcPr>
            <w:tcW w:w="1980" w:type="dxa"/>
            <w:noWrap/>
            <w:hideMark/>
          </w:tcPr>
          <w:p w14:paraId="3BD79968" w14:textId="77777777" w:rsidR="00872643" w:rsidRPr="005D5059" w:rsidRDefault="00872643" w:rsidP="00AE0B34">
            <w:pPr>
              <w:spacing w:before="0" w:after="0"/>
            </w:pPr>
            <w:r w:rsidRPr="005D5059">
              <w:t>37</w:t>
            </w:r>
          </w:p>
        </w:tc>
        <w:tc>
          <w:tcPr>
            <w:tcW w:w="7229" w:type="dxa"/>
            <w:noWrap/>
            <w:hideMark/>
          </w:tcPr>
          <w:p w14:paraId="5925073E" w14:textId="77777777" w:rsidR="00872643" w:rsidRPr="005D5059" w:rsidRDefault="00872643" w:rsidP="00AE0B34">
            <w:pPr>
              <w:spacing w:before="0" w:after="0"/>
            </w:pPr>
            <w:r w:rsidRPr="005D5059">
              <w:t>Royal Australian and New Zealand College of Psychiatrists (RANZCP)</w:t>
            </w:r>
          </w:p>
        </w:tc>
      </w:tr>
      <w:tr w:rsidR="00872643" w:rsidRPr="005D5059" w14:paraId="7FC67F6B" w14:textId="77777777" w:rsidTr="00AE0B34">
        <w:trPr>
          <w:trHeight w:val="315"/>
        </w:trPr>
        <w:tc>
          <w:tcPr>
            <w:tcW w:w="1980" w:type="dxa"/>
            <w:noWrap/>
            <w:hideMark/>
          </w:tcPr>
          <w:p w14:paraId="49900AE3" w14:textId="77777777" w:rsidR="00872643" w:rsidRPr="005D5059" w:rsidRDefault="00872643" w:rsidP="00AE0B34">
            <w:pPr>
              <w:spacing w:before="0" w:after="0"/>
            </w:pPr>
            <w:r w:rsidRPr="005D5059">
              <w:t>38</w:t>
            </w:r>
          </w:p>
        </w:tc>
        <w:tc>
          <w:tcPr>
            <w:tcW w:w="7229" w:type="dxa"/>
            <w:noWrap/>
            <w:hideMark/>
          </w:tcPr>
          <w:p w14:paraId="35FE81CE" w14:textId="77777777" w:rsidR="00872643" w:rsidRPr="005D5059" w:rsidRDefault="00872643" w:rsidP="00AE0B34">
            <w:pPr>
              <w:spacing w:before="0" w:after="0"/>
            </w:pPr>
            <w:r w:rsidRPr="005D5059">
              <w:t xml:space="preserve">Australian Psychological Society </w:t>
            </w:r>
          </w:p>
        </w:tc>
      </w:tr>
      <w:tr w:rsidR="00872643" w:rsidRPr="005D5059" w14:paraId="200E23B5" w14:textId="77777777" w:rsidTr="00AE0B34">
        <w:trPr>
          <w:trHeight w:val="315"/>
        </w:trPr>
        <w:tc>
          <w:tcPr>
            <w:tcW w:w="1980" w:type="dxa"/>
            <w:noWrap/>
            <w:hideMark/>
          </w:tcPr>
          <w:p w14:paraId="7D1325ED" w14:textId="77777777" w:rsidR="00872643" w:rsidRPr="005D5059" w:rsidRDefault="00872643" w:rsidP="00AE0B34">
            <w:pPr>
              <w:spacing w:before="0" w:after="0"/>
            </w:pPr>
            <w:r w:rsidRPr="005D5059">
              <w:t>39</w:t>
            </w:r>
          </w:p>
        </w:tc>
        <w:tc>
          <w:tcPr>
            <w:tcW w:w="7229" w:type="dxa"/>
            <w:noWrap/>
            <w:hideMark/>
          </w:tcPr>
          <w:p w14:paraId="62A2F141" w14:textId="77777777" w:rsidR="00872643" w:rsidRPr="005D5059" w:rsidRDefault="00872643" w:rsidP="00AE0B34">
            <w:pPr>
              <w:spacing w:before="0" w:after="0"/>
            </w:pPr>
            <w:r w:rsidRPr="005D5059">
              <w:t>CONFIDENTIAL</w:t>
            </w:r>
          </w:p>
        </w:tc>
      </w:tr>
      <w:tr w:rsidR="00872643" w:rsidRPr="005D5059" w14:paraId="5D8F6FD6" w14:textId="77777777" w:rsidTr="00AE0B34">
        <w:trPr>
          <w:trHeight w:val="300"/>
        </w:trPr>
        <w:tc>
          <w:tcPr>
            <w:tcW w:w="1980" w:type="dxa"/>
            <w:noWrap/>
            <w:hideMark/>
          </w:tcPr>
          <w:p w14:paraId="597C891B" w14:textId="77777777" w:rsidR="00872643" w:rsidRPr="005D5059" w:rsidRDefault="00872643" w:rsidP="00AE0B34">
            <w:pPr>
              <w:spacing w:before="0" w:after="0"/>
            </w:pPr>
            <w:r w:rsidRPr="005D5059">
              <w:t>40</w:t>
            </w:r>
          </w:p>
        </w:tc>
        <w:tc>
          <w:tcPr>
            <w:tcW w:w="7229" w:type="dxa"/>
            <w:noWrap/>
            <w:hideMark/>
          </w:tcPr>
          <w:p w14:paraId="19A4AD0C" w14:textId="77777777" w:rsidR="00872643" w:rsidRPr="005D5059" w:rsidRDefault="00872643" w:rsidP="00AE0B34">
            <w:pPr>
              <w:spacing w:before="0" w:after="0"/>
            </w:pPr>
            <w:r w:rsidRPr="005D5059">
              <w:t>Berry Street</w:t>
            </w:r>
          </w:p>
        </w:tc>
      </w:tr>
      <w:tr w:rsidR="00872643" w:rsidRPr="005D5059" w14:paraId="5C475607" w14:textId="77777777" w:rsidTr="00AE0B34">
        <w:trPr>
          <w:trHeight w:val="315"/>
        </w:trPr>
        <w:tc>
          <w:tcPr>
            <w:tcW w:w="1980" w:type="dxa"/>
            <w:noWrap/>
            <w:hideMark/>
          </w:tcPr>
          <w:p w14:paraId="62C253B6" w14:textId="77777777" w:rsidR="00872643" w:rsidRPr="005D5059" w:rsidRDefault="00872643" w:rsidP="00AE0B34">
            <w:pPr>
              <w:spacing w:before="0" w:after="0"/>
            </w:pPr>
            <w:r w:rsidRPr="005D5059">
              <w:t>41</w:t>
            </w:r>
          </w:p>
        </w:tc>
        <w:tc>
          <w:tcPr>
            <w:tcW w:w="7229" w:type="dxa"/>
            <w:noWrap/>
            <w:hideMark/>
          </w:tcPr>
          <w:p w14:paraId="54124754" w14:textId="77777777" w:rsidR="00872643" w:rsidRPr="005D5059" w:rsidRDefault="00872643" w:rsidP="00AE0B34">
            <w:pPr>
              <w:spacing w:before="0" w:after="0"/>
            </w:pPr>
            <w:r w:rsidRPr="005D5059">
              <w:t>National Family Violence Prevention Legal Services</w:t>
            </w:r>
          </w:p>
        </w:tc>
      </w:tr>
      <w:tr w:rsidR="00872643" w:rsidRPr="005D5059" w14:paraId="10110491" w14:textId="77777777" w:rsidTr="00AE0B34">
        <w:trPr>
          <w:trHeight w:val="300"/>
        </w:trPr>
        <w:tc>
          <w:tcPr>
            <w:tcW w:w="1980" w:type="dxa"/>
            <w:noWrap/>
            <w:hideMark/>
          </w:tcPr>
          <w:p w14:paraId="37BC35B1" w14:textId="77777777" w:rsidR="00872643" w:rsidRPr="005D5059" w:rsidRDefault="00872643" w:rsidP="00AE0B34">
            <w:pPr>
              <w:spacing w:before="0" w:after="0"/>
            </w:pPr>
            <w:r w:rsidRPr="005D5059">
              <w:t>42</w:t>
            </w:r>
          </w:p>
        </w:tc>
        <w:tc>
          <w:tcPr>
            <w:tcW w:w="7229" w:type="dxa"/>
            <w:noWrap/>
            <w:hideMark/>
          </w:tcPr>
          <w:p w14:paraId="4A649766" w14:textId="77777777" w:rsidR="00872643" w:rsidRPr="005D5059" w:rsidRDefault="00872643" w:rsidP="00AE0B34">
            <w:pPr>
              <w:spacing w:before="0" w:after="0"/>
            </w:pPr>
            <w:r w:rsidRPr="005D5059">
              <w:t>National Aboriginal and Torres Strait Islander Women’s Alliance (NATSIWA)</w:t>
            </w:r>
          </w:p>
        </w:tc>
      </w:tr>
      <w:tr w:rsidR="00872643" w:rsidRPr="005D5059" w14:paraId="1223FB46" w14:textId="77777777" w:rsidTr="00AE0B34">
        <w:trPr>
          <w:trHeight w:val="300"/>
        </w:trPr>
        <w:tc>
          <w:tcPr>
            <w:tcW w:w="1980" w:type="dxa"/>
            <w:noWrap/>
            <w:hideMark/>
          </w:tcPr>
          <w:p w14:paraId="77E8E05A" w14:textId="77777777" w:rsidR="00872643" w:rsidRPr="005D5059" w:rsidRDefault="00872643" w:rsidP="00AE0B34">
            <w:pPr>
              <w:spacing w:before="0" w:after="0"/>
            </w:pPr>
            <w:r w:rsidRPr="005D5059">
              <w:t>43</w:t>
            </w:r>
          </w:p>
        </w:tc>
        <w:tc>
          <w:tcPr>
            <w:tcW w:w="7229" w:type="dxa"/>
            <w:noWrap/>
            <w:hideMark/>
          </w:tcPr>
          <w:p w14:paraId="3BF3C6F2" w14:textId="77777777" w:rsidR="00872643" w:rsidRPr="005D5059" w:rsidRDefault="00872643" w:rsidP="00AE0B34">
            <w:pPr>
              <w:spacing w:before="0" w:after="0"/>
            </w:pPr>
            <w:r w:rsidRPr="005D5059">
              <w:t>Families and Relationship Services Australia</w:t>
            </w:r>
          </w:p>
        </w:tc>
      </w:tr>
      <w:tr w:rsidR="00872643" w:rsidRPr="005D5059" w14:paraId="408E51C3" w14:textId="77777777" w:rsidTr="00AE0B34">
        <w:trPr>
          <w:trHeight w:val="300"/>
        </w:trPr>
        <w:tc>
          <w:tcPr>
            <w:tcW w:w="1980" w:type="dxa"/>
            <w:noWrap/>
            <w:hideMark/>
          </w:tcPr>
          <w:p w14:paraId="096B593E" w14:textId="77777777" w:rsidR="00872643" w:rsidRPr="005D5059" w:rsidRDefault="00872643" w:rsidP="00AE0B34">
            <w:pPr>
              <w:spacing w:before="0" w:after="0"/>
            </w:pPr>
            <w:r w:rsidRPr="005D5059">
              <w:t>44</w:t>
            </w:r>
          </w:p>
        </w:tc>
        <w:tc>
          <w:tcPr>
            <w:tcW w:w="7229" w:type="dxa"/>
            <w:noWrap/>
            <w:hideMark/>
          </w:tcPr>
          <w:p w14:paraId="764B4476" w14:textId="77777777" w:rsidR="00872643" w:rsidRPr="005D5059" w:rsidRDefault="00872643" w:rsidP="00AE0B34">
            <w:pPr>
              <w:spacing w:before="0" w:after="0"/>
            </w:pPr>
            <w:r w:rsidRPr="005D5059">
              <w:t>Office of the Children's Commissioner Northern Territory</w:t>
            </w:r>
          </w:p>
        </w:tc>
      </w:tr>
      <w:tr w:rsidR="00872643" w:rsidRPr="005D5059" w14:paraId="5C54DC1C" w14:textId="77777777" w:rsidTr="00AE0B34">
        <w:trPr>
          <w:trHeight w:val="300"/>
        </w:trPr>
        <w:tc>
          <w:tcPr>
            <w:tcW w:w="1980" w:type="dxa"/>
            <w:noWrap/>
            <w:hideMark/>
          </w:tcPr>
          <w:p w14:paraId="2EE37916" w14:textId="77777777" w:rsidR="00872643" w:rsidRPr="005D5059" w:rsidRDefault="00872643" w:rsidP="00AE0B34">
            <w:pPr>
              <w:spacing w:before="0" w:after="0"/>
            </w:pPr>
            <w:r w:rsidRPr="005D5059">
              <w:t>45</w:t>
            </w:r>
          </w:p>
        </w:tc>
        <w:tc>
          <w:tcPr>
            <w:tcW w:w="7229" w:type="dxa"/>
            <w:noWrap/>
            <w:hideMark/>
          </w:tcPr>
          <w:p w14:paraId="67A91343" w14:textId="77777777" w:rsidR="00872643" w:rsidRPr="005D5059" w:rsidRDefault="00872643" w:rsidP="00AE0B34">
            <w:pPr>
              <w:spacing w:before="0" w:after="0"/>
            </w:pPr>
            <w:r w:rsidRPr="005D5059">
              <w:t>Aboriginal Child, Family and Community Care State Secretariat (AbSec)</w:t>
            </w:r>
          </w:p>
        </w:tc>
      </w:tr>
      <w:tr w:rsidR="00872643" w:rsidRPr="005D5059" w14:paraId="6AD9F152" w14:textId="77777777" w:rsidTr="00AE0B34">
        <w:trPr>
          <w:trHeight w:val="300"/>
        </w:trPr>
        <w:tc>
          <w:tcPr>
            <w:tcW w:w="1980" w:type="dxa"/>
            <w:noWrap/>
            <w:hideMark/>
          </w:tcPr>
          <w:p w14:paraId="3E8D1828" w14:textId="77777777" w:rsidR="00872643" w:rsidRPr="005D5059" w:rsidRDefault="00872643" w:rsidP="00AE0B34">
            <w:pPr>
              <w:spacing w:before="0" w:after="0"/>
            </w:pPr>
            <w:r w:rsidRPr="005D5059">
              <w:t>46</w:t>
            </w:r>
          </w:p>
        </w:tc>
        <w:tc>
          <w:tcPr>
            <w:tcW w:w="7229" w:type="dxa"/>
            <w:noWrap/>
            <w:hideMark/>
          </w:tcPr>
          <w:p w14:paraId="45E48548" w14:textId="77777777" w:rsidR="00872643" w:rsidRPr="005D5059" w:rsidRDefault="00872643" w:rsidP="00AE0B34">
            <w:pPr>
              <w:spacing w:before="0" w:after="0"/>
            </w:pPr>
            <w:r w:rsidRPr="005D5059">
              <w:t>North Australian Aboriginal Family Legal Service (NAAFLS)</w:t>
            </w:r>
          </w:p>
        </w:tc>
      </w:tr>
      <w:tr w:rsidR="00872643" w:rsidRPr="005D5059" w14:paraId="746AC283" w14:textId="77777777" w:rsidTr="00AE0B34">
        <w:trPr>
          <w:trHeight w:val="300"/>
        </w:trPr>
        <w:tc>
          <w:tcPr>
            <w:tcW w:w="1980" w:type="dxa"/>
            <w:noWrap/>
            <w:hideMark/>
          </w:tcPr>
          <w:p w14:paraId="460BD2A5" w14:textId="77777777" w:rsidR="00872643" w:rsidRPr="005D5059" w:rsidRDefault="00872643" w:rsidP="00AE0B34">
            <w:pPr>
              <w:spacing w:before="0" w:after="0"/>
            </w:pPr>
            <w:r w:rsidRPr="005D5059">
              <w:t>47</w:t>
            </w:r>
          </w:p>
        </w:tc>
        <w:tc>
          <w:tcPr>
            <w:tcW w:w="7229" w:type="dxa"/>
            <w:noWrap/>
            <w:hideMark/>
          </w:tcPr>
          <w:p w14:paraId="4E9CE785" w14:textId="77777777" w:rsidR="00872643" w:rsidRPr="005D5059" w:rsidRDefault="00872643" w:rsidP="00AE0B34">
            <w:pPr>
              <w:spacing w:before="0" w:after="0"/>
            </w:pPr>
            <w:r w:rsidRPr="005D5059">
              <w:t>Menzies School of Health Research, Centre for Child Development and Education</w:t>
            </w:r>
          </w:p>
        </w:tc>
      </w:tr>
      <w:tr w:rsidR="00872643" w:rsidRPr="005D5059" w14:paraId="265114D2" w14:textId="77777777" w:rsidTr="00AE0B34">
        <w:trPr>
          <w:trHeight w:val="300"/>
        </w:trPr>
        <w:tc>
          <w:tcPr>
            <w:tcW w:w="1980" w:type="dxa"/>
            <w:noWrap/>
            <w:hideMark/>
          </w:tcPr>
          <w:p w14:paraId="3EB51CB1" w14:textId="77777777" w:rsidR="00872643" w:rsidRPr="005D5059" w:rsidRDefault="00872643" w:rsidP="00AE0B34">
            <w:pPr>
              <w:spacing w:before="0" w:after="0"/>
            </w:pPr>
            <w:r w:rsidRPr="005D5059">
              <w:t>48</w:t>
            </w:r>
          </w:p>
        </w:tc>
        <w:tc>
          <w:tcPr>
            <w:tcW w:w="7229" w:type="dxa"/>
            <w:noWrap/>
            <w:hideMark/>
          </w:tcPr>
          <w:p w14:paraId="451A8AF1" w14:textId="77777777" w:rsidR="00872643" w:rsidRPr="005D5059" w:rsidRDefault="00872643" w:rsidP="00AE0B34">
            <w:pPr>
              <w:spacing w:before="0" w:after="0"/>
            </w:pPr>
            <w:r w:rsidRPr="005D5059">
              <w:t xml:space="preserve">Dawn House Women’s refuge, Northern Territory </w:t>
            </w:r>
          </w:p>
        </w:tc>
      </w:tr>
      <w:tr w:rsidR="00872643" w:rsidRPr="005D5059" w14:paraId="45D5BE2F" w14:textId="77777777" w:rsidTr="00AE0B34">
        <w:trPr>
          <w:trHeight w:val="300"/>
        </w:trPr>
        <w:tc>
          <w:tcPr>
            <w:tcW w:w="1980" w:type="dxa"/>
            <w:noWrap/>
            <w:hideMark/>
          </w:tcPr>
          <w:p w14:paraId="0F988AE4" w14:textId="77777777" w:rsidR="00872643" w:rsidRPr="005D5059" w:rsidRDefault="00872643" w:rsidP="00AE0B34">
            <w:pPr>
              <w:spacing w:before="0" w:after="0"/>
            </w:pPr>
            <w:r w:rsidRPr="005D5059">
              <w:t>49</w:t>
            </w:r>
          </w:p>
        </w:tc>
        <w:tc>
          <w:tcPr>
            <w:tcW w:w="7229" w:type="dxa"/>
            <w:noWrap/>
            <w:hideMark/>
          </w:tcPr>
          <w:p w14:paraId="6A15150F" w14:textId="77777777" w:rsidR="00872643" w:rsidRPr="005D5059" w:rsidRDefault="00872643" w:rsidP="00AE0B34">
            <w:pPr>
              <w:spacing w:before="0" w:after="0"/>
            </w:pPr>
            <w:r w:rsidRPr="005D5059">
              <w:t xml:space="preserve">National LGBTI Health Alliance </w:t>
            </w:r>
          </w:p>
        </w:tc>
      </w:tr>
      <w:tr w:rsidR="00872643" w:rsidRPr="005D5059" w14:paraId="5B61F997" w14:textId="77777777" w:rsidTr="00AE0B34">
        <w:trPr>
          <w:trHeight w:val="300"/>
        </w:trPr>
        <w:tc>
          <w:tcPr>
            <w:tcW w:w="1980" w:type="dxa"/>
            <w:noWrap/>
            <w:hideMark/>
          </w:tcPr>
          <w:p w14:paraId="33EDF3D5" w14:textId="77777777" w:rsidR="00872643" w:rsidRPr="005D5059" w:rsidRDefault="00872643" w:rsidP="00AE0B34">
            <w:pPr>
              <w:spacing w:before="0" w:after="0"/>
            </w:pPr>
            <w:r w:rsidRPr="005D5059">
              <w:t>50</w:t>
            </w:r>
          </w:p>
        </w:tc>
        <w:tc>
          <w:tcPr>
            <w:tcW w:w="7229" w:type="dxa"/>
            <w:noWrap/>
            <w:hideMark/>
          </w:tcPr>
          <w:p w14:paraId="4AAFF54A" w14:textId="77777777" w:rsidR="00872643" w:rsidRPr="005D5059" w:rsidRDefault="00872643" w:rsidP="00AE0B34">
            <w:pPr>
              <w:spacing w:before="0" w:after="0"/>
            </w:pPr>
            <w:r w:rsidRPr="005D5059">
              <w:t>Emma Gierschick</w:t>
            </w:r>
          </w:p>
        </w:tc>
      </w:tr>
      <w:tr w:rsidR="00872643" w:rsidRPr="005D5059" w14:paraId="65B76180" w14:textId="77777777" w:rsidTr="00AE0B34">
        <w:trPr>
          <w:trHeight w:val="300"/>
        </w:trPr>
        <w:tc>
          <w:tcPr>
            <w:tcW w:w="1980" w:type="dxa"/>
            <w:noWrap/>
            <w:hideMark/>
          </w:tcPr>
          <w:p w14:paraId="58B0EA4C" w14:textId="77777777" w:rsidR="00872643" w:rsidRPr="005D5059" w:rsidRDefault="00872643" w:rsidP="00AE0B34">
            <w:pPr>
              <w:spacing w:before="0" w:after="0"/>
            </w:pPr>
            <w:r w:rsidRPr="005D5059">
              <w:t>51</w:t>
            </w:r>
          </w:p>
        </w:tc>
        <w:tc>
          <w:tcPr>
            <w:tcW w:w="7229" w:type="dxa"/>
            <w:noWrap/>
            <w:hideMark/>
          </w:tcPr>
          <w:p w14:paraId="16195AA6" w14:textId="77777777" w:rsidR="00872643" w:rsidRPr="005D5059" w:rsidRDefault="00872643" w:rsidP="00AE0B34">
            <w:pPr>
              <w:spacing w:before="0" w:after="0"/>
            </w:pPr>
            <w:r w:rsidRPr="005D5059">
              <w:t xml:space="preserve">New South Wales Government </w:t>
            </w:r>
          </w:p>
        </w:tc>
      </w:tr>
      <w:tr w:rsidR="00872643" w:rsidRPr="005D5059" w14:paraId="2969C388" w14:textId="77777777" w:rsidTr="00AE0B34">
        <w:trPr>
          <w:trHeight w:val="300"/>
        </w:trPr>
        <w:tc>
          <w:tcPr>
            <w:tcW w:w="1980" w:type="dxa"/>
            <w:noWrap/>
            <w:hideMark/>
          </w:tcPr>
          <w:p w14:paraId="47246B7A" w14:textId="77777777" w:rsidR="00872643" w:rsidRPr="005D5059" w:rsidRDefault="00872643" w:rsidP="00AE0B34">
            <w:pPr>
              <w:spacing w:before="0" w:after="0"/>
            </w:pPr>
            <w:r w:rsidRPr="005D5059">
              <w:t>52</w:t>
            </w:r>
          </w:p>
        </w:tc>
        <w:tc>
          <w:tcPr>
            <w:tcW w:w="7229" w:type="dxa"/>
            <w:noWrap/>
            <w:hideMark/>
          </w:tcPr>
          <w:p w14:paraId="5B3C0A73" w14:textId="77777777" w:rsidR="00872643" w:rsidRPr="005D5059" w:rsidRDefault="00872643" w:rsidP="00AE0B34">
            <w:pPr>
              <w:spacing w:before="0" w:after="0"/>
            </w:pPr>
            <w:r w:rsidRPr="005D5059">
              <w:t>Northern Territory Department of Children and Families</w:t>
            </w:r>
          </w:p>
        </w:tc>
      </w:tr>
      <w:tr w:rsidR="00872643" w:rsidRPr="005D5059" w14:paraId="085111EE" w14:textId="77777777" w:rsidTr="00AE0B34">
        <w:trPr>
          <w:trHeight w:val="300"/>
        </w:trPr>
        <w:tc>
          <w:tcPr>
            <w:tcW w:w="1980" w:type="dxa"/>
            <w:noWrap/>
            <w:hideMark/>
          </w:tcPr>
          <w:p w14:paraId="597F0582" w14:textId="77777777" w:rsidR="00872643" w:rsidRPr="005D5059" w:rsidRDefault="00872643" w:rsidP="00AE0B34">
            <w:pPr>
              <w:spacing w:before="0" w:after="0"/>
            </w:pPr>
            <w:r w:rsidRPr="005D5059">
              <w:t>53</w:t>
            </w:r>
          </w:p>
        </w:tc>
        <w:tc>
          <w:tcPr>
            <w:tcW w:w="7229" w:type="dxa"/>
            <w:noWrap/>
            <w:hideMark/>
          </w:tcPr>
          <w:p w14:paraId="7903228A" w14:textId="77777777" w:rsidR="00872643" w:rsidRPr="005D5059" w:rsidRDefault="00872643" w:rsidP="00AE0B34">
            <w:pPr>
              <w:spacing w:before="0" w:after="0"/>
            </w:pPr>
            <w:r w:rsidRPr="005D5059">
              <w:t xml:space="preserve">Multicultural Centre for Women's Health </w:t>
            </w:r>
          </w:p>
        </w:tc>
      </w:tr>
      <w:tr w:rsidR="00872643" w:rsidRPr="005D5059" w14:paraId="49961920" w14:textId="77777777" w:rsidTr="00AE0B34">
        <w:trPr>
          <w:trHeight w:val="300"/>
        </w:trPr>
        <w:tc>
          <w:tcPr>
            <w:tcW w:w="1980" w:type="dxa"/>
            <w:noWrap/>
            <w:hideMark/>
          </w:tcPr>
          <w:p w14:paraId="29298C70" w14:textId="77777777" w:rsidR="00872643" w:rsidRPr="005D5059" w:rsidRDefault="00872643" w:rsidP="00AE0B34">
            <w:pPr>
              <w:spacing w:before="0" w:after="0"/>
            </w:pPr>
            <w:r w:rsidRPr="005D5059">
              <w:t>54</w:t>
            </w:r>
          </w:p>
        </w:tc>
        <w:tc>
          <w:tcPr>
            <w:tcW w:w="7229" w:type="dxa"/>
            <w:noWrap/>
            <w:hideMark/>
          </w:tcPr>
          <w:p w14:paraId="39FD6846" w14:textId="77777777" w:rsidR="00872643" w:rsidRPr="005D5059" w:rsidRDefault="00872643" w:rsidP="00AE0B34">
            <w:pPr>
              <w:spacing w:before="0" w:after="0"/>
            </w:pPr>
            <w:r w:rsidRPr="005D5059">
              <w:t>Anne-Marie Laslett, Centre for Alcohol Policy Research</w:t>
            </w:r>
          </w:p>
        </w:tc>
      </w:tr>
      <w:tr w:rsidR="00872643" w:rsidRPr="005D5059" w14:paraId="01F70F53" w14:textId="77777777" w:rsidTr="00AE0B34">
        <w:trPr>
          <w:trHeight w:val="300"/>
        </w:trPr>
        <w:tc>
          <w:tcPr>
            <w:tcW w:w="1980" w:type="dxa"/>
            <w:noWrap/>
          </w:tcPr>
          <w:p w14:paraId="1E4EB658" w14:textId="77777777" w:rsidR="00872643" w:rsidRPr="005D5059" w:rsidRDefault="00872643" w:rsidP="00AE0B34">
            <w:pPr>
              <w:spacing w:before="0" w:after="0"/>
            </w:pPr>
            <w:r w:rsidRPr="005D5059">
              <w:t>55</w:t>
            </w:r>
          </w:p>
        </w:tc>
        <w:tc>
          <w:tcPr>
            <w:tcW w:w="7229" w:type="dxa"/>
            <w:noWrap/>
          </w:tcPr>
          <w:p w14:paraId="4CB62004" w14:textId="77777777" w:rsidR="00872643" w:rsidRPr="005D5059" w:rsidRDefault="00872643" w:rsidP="00AE0B34">
            <w:pPr>
              <w:spacing w:before="0" w:after="0"/>
            </w:pPr>
            <w:r w:rsidRPr="005D5059">
              <w:t>Foundation for Alcohol Research and Education (FARE)</w:t>
            </w:r>
          </w:p>
        </w:tc>
      </w:tr>
      <w:tr w:rsidR="00872643" w:rsidRPr="005D5059" w14:paraId="2317B066" w14:textId="77777777" w:rsidTr="00AE0B34">
        <w:trPr>
          <w:trHeight w:val="300"/>
        </w:trPr>
        <w:tc>
          <w:tcPr>
            <w:tcW w:w="1980" w:type="dxa"/>
            <w:noWrap/>
          </w:tcPr>
          <w:p w14:paraId="7E139CC5" w14:textId="77777777" w:rsidR="00872643" w:rsidRPr="005D5059" w:rsidRDefault="00872643" w:rsidP="00AE0B34">
            <w:pPr>
              <w:spacing w:before="0" w:after="0"/>
            </w:pPr>
            <w:r w:rsidRPr="005D5059">
              <w:t>Attachment 55.1</w:t>
            </w:r>
          </w:p>
        </w:tc>
        <w:tc>
          <w:tcPr>
            <w:tcW w:w="7229" w:type="dxa"/>
            <w:noWrap/>
          </w:tcPr>
          <w:p w14:paraId="5172258F" w14:textId="77777777" w:rsidR="00872643" w:rsidRPr="005D5059" w:rsidRDefault="00872643" w:rsidP="00AE0B34">
            <w:pPr>
              <w:spacing w:before="0" w:after="0"/>
            </w:pPr>
            <w:r w:rsidRPr="005D5059">
              <w:t xml:space="preserve">FARE, </w:t>
            </w:r>
            <w:r w:rsidRPr="005D5059">
              <w:rPr>
                <w:i/>
              </w:rPr>
              <w:t>Australian Fetal Alcohol Spectrum Disorders Action Plan 2013-2016</w:t>
            </w:r>
            <w:r w:rsidRPr="005D5059">
              <w:t xml:space="preserve"> (2013).</w:t>
            </w:r>
          </w:p>
        </w:tc>
      </w:tr>
      <w:tr w:rsidR="00872643" w:rsidRPr="005D5059" w14:paraId="631C90D5" w14:textId="77777777" w:rsidTr="00AE0B34">
        <w:trPr>
          <w:trHeight w:val="300"/>
        </w:trPr>
        <w:tc>
          <w:tcPr>
            <w:tcW w:w="1980" w:type="dxa"/>
            <w:noWrap/>
          </w:tcPr>
          <w:p w14:paraId="5ED6FD8A" w14:textId="77777777" w:rsidR="00872643" w:rsidRPr="005D5059" w:rsidRDefault="00872643" w:rsidP="00AE0B34">
            <w:pPr>
              <w:spacing w:before="0" w:after="0"/>
            </w:pPr>
            <w:r w:rsidRPr="005D5059">
              <w:t>Attachment 55.2</w:t>
            </w:r>
          </w:p>
        </w:tc>
        <w:tc>
          <w:tcPr>
            <w:tcW w:w="7229" w:type="dxa"/>
            <w:noWrap/>
          </w:tcPr>
          <w:p w14:paraId="78C971B8" w14:textId="77777777" w:rsidR="00872643" w:rsidRPr="005D5059" w:rsidRDefault="00872643" w:rsidP="00AE0B34">
            <w:pPr>
              <w:spacing w:before="0" w:after="0"/>
            </w:pPr>
            <w:r w:rsidRPr="005D5059">
              <w:t xml:space="preserve">FARE, </w:t>
            </w:r>
            <w:r w:rsidRPr="005D5059">
              <w:rPr>
                <w:i/>
              </w:rPr>
              <w:t>National framework for action to prevent alcohol-related family violence</w:t>
            </w:r>
            <w:r w:rsidRPr="005D5059">
              <w:t xml:space="preserve"> (2015).</w:t>
            </w:r>
          </w:p>
        </w:tc>
      </w:tr>
      <w:tr w:rsidR="00872643" w:rsidRPr="005D5059" w14:paraId="7F2622AB" w14:textId="77777777" w:rsidTr="00AE0B34">
        <w:trPr>
          <w:trHeight w:val="300"/>
        </w:trPr>
        <w:tc>
          <w:tcPr>
            <w:tcW w:w="1980" w:type="dxa"/>
            <w:noWrap/>
          </w:tcPr>
          <w:p w14:paraId="59ED3848" w14:textId="77777777" w:rsidR="00872643" w:rsidRPr="005D5059" w:rsidRDefault="00872643" w:rsidP="00AE0B34">
            <w:pPr>
              <w:spacing w:before="0" w:after="0"/>
            </w:pPr>
            <w:r w:rsidRPr="005D5059">
              <w:t>56</w:t>
            </w:r>
          </w:p>
        </w:tc>
        <w:tc>
          <w:tcPr>
            <w:tcW w:w="7229" w:type="dxa"/>
            <w:noWrap/>
          </w:tcPr>
          <w:p w14:paraId="7C951A7D" w14:textId="77777777" w:rsidR="00872643" w:rsidRPr="005D5059" w:rsidRDefault="00872643" w:rsidP="00AE0B34">
            <w:pPr>
              <w:spacing w:before="0" w:after="0"/>
            </w:pPr>
            <w:r w:rsidRPr="005D5059">
              <w:t>Dr Anita Morris</w:t>
            </w:r>
          </w:p>
        </w:tc>
      </w:tr>
      <w:tr w:rsidR="00872643" w:rsidRPr="005D5059" w14:paraId="26B953E7" w14:textId="77777777" w:rsidTr="00AE0B34">
        <w:trPr>
          <w:trHeight w:val="300"/>
        </w:trPr>
        <w:tc>
          <w:tcPr>
            <w:tcW w:w="1980" w:type="dxa"/>
            <w:noWrap/>
          </w:tcPr>
          <w:p w14:paraId="750D04A9" w14:textId="77777777" w:rsidR="00872643" w:rsidRPr="005D5059" w:rsidRDefault="00872643" w:rsidP="00AE0B34">
            <w:pPr>
              <w:spacing w:before="0" w:after="0"/>
            </w:pPr>
            <w:r w:rsidRPr="005D5059">
              <w:t>Attachment 56.1</w:t>
            </w:r>
          </w:p>
        </w:tc>
        <w:tc>
          <w:tcPr>
            <w:tcW w:w="7229" w:type="dxa"/>
            <w:noWrap/>
          </w:tcPr>
          <w:p w14:paraId="0F78C20E" w14:textId="77777777" w:rsidR="00872643" w:rsidRPr="005D5059" w:rsidRDefault="00872643" w:rsidP="00AE0B34">
            <w:pPr>
              <w:spacing w:before="0" w:after="0"/>
            </w:pPr>
            <w:r w:rsidRPr="005D5059">
              <w:t>Safety and resiliency at home. Thesis Abstract</w:t>
            </w:r>
          </w:p>
        </w:tc>
      </w:tr>
      <w:tr w:rsidR="00872643" w:rsidRPr="005D5059" w14:paraId="0AABE082" w14:textId="77777777" w:rsidTr="00AE0B34">
        <w:trPr>
          <w:trHeight w:val="300"/>
        </w:trPr>
        <w:tc>
          <w:tcPr>
            <w:tcW w:w="1980" w:type="dxa"/>
            <w:noWrap/>
          </w:tcPr>
          <w:p w14:paraId="2ED47CF7" w14:textId="77777777" w:rsidR="00872643" w:rsidRPr="005D5059" w:rsidRDefault="00872643" w:rsidP="00AE0B34">
            <w:pPr>
              <w:spacing w:before="0" w:after="0"/>
            </w:pPr>
            <w:r w:rsidRPr="005D5059">
              <w:t>Attachment 56.2</w:t>
            </w:r>
          </w:p>
        </w:tc>
        <w:tc>
          <w:tcPr>
            <w:tcW w:w="7229" w:type="dxa"/>
            <w:noWrap/>
          </w:tcPr>
          <w:p w14:paraId="28CAE47A" w14:textId="77777777" w:rsidR="00872643" w:rsidRPr="005D5059" w:rsidRDefault="00872643" w:rsidP="00AE0B34">
            <w:pPr>
              <w:spacing w:before="0" w:after="0"/>
            </w:pPr>
            <w:r w:rsidRPr="005D5059">
              <w:t xml:space="preserve">A Morris, C Humphreys and K Hegarty, ‘Children’s views of safety and adversity when living with domestic violence’ in N Stanley and C Humphreys (eds) </w:t>
            </w:r>
            <w:r w:rsidRPr="005D5059">
              <w:rPr>
                <w:i/>
              </w:rPr>
              <w:t>Child Protection and Domestic Violence: New Challenges and Developments</w:t>
            </w:r>
            <w:r w:rsidRPr="005D5059">
              <w:t xml:space="preserve"> (Jessica Kingsley Publications, 2015)</w:t>
            </w:r>
          </w:p>
        </w:tc>
      </w:tr>
      <w:tr w:rsidR="00872643" w:rsidRPr="005D5059" w14:paraId="7A7D87CC" w14:textId="77777777" w:rsidTr="00AE0B34">
        <w:trPr>
          <w:trHeight w:val="300"/>
        </w:trPr>
        <w:tc>
          <w:tcPr>
            <w:tcW w:w="1980" w:type="dxa"/>
            <w:noWrap/>
          </w:tcPr>
          <w:p w14:paraId="7ED099F0" w14:textId="77777777" w:rsidR="00872643" w:rsidRPr="005D5059" w:rsidRDefault="00872643" w:rsidP="00AE0B34">
            <w:pPr>
              <w:spacing w:before="0" w:after="0"/>
            </w:pPr>
            <w:r w:rsidRPr="005D5059">
              <w:t>Attachment 56.3</w:t>
            </w:r>
          </w:p>
        </w:tc>
        <w:tc>
          <w:tcPr>
            <w:tcW w:w="7229" w:type="dxa"/>
            <w:noWrap/>
          </w:tcPr>
          <w:p w14:paraId="23AE8DAA" w14:textId="77777777" w:rsidR="00872643" w:rsidRPr="005D5059" w:rsidRDefault="00872643" w:rsidP="00AE0B34">
            <w:pPr>
              <w:spacing w:before="0" w:after="0"/>
            </w:pPr>
            <w:r w:rsidRPr="005D5059">
              <w:t xml:space="preserve">A Morris, K Hegarty and C Humphreys, ‘Ethical and safe: Research with children about domestic violence’ (2012) 8(2) </w:t>
            </w:r>
            <w:r w:rsidRPr="005D5059">
              <w:rPr>
                <w:i/>
              </w:rPr>
              <w:t>Research Ethics</w:t>
            </w:r>
            <w:r w:rsidRPr="005D5059">
              <w:t xml:space="preserve"> 125.</w:t>
            </w:r>
          </w:p>
        </w:tc>
      </w:tr>
      <w:tr w:rsidR="00872643" w:rsidRPr="005D5059" w14:paraId="0B85355B" w14:textId="77777777" w:rsidTr="00AE0B34">
        <w:trPr>
          <w:trHeight w:val="300"/>
        </w:trPr>
        <w:tc>
          <w:tcPr>
            <w:tcW w:w="1980" w:type="dxa"/>
            <w:noWrap/>
          </w:tcPr>
          <w:p w14:paraId="3CCFA388" w14:textId="77777777" w:rsidR="00872643" w:rsidRPr="005D5059" w:rsidRDefault="00872643" w:rsidP="00AE0B34">
            <w:pPr>
              <w:spacing w:before="0" w:after="0"/>
            </w:pPr>
            <w:r w:rsidRPr="005D5059">
              <w:t>Attachment 56.4</w:t>
            </w:r>
          </w:p>
        </w:tc>
        <w:tc>
          <w:tcPr>
            <w:tcW w:w="7229" w:type="dxa"/>
            <w:noWrap/>
          </w:tcPr>
          <w:p w14:paraId="04C16D27" w14:textId="77777777" w:rsidR="00872643" w:rsidRPr="005D5059" w:rsidRDefault="00872643" w:rsidP="00AE0B34">
            <w:pPr>
              <w:spacing w:before="0" w:after="0"/>
            </w:pPr>
            <w:r w:rsidRPr="005D5059">
              <w:t xml:space="preserve">A Morris et al., ‘Extending the reach: a timely and tailored approach to children experiencing family violence’ (2011) 24(8) </w:t>
            </w:r>
            <w:r w:rsidRPr="005D5059">
              <w:rPr>
                <w:i/>
              </w:rPr>
              <w:t>Parity</w:t>
            </w:r>
            <w:r w:rsidRPr="005D5059">
              <w:t xml:space="preserve"> 37.</w:t>
            </w:r>
          </w:p>
        </w:tc>
      </w:tr>
      <w:tr w:rsidR="00872643" w:rsidRPr="005D5059" w14:paraId="63E0B80A" w14:textId="77777777" w:rsidTr="00AE0B34">
        <w:trPr>
          <w:trHeight w:val="300"/>
        </w:trPr>
        <w:tc>
          <w:tcPr>
            <w:tcW w:w="1980" w:type="dxa"/>
            <w:noWrap/>
          </w:tcPr>
          <w:p w14:paraId="105CA2C7" w14:textId="77777777" w:rsidR="00872643" w:rsidRPr="005D5059" w:rsidRDefault="00872643" w:rsidP="00AE0B34">
            <w:pPr>
              <w:spacing w:before="0" w:after="0"/>
            </w:pPr>
            <w:r w:rsidRPr="005D5059">
              <w:t>57</w:t>
            </w:r>
          </w:p>
        </w:tc>
        <w:tc>
          <w:tcPr>
            <w:tcW w:w="7229" w:type="dxa"/>
            <w:noWrap/>
          </w:tcPr>
          <w:p w14:paraId="4CDD610B" w14:textId="77777777" w:rsidR="00872643" w:rsidRPr="005D5059" w:rsidRDefault="00872643" w:rsidP="00AE0B34">
            <w:pPr>
              <w:spacing w:before="0" w:after="0"/>
              <w:rPr>
                <w:highlight w:val="red"/>
              </w:rPr>
            </w:pPr>
            <w:r w:rsidRPr="005D5059">
              <w:t>Northern Territory Government, (Bess Price, Minister Women’s Policy; John Elferink, Attorney-General, Minister for Justice)</w:t>
            </w:r>
          </w:p>
        </w:tc>
      </w:tr>
      <w:tr w:rsidR="00872643" w:rsidRPr="005D5059" w14:paraId="36660ECE" w14:textId="77777777" w:rsidTr="00AE0B34">
        <w:trPr>
          <w:trHeight w:val="300"/>
        </w:trPr>
        <w:tc>
          <w:tcPr>
            <w:tcW w:w="1980" w:type="dxa"/>
            <w:noWrap/>
          </w:tcPr>
          <w:p w14:paraId="3F0137B1" w14:textId="77777777" w:rsidR="00872643" w:rsidRPr="005D5059" w:rsidRDefault="00872643" w:rsidP="00AE0B34">
            <w:pPr>
              <w:spacing w:before="0" w:after="0"/>
            </w:pPr>
            <w:r w:rsidRPr="005D5059">
              <w:t>Attachment 57.1</w:t>
            </w:r>
          </w:p>
        </w:tc>
        <w:tc>
          <w:tcPr>
            <w:tcW w:w="7229" w:type="dxa"/>
            <w:noWrap/>
          </w:tcPr>
          <w:p w14:paraId="2CC255E5" w14:textId="77777777" w:rsidR="00872643" w:rsidRPr="005D5059" w:rsidRDefault="00872643" w:rsidP="00AE0B34">
            <w:pPr>
              <w:spacing w:before="0" w:after="0"/>
              <w:rPr>
                <w:highlight w:val="red"/>
              </w:rPr>
            </w:pPr>
            <w:r w:rsidRPr="005D5059">
              <w:t xml:space="preserve">Northern Territory Government, </w:t>
            </w:r>
            <w:r w:rsidRPr="005D5059">
              <w:rPr>
                <w:i/>
              </w:rPr>
              <w:t>Safety is Everyone's Right: Northern Territory Domestic and Family Violence Reduction Strategy 2014-2017 Overview</w:t>
            </w:r>
            <w:r w:rsidRPr="005D5059">
              <w:t xml:space="preserve"> (2014).</w:t>
            </w:r>
          </w:p>
        </w:tc>
      </w:tr>
      <w:tr w:rsidR="00872643" w:rsidRPr="005D5059" w14:paraId="64314F42" w14:textId="77777777" w:rsidTr="00AE0B34">
        <w:trPr>
          <w:trHeight w:val="300"/>
        </w:trPr>
        <w:tc>
          <w:tcPr>
            <w:tcW w:w="1980" w:type="dxa"/>
            <w:noWrap/>
          </w:tcPr>
          <w:p w14:paraId="0452BBCC" w14:textId="77777777" w:rsidR="00872643" w:rsidRPr="005D5059" w:rsidRDefault="00872643" w:rsidP="00AE0B34">
            <w:pPr>
              <w:spacing w:before="0" w:after="0"/>
            </w:pPr>
            <w:r w:rsidRPr="005D5059">
              <w:t>Attachment 57.2</w:t>
            </w:r>
          </w:p>
        </w:tc>
        <w:tc>
          <w:tcPr>
            <w:tcW w:w="7229" w:type="dxa"/>
            <w:noWrap/>
          </w:tcPr>
          <w:p w14:paraId="74FB351B" w14:textId="77777777" w:rsidR="00872643" w:rsidRPr="005D5059" w:rsidRDefault="00872643" w:rsidP="00AE0B34">
            <w:pPr>
              <w:spacing w:before="0" w:after="0"/>
            </w:pPr>
            <w:r w:rsidRPr="005D5059">
              <w:t xml:space="preserve">Northern Territory Government, Submission No 158 to the Senate Finance and Public Administration Committee, </w:t>
            </w:r>
            <w:r w:rsidRPr="005D5059">
              <w:rPr>
                <w:i/>
              </w:rPr>
              <w:t>Inquiry into Domestic Violence in Australia</w:t>
            </w:r>
            <w:r w:rsidRPr="005D5059">
              <w:t>, November 2014.</w:t>
            </w:r>
          </w:p>
        </w:tc>
      </w:tr>
      <w:tr w:rsidR="00872643" w:rsidRPr="005D5059" w14:paraId="3DFEE4A2" w14:textId="77777777" w:rsidTr="00AE0B34">
        <w:trPr>
          <w:trHeight w:val="300"/>
        </w:trPr>
        <w:tc>
          <w:tcPr>
            <w:tcW w:w="1980" w:type="dxa"/>
            <w:noWrap/>
          </w:tcPr>
          <w:p w14:paraId="52BA79F5" w14:textId="77777777" w:rsidR="00872643" w:rsidRPr="005D5059" w:rsidRDefault="00872643" w:rsidP="00AE0B34">
            <w:pPr>
              <w:spacing w:before="0" w:after="0"/>
            </w:pPr>
            <w:r w:rsidRPr="005D5059">
              <w:t>Attachment 57.3</w:t>
            </w:r>
          </w:p>
        </w:tc>
        <w:tc>
          <w:tcPr>
            <w:tcW w:w="7229" w:type="dxa"/>
            <w:noWrap/>
          </w:tcPr>
          <w:p w14:paraId="56E583D2" w14:textId="77777777" w:rsidR="00872643" w:rsidRPr="005D5059" w:rsidRDefault="00872643" w:rsidP="00AE0B34">
            <w:pPr>
              <w:spacing w:before="0" w:after="0"/>
            </w:pPr>
            <w:r w:rsidRPr="005D5059">
              <w:rPr>
                <w:iCs/>
              </w:rPr>
              <w:t xml:space="preserve">Bruce Wilson, </w:t>
            </w:r>
            <w:r w:rsidRPr="005D5059">
              <w:rPr>
                <w:i/>
                <w:iCs/>
              </w:rPr>
              <w:t xml:space="preserve">A Share in the Future: </w:t>
            </w:r>
            <w:r w:rsidRPr="005D5059">
              <w:rPr>
                <w:i/>
              </w:rPr>
              <w:t>Review of Indigenous Education in the Northern Territory</w:t>
            </w:r>
            <w:r w:rsidRPr="005D5059">
              <w:t xml:space="preserve"> (2013).</w:t>
            </w:r>
          </w:p>
        </w:tc>
      </w:tr>
      <w:tr w:rsidR="00872643" w:rsidRPr="005D5059" w14:paraId="1E99C528" w14:textId="77777777" w:rsidTr="00AE0B34">
        <w:trPr>
          <w:trHeight w:val="300"/>
        </w:trPr>
        <w:tc>
          <w:tcPr>
            <w:tcW w:w="1980" w:type="dxa"/>
            <w:noWrap/>
          </w:tcPr>
          <w:p w14:paraId="7695F06B" w14:textId="77777777" w:rsidR="00872643" w:rsidRPr="005D5059" w:rsidRDefault="00872643" w:rsidP="00AE0B34">
            <w:pPr>
              <w:spacing w:before="0" w:after="0"/>
            </w:pPr>
            <w:r w:rsidRPr="005D5059">
              <w:t>Attachment 57.4</w:t>
            </w:r>
          </w:p>
        </w:tc>
        <w:tc>
          <w:tcPr>
            <w:tcW w:w="7229" w:type="dxa"/>
            <w:noWrap/>
          </w:tcPr>
          <w:p w14:paraId="71352357" w14:textId="77777777" w:rsidR="00872643" w:rsidRPr="005D5059" w:rsidRDefault="00872643" w:rsidP="00AE0B34">
            <w:pPr>
              <w:spacing w:before="0" w:after="0"/>
              <w:rPr>
                <w:highlight w:val="red"/>
              </w:rPr>
            </w:pPr>
            <w:r w:rsidRPr="005D5059">
              <w:t xml:space="preserve">Little Children are Sacred, Report of the Northern Territory Board of Inquiry into the Protection of Aboriginal Children from Sexual Abuse </w:t>
            </w:r>
          </w:p>
        </w:tc>
      </w:tr>
      <w:tr w:rsidR="00872643" w:rsidRPr="005D5059" w14:paraId="59FD4D4B" w14:textId="77777777" w:rsidTr="00AE0B34">
        <w:trPr>
          <w:trHeight w:val="300"/>
        </w:trPr>
        <w:tc>
          <w:tcPr>
            <w:tcW w:w="1980" w:type="dxa"/>
            <w:noWrap/>
          </w:tcPr>
          <w:p w14:paraId="0C2D4F73" w14:textId="77777777" w:rsidR="00872643" w:rsidRPr="005D5059" w:rsidRDefault="00872643" w:rsidP="00AE0B34">
            <w:pPr>
              <w:spacing w:before="0" w:after="0"/>
            </w:pPr>
            <w:r w:rsidRPr="005D5059">
              <w:t>58</w:t>
            </w:r>
          </w:p>
        </w:tc>
        <w:tc>
          <w:tcPr>
            <w:tcW w:w="7229" w:type="dxa"/>
            <w:noWrap/>
          </w:tcPr>
          <w:p w14:paraId="414D9FEE" w14:textId="77777777" w:rsidR="00872643" w:rsidRPr="005D5059" w:rsidRDefault="00872643" w:rsidP="00AE0B34">
            <w:pPr>
              <w:spacing w:before="0" w:after="0"/>
              <w:rPr>
                <w:highlight w:val="red"/>
              </w:rPr>
            </w:pPr>
            <w:r w:rsidRPr="005D5059">
              <w:t>Australian Association for Infant Mental Health, West Australian Branch</w:t>
            </w:r>
          </w:p>
        </w:tc>
      </w:tr>
      <w:tr w:rsidR="00872643" w:rsidRPr="005D5059" w14:paraId="6023D853" w14:textId="77777777" w:rsidTr="00AE0B34">
        <w:trPr>
          <w:trHeight w:val="300"/>
        </w:trPr>
        <w:tc>
          <w:tcPr>
            <w:tcW w:w="1980" w:type="dxa"/>
            <w:noWrap/>
          </w:tcPr>
          <w:p w14:paraId="658B1C4C" w14:textId="77777777" w:rsidR="00872643" w:rsidRPr="005D5059" w:rsidRDefault="00872643" w:rsidP="00AE0B34">
            <w:pPr>
              <w:spacing w:before="0" w:after="0"/>
            </w:pPr>
            <w:r w:rsidRPr="005D5059">
              <w:t>59</w:t>
            </w:r>
          </w:p>
        </w:tc>
        <w:tc>
          <w:tcPr>
            <w:tcW w:w="7229" w:type="dxa"/>
            <w:noWrap/>
          </w:tcPr>
          <w:p w14:paraId="24C97896" w14:textId="77777777" w:rsidR="00872643" w:rsidRPr="005D5059" w:rsidRDefault="00872643" w:rsidP="00AE0B34">
            <w:pPr>
              <w:spacing w:before="0" w:after="0"/>
            </w:pPr>
            <w:r w:rsidRPr="005D5059">
              <w:t>Kristy McKellar</w:t>
            </w:r>
          </w:p>
        </w:tc>
      </w:tr>
      <w:tr w:rsidR="00872643" w:rsidRPr="005D5059" w14:paraId="1CFA9B20" w14:textId="77777777" w:rsidTr="00AE0B34">
        <w:trPr>
          <w:trHeight w:val="300"/>
        </w:trPr>
        <w:tc>
          <w:tcPr>
            <w:tcW w:w="1980" w:type="dxa"/>
            <w:noWrap/>
          </w:tcPr>
          <w:p w14:paraId="5A2ECD14" w14:textId="77777777" w:rsidR="00872643" w:rsidRPr="005D5059" w:rsidRDefault="00872643" w:rsidP="00AE0B34">
            <w:pPr>
              <w:spacing w:before="0" w:after="0"/>
            </w:pPr>
            <w:r w:rsidRPr="005D5059">
              <w:t>60</w:t>
            </w:r>
          </w:p>
        </w:tc>
        <w:tc>
          <w:tcPr>
            <w:tcW w:w="7229" w:type="dxa"/>
            <w:noWrap/>
          </w:tcPr>
          <w:p w14:paraId="507E6BCE" w14:textId="77777777" w:rsidR="00872643" w:rsidRPr="005D5059" w:rsidRDefault="00872643" w:rsidP="00AE0B34">
            <w:pPr>
              <w:spacing w:before="0" w:after="0"/>
            </w:pPr>
            <w:r w:rsidRPr="005D5059">
              <w:t>Sharon Cooke</w:t>
            </w:r>
          </w:p>
        </w:tc>
      </w:tr>
      <w:tr w:rsidR="00872643" w:rsidRPr="005D5059" w14:paraId="64DEC34E" w14:textId="77777777" w:rsidTr="00AE0B34">
        <w:trPr>
          <w:trHeight w:val="300"/>
        </w:trPr>
        <w:tc>
          <w:tcPr>
            <w:tcW w:w="1980" w:type="dxa"/>
            <w:noWrap/>
          </w:tcPr>
          <w:p w14:paraId="551DD392" w14:textId="77777777" w:rsidR="00872643" w:rsidRPr="005D5059" w:rsidRDefault="00872643" w:rsidP="00AE0B34">
            <w:pPr>
              <w:spacing w:before="0" w:after="0"/>
            </w:pPr>
            <w:r w:rsidRPr="005D5059">
              <w:t xml:space="preserve">61 </w:t>
            </w:r>
          </w:p>
        </w:tc>
        <w:tc>
          <w:tcPr>
            <w:tcW w:w="7229" w:type="dxa"/>
            <w:noWrap/>
          </w:tcPr>
          <w:p w14:paraId="744A63AC" w14:textId="2A99DECE" w:rsidR="00872643" w:rsidRPr="005D5059" w:rsidRDefault="00E84AAD" w:rsidP="00AE0B34">
            <w:pPr>
              <w:spacing w:before="0" w:after="0"/>
            </w:pPr>
            <w:r>
              <w:t>CONFIDENTIAL</w:t>
            </w:r>
          </w:p>
        </w:tc>
      </w:tr>
      <w:tr w:rsidR="00872643" w:rsidRPr="005D5059" w14:paraId="33B619AA" w14:textId="77777777" w:rsidTr="00AE0B34">
        <w:trPr>
          <w:trHeight w:val="300"/>
        </w:trPr>
        <w:tc>
          <w:tcPr>
            <w:tcW w:w="1980" w:type="dxa"/>
            <w:noWrap/>
          </w:tcPr>
          <w:p w14:paraId="50F7710F" w14:textId="77777777" w:rsidR="00872643" w:rsidRPr="005D5059" w:rsidRDefault="00872643" w:rsidP="00AE0B34">
            <w:pPr>
              <w:spacing w:before="0" w:after="0"/>
            </w:pPr>
            <w:r w:rsidRPr="005D5059">
              <w:t>62</w:t>
            </w:r>
          </w:p>
        </w:tc>
        <w:tc>
          <w:tcPr>
            <w:tcW w:w="7229" w:type="dxa"/>
            <w:noWrap/>
          </w:tcPr>
          <w:p w14:paraId="3FB9319A" w14:textId="77777777" w:rsidR="00872643" w:rsidRPr="005D5059" w:rsidRDefault="00872643" w:rsidP="00AE0B34">
            <w:pPr>
              <w:spacing w:before="0" w:after="0"/>
            </w:pPr>
            <w:r w:rsidRPr="005D5059">
              <w:t xml:space="preserve">National Centre for Longitudinal Data, </w:t>
            </w:r>
          </w:p>
          <w:p w14:paraId="3EB0C307" w14:textId="77777777" w:rsidR="00872643" w:rsidRPr="005D5059" w:rsidRDefault="00872643" w:rsidP="00AE0B34">
            <w:pPr>
              <w:spacing w:before="0" w:after="0"/>
            </w:pPr>
            <w:r w:rsidRPr="005D5059">
              <w:t>Laura Bennetts Kneebone (LSIC)</w:t>
            </w:r>
          </w:p>
          <w:p w14:paraId="1E36B478" w14:textId="77777777" w:rsidR="00872643" w:rsidRPr="005D5059" w:rsidRDefault="00872643" w:rsidP="00AE0B34">
            <w:pPr>
              <w:spacing w:before="0" w:after="0"/>
            </w:pPr>
            <w:r w:rsidRPr="005D5059">
              <w:t>Helene Shin and Helen Rogers (LSAC)</w:t>
            </w:r>
          </w:p>
        </w:tc>
      </w:tr>
    </w:tbl>
    <w:p w14:paraId="42B9CF73" w14:textId="2235DCCB" w:rsidR="00872643" w:rsidRDefault="00872643" w:rsidP="00872643">
      <w:pPr>
        <w:pStyle w:val="Heading2"/>
        <w:numPr>
          <w:ilvl w:val="0"/>
          <w:numId w:val="0"/>
        </w:numPr>
        <w:ind w:left="851" w:hanging="851"/>
      </w:pPr>
      <w:bookmarkStart w:id="223" w:name="_Toc432577337"/>
      <w:r>
        <w:t xml:space="preserve">Appendix 6: National roundtables for my examination </w:t>
      </w:r>
      <w:r w:rsidR="009F7E40">
        <w:t>of</w:t>
      </w:r>
      <w:r>
        <w:t xml:space="preserve"> family and domestic violence affecting children</w:t>
      </w:r>
      <w:bookmarkEnd w:id="223"/>
    </w:p>
    <w:p w14:paraId="6E17B061" w14:textId="77777777" w:rsidR="00872643" w:rsidRPr="00780F69" w:rsidRDefault="00872643" w:rsidP="00872643">
      <w:pPr>
        <w:rPr>
          <w:color w:val="000000" w:themeColor="text1"/>
        </w:rPr>
      </w:pPr>
      <w:r w:rsidRPr="00780F69">
        <w:rPr>
          <w:color w:val="000000" w:themeColor="text1"/>
        </w:rPr>
        <w:t xml:space="preserve">National roundtables were held as part of the National Children’s Commissioner’s examination into </w:t>
      </w:r>
      <w:r w:rsidRPr="004761F3">
        <w:rPr>
          <w:color w:val="000000" w:themeColor="text1"/>
        </w:rPr>
        <w:t>children affected by family and domestic violence</w:t>
      </w:r>
      <w:r w:rsidRPr="00780F69">
        <w:rPr>
          <w:color w:val="000000" w:themeColor="text1"/>
        </w:rPr>
        <w:t xml:space="preserve">. </w:t>
      </w:r>
    </w:p>
    <w:p w14:paraId="1DD66EF4" w14:textId="77777777" w:rsidR="00872643" w:rsidRPr="00780F69" w:rsidRDefault="00872643" w:rsidP="00872643">
      <w:pPr>
        <w:rPr>
          <w:color w:val="000000" w:themeColor="text1"/>
        </w:rPr>
      </w:pPr>
      <w:r w:rsidRPr="00780F69">
        <w:rPr>
          <w:color w:val="000000" w:themeColor="text1"/>
        </w:rPr>
        <w:t>In order to stimulate discussion, up to two expert participants presented at each roundtable.</w:t>
      </w:r>
    </w:p>
    <w:tbl>
      <w:tblPr>
        <w:tblStyle w:val="TableGrid"/>
        <w:tblW w:w="0" w:type="auto"/>
        <w:tblLook w:val="04A0" w:firstRow="1" w:lastRow="0" w:firstColumn="1" w:lastColumn="0" w:noHBand="0" w:noVBand="1"/>
      </w:tblPr>
      <w:tblGrid>
        <w:gridCol w:w="1151"/>
        <w:gridCol w:w="6335"/>
        <w:gridCol w:w="1800"/>
      </w:tblGrid>
      <w:tr w:rsidR="00872643" w:rsidRPr="00780F69" w14:paraId="2940737F" w14:textId="77777777" w:rsidTr="00AE0B34">
        <w:tc>
          <w:tcPr>
            <w:tcW w:w="1101" w:type="dxa"/>
          </w:tcPr>
          <w:p w14:paraId="466B47E7" w14:textId="77777777" w:rsidR="00872643" w:rsidRPr="005D5059" w:rsidRDefault="00872643" w:rsidP="00AE0B34">
            <w:pPr>
              <w:rPr>
                <w:rFonts w:cs="Arial"/>
                <w:b/>
                <w:color w:val="000000" w:themeColor="text1"/>
              </w:rPr>
            </w:pPr>
            <w:r w:rsidRPr="005D5059">
              <w:rPr>
                <w:rFonts w:cs="Arial"/>
                <w:b/>
                <w:color w:val="000000" w:themeColor="text1"/>
              </w:rPr>
              <w:t>Date</w:t>
            </w:r>
          </w:p>
        </w:tc>
        <w:tc>
          <w:tcPr>
            <w:tcW w:w="6378" w:type="dxa"/>
          </w:tcPr>
          <w:p w14:paraId="1CB24AC7" w14:textId="77777777" w:rsidR="00872643" w:rsidRPr="005D5059" w:rsidRDefault="00872643" w:rsidP="00AE0B34">
            <w:pPr>
              <w:rPr>
                <w:rFonts w:cs="Arial"/>
                <w:b/>
                <w:color w:val="000000" w:themeColor="text1"/>
              </w:rPr>
            </w:pPr>
            <w:r w:rsidRPr="005D5059">
              <w:rPr>
                <w:rFonts w:cs="Arial"/>
                <w:b/>
                <w:color w:val="000000" w:themeColor="text1"/>
              </w:rPr>
              <w:t>Roundtable</w:t>
            </w:r>
          </w:p>
        </w:tc>
        <w:tc>
          <w:tcPr>
            <w:tcW w:w="1807" w:type="dxa"/>
          </w:tcPr>
          <w:p w14:paraId="7EEB704F" w14:textId="77777777" w:rsidR="00872643" w:rsidRPr="00780F69" w:rsidRDefault="00872643" w:rsidP="00AE0B34">
            <w:pPr>
              <w:rPr>
                <w:b/>
                <w:color w:val="000000" w:themeColor="text1"/>
                <w:sz w:val="20"/>
                <w:szCs w:val="20"/>
              </w:rPr>
            </w:pPr>
            <w:r w:rsidRPr="00780F69">
              <w:rPr>
                <w:b/>
                <w:color w:val="000000" w:themeColor="text1"/>
                <w:sz w:val="20"/>
                <w:szCs w:val="20"/>
              </w:rPr>
              <w:t>Location</w:t>
            </w:r>
          </w:p>
        </w:tc>
      </w:tr>
      <w:tr w:rsidR="00872643" w:rsidRPr="00780F69" w14:paraId="4AE11B1D" w14:textId="77777777" w:rsidTr="00AE0B34">
        <w:tc>
          <w:tcPr>
            <w:tcW w:w="1101" w:type="dxa"/>
          </w:tcPr>
          <w:p w14:paraId="289B9F16" w14:textId="77777777" w:rsidR="00872643" w:rsidRPr="005D5059" w:rsidRDefault="00872643" w:rsidP="00AE0B34">
            <w:pPr>
              <w:rPr>
                <w:rFonts w:cs="Arial"/>
                <w:color w:val="000000" w:themeColor="text1"/>
              </w:rPr>
            </w:pPr>
            <w:r w:rsidRPr="005D5059">
              <w:rPr>
                <w:rFonts w:cs="Arial"/>
                <w:color w:val="000000" w:themeColor="text1"/>
              </w:rPr>
              <w:t>19.05.15</w:t>
            </w:r>
          </w:p>
        </w:tc>
        <w:tc>
          <w:tcPr>
            <w:tcW w:w="6378" w:type="dxa"/>
          </w:tcPr>
          <w:p w14:paraId="7532E18F" w14:textId="77777777" w:rsidR="00872643" w:rsidRPr="005D5059" w:rsidRDefault="00872643" w:rsidP="00AE0B34">
            <w:pPr>
              <w:rPr>
                <w:rFonts w:cs="Arial"/>
                <w:color w:val="000000" w:themeColor="text1"/>
              </w:rPr>
            </w:pPr>
            <w:r w:rsidRPr="005D5059">
              <w:rPr>
                <w:rFonts w:cs="Arial"/>
                <w:color w:val="000000" w:themeColor="text1"/>
              </w:rPr>
              <w:t>People who were invited to attend the Victoria roundtable included:</w:t>
            </w:r>
          </w:p>
          <w:p w14:paraId="3C043199" w14:textId="77777777" w:rsidR="00872643" w:rsidRPr="005D5059" w:rsidRDefault="00872643" w:rsidP="000D1D92">
            <w:pPr>
              <w:pStyle w:val="ListParagraph"/>
              <w:numPr>
                <w:ilvl w:val="0"/>
                <w:numId w:val="78"/>
              </w:numPr>
              <w:rPr>
                <w:rFonts w:cs="Arial"/>
                <w:color w:val="000000" w:themeColor="text1"/>
              </w:rPr>
            </w:pPr>
            <w:r w:rsidRPr="005D5059">
              <w:rPr>
                <w:rFonts w:cs="Arial"/>
                <w:color w:val="000000" w:themeColor="text1"/>
              </w:rPr>
              <w:t>Dr Monica Campo, Senior Research Officer, Australian Institute of Family Studies (Presenter)</w:t>
            </w:r>
          </w:p>
          <w:p w14:paraId="07EF7DCC"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Samantha McNally, Assistant Director, National Centre for Crimes and Justice Statistics, Australian Bureau of Statistics (Presenter)</w:t>
            </w:r>
          </w:p>
          <w:p w14:paraId="09B9ABF7"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Associate Professor Deborah Loxton, Deputy Director, Australian Longitudinal Study on Women's Health</w:t>
            </w:r>
          </w:p>
          <w:p w14:paraId="3306E6B1"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Associate Professor Dr Jan Coles, Acting Director of Research and Research Studies, School of Primary Health Care,</w:t>
            </w:r>
            <w:r w:rsidRPr="005D5059">
              <w:rPr>
                <w:rFonts w:cs="Arial"/>
              </w:rPr>
              <w:t xml:space="preserve"> </w:t>
            </w:r>
            <w:r w:rsidRPr="005D5059">
              <w:rPr>
                <w:rFonts w:cs="Arial"/>
                <w:color w:val="000000" w:themeColor="text1"/>
              </w:rPr>
              <w:t>Monash University</w:t>
            </w:r>
          </w:p>
          <w:p w14:paraId="2ACCE47A"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Leesa Hooker, Lecturer in Nursing, Department of Rural Nursing and Midwifery, La Trobe University</w:t>
            </w:r>
          </w:p>
          <w:p w14:paraId="1165DD70"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Professor Jan Nicholson, Inaugural Roberta Holmes Professorial Chair, Judith Lumley Centre, La Trobe University</w:t>
            </w:r>
          </w:p>
          <w:p w14:paraId="0BECBF3F"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Adele Murdolo, Chief Executive Officer, Multicultural Centre for Women's Health</w:t>
            </w:r>
          </w:p>
          <w:p w14:paraId="14719826"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Alison MacDonald, Policy and Program Manager, Domestic Violence Victoria</w:t>
            </w:r>
          </w:p>
          <w:p w14:paraId="64E6AF7C"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Paul Linnossier, Chief Executive Officer, OurWATCH</w:t>
            </w:r>
          </w:p>
          <w:p w14:paraId="00E72568"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Antoinette Braybrook, Chief Executive Officer, Aboriginal Family Violence Prevention &amp; Legal Service Victoria</w:t>
            </w:r>
          </w:p>
          <w:p w14:paraId="3E92B5D6"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Laura Vines, Aboriginal Family Violence Prevention &amp; Legal Service Victoria</w:t>
            </w:r>
          </w:p>
          <w:p w14:paraId="1D56AF48"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David Giles, Manager, Quality Practice and Policy, Anglicare Victoria</w:t>
            </w:r>
          </w:p>
          <w:p w14:paraId="218F289C"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Julie Oberin, Chair, Women’s Services Network (WESNET)</w:t>
            </w:r>
          </w:p>
          <w:p w14:paraId="0C15BF25"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Mark Morrissey, Commissioner, Tasmanian Commission for Children</w:t>
            </w:r>
          </w:p>
          <w:p w14:paraId="39529315"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Winnie Bridie, Information, Membership &amp; Policy Support Officer, Children with Disability Australia</w:t>
            </w:r>
          </w:p>
          <w:p w14:paraId="2FE15FA7"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Soo-Lin Quek, Knowledge and Advocacy Manager, Centre for Multicultural Youth</w:t>
            </w:r>
          </w:p>
          <w:p w14:paraId="741F4708"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Bernadette Marantelli, Centre for Multicultural Youth</w:t>
            </w:r>
          </w:p>
          <w:p w14:paraId="6EF4F50A"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Emma Toone, Senior Clinician, Infant, Child &amp; Parent Program, Northern Family Violence Team, Berry Street</w:t>
            </w:r>
          </w:p>
          <w:p w14:paraId="466979A4"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Liz Murphy, Senior Project Officer, Preventing Violence Against Women, VicHealth</w:t>
            </w:r>
          </w:p>
          <w:p w14:paraId="576C6FE7"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Cara Gleeson, Senior Project Officer, Generating Equality and Respect, VicHealth</w:t>
            </w:r>
          </w:p>
          <w:p w14:paraId="760DDD43"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Dr Angela Spinney, Research Fellow, Swinburne University of Technology</w:t>
            </w:r>
          </w:p>
          <w:p w14:paraId="0CEE4635"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Geraldine Atkinson, Victorian Aboriginal Education Association</w:t>
            </w:r>
          </w:p>
          <w:p w14:paraId="2C082444" w14:textId="77777777" w:rsidR="00872643" w:rsidRPr="005D5059" w:rsidRDefault="00872643" w:rsidP="000D1D92">
            <w:pPr>
              <w:pStyle w:val="ListParagraph"/>
              <w:numPr>
                <w:ilvl w:val="0"/>
                <w:numId w:val="77"/>
              </w:numPr>
              <w:rPr>
                <w:rFonts w:cs="Arial"/>
                <w:color w:val="000000" w:themeColor="text1"/>
              </w:rPr>
            </w:pPr>
            <w:r w:rsidRPr="005D5059">
              <w:rPr>
                <w:rFonts w:cs="Arial"/>
                <w:color w:val="000000" w:themeColor="text1"/>
              </w:rPr>
              <w:t>John Burton, Manager, Policy and Resources, Secretariat of National Aboriginal and Islander Child Care</w:t>
            </w:r>
          </w:p>
        </w:tc>
        <w:tc>
          <w:tcPr>
            <w:tcW w:w="1807" w:type="dxa"/>
          </w:tcPr>
          <w:p w14:paraId="4F640358" w14:textId="77777777" w:rsidR="00872643" w:rsidRPr="00780F69" w:rsidRDefault="00872643" w:rsidP="00AE0B34">
            <w:pPr>
              <w:rPr>
                <w:color w:val="000000" w:themeColor="text1"/>
                <w:sz w:val="20"/>
                <w:szCs w:val="20"/>
              </w:rPr>
            </w:pPr>
            <w:r>
              <w:rPr>
                <w:color w:val="000000" w:themeColor="text1"/>
                <w:sz w:val="20"/>
                <w:szCs w:val="20"/>
              </w:rPr>
              <w:t>Melbourne</w:t>
            </w:r>
            <w:r w:rsidRPr="00780F69">
              <w:rPr>
                <w:color w:val="000000" w:themeColor="text1"/>
                <w:sz w:val="20"/>
                <w:szCs w:val="20"/>
              </w:rPr>
              <w:t xml:space="preserve">, </w:t>
            </w:r>
            <w:r>
              <w:rPr>
                <w:color w:val="000000" w:themeColor="text1"/>
                <w:sz w:val="20"/>
                <w:szCs w:val="20"/>
              </w:rPr>
              <w:t>VIC</w:t>
            </w:r>
          </w:p>
        </w:tc>
      </w:tr>
      <w:tr w:rsidR="00872643" w:rsidRPr="00780F69" w14:paraId="3C9731BC" w14:textId="77777777" w:rsidTr="00AE0B34">
        <w:tc>
          <w:tcPr>
            <w:tcW w:w="1101" w:type="dxa"/>
          </w:tcPr>
          <w:p w14:paraId="38DA00B3" w14:textId="77777777" w:rsidR="00872643" w:rsidRPr="005D5059" w:rsidRDefault="00872643" w:rsidP="00AE0B34">
            <w:pPr>
              <w:rPr>
                <w:rFonts w:cs="Arial"/>
                <w:color w:val="000000" w:themeColor="text1"/>
              </w:rPr>
            </w:pPr>
            <w:r w:rsidRPr="005D5059">
              <w:rPr>
                <w:rFonts w:cs="Arial"/>
                <w:color w:val="000000" w:themeColor="text1"/>
              </w:rPr>
              <w:t>22.05.15</w:t>
            </w:r>
          </w:p>
        </w:tc>
        <w:tc>
          <w:tcPr>
            <w:tcW w:w="6378" w:type="dxa"/>
          </w:tcPr>
          <w:p w14:paraId="1E59B2B7" w14:textId="77777777" w:rsidR="00872643" w:rsidRPr="005D5059" w:rsidRDefault="00872643" w:rsidP="00AE0B34">
            <w:pPr>
              <w:rPr>
                <w:rFonts w:cs="Arial"/>
                <w:color w:val="000000" w:themeColor="text1"/>
              </w:rPr>
            </w:pPr>
            <w:r w:rsidRPr="005D5059">
              <w:rPr>
                <w:rFonts w:cs="Arial"/>
                <w:color w:val="000000" w:themeColor="text1"/>
              </w:rPr>
              <w:t>People who were invited to attend the Queensland roundtable included:</w:t>
            </w:r>
          </w:p>
          <w:p w14:paraId="7229C83B" w14:textId="77777777" w:rsidR="00872643" w:rsidRPr="005D5059" w:rsidRDefault="00872643" w:rsidP="000D1D92">
            <w:pPr>
              <w:pStyle w:val="ListParagraph"/>
              <w:numPr>
                <w:ilvl w:val="0"/>
                <w:numId w:val="79"/>
              </w:numPr>
              <w:rPr>
                <w:rFonts w:cs="Arial"/>
                <w:color w:val="000000" w:themeColor="text1"/>
              </w:rPr>
            </w:pPr>
            <w:r w:rsidRPr="005D5059">
              <w:rPr>
                <w:rFonts w:cs="Arial"/>
                <w:color w:val="000000" w:themeColor="text1"/>
              </w:rPr>
              <w:t>Dr Samantha Jeffries, Senior Lecturer, Bachelor of Criminology and Criminal Justice Honours Program Director, Griffith University (Presenter)</w:t>
            </w:r>
          </w:p>
          <w:p w14:paraId="47F370A6" w14:textId="77777777" w:rsidR="00872643" w:rsidRPr="005D5059" w:rsidRDefault="00872643" w:rsidP="000D1D92">
            <w:pPr>
              <w:pStyle w:val="ListParagraph"/>
              <w:numPr>
                <w:ilvl w:val="0"/>
                <w:numId w:val="79"/>
              </w:numPr>
              <w:rPr>
                <w:rFonts w:cs="Arial"/>
                <w:color w:val="000000" w:themeColor="text1"/>
              </w:rPr>
            </w:pPr>
            <w:r w:rsidRPr="005D5059">
              <w:rPr>
                <w:rFonts w:cs="Arial"/>
                <w:color w:val="000000" w:themeColor="text1"/>
              </w:rPr>
              <w:t>John Dalgleish, Manager of Strategy and Research, BoysTown/Kids Helpline (Presenter)</w:t>
            </w:r>
          </w:p>
          <w:p w14:paraId="61357BD3" w14:textId="77777777" w:rsidR="00872643" w:rsidRPr="005D5059" w:rsidRDefault="00872643" w:rsidP="000D1D92">
            <w:pPr>
              <w:pStyle w:val="ListParagraph"/>
              <w:numPr>
                <w:ilvl w:val="0"/>
                <w:numId w:val="79"/>
              </w:numPr>
              <w:rPr>
                <w:rFonts w:cs="Arial"/>
                <w:color w:val="000000" w:themeColor="text1"/>
              </w:rPr>
            </w:pPr>
            <w:r w:rsidRPr="005D5059">
              <w:rPr>
                <w:rFonts w:cs="Arial"/>
                <w:color w:val="000000" w:themeColor="text1"/>
              </w:rPr>
              <w:t>Tracey Adams, Chief Executive Officer, BoysTown/Kids Helpline</w:t>
            </w:r>
          </w:p>
          <w:p w14:paraId="5BDC4097" w14:textId="77777777" w:rsidR="00872643" w:rsidRPr="005D5059" w:rsidRDefault="00872643" w:rsidP="000D1D92">
            <w:pPr>
              <w:pStyle w:val="ListParagraph"/>
              <w:numPr>
                <w:ilvl w:val="0"/>
                <w:numId w:val="79"/>
              </w:numPr>
              <w:rPr>
                <w:rFonts w:cs="Arial"/>
                <w:color w:val="000000" w:themeColor="text1"/>
              </w:rPr>
            </w:pPr>
            <w:r w:rsidRPr="005D5059">
              <w:rPr>
                <w:rFonts w:cs="Arial"/>
                <w:color w:val="000000" w:themeColor="text1"/>
              </w:rPr>
              <w:t>Professor Robert Lonne, Professor of Social Work, Faculty of Health, Queensland University of Technology</w:t>
            </w:r>
          </w:p>
          <w:p w14:paraId="2BA6D31F" w14:textId="77777777" w:rsidR="00872643" w:rsidRPr="005D5059" w:rsidRDefault="00872643" w:rsidP="000D1D92">
            <w:pPr>
              <w:pStyle w:val="ListParagraph"/>
              <w:numPr>
                <w:ilvl w:val="0"/>
                <w:numId w:val="79"/>
              </w:numPr>
              <w:rPr>
                <w:rFonts w:cs="Arial"/>
                <w:color w:val="000000" w:themeColor="text1"/>
              </w:rPr>
            </w:pPr>
            <w:r w:rsidRPr="005D5059">
              <w:rPr>
                <w:rFonts w:cs="Arial"/>
                <w:color w:val="000000" w:themeColor="text1"/>
              </w:rPr>
              <w:t>Steve Armitage, Principal Commissioner, Queensland Family and Child Commission</w:t>
            </w:r>
          </w:p>
          <w:p w14:paraId="39FE262D" w14:textId="77777777" w:rsidR="00872643" w:rsidRPr="005D5059" w:rsidRDefault="00872643" w:rsidP="000D1D92">
            <w:pPr>
              <w:pStyle w:val="ListParagraph"/>
              <w:numPr>
                <w:ilvl w:val="0"/>
                <w:numId w:val="79"/>
              </w:numPr>
              <w:rPr>
                <w:rFonts w:cs="Arial"/>
                <w:color w:val="000000" w:themeColor="text1"/>
              </w:rPr>
            </w:pPr>
            <w:r w:rsidRPr="005D5059">
              <w:rPr>
                <w:rFonts w:cs="Arial"/>
                <w:color w:val="000000" w:themeColor="text1"/>
              </w:rPr>
              <w:t>Cathy Taylor, Deputy Director General, Child , Family and Community Services, Queensland Department of Communities, Child Safety and Disability Services</w:t>
            </w:r>
          </w:p>
          <w:p w14:paraId="660B64FC" w14:textId="77777777" w:rsidR="00872643" w:rsidRPr="005D5059" w:rsidRDefault="00872643" w:rsidP="000D1D92">
            <w:pPr>
              <w:pStyle w:val="ListParagraph"/>
              <w:numPr>
                <w:ilvl w:val="0"/>
                <w:numId w:val="79"/>
              </w:numPr>
              <w:rPr>
                <w:rFonts w:cs="Arial"/>
                <w:color w:val="000000" w:themeColor="text1"/>
              </w:rPr>
            </w:pPr>
            <w:r w:rsidRPr="005D5059">
              <w:rPr>
                <w:rFonts w:cs="Arial"/>
                <w:color w:val="000000" w:themeColor="text1"/>
              </w:rPr>
              <w:t>Dr Annabel Taylor, Director, Queensland Centre for Domestic and Family Violence Research</w:t>
            </w:r>
          </w:p>
          <w:p w14:paraId="5E2E132D" w14:textId="77777777" w:rsidR="00872643" w:rsidRPr="005D5059" w:rsidRDefault="00872643" w:rsidP="000D1D92">
            <w:pPr>
              <w:pStyle w:val="ListParagraph"/>
              <w:numPr>
                <w:ilvl w:val="0"/>
                <w:numId w:val="79"/>
              </w:numPr>
              <w:rPr>
                <w:rFonts w:cs="Arial"/>
                <w:color w:val="000000" w:themeColor="text1"/>
              </w:rPr>
            </w:pPr>
            <w:r w:rsidRPr="005D5059">
              <w:rPr>
                <w:rFonts w:cs="Arial"/>
                <w:color w:val="000000" w:themeColor="text1"/>
              </w:rPr>
              <w:t>Angela Lynch, Community Legal Education Lawyer, Queensland Women's Legal Services</w:t>
            </w:r>
          </w:p>
          <w:p w14:paraId="28A29A50" w14:textId="77777777" w:rsidR="00872643" w:rsidRPr="005D5059" w:rsidRDefault="00872643" w:rsidP="000D1D92">
            <w:pPr>
              <w:pStyle w:val="ListParagraph"/>
              <w:numPr>
                <w:ilvl w:val="0"/>
                <w:numId w:val="79"/>
              </w:numPr>
              <w:rPr>
                <w:rFonts w:cs="Arial"/>
                <w:color w:val="000000" w:themeColor="text1"/>
              </w:rPr>
            </w:pPr>
            <w:r w:rsidRPr="005D5059">
              <w:rPr>
                <w:rFonts w:cs="Arial"/>
                <w:color w:val="000000" w:themeColor="text1"/>
              </w:rPr>
              <w:t>Rebecca Shearman, Operations Manager (DVAC) and Co-Convenor of DVCAN, Domestic Violence Action Centre</w:t>
            </w:r>
          </w:p>
          <w:p w14:paraId="0106B74C" w14:textId="3C9B47DB" w:rsidR="00872643" w:rsidRPr="005D5059" w:rsidRDefault="00872643" w:rsidP="000D1D92">
            <w:pPr>
              <w:pStyle w:val="ListParagraph"/>
              <w:numPr>
                <w:ilvl w:val="0"/>
                <w:numId w:val="79"/>
              </w:numPr>
              <w:rPr>
                <w:rFonts w:cs="Arial"/>
                <w:color w:val="000000" w:themeColor="text1"/>
              </w:rPr>
            </w:pPr>
            <w:r w:rsidRPr="005D5059">
              <w:rPr>
                <w:rFonts w:cs="Arial"/>
                <w:color w:val="000000" w:themeColor="text1"/>
              </w:rPr>
              <w:t xml:space="preserve">Janet Wright, Director, Youth Advocacy </w:t>
            </w:r>
            <w:r w:rsidR="00D158F8">
              <w:rPr>
                <w:rFonts w:cs="Arial"/>
                <w:color w:val="000000" w:themeColor="text1"/>
              </w:rPr>
              <w:t>C</w:t>
            </w:r>
            <w:r w:rsidRPr="005D5059">
              <w:rPr>
                <w:rFonts w:cs="Arial"/>
                <w:color w:val="000000" w:themeColor="text1"/>
              </w:rPr>
              <w:t>entre</w:t>
            </w:r>
          </w:p>
          <w:p w14:paraId="79B295FA" w14:textId="77777777" w:rsidR="00872643" w:rsidRPr="005D5059" w:rsidRDefault="00872643" w:rsidP="000D1D92">
            <w:pPr>
              <w:pStyle w:val="ListParagraph"/>
              <w:numPr>
                <w:ilvl w:val="0"/>
                <w:numId w:val="79"/>
              </w:numPr>
              <w:rPr>
                <w:rFonts w:cs="Arial"/>
                <w:color w:val="000000" w:themeColor="text1"/>
              </w:rPr>
            </w:pPr>
            <w:r w:rsidRPr="005D5059">
              <w:rPr>
                <w:rFonts w:cs="Arial"/>
                <w:color w:val="000000" w:themeColor="text1"/>
              </w:rPr>
              <w:t>Peta Nichol, Queensland Programs Manager, Save the Children Australia</w:t>
            </w:r>
          </w:p>
          <w:p w14:paraId="5330A0F0" w14:textId="77777777" w:rsidR="00872643" w:rsidRPr="005D5059" w:rsidRDefault="00872643" w:rsidP="000D1D92">
            <w:pPr>
              <w:pStyle w:val="ListParagraph"/>
              <w:numPr>
                <w:ilvl w:val="0"/>
                <w:numId w:val="79"/>
              </w:numPr>
              <w:rPr>
                <w:rFonts w:cs="Arial"/>
                <w:color w:val="000000" w:themeColor="text1"/>
              </w:rPr>
            </w:pPr>
            <w:r w:rsidRPr="005D5059">
              <w:rPr>
                <w:rFonts w:cs="Arial"/>
                <w:color w:val="000000" w:themeColor="text1"/>
              </w:rPr>
              <w:t>Trudi Peters, National Programs Manager, National Association for Prevention of Child Abuse and Neglect (NAPCAN)</w:t>
            </w:r>
          </w:p>
          <w:p w14:paraId="0B9B0C01" w14:textId="77777777" w:rsidR="00872643" w:rsidRPr="005D5059" w:rsidRDefault="00872643" w:rsidP="000D1D92">
            <w:pPr>
              <w:pStyle w:val="ListParagraph"/>
              <w:numPr>
                <w:ilvl w:val="0"/>
                <w:numId w:val="79"/>
              </w:numPr>
              <w:rPr>
                <w:rFonts w:cs="Arial"/>
                <w:color w:val="000000" w:themeColor="text1"/>
              </w:rPr>
            </w:pPr>
            <w:r w:rsidRPr="005D5059">
              <w:rPr>
                <w:rFonts w:cs="Arial"/>
                <w:color w:val="000000" w:themeColor="text1"/>
              </w:rPr>
              <w:t>Eddie Cubillo, Executive Officer, National Aboriginal and Torres Strait Islander Legal Services (NATSILS)</w:t>
            </w:r>
          </w:p>
          <w:p w14:paraId="56283CA8" w14:textId="77777777" w:rsidR="00872643" w:rsidRPr="005D5059" w:rsidRDefault="00872643" w:rsidP="000D1D92">
            <w:pPr>
              <w:pStyle w:val="ListParagraph"/>
              <w:numPr>
                <w:ilvl w:val="0"/>
                <w:numId w:val="79"/>
              </w:numPr>
              <w:rPr>
                <w:rFonts w:cs="Arial"/>
                <w:color w:val="000000" w:themeColor="text1"/>
              </w:rPr>
            </w:pPr>
            <w:r w:rsidRPr="005D5059">
              <w:rPr>
                <w:rFonts w:cs="Arial"/>
                <w:color w:val="000000" w:themeColor="text1"/>
              </w:rPr>
              <w:t>Natalie Lewis, Chief Executive Officer, Queensland Aboriginal and Torres Strait Islander Child Protection Peak</w:t>
            </w:r>
          </w:p>
        </w:tc>
        <w:tc>
          <w:tcPr>
            <w:tcW w:w="1807" w:type="dxa"/>
          </w:tcPr>
          <w:p w14:paraId="60ABDF02" w14:textId="77777777" w:rsidR="00872643" w:rsidRDefault="00872643" w:rsidP="00AE0B34">
            <w:pPr>
              <w:rPr>
                <w:color w:val="000000" w:themeColor="text1"/>
                <w:sz w:val="20"/>
                <w:szCs w:val="20"/>
              </w:rPr>
            </w:pPr>
            <w:r>
              <w:rPr>
                <w:color w:val="000000" w:themeColor="text1"/>
                <w:sz w:val="20"/>
                <w:szCs w:val="20"/>
              </w:rPr>
              <w:t>Brisbane, QLD</w:t>
            </w:r>
          </w:p>
        </w:tc>
      </w:tr>
      <w:tr w:rsidR="00872643" w:rsidRPr="00780F69" w14:paraId="687DF1C5" w14:textId="77777777" w:rsidTr="00AE0B34">
        <w:tc>
          <w:tcPr>
            <w:tcW w:w="1101" w:type="dxa"/>
          </w:tcPr>
          <w:p w14:paraId="0F5BC341" w14:textId="77777777" w:rsidR="00872643" w:rsidRPr="005D5059" w:rsidRDefault="00872643" w:rsidP="00AE0B34">
            <w:pPr>
              <w:rPr>
                <w:rFonts w:cs="Arial"/>
                <w:color w:val="000000" w:themeColor="text1"/>
              </w:rPr>
            </w:pPr>
            <w:r w:rsidRPr="005D5059">
              <w:rPr>
                <w:rFonts w:cs="Arial"/>
                <w:color w:val="000000" w:themeColor="text1"/>
              </w:rPr>
              <w:t>29.05.15</w:t>
            </w:r>
          </w:p>
        </w:tc>
        <w:tc>
          <w:tcPr>
            <w:tcW w:w="6378" w:type="dxa"/>
          </w:tcPr>
          <w:p w14:paraId="4E5E52CE" w14:textId="77777777" w:rsidR="00872643" w:rsidRPr="005D5059" w:rsidRDefault="00872643" w:rsidP="00AE0B34">
            <w:pPr>
              <w:rPr>
                <w:rFonts w:cs="Arial"/>
                <w:color w:val="000000" w:themeColor="text1"/>
              </w:rPr>
            </w:pPr>
            <w:r w:rsidRPr="005D5059">
              <w:rPr>
                <w:rFonts w:cs="Arial"/>
                <w:color w:val="000000" w:themeColor="text1"/>
              </w:rPr>
              <w:t>People who were invited to attend the New South Wales roundtable included:</w:t>
            </w:r>
          </w:p>
          <w:p w14:paraId="139B7989"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Lara Fergus,  Director of Policy and Evaluation, OurWATCH (Presenter)</w:t>
            </w:r>
          </w:p>
          <w:p w14:paraId="4E92484C"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Heather Nancarrow, Chief Executive Officer, Australia’s National Research Organisation for Women’s Safety (ANROWS) (Presenter)</w:t>
            </w:r>
          </w:p>
          <w:p w14:paraId="5CEC690B"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Anne Hollonds, Co-Chair, NSW Domestic and Family Violence Council</w:t>
            </w:r>
          </w:p>
          <w:p w14:paraId="7486B83D"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Jennifer Evans, National Project Lead, Child Protection, Australian Red Cross</w:t>
            </w:r>
          </w:p>
          <w:p w14:paraId="6F56F5EB"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Rebecca Gray, Manager of Research and Evaluation, Relationships Australia NSW</w:t>
            </w:r>
          </w:p>
          <w:p w14:paraId="762518A7"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 xml:space="preserve">Catherine Yeomans, Chief Executive Officer, Mission Australia </w:t>
            </w:r>
          </w:p>
          <w:p w14:paraId="082FA83F"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Dr Jess Cadwallader, Advocacy Project Manager, People with Disability Australia</w:t>
            </w:r>
          </w:p>
          <w:p w14:paraId="275629D1"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Marilyn Chivers, Executive Director, NSW Department of Family and Community Services</w:t>
            </w:r>
          </w:p>
          <w:p w14:paraId="2F8F01DB"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Sandra Heirot, Director of Practice Quality and Clinical Support, NSW Department of Family and Community Services</w:t>
            </w:r>
          </w:p>
          <w:p w14:paraId="1C46FA9D"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Christine Foran, Executive Director, Women NSW</w:t>
            </w:r>
          </w:p>
          <w:p w14:paraId="6A091A85"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Dr Kyllie Cripps, Acting Director, Indigenous Law Centre</w:t>
            </w:r>
          </w:p>
          <w:p w14:paraId="7A4B5713"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Dr Jane Wangmann, Senior Lecturer, Faculty of Law, University of Technology, Sydney</w:t>
            </w:r>
          </w:p>
          <w:p w14:paraId="37587049"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Kate Smithers, Senior Project Officer, NSW Ombudsman</w:t>
            </w:r>
          </w:p>
          <w:p w14:paraId="56D86813"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Luke Freudenstein APM, Redfern Local Area Command, NSW Police</w:t>
            </w:r>
          </w:p>
          <w:p w14:paraId="471D8CA6"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Moo Baulch, Chief Executive Officer, Domestic Violence NSW</w:t>
            </w:r>
          </w:p>
          <w:p w14:paraId="53A99DC9" w14:textId="77777777" w:rsidR="00872643" w:rsidRPr="005D5059" w:rsidRDefault="00872643" w:rsidP="000D1D92">
            <w:pPr>
              <w:pStyle w:val="ListParagraph"/>
              <w:numPr>
                <w:ilvl w:val="0"/>
                <w:numId w:val="80"/>
              </w:numPr>
              <w:rPr>
                <w:rFonts w:cs="Arial"/>
                <w:color w:val="000000" w:themeColor="text1"/>
              </w:rPr>
            </w:pPr>
            <w:r w:rsidRPr="005D5059">
              <w:rPr>
                <w:rFonts w:cs="Arial"/>
                <w:color w:val="000000" w:themeColor="text1"/>
              </w:rPr>
              <w:t>Martha Birch, Coordinator, Perinatal and Infant Mental Health Program, NSW Institute of Psychiatry</w:t>
            </w:r>
          </w:p>
        </w:tc>
        <w:tc>
          <w:tcPr>
            <w:tcW w:w="1807" w:type="dxa"/>
          </w:tcPr>
          <w:p w14:paraId="2D170DEC" w14:textId="77777777" w:rsidR="00872643" w:rsidRDefault="00872643" w:rsidP="00AE0B34">
            <w:pPr>
              <w:rPr>
                <w:color w:val="000000" w:themeColor="text1"/>
                <w:sz w:val="20"/>
                <w:szCs w:val="20"/>
              </w:rPr>
            </w:pPr>
            <w:r>
              <w:rPr>
                <w:color w:val="000000" w:themeColor="text1"/>
                <w:sz w:val="20"/>
                <w:szCs w:val="20"/>
              </w:rPr>
              <w:t>Sydney, NSW</w:t>
            </w:r>
          </w:p>
        </w:tc>
      </w:tr>
      <w:tr w:rsidR="00872643" w:rsidRPr="00780F69" w14:paraId="2BA01799" w14:textId="77777777" w:rsidTr="00AE0B34">
        <w:tc>
          <w:tcPr>
            <w:tcW w:w="1101" w:type="dxa"/>
          </w:tcPr>
          <w:p w14:paraId="42B10701" w14:textId="77777777" w:rsidR="00872643" w:rsidRPr="005D5059" w:rsidRDefault="00872643" w:rsidP="00AE0B34">
            <w:pPr>
              <w:rPr>
                <w:rFonts w:cs="Arial"/>
                <w:color w:val="000000" w:themeColor="text1"/>
              </w:rPr>
            </w:pPr>
            <w:r w:rsidRPr="005D5059">
              <w:rPr>
                <w:rFonts w:cs="Arial"/>
                <w:color w:val="000000" w:themeColor="text1"/>
              </w:rPr>
              <w:t>01.06.15</w:t>
            </w:r>
          </w:p>
        </w:tc>
        <w:tc>
          <w:tcPr>
            <w:tcW w:w="6378" w:type="dxa"/>
          </w:tcPr>
          <w:p w14:paraId="1C66958B" w14:textId="77777777" w:rsidR="00872643" w:rsidRPr="005D5059" w:rsidRDefault="00872643" w:rsidP="00AE0B34">
            <w:pPr>
              <w:rPr>
                <w:rFonts w:cs="Arial"/>
                <w:color w:val="000000" w:themeColor="text1"/>
              </w:rPr>
            </w:pPr>
            <w:r w:rsidRPr="005D5059">
              <w:rPr>
                <w:rFonts w:cs="Arial"/>
                <w:color w:val="000000" w:themeColor="text1"/>
              </w:rPr>
              <w:t>People who were invited to attend the Australian Capital Territory roundtable included:</w:t>
            </w:r>
          </w:p>
          <w:p w14:paraId="2683C9B8"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Dr Samantha Bricknell, Research Manager, Violence and Exploitation, Australian Institute of Criminology (Presenter)</w:t>
            </w:r>
          </w:p>
          <w:p w14:paraId="28DE519D"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Dr Sue Packer AM, Member, ACT Domestic Violence and Prevention Council (Presenter)</w:t>
            </w:r>
          </w:p>
          <w:p w14:paraId="73EDCF98"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Paula Mance, National Policy Manager, Relationships Australia</w:t>
            </w:r>
          </w:p>
          <w:p w14:paraId="0541F914"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Alison Brook, National Executive Officer, Relationships Australia</w:t>
            </w:r>
          </w:p>
          <w:p w14:paraId="4EFD154F"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Cate McKenzie, Group Manager, Family Safety Taskforce, Department of Social Services</w:t>
            </w:r>
          </w:p>
          <w:p w14:paraId="5E275582"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Amy Laffan, Managing Director, Family Safety Taskforce, Department of Social Services</w:t>
            </w:r>
          </w:p>
          <w:p w14:paraId="260845F4"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Philip Brown, Acting Group Manager, Families, Department of Social Services</w:t>
            </w:r>
          </w:p>
          <w:p w14:paraId="2670606F" w14:textId="66F3D3EC"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Dr Helen Roger</w:t>
            </w:r>
            <w:r w:rsidR="00207236">
              <w:rPr>
                <w:rFonts w:cs="Arial"/>
                <w:color w:val="000000" w:themeColor="text1"/>
              </w:rPr>
              <w:t>s</w:t>
            </w:r>
            <w:r w:rsidRPr="005D5059">
              <w:rPr>
                <w:rFonts w:cs="Arial"/>
                <w:color w:val="000000" w:themeColor="text1"/>
              </w:rPr>
              <w:t>, Section Manager, Longitudinal Study of Australian Children, Department of Social Services</w:t>
            </w:r>
          </w:p>
          <w:p w14:paraId="40303E0B"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Christine Craik, Vice-President, Australian Association of Social Workers</w:t>
            </w:r>
          </w:p>
          <w:p w14:paraId="15C8FCEC"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Marilyn Wright, Principal Solicitor, ACT Women’s Legal Centre</w:t>
            </w:r>
          </w:p>
          <w:p w14:paraId="5A9BA3CD"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Elena Rosenman, Chief Executive Officer, ACT Women’s Legal Service</w:t>
            </w:r>
          </w:p>
          <w:p w14:paraId="1FE7E6E9"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Brian Babington, Chief Executive Officer, Families Australia</w:t>
            </w:r>
          </w:p>
          <w:p w14:paraId="1E9240A7"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Station Sergeant Joanne Cameron, Officer in Charge - Tuggeranong Patrol, ACT Policing</w:t>
            </w:r>
          </w:p>
          <w:p w14:paraId="6BC70F7F"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Nicola Palfrey, Clinical Psychologist and Research Co-Ordinator, Child and Adolescent Mental Health Service, ACT Health</w:t>
            </w:r>
          </w:p>
          <w:p w14:paraId="4EAA6A41"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Amanda Harris, Director, Australian Child and Adolescent Trauma, Loss and Grief Network</w:t>
            </w:r>
          </w:p>
          <w:p w14:paraId="7ABB27D6"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Professor Karen Healy, Research Director for the School of Social Work and Human Services, Queensland University of Technology</w:t>
            </w:r>
          </w:p>
          <w:p w14:paraId="78F42FFB"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Gordon Gregory, Chief Executive Officer, National Rural Health Association</w:t>
            </w:r>
          </w:p>
          <w:p w14:paraId="4AE1981C"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Graham West, National President, St Vincent de Paul Society</w:t>
            </w:r>
          </w:p>
          <w:p w14:paraId="4B95419D"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Ron Mell, Chief Executive Officer, Young Men's Christian Association (YMCA) Australia</w:t>
            </w:r>
          </w:p>
          <w:p w14:paraId="3802FCE7"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Scott Holmes, YMCA Australia</w:t>
            </w:r>
          </w:p>
          <w:p w14:paraId="65ACEDBA"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Sue Ella Jarvis, Head of Community Programs, Young Women’s Christian Association (YWCA).</w:t>
            </w:r>
          </w:p>
          <w:p w14:paraId="3628E12C"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Dr Susan Cochrane, Advisor, Office of the Attorney-General and Minister for the Arts</w:t>
            </w:r>
          </w:p>
          <w:p w14:paraId="59531E57" w14:textId="77777777" w:rsidR="00872643" w:rsidRPr="005D5059" w:rsidRDefault="00872643" w:rsidP="000D1D92">
            <w:pPr>
              <w:pStyle w:val="ListParagraph"/>
              <w:numPr>
                <w:ilvl w:val="0"/>
                <w:numId w:val="81"/>
              </w:numPr>
              <w:rPr>
                <w:rFonts w:cs="Arial"/>
                <w:color w:val="000000" w:themeColor="text1"/>
              </w:rPr>
            </w:pPr>
            <w:r w:rsidRPr="005D5059">
              <w:rPr>
                <w:rFonts w:cs="Arial"/>
                <w:color w:val="000000" w:themeColor="text1"/>
              </w:rPr>
              <w:t>Colin McCormack, A/g Senior Legal Officer, Office of the Attorney-General and Minister for the Arts</w:t>
            </w:r>
          </w:p>
        </w:tc>
        <w:tc>
          <w:tcPr>
            <w:tcW w:w="1807" w:type="dxa"/>
          </w:tcPr>
          <w:p w14:paraId="64BFC2C6" w14:textId="77777777" w:rsidR="00872643" w:rsidRDefault="00872643" w:rsidP="00AE0B34">
            <w:pPr>
              <w:rPr>
                <w:color w:val="000000" w:themeColor="text1"/>
                <w:sz w:val="20"/>
                <w:szCs w:val="20"/>
              </w:rPr>
            </w:pPr>
            <w:r>
              <w:rPr>
                <w:color w:val="000000" w:themeColor="text1"/>
                <w:sz w:val="20"/>
                <w:szCs w:val="20"/>
              </w:rPr>
              <w:t>Canberra, ACT</w:t>
            </w:r>
          </w:p>
        </w:tc>
      </w:tr>
      <w:tr w:rsidR="00872643" w:rsidRPr="00780F69" w14:paraId="59F53115" w14:textId="77777777" w:rsidTr="00AE0B34">
        <w:tc>
          <w:tcPr>
            <w:tcW w:w="1101" w:type="dxa"/>
          </w:tcPr>
          <w:p w14:paraId="37B6111D" w14:textId="77777777" w:rsidR="00872643" w:rsidRPr="005D5059" w:rsidRDefault="00872643" w:rsidP="00AE0B34">
            <w:pPr>
              <w:rPr>
                <w:rFonts w:cs="Arial"/>
                <w:color w:val="000000" w:themeColor="text1"/>
              </w:rPr>
            </w:pPr>
            <w:r w:rsidRPr="005D5059">
              <w:rPr>
                <w:rFonts w:cs="Arial"/>
                <w:color w:val="000000" w:themeColor="text1"/>
              </w:rPr>
              <w:t>04.08.15</w:t>
            </w:r>
          </w:p>
        </w:tc>
        <w:tc>
          <w:tcPr>
            <w:tcW w:w="6378" w:type="dxa"/>
          </w:tcPr>
          <w:p w14:paraId="5EBB58C7" w14:textId="77777777" w:rsidR="00872643" w:rsidRPr="005D5059" w:rsidRDefault="00872643" w:rsidP="00AE0B34">
            <w:pPr>
              <w:rPr>
                <w:rFonts w:cs="Arial"/>
                <w:color w:val="000000" w:themeColor="text1"/>
              </w:rPr>
            </w:pPr>
            <w:r w:rsidRPr="005D5059">
              <w:rPr>
                <w:rFonts w:cs="Arial"/>
                <w:color w:val="000000" w:themeColor="text1"/>
              </w:rPr>
              <w:t>People who were invited to attend the Northern Territory roundtable included:</w:t>
            </w:r>
          </w:p>
          <w:p w14:paraId="5449C2ED" w14:textId="39853EB0"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Joanne Sangster,</w:t>
            </w:r>
            <w:r w:rsidR="00207236">
              <w:rPr>
                <w:rFonts w:cs="Arial"/>
                <w:color w:val="000000" w:themeColor="text1"/>
              </w:rPr>
              <w:t xml:space="preserve"> </w:t>
            </w:r>
            <w:r w:rsidRPr="005D5059">
              <w:rPr>
                <w:rFonts w:cs="Arial"/>
                <w:color w:val="000000" w:themeColor="text1"/>
              </w:rPr>
              <w:t>Director</w:t>
            </w:r>
            <w:r w:rsidR="00207236">
              <w:rPr>
                <w:rFonts w:cs="Arial"/>
                <w:color w:val="000000" w:themeColor="text1"/>
              </w:rPr>
              <w:t xml:space="preserve">, </w:t>
            </w:r>
            <w:r w:rsidRPr="005D5059">
              <w:rPr>
                <w:rFonts w:cs="Arial"/>
                <w:color w:val="000000" w:themeColor="text1"/>
              </w:rPr>
              <w:t>Domestic Violence Directorate Department of the Attorney-General and Justice (Presenter)</w:t>
            </w:r>
          </w:p>
          <w:p w14:paraId="2CC7E8DF" w14:textId="47C2C4B9"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Dr John McKenzie</w:t>
            </w:r>
            <w:r w:rsidR="00207236">
              <w:rPr>
                <w:rFonts w:cs="Arial"/>
                <w:color w:val="000000" w:themeColor="text1"/>
              </w:rPr>
              <w:t>,</w:t>
            </w:r>
            <w:r w:rsidRPr="005D5059">
              <w:rPr>
                <w:rFonts w:cs="Arial"/>
                <w:color w:val="000000" w:themeColor="text1"/>
              </w:rPr>
              <w:t xml:space="preserve"> Senior Research Officer, Centre for Child Development and Education  Menzies Institute (Presenter)</w:t>
            </w:r>
          </w:p>
          <w:p w14:paraId="0C3D86A3" w14:textId="77777777"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Colleen Gwynne, Acting Commissioner, Northern Territory’s Children’s Commission</w:t>
            </w:r>
          </w:p>
          <w:p w14:paraId="2F62C39A" w14:textId="77777777"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 xml:space="preserve">Jared Sharp, North Australian Aboriginal Justice Agency (NAAJA)  </w:t>
            </w:r>
          </w:p>
          <w:p w14:paraId="7AF6C11C" w14:textId="77777777"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 xml:space="preserve">Andrea Mason, Co-coordinator, NPY Women's Council  </w:t>
            </w:r>
          </w:p>
          <w:p w14:paraId="675B4B07" w14:textId="77777777"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 xml:space="preserve">Natasha O’Connell, Aboriginal Peak Organisations NT (APONT)  </w:t>
            </w:r>
          </w:p>
          <w:p w14:paraId="345A2F20" w14:textId="77777777"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Gabby Brown, Department of Attorney-General and Justice</w:t>
            </w:r>
          </w:p>
          <w:p w14:paraId="02CEA177" w14:textId="77777777"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Ruth Brebner, Department of Attorney-General and Justice</w:t>
            </w:r>
          </w:p>
          <w:p w14:paraId="4C15069B" w14:textId="77777777"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Kimberly Jonsonn, Dawn’s House Women’s Shelter</w:t>
            </w:r>
          </w:p>
          <w:p w14:paraId="5DAB40E0" w14:textId="77777777"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Regina Bennett, Darwin Aboriginal and Islander Women's Shelter (DAIWS)</w:t>
            </w:r>
          </w:p>
          <w:p w14:paraId="0DE4B6AE" w14:textId="77777777"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Louise Weber, Larrakia Nation</w:t>
            </w:r>
          </w:p>
          <w:p w14:paraId="1A40FADE" w14:textId="1601BE6F"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Vanessa Lethlean, Top End Women’s Legal Service</w:t>
            </w:r>
          </w:p>
          <w:p w14:paraId="49E4DF54" w14:textId="77777777"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Lesley Taylor, National Association for Prevention of Child Abuse and Neglect</w:t>
            </w:r>
          </w:p>
          <w:p w14:paraId="6C587AB2" w14:textId="77777777"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Joanne Lau, Northern Australian Aboriginal Family Violence Legal Service</w:t>
            </w:r>
          </w:p>
          <w:p w14:paraId="1967EF0F" w14:textId="77777777"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Naomi Brown, Melaleuca Refugee Centre</w:t>
            </w:r>
          </w:p>
          <w:p w14:paraId="434AD79C" w14:textId="77777777"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Michelle Barry,</w:t>
            </w:r>
            <w:r w:rsidRPr="005D5059">
              <w:rPr>
                <w:rFonts w:cs="Arial"/>
              </w:rPr>
              <w:t xml:space="preserve"> </w:t>
            </w:r>
            <w:r w:rsidRPr="005D5059">
              <w:rPr>
                <w:rFonts w:cs="Arial"/>
                <w:color w:val="000000" w:themeColor="text1"/>
              </w:rPr>
              <w:t>Territory Co-ordinator, CREATE Foundation</w:t>
            </w:r>
          </w:p>
          <w:p w14:paraId="293E4840" w14:textId="77777777" w:rsidR="00872643" w:rsidRPr="005D5059" w:rsidRDefault="00872643" w:rsidP="000D1D92">
            <w:pPr>
              <w:pStyle w:val="ListParagraph"/>
              <w:numPr>
                <w:ilvl w:val="0"/>
                <w:numId w:val="82"/>
              </w:numPr>
              <w:rPr>
                <w:rFonts w:cs="Arial"/>
                <w:color w:val="000000" w:themeColor="text1"/>
              </w:rPr>
            </w:pPr>
            <w:r w:rsidRPr="005D5059">
              <w:rPr>
                <w:rFonts w:cs="Arial"/>
                <w:color w:val="000000" w:themeColor="text1"/>
              </w:rPr>
              <w:t>Anne Bradford,</w:t>
            </w:r>
            <w:r w:rsidRPr="005D5059">
              <w:rPr>
                <w:rFonts w:cs="Arial"/>
              </w:rPr>
              <w:t xml:space="preserve"> Chief Executive Officer, </w:t>
            </w:r>
            <w:r w:rsidRPr="005D5059">
              <w:rPr>
                <w:rFonts w:cs="Arial"/>
                <w:color w:val="000000" w:themeColor="text1"/>
              </w:rPr>
              <w:t xml:space="preserve">Department of Children and Families </w:t>
            </w:r>
          </w:p>
        </w:tc>
        <w:tc>
          <w:tcPr>
            <w:tcW w:w="1807" w:type="dxa"/>
          </w:tcPr>
          <w:p w14:paraId="55668B27" w14:textId="77777777" w:rsidR="00872643" w:rsidRDefault="00872643" w:rsidP="00AE0B34">
            <w:pPr>
              <w:rPr>
                <w:color w:val="000000" w:themeColor="text1"/>
                <w:sz w:val="20"/>
                <w:szCs w:val="20"/>
              </w:rPr>
            </w:pPr>
            <w:r>
              <w:rPr>
                <w:color w:val="000000" w:themeColor="text1"/>
                <w:sz w:val="20"/>
                <w:szCs w:val="20"/>
              </w:rPr>
              <w:t>Darwin, NT</w:t>
            </w:r>
          </w:p>
        </w:tc>
      </w:tr>
      <w:tr w:rsidR="00872643" w:rsidRPr="00780F69" w14:paraId="1EA44BAF" w14:textId="77777777" w:rsidTr="00AE0B34">
        <w:tc>
          <w:tcPr>
            <w:tcW w:w="1101" w:type="dxa"/>
          </w:tcPr>
          <w:p w14:paraId="2E68CB45" w14:textId="77777777" w:rsidR="00872643" w:rsidRPr="005D5059" w:rsidRDefault="00872643" w:rsidP="00AE0B34">
            <w:pPr>
              <w:rPr>
                <w:rFonts w:cs="Arial"/>
                <w:color w:val="000000" w:themeColor="text1"/>
              </w:rPr>
            </w:pPr>
            <w:r w:rsidRPr="005D5059">
              <w:rPr>
                <w:rFonts w:cs="Arial"/>
                <w:color w:val="000000" w:themeColor="text1"/>
              </w:rPr>
              <w:t>07.08.15</w:t>
            </w:r>
          </w:p>
        </w:tc>
        <w:tc>
          <w:tcPr>
            <w:tcW w:w="6378" w:type="dxa"/>
          </w:tcPr>
          <w:p w14:paraId="054AEB57" w14:textId="77777777" w:rsidR="00872643" w:rsidRPr="005D5059" w:rsidRDefault="00872643" w:rsidP="00AE0B34">
            <w:pPr>
              <w:rPr>
                <w:rFonts w:cs="Arial"/>
                <w:color w:val="000000" w:themeColor="text1"/>
              </w:rPr>
            </w:pPr>
            <w:r w:rsidRPr="005D5059">
              <w:rPr>
                <w:rFonts w:cs="Arial"/>
                <w:color w:val="000000" w:themeColor="text1"/>
              </w:rPr>
              <w:t>People who were invited to attend the Tasmania roundtable included:</w:t>
            </w:r>
          </w:p>
          <w:p w14:paraId="263310D8" w14:textId="77777777" w:rsidR="00872643" w:rsidRPr="005D5059" w:rsidRDefault="00872643" w:rsidP="000D1D92">
            <w:pPr>
              <w:pStyle w:val="ListParagraph"/>
              <w:numPr>
                <w:ilvl w:val="0"/>
                <w:numId w:val="83"/>
              </w:numPr>
              <w:rPr>
                <w:rFonts w:cs="Arial"/>
                <w:color w:val="000000" w:themeColor="text1"/>
              </w:rPr>
            </w:pPr>
            <w:r w:rsidRPr="005D5059">
              <w:rPr>
                <w:rFonts w:cs="Arial"/>
                <w:color w:val="000000" w:themeColor="text1"/>
              </w:rPr>
              <w:t>Dr Romy Winter, Tasmanian Institute of Law Enforcement Studies, University of Tasmania (Presenter)</w:t>
            </w:r>
          </w:p>
          <w:p w14:paraId="1019F6B4" w14:textId="77777777" w:rsidR="00872643" w:rsidRPr="005D5059" w:rsidRDefault="00872643" w:rsidP="000D1D92">
            <w:pPr>
              <w:pStyle w:val="ListParagraph"/>
              <w:numPr>
                <w:ilvl w:val="0"/>
                <w:numId w:val="83"/>
              </w:numPr>
              <w:rPr>
                <w:rFonts w:cs="Arial"/>
                <w:color w:val="000000" w:themeColor="text1"/>
              </w:rPr>
            </w:pPr>
            <w:r w:rsidRPr="005D5059">
              <w:rPr>
                <w:rFonts w:cs="Arial"/>
                <w:color w:val="000000" w:themeColor="text1"/>
              </w:rPr>
              <w:t>Teresa Pocket, Principal, East Derwent Primary School, Jordan River Learning Federation (Presenter)</w:t>
            </w:r>
          </w:p>
          <w:p w14:paraId="1B770E91" w14:textId="77777777" w:rsidR="00207236" w:rsidRDefault="00207236" w:rsidP="000D1D92">
            <w:pPr>
              <w:pStyle w:val="ListParagraph"/>
              <w:numPr>
                <w:ilvl w:val="0"/>
                <w:numId w:val="83"/>
              </w:numPr>
              <w:rPr>
                <w:rFonts w:cs="Arial"/>
                <w:color w:val="000000" w:themeColor="text1"/>
              </w:rPr>
            </w:pPr>
            <w:r w:rsidRPr="00207236">
              <w:rPr>
                <w:rFonts w:cs="Arial"/>
                <w:color w:val="000000" w:themeColor="text1"/>
              </w:rPr>
              <w:t xml:space="preserve">Mark Morrissey, Commissioner, Tasmanian Commission for Children </w:t>
            </w:r>
          </w:p>
          <w:p w14:paraId="35B53199" w14:textId="41768BF2" w:rsidR="00872643" w:rsidRPr="005D5059" w:rsidRDefault="00872643" w:rsidP="000D1D92">
            <w:pPr>
              <w:pStyle w:val="ListParagraph"/>
              <w:numPr>
                <w:ilvl w:val="0"/>
                <w:numId w:val="83"/>
              </w:numPr>
              <w:rPr>
                <w:rFonts w:cs="Arial"/>
                <w:color w:val="000000" w:themeColor="text1"/>
              </w:rPr>
            </w:pPr>
            <w:r w:rsidRPr="005D5059">
              <w:rPr>
                <w:rFonts w:cs="Arial"/>
                <w:color w:val="000000" w:themeColor="text1"/>
              </w:rPr>
              <w:t>Annie McLean, Senior Policy Consultant, Commissioner for Children Tasmania</w:t>
            </w:r>
          </w:p>
          <w:p w14:paraId="033C7D7F" w14:textId="77777777" w:rsidR="00872643" w:rsidRPr="005D5059" w:rsidRDefault="00872643" w:rsidP="000D1D92">
            <w:pPr>
              <w:pStyle w:val="ListParagraph"/>
              <w:numPr>
                <w:ilvl w:val="0"/>
                <w:numId w:val="83"/>
              </w:numPr>
              <w:rPr>
                <w:rFonts w:cs="Arial"/>
                <w:color w:val="000000" w:themeColor="text1"/>
              </w:rPr>
            </w:pPr>
            <w:r w:rsidRPr="005D5059">
              <w:rPr>
                <w:rFonts w:cs="Arial"/>
                <w:color w:val="000000" w:themeColor="text1"/>
              </w:rPr>
              <w:t>Rebecca Davis, Senior Sergeant, Tasmania Police</w:t>
            </w:r>
          </w:p>
          <w:p w14:paraId="42A72C7B" w14:textId="77777777" w:rsidR="00872643" w:rsidRPr="005D5059" w:rsidRDefault="00872643" w:rsidP="000D1D92">
            <w:pPr>
              <w:pStyle w:val="ListParagraph"/>
              <w:numPr>
                <w:ilvl w:val="0"/>
                <w:numId w:val="83"/>
              </w:numPr>
              <w:rPr>
                <w:rFonts w:cs="Arial"/>
                <w:color w:val="000000" w:themeColor="text1"/>
              </w:rPr>
            </w:pPr>
            <w:r w:rsidRPr="005D5059">
              <w:rPr>
                <w:rFonts w:cs="Arial"/>
                <w:color w:val="000000" w:themeColor="text1"/>
              </w:rPr>
              <w:t>Siubhan MacDonald, Family Violence Counselling and Support Service Department of Health and Human Services</w:t>
            </w:r>
          </w:p>
          <w:p w14:paraId="22623F22" w14:textId="77777777" w:rsidR="00872643" w:rsidRPr="005D5059" w:rsidRDefault="00872643" w:rsidP="000D1D92">
            <w:pPr>
              <w:pStyle w:val="ListParagraph"/>
              <w:numPr>
                <w:ilvl w:val="0"/>
                <w:numId w:val="83"/>
              </w:numPr>
              <w:rPr>
                <w:rFonts w:cs="Arial"/>
                <w:color w:val="000000" w:themeColor="text1"/>
              </w:rPr>
            </w:pPr>
            <w:r w:rsidRPr="005D5059">
              <w:rPr>
                <w:rFonts w:cs="Arial"/>
                <w:color w:val="000000" w:themeColor="text1"/>
              </w:rPr>
              <w:t>Amanda Johnson, Community Corrections</w:t>
            </w:r>
          </w:p>
          <w:p w14:paraId="2E1CBAAB" w14:textId="77777777" w:rsidR="00872643" w:rsidRPr="005D5059" w:rsidRDefault="00872643" w:rsidP="000D1D92">
            <w:pPr>
              <w:pStyle w:val="ListParagraph"/>
              <w:numPr>
                <w:ilvl w:val="0"/>
                <w:numId w:val="83"/>
              </w:numPr>
              <w:rPr>
                <w:rFonts w:cs="Arial"/>
                <w:color w:val="000000" w:themeColor="text1"/>
              </w:rPr>
            </w:pPr>
            <w:r w:rsidRPr="005D5059">
              <w:rPr>
                <w:rFonts w:cs="Arial"/>
                <w:color w:val="000000" w:themeColor="text1"/>
              </w:rPr>
              <w:t>Suzanne Pennicott-Jones, Department of Education</w:t>
            </w:r>
          </w:p>
          <w:p w14:paraId="1F31F842" w14:textId="77777777" w:rsidR="00872643" w:rsidRPr="005D5059" w:rsidRDefault="00872643" w:rsidP="000D1D92">
            <w:pPr>
              <w:pStyle w:val="ListParagraph"/>
              <w:numPr>
                <w:ilvl w:val="0"/>
                <w:numId w:val="83"/>
              </w:numPr>
              <w:rPr>
                <w:rFonts w:cs="Arial"/>
                <w:color w:val="000000" w:themeColor="text1"/>
              </w:rPr>
            </w:pPr>
            <w:r w:rsidRPr="005D5059">
              <w:rPr>
                <w:rFonts w:cs="Arial"/>
                <w:color w:val="000000" w:themeColor="text1"/>
              </w:rPr>
              <w:t>Associate-Professor Roberta Julian, University of Tasmnaia</w:t>
            </w:r>
          </w:p>
          <w:p w14:paraId="5B0DB00D" w14:textId="77777777" w:rsidR="00872643" w:rsidRPr="005D5059" w:rsidRDefault="00872643" w:rsidP="000D1D92">
            <w:pPr>
              <w:pStyle w:val="ListParagraph"/>
              <w:numPr>
                <w:ilvl w:val="0"/>
                <w:numId w:val="83"/>
              </w:numPr>
              <w:rPr>
                <w:rFonts w:cs="Arial"/>
                <w:color w:val="000000" w:themeColor="text1"/>
              </w:rPr>
            </w:pPr>
            <w:r w:rsidRPr="005D5059">
              <w:rPr>
                <w:rFonts w:cs="Arial"/>
                <w:color w:val="000000" w:themeColor="text1"/>
              </w:rPr>
              <w:t>Dr Peter Lucas, University of Tasmania</w:t>
            </w:r>
          </w:p>
          <w:p w14:paraId="3727C5C7" w14:textId="77777777" w:rsidR="00872643" w:rsidRPr="005D5059" w:rsidRDefault="00872643" w:rsidP="000D1D92">
            <w:pPr>
              <w:pStyle w:val="ListParagraph"/>
              <w:numPr>
                <w:ilvl w:val="0"/>
                <w:numId w:val="83"/>
              </w:numPr>
              <w:rPr>
                <w:rFonts w:cs="Arial"/>
                <w:color w:val="000000" w:themeColor="text1"/>
              </w:rPr>
            </w:pPr>
            <w:r w:rsidRPr="005D5059">
              <w:rPr>
                <w:rFonts w:cs="Arial"/>
                <w:color w:val="000000" w:themeColor="text1"/>
              </w:rPr>
              <w:t>Nell Kuilenburg, Trainer in Safe from the Start Program, Salvation Army</w:t>
            </w:r>
          </w:p>
          <w:p w14:paraId="0BDB4215" w14:textId="77777777" w:rsidR="00872643" w:rsidRPr="005D5059" w:rsidRDefault="00872643" w:rsidP="000D1D92">
            <w:pPr>
              <w:pStyle w:val="ListParagraph"/>
              <w:numPr>
                <w:ilvl w:val="0"/>
                <w:numId w:val="83"/>
              </w:numPr>
              <w:rPr>
                <w:rFonts w:cs="Arial"/>
                <w:color w:val="000000" w:themeColor="text1"/>
              </w:rPr>
            </w:pPr>
            <w:r w:rsidRPr="005D5059">
              <w:rPr>
                <w:rFonts w:cs="Arial"/>
                <w:color w:val="000000" w:themeColor="text1"/>
              </w:rPr>
              <w:t>Susan Fahey, Executive Officer and Principal Solicitor, Women’s Legal Service</w:t>
            </w:r>
          </w:p>
          <w:p w14:paraId="7582CA7C" w14:textId="77777777" w:rsidR="00872643" w:rsidRPr="005D5059" w:rsidRDefault="00872643" w:rsidP="000D1D92">
            <w:pPr>
              <w:pStyle w:val="ListParagraph"/>
              <w:numPr>
                <w:ilvl w:val="0"/>
                <w:numId w:val="83"/>
              </w:numPr>
              <w:rPr>
                <w:rFonts w:cs="Arial"/>
                <w:color w:val="000000" w:themeColor="text1"/>
              </w:rPr>
            </w:pPr>
            <w:r w:rsidRPr="005D5059">
              <w:rPr>
                <w:rFonts w:cs="Arial"/>
                <w:color w:val="000000" w:themeColor="text1"/>
              </w:rPr>
              <w:t>Amy Robertson, Policy Analyst, Department of Premier and Cabinet</w:t>
            </w:r>
          </w:p>
          <w:p w14:paraId="359EF35B" w14:textId="77777777" w:rsidR="00872643" w:rsidRPr="005D5059" w:rsidRDefault="00872643" w:rsidP="000D1D92">
            <w:pPr>
              <w:pStyle w:val="ListParagraph"/>
              <w:numPr>
                <w:ilvl w:val="0"/>
                <w:numId w:val="83"/>
              </w:numPr>
              <w:rPr>
                <w:rFonts w:cs="Arial"/>
                <w:color w:val="000000" w:themeColor="text1"/>
              </w:rPr>
            </w:pPr>
            <w:r w:rsidRPr="005D5059">
              <w:rPr>
                <w:rFonts w:cs="Arial"/>
                <w:color w:val="000000" w:themeColor="text1"/>
              </w:rPr>
              <w:t>Pene Snashall, Senior Adviser, Children &amp; Youth, Office of the Minister for Human Services Office of the Minister for Women</w:t>
            </w:r>
          </w:p>
        </w:tc>
        <w:tc>
          <w:tcPr>
            <w:tcW w:w="1807" w:type="dxa"/>
          </w:tcPr>
          <w:p w14:paraId="2DEAAAB9" w14:textId="77777777" w:rsidR="00872643" w:rsidRDefault="00872643" w:rsidP="00AE0B34">
            <w:pPr>
              <w:rPr>
                <w:color w:val="000000" w:themeColor="text1"/>
                <w:sz w:val="20"/>
                <w:szCs w:val="20"/>
              </w:rPr>
            </w:pPr>
            <w:r>
              <w:rPr>
                <w:color w:val="000000" w:themeColor="text1"/>
                <w:sz w:val="20"/>
                <w:szCs w:val="20"/>
              </w:rPr>
              <w:t>Hobart, TAS</w:t>
            </w:r>
          </w:p>
        </w:tc>
      </w:tr>
      <w:tr w:rsidR="00872643" w:rsidRPr="00780F69" w14:paraId="74912DC6" w14:textId="77777777" w:rsidTr="00AE0B34">
        <w:tc>
          <w:tcPr>
            <w:tcW w:w="1101" w:type="dxa"/>
          </w:tcPr>
          <w:p w14:paraId="1FF82F33" w14:textId="77777777" w:rsidR="00872643" w:rsidRPr="005D5059" w:rsidRDefault="00872643" w:rsidP="00AE0B34">
            <w:pPr>
              <w:rPr>
                <w:rFonts w:cs="Arial"/>
                <w:color w:val="000000" w:themeColor="text1"/>
              </w:rPr>
            </w:pPr>
            <w:r w:rsidRPr="005D5059">
              <w:rPr>
                <w:rFonts w:cs="Arial"/>
                <w:color w:val="000000" w:themeColor="text1"/>
              </w:rPr>
              <w:t>13.08.15</w:t>
            </w:r>
          </w:p>
        </w:tc>
        <w:tc>
          <w:tcPr>
            <w:tcW w:w="6378" w:type="dxa"/>
          </w:tcPr>
          <w:p w14:paraId="0F377AF7" w14:textId="77777777" w:rsidR="00872643" w:rsidRPr="005D5059" w:rsidRDefault="00872643" w:rsidP="00AE0B34">
            <w:pPr>
              <w:rPr>
                <w:rFonts w:cs="Arial"/>
                <w:color w:val="000000" w:themeColor="text1"/>
              </w:rPr>
            </w:pPr>
            <w:r w:rsidRPr="005D5059">
              <w:rPr>
                <w:rFonts w:cs="Arial"/>
                <w:color w:val="000000" w:themeColor="text1"/>
              </w:rPr>
              <w:t>People who were invited to attend the South Australia roundtable included:</w:t>
            </w:r>
          </w:p>
          <w:p w14:paraId="5E751B7D"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Professor Leah Bromfield, Australian Centre for Child Protection (Presenter)</w:t>
            </w:r>
          </w:p>
          <w:p w14:paraId="4DAC685F"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Ginny Cisneros, Director of Service Development, Central Domestic Violence Service (Presenter)</w:t>
            </w:r>
          </w:p>
          <w:p w14:paraId="6A2CD5CF" w14:textId="31B51821" w:rsidR="00872643" w:rsidRPr="005D5059" w:rsidRDefault="00366829" w:rsidP="000D1D92">
            <w:pPr>
              <w:pStyle w:val="ListParagraph"/>
              <w:numPr>
                <w:ilvl w:val="0"/>
                <w:numId w:val="84"/>
              </w:numPr>
              <w:rPr>
                <w:rFonts w:cs="Arial"/>
                <w:color w:val="000000" w:themeColor="text1"/>
              </w:rPr>
            </w:pPr>
            <w:r>
              <w:rPr>
                <w:rFonts w:cs="Arial"/>
                <w:color w:val="000000" w:themeColor="text1"/>
              </w:rPr>
              <w:t>Sarah</w:t>
            </w:r>
            <w:r w:rsidR="00872643" w:rsidRPr="005D5059">
              <w:rPr>
                <w:rFonts w:cs="Arial"/>
                <w:color w:val="000000" w:themeColor="text1"/>
              </w:rPr>
              <w:t xml:space="preserve"> Williamson, Child and Youth Advocate Eastern Adelaide Domestic Violence Service (Presenter)</w:t>
            </w:r>
          </w:p>
          <w:p w14:paraId="5513431C" w14:textId="18A930A8" w:rsidR="00872643" w:rsidRPr="005D5059" w:rsidRDefault="00207236" w:rsidP="000D1D92">
            <w:pPr>
              <w:pStyle w:val="ListParagraph"/>
              <w:numPr>
                <w:ilvl w:val="0"/>
                <w:numId w:val="84"/>
              </w:numPr>
              <w:rPr>
                <w:rFonts w:cs="Arial"/>
                <w:color w:val="000000" w:themeColor="text1"/>
              </w:rPr>
            </w:pPr>
            <w:r w:rsidRPr="00207236">
              <w:rPr>
                <w:rFonts w:cs="Arial"/>
                <w:color w:val="000000" w:themeColor="text1"/>
              </w:rPr>
              <w:t>Pam Simmons, Guardian for Children and Young People, Office of the Guardian for Children and Young People in South Australia</w:t>
            </w:r>
          </w:p>
          <w:p w14:paraId="5F026C00"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Assistant Commissioner Paul Dickson, SA Police</w:t>
            </w:r>
          </w:p>
          <w:p w14:paraId="7AF62C3D"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Superintendent Joanne Shanahan, SA Police</w:t>
            </w:r>
          </w:p>
          <w:p w14:paraId="510C241C"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Inspector Deborah McLean, SA Police</w:t>
            </w:r>
          </w:p>
          <w:p w14:paraId="59D21B10"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Magdalena Madden,</w:t>
            </w:r>
            <w:r w:rsidRPr="005D5059">
              <w:rPr>
                <w:rFonts w:cs="Arial"/>
              </w:rPr>
              <w:t xml:space="preserve"> </w:t>
            </w:r>
            <w:r w:rsidRPr="005D5059">
              <w:rPr>
                <w:rFonts w:cs="Arial"/>
                <w:color w:val="000000" w:themeColor="text1"/>
              </w:rPr>
              <w:t xml:space="preserve">Principal Consultant, Council for the Care of Children    </w:t>
            </w:r>
          </w:p>
          <w:p w14:paraId="6C652D4B"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Professor Fiona Arney, Director, Centre for Child Protection</w:t>
            </w:r>
          </w:p>
          <w:p w14:paraId="00879973"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Gabrielle Canny, Director, Legal Services Commission of South Australia</w:t>
            </w:r>
          </w:p>
          <w:p w14:paraId="6D168659"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Prema Joy, Nunga Mi Minar Women's and Children's Centre</w:t>
            </w:r>
          </w:p>
          <w:p w14:paraId="142CFFAB"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Milenka Vasekova, Migrant Women's Support Service</w:t>
            </w:r>
          </w:p>
          <w:p w14:paraId="1D590164"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Megan Hughes, Executive Officer, Southern Domestic Violence Service</w:t>
            </w:r>
          </w:p>
          <w:p w14:paraId="7A970AA1"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Sue Underhill, Southern Domestic Violence Service</w:t>
            </w:r>
          </w:p>
          <w:p w14:paraId="0F7FB043"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Adjunct Associate Professor Dale Bagshaw, School of Psychology, Social Work &amp; Social Policy, University of South Australia</w:t>
            </w:r>
          </w:p>
          <w:p w14:paraId="3099B1DD"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Heidi Ehrat, Senior Research Officer (Domestic Violence), SA Coroners Court and Office for Women</w:t>
            </w:r>
          </w:p>
          <w:p w14:paraId="1349359E"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Professor Phillip Slee, Professor in Human Development, Flinders University</w:t>
            </w:r>
          </w:p>
          <w:p w14:paraId="7A9AA910"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Robert Croser, Senior Solicitor, Child Protection, SA Legal Service Commission</w:t>
            </w:r>
          </w:p>
          <w:p w14:paraId="1A54D3A2"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Nerida Saunders, Executive Director, Aboriginal Affairs and Reconciliation, South Australian Government</w:t>
            </w:r>
          </w:p>
          <w:p w14:paraId="4347BB67" w14:textId="77777777" w:rsidR="00872643" w:rsidRPr="005D5059" w:rsidRDefault="00872643" w:rsidP="000D1D92">
            <w:pPr>
              <w:pStyle w:val="ListParagraph"/>
              <w:numPr>
                <w:ilvl w:val="0"/>
                <w:numId w:val="84"/>
              </w:numPr>
              <w:rPr>
                <w:rFonts w:cs="Arial"/>
                <w:color w:val="000000" w:themeColor="text1"/>
              </w:rPr>
            </w:pPr>
            <w:r w:rsidRPr="005D5059">
              <w:rPr>
                <w:rFonts w:cs="Arial"/>
                <w:color w:val="000000" w:themeColor="text1"/>
              </w:rPr>
              <w:t>Judge Elizabeth Bolton, Chief Magistrate, Magistrates Court Adelaide</w:t>
            </w:r>
          </w:p>
        </w:tc>
        <w:tc>
          <w:tcPr>
            <w:tcW w:w="1807" w:type="dxa"/>
          </w:tcPr>
          <w:p w14:paraId="31ED382F" w14:textId="77777777" w:rsidR="00872643" w:rsidRDefault="00872643" w:rsidP="00AE0B34">
            <w:pPr>
              <w:rPr>
                <w:color w:val="000000" w:themeColor="text1"/>
                <w:sz w:val="20"/>
                <w:szCs w:val="20"/>
              </w:rPr>
            </w:pPr>
            <w:r>
              <w:rPr>
                <w:color w:val="000000" w:themeColor="text1"/>
                <w:sz w:val="20"/>
                <w:szCs w:val="20"/>
              </w:rPr>
              <w:t>Adelaide, SA</w:t>
            </w:r>
          </w:p>
        </w:tc>
      </w:tr>
      <w:tr w:rsidR="00872643" w:rsidRPr="00780F69" w14:paraId="71E71317" w14:textId="77777777" w:rsidTr="00AE0B34">
        <w:tc>
          <w:tcPr>
            <w:tcW w:w="1101" w:type="dxa"/>
          </w:tcPr>
          <w:p w14:paraId="009608CF" w14:textId="77777777" w:rsidR="00872643" w:rsidRPr="005D5059" w:rsidRDefault="00872643" w:rsidP="00AE0B34">
            <w:pPr>
              <w:rPr>
                <w:rFonts w:cs="Arial"/>
                <w:color w:val="000000" w:themeColor="text1"/>
              </w:rPr>
            </w:pPr>
            <w:r w:rsidRPr="005D5059">
              <w:rPr>
                <w:rFonts w:cs="Arial"/>
                <w:color w:val="000000" w:themeColor="text1"/>
              </w:rPr>
              <w:t>14.08.15</w:t>
            </w:r>
          </w:p>
        </w:tc>
        <w:tc>
          <w:tcPr>
            <w:tcW w:w="6378" w:type="dxa"/>
          </w:tcPr>
          <w:p w14:paraId="16DC94B0" w14:textId="77777777" w:rsidR="00872643" w:rsidRPr="005D5059" w:rsidRDefault="00872643" w:rsidP="00AE0B34">
            <w:pPr>
              <w:rPr>
                <w:rFonts w:cs="Arial"/>
                <w:color w:val="000000" w:themeColor="text1"/>
              </w:rPr>
            </w:pPr>
            <w:r w:rsidRPr="005D5059">
              <w:rPr>
                <w:rFonts w:cs="Arial"/>
                <w:color w:val="000000" w:themeColor="text1"/>
              </w:rPr>
              <w:t>People who were invited to attend the Western Australia roundtable included:</w:t>
            </w:r>
          </w:p>
          <w:p w14:paraId="2740F337" w14:textId="77777777" w:rsidR="00872643" w:rsidRPr="005D5059" w:rsidRDefault="00872643" w:rsidP="000D1D92">
            <w:pPr>
              <w:pStyle w:val="ListParagraph"/>
              <w:numPr>
                <w:ilvl w:val="0"/>
                <w:numId w:val="85"/>
              </w:numPr>
              <w:rPr>
                <w:rFonts w:cs="Arial"/>
                <w:color w:val="000000" w:themeColor="text1"/>
              </w:rPr>
            </w:pPr>
            <w:r w:rsidRPr="005D5059">
              <w:rPr>
                <w:rFonts w:cs="Arial"/>
                <w:color w:val="000000" w:themeColor="text1"/>
              </w:rPr>
              <w:t>Tracey Currie, Chief Executive Officer, National Aboriginal &amp; Torres Strait Islander Women’s Alliance (Presenter)</w:t>
            </w:r>
          </w:p>
          <w:p w14:paraId="01BF4AB5" w14:textId="77777777" w:rsidR="00872643" w:rsidRPr="005D5059" w:rsidRDefault="00872643" w:rsidP="000D1D92">
            <w:pPr>
              <w:pStyle w:val="ListParagraph"/>
              <w:numPr>
                <w:ilvl w:val="0"/>
                <w:numId w:val="85"/>
              </w:numPr>
              <w:rPr>
                <w:rFonts w:cs="Arial"/>
                <w:color w:val="000000" w:themeColor="text1"/>
              </w:rPr>
            </w:pPr>
            <w:r w:rsidRPr="005D5059">
              <w:rPr>
                <w:rFonts w:cs="Arial"/>
                <w:color w:val="000000" w:themeColor="text1"/>
              </w:rPr>
              <w:t>Dr Mick Adams, Senior Research Fellow, Australian Indigenous Health Info Net (Presenter)</w:t>
            </w:r>
          </w:p>
          <w:p w14:paraId="22A1A2B0" w14:textId="77777777" w:rsidR="00872643" w:rsidRPr="005D5059" w:rsidRDefault="00872643" w:rsidP="000D1D92">
            <w:pPr>
              <w:pStyle w:val="ListParagraph"/>
              <w:numPr>
                <w:ilvl w:val="0"/>
                <w:numId w:val="85"/>
              </w:numPr>
              <w:rPr>
                <w:rFonts w:cs="Arial"/>
                <w:color w:val="000000" w:themeColor="text1"/>
              </w:rPr>
            </w:pPr>
            <w:r w:rsidRPr="005D5059">
              <w:rPr>
                <w:rFonts w:cs="Arial"/>
                <w:color w:val="000000" w:themeColor="text1"/>
              </w:rPr>
              <w:t>Jenni Perkins, Acting  Commissioner for Children and Young People Western Australia, Australian Children’s Commissioners &amp; Guardians (WA ACCG)</w:t>
            </w:r>
          </w:p>
          <w:p w14:paraId="2DEAFA1E" w14:textId="77777777" w:rsidR="00872643" w:rsidRPr="005D5059" w:rsidRDefault="00872643" w:rsidP="000D1D92">
            <w:pPr>
              <w:pStyle w:val="ListParagraph"/>
              <w:numPr>
                <w:ilvl w:val="0"/>
                <w:numId w:val="85"/>
              </w:numPr>
              <w:rPr>
                <w:rFonts w:cs="Arial"/>
                <w:color w:val="000000" w:themeColor="text1"/>
              </w:rPr>
            </w:pPr>
            <w:r w:rsidRPr="005D5059">
              <w:rPr>
                <w:rFonts w:cs="Arial"/>
                <w:color w:val="000000" w:themeColor="text1"/>
              </w:rPr>
              <w:t>Trish Heath,</w:t>
            </w:r>
            <w:r w:rsidRPr="005D5059">
              <w:rPr>
                <w:rFonts w:cs="Arial"/>
              </w:rPr>
              <w:t xml:space="preserve"> </w:t>
            </w:r>
            <w:r w:rsidRPr="005D5059">
              <w:rPr>
                <w:rFonts w:cs="Arial"/>
                <w:color w:val="000000" w:themeColor="text1"/>
              </w:rPr>
              <w:t>Senior Policy Officer, WA ACCG</w:t>
            </w:r>
          </w:p>
          <w:p w14:paraId="2A8A1E43" w14:textId="77777777" w:rsidR="00872643" w:rsidRPr="005D5059" w:rsidRDefault="00872643" w:rsidP="000D1D92">
            <w:pPr>
              <w:pStyle w:val="ListParagraph"/>
              <w:numPr>
                <w:ilvl w:val="0"/>
                <w:numId w:val="85"/>
              </w:numPr>
              <w:rPr>
                <w:rFonts w:cs="Arial"/>
                <w:color w:val="000000" w:themeColor="text1"/>
              </w:rPr>
            </w:pPr>
            <w:r w:rsidRPr="005D5059">
              <w:rPr>
                <w:rFonts w:cs="Arial"/>
                <w:color w:val="000000" w:themeColor="text1"/>
              </w:rPr>
              <w:t>Mariette Cowley, Chief Executive Officer, Aboriginal Family Law Services</w:t>
            </w:r>
          </w:p>
          <w:p w14:paraId="0FB7CBDE" w14:textId="77777777" w:rsidR="00872643" w:rsidRPr="005D5059" w:rsidRDefault="00872643" w:rsidP="000D1D92">
            <w:pPr>
              <w:pStyle w:val="ListParagraph"/>
              <w:numPr>
                <w:ilvl w:val="0"/>
                <w:numId w:val="85"/>
              </w:numPr>
              <w:rPr>
                <w:rFonts w:cs="Arial"/>
                <w:color w:val="000000" w:themeColor="text1"/>
              </w:rPr>
            </w:pPr>
            <w:r w:rsidRPr="005D5059">
              <w:rPr>
                <w:rFonts w:cs="Arial"/>
                <w:color w:val="000000" w:themeColor="text1"/>
              </w:rPr>
              <w:t>Andrea Smith, Aboriginal Family Law Services</w:t>
            </w:r>
          </w:p>
          <w:p w14:paraId="1914C57A" w14:textId="77777777" w:rsidR="00872643" w:rsidRPr="005D5059" w:rsidRDefault="00872643" w:rsidP="000D1D92">
            <w:pPr>
              <w:pStyle w:val="ListParagraph"/>
              <w:numPr>
                <w:ilvl w:val="0"/>
                <w:numId w:val="85"/>
              </w:numPr>
              <w:rPr>
                <w:rFonts w:cs="Arial"/>
                <w:color w:val="000000" w:themeColor="text1"/>
              </w:rPr>
            </w:pPr>
            <w:r w:rsidRPr="005D5059">
              <w:rPr>
                <w:rFonts w:cs="Arial"/>
                <w:color w:val="000000" w:themeColor="text1"/>
              </w:rPr>
              <w:t>Lynda Diagne, Programme Co-ordinator, Women's Council for Domestic and Family Violence Services (WA)</w:t>
            </w:r>
          </w:p>
          <w:p w14:paraId="4CE88F88" w14:textId="77777777" w:rsidR="00872643" w:rsidRPr="005D5059" w:rsidRDefault="00872643" w:rsidP="000D1D92">
            <w:pPr>
              <w:pStyle w:val="ListParagraph"/>
              <w:numPr>
                <w:ilvl w:val="0"/>
                <w:numId w:val="85"/>
              </w:numPr>
              <w:rPr>
                <w:rFonts w:cs="Arial"/>
                <w:color w:val="000000" w:themeColor="text1"/>
              </w:rPr>
            </w:pPr>
            <w:r w:rsidRPr="005D5059">
              <w:rPr>
                <w:rFonts w:cs="Arial"/>
                <w:color w:val="000000" w:themeColor="text1"/>
              </w:rPr>
              <w:t>Alan Campbell, Research Fellow in the School of Occupational Therapy and Social Work, Curtin University</w:t>
            </w:r>
          </w:p>
          <w:p w14:paraId="10D72B10" w14:textId="77777777" w:rsidR="00872643" w:rsidRPr="005D5059" w:rsidRDefault="00872643" w:rsidP="000D1D92">
            <w:pPr>
              <w:pStyle w:val="ListParagraph"/>
              <w:numPr>
                <w:ilvl w:val="0"/>
                <w:numId w:val="85"/>
              </w:numPr>
              <w:rPr>
                <w:rFonts w:cs="Arial"/>
                <w:color w:val="000000" w:themeColor="text1"/>
              </w:rPr>
            </w:pPr>
            <w:r w:rsidRPr="005D5059">
              <w:rPr>
                <w:rFonts w:cs="Arial"/>
                <w:color w:val="000000" w:themeColor="text1"/>
              </w:rPr>
              <w:t>Detective Sergeant Ron Fyneman, Western Australia Police</w:t>
            </w:r>
          </w:p>
          <w:p w14:paraId="299BCE18" w14:textId="77777777" w:rsidR="00872643" w:rsidRPr="005D5059" w:rsidRDefault="00872643" w:rsidP="000D1D92">
            <w:pPr>
              <w:pStyle w:val="ListParagraph"/>
              <w:numPr>
                <w:ilvl w:val="0"/>
                <w:numId w:val="85"/>
              </w:numPr>
              <w:rPr>
                <w:rFonts w:cs="Arial"/>
                <w:color w:val="000000" w:themeColor="text1"/>
              </w:rPr>
            </w:pPr>
            <w:r w:rsidRPr="005D5059">
              <w:rPr>
                <w:rFonts w:cs="Arial"/>
                <w:color w:val="000000" w:themeColor="text1"/>
              </w:rPr>
              <w:t>Victoria Hovane, Board Member and PhD candidate, National Research Organisation for Women’s Safety (ANROWS)</w:t>
            </w:r>
          </w:p>
          <w:p w14:paraId="593E3AEB" w14:textId="77777777" w:rsidR="00872643" w:rsidRPr="005D5059" w:rsidRDefault="00872643" w:rsidP="000D1D92">
            <w:pPr>
              <w:pStyle w:val="ListParagraph"/>
              <w:numPr>
                <w:ilvl w:val="0"/>
                <w:numId w:val="85"/>
              </w:numPr>
              <w:rPr>
                <w:rFonts w:cs="Arial"/>
                <w:color w:val="000000" w:themeColor="text1"/>
              </w:rPr>
            </w:pPr>
            <w:r w:rsidRPr="005D5059">
              <w:rPr>
                <w:rFonts w:cs="Arial"/>
                <w:color w:val="000000" w:themeColor="text1"/>
              </w:rPr>
              <w:t>Sherrilee Mitchell, Director and WA ANROWS Research Representative, Family and Domestic Violence Unit, WA Department of Child Protection</w:t>
            </w:r>
          </w:p>
          <w:p w14:paraId="43673F29" w14:textId="77777777" w:rsidR="00872643" w:rsidRPr="005D5059" w:rsidRDefault="00872643" w:rsidP="000D1D92">
            <w:pPr>
              <w:pStyle w:val="ListParagraph"/>
              <w:numPr>
                <w:ilvl w:val="0"/>
                <w:numId w:val="85"/>
              </w:numPr>
              <w:rPr>
                <w:rFonts w:cs="Arial"/>
                <w:color w:val="000000" w:themeColor="text1"/>
              </w:rPr>
            </w:pPr>
            <w:r w:rsidRPr="005D5059">
              <w:rPr>
                <w:rFonts w:cs="Arial"/>
                <w:color w:val="000000" w:themeColor="text1"/>
              </w:rPr>
              <w:t>Dr James Fitzpatrick, McCusker Clinical Research Fellow in Aboriginal Child Health, Telethon Kids Institute</w:t>
            </w:r>
          </w:p>
          <w:p w14:paraId="6AEED00C" w14:textId="77777777" w:rsidR="00872643" w:rsidRPr="005D5059" w:rsidRDefault="00872643" w:rsidP="000D1D92">
            <w:pPr>
              <w:pStyle w:val="ListParagraph"/>
              <w:numPr>
                <w:ilvl w:val="0"/>
                <w:numId w:val="85"/>
              </w:numPr>
              <w:rPr>
                <w:rFonts w:cs="Arial"/>
                <w:color w:val="000000" w:themeColor="text1"/>
              </w:rPr>
            </w:pPr>
            <w:r w:rsidRPr="005D5059">
              <w:rPr>
                <w:rFonts w:cs="Arial"/>
                <w:color w:val="000000" w:themeColor="text1"/>
              </w:rPr>
              <w:t>Dr Glenn Pearson, Head Aboriginal Research Development, Telethon Kids Institute</w:t>
            </w:r>
          </w:p>
          <w:p w14:paraId="66B0597D" w14:textId="77777777" w:rsidR="00872643" w:rsidRPr="005D5059" w:rsidRDefault="00872643" w:rsidP="000D1D92">
            <w:pPr>
              <w:pStyle w:val="ListParagraph"/>
              <w:numPr>
                <w:ilvl w:val="0"/>
                <w:numId w:val="85"/>
              </w:numPr>
              <w:rPr>
                <w:rFonts w:cs="Arial"/>
                <w:color w:val="000000" w:themeColor="text1"/>
              </w:rPr>
            </w:pPr>
            <w:r w:rsidRPr="005D5059">
              <w:rPr>
                <w:rFonts w:cs="Arial"/>
                <w:color w:val="000000" w:themeColor="text1"/>
              </w:rPr>
              <w:t>Hannah MacGlade, The Australian Institute of Aboriginal and Torres Strait Islander Studies (AIATSIS)</w:t>
            </w:r>
          </w:p>
          <w:p w14:paraId="1665F770" w14:textId="77777777" w:rsidR="00872643" w:rsidRPr="005D5059" w:rsidRDefault="00872643" w:rsidP="000D1D92">
            <w:pPr>
              <w:pStyle w:val="ListParagraph"/>
              <w:numPr>
                <w:ilvl w:val="0"/>
                <w:numId w:val="85"/>
              </w:numPr>
              <w:rPr>
                <w:rFonts w:cs="Arial"/>
                <w:color w:val="000000" w:themeColor="text1"/>
              </w:rPr>
            </w:pPr>
            <w:r w:rsidRPr="005D5059">
              <w:rPr>
                <w:rFonts w:cs="Arial"/>
                <w:color w:val="000000" w:themeColor="text1"/>
              </w:rPr>
              <w:t xml:space="preserve">Professor Dawn </w:t>
            </w:r>
            <w:r w:rsidRPr="005D5059">
              <w:rPr>
                <w:rFonts w:cs="Arial"/>
              </w:rPr>
              <w:t>Bessarab, AIATSIS</w:t>
            </w:r>
          </w:p>
          <w:p w14:paraId="60D25429" w14:textId="77777777" w:rsidR="00872643" w:rsidRPr="005D5059" w:rsidRDefault="00872643" w:rsidP="000D1D92">
            <w:pPr>
              <w:pStyle w:val="ListParagraph"/>
              <w:numPr>
                <w:ilvl w:val="0"/>
                <w:numId w:val="85"/>
              </w:numPr>
              <w:rPr>
                <w:rFonts w:cs="Arial"/>
                <w:color w:val="000000" w:themeColor="text1"/>
              </w:rPr>
            </w:pPr>
            <w:r w:rsidRPr="005D5059">
              <w:rPr>
                <w:rFonts w:cs="Arial"/>
              </w:rPr>
              <w:t>Mandy Gadsdon, Executive Director, Aboriginal Engagement and Coordination Unit, Department for Child Protection and Family Support</w:t>
            </w:r>
          </w:p>
          <w:p w14:paraId="7FF385E1" w14:textId="77777777" w:rsidR="00872643" w:rsidRPr="005D5059" w:rsidRDefault="00872643" w:rsidP="000D1D92">
            <w:pPr>
              <w:pStyle w:val="ListParagraph"/>
              <w:numPr>
                <w:ilvl w:val="0"/>
                <w:numId w:val="85"/>
              </w:numPr>
              <w:rPr>
                <w:rFonts w:cs="Arial"/>
                <w:color w:val="000000" w:themeColor="text1"/>
              </w:rPr>
            </w:pPr>
            <w:r w:rsidRPr="005D5059">
              <w:rPr>
                <w:rFonts w:cs="Arial"/>
              </w:rPr>
              <w:t>Dot Bagshaw, Vice-President, Derbarl Yerrigan Health Service</w:t>
            </w:r>
          </w:p>
          <w:p w14:paraId="3C63F28A" w14:textId="77777777" w:rsidR="00872643" w:rsidRPr="005D5059" w:rsidRDefault="00872643" w:rsidP="000D1D92">
            <w:pPr>
              <w:pStyle w:val="ListParagraph"/>
              <w:numPr>
                <w:ilvl w:val="0"/>
                <w:numId w:val="85"/>
              </w:numPr>
              <w:rPr>
                <w:rFonts w:cs="Arial"/>
                <w:color w:val="000000" w:themeColor="text1"/>
              </w:rPr>
            </w:pPr>
            <w:r w:rsidRPr="005D5059">
              <w:rPr>
                <w:rFonts w:cs="Arial"/>
              </w:rPr>
              <w:t>Brenda Boland, Chief Executive Officer, Commission for Children and Young People  (Victoria)</w:t>
            </w:r>
          </w:p>
          <w:p w14:paraId="615C5DE4" w14:textId="77777777" w:rsidR="00872643" w:rsidRPr="005D5059" w:rsidRDefault="00872643" w:rsidP="000D1D92">
            <w:pPr>
              <w:pStyle w:val="ListParagraph"/>
              <w:numPr>
                <w:ilvl w:val="0"/>
                <w:numId w:val="85"/>
              </w:numPr>
              <w:rPr>
                <w:rFonts w:cs="Arial"/>
                <w:color w:val="000000" w:themeColor="text1"/>
              </w:rPr>
            </w:pPr>
            <w:r w:rsidRPr="005D5059">
              <w:rPr>
                <w:rFonts w:cs="Arial"/>
              </w:rPr>
              <w:t>Mary Anne Williams, Aboriginal Health Council of SA Inc. (AHCSA)</w:t>
            </w:r>
          </w:p>
          <w:p w14:paraId="2F8AD1CA" w14:textId="77777777" w:rsidR="00872643" w:rsidRPr="005D5059" w:rsidRDefault="00872643" w:rsidP="000D1D92">
            <w:pPr>
              <w:pStyle w:val="ListParagraph"/>
              <w:numPr>
                <w:ilvl w:val="0"/>
                <w:numId w:val="85"/>
              </w:numPr>
              <w:rPr>
                <w:rFonts w:cs="Arial"/>
                <w:color w:val="000000" w:themeColor="text1"/>
              </w:rPr>
            </w:pPr>
            <w:r w:rsidRPr="005D5059">
              <w:rPr>
                <w:rFonts w:cs="Arial"/>
              </w:rPr>
              <w:t>Sharon Cooke, Australian Association for Infant Mental Health West Australian Branch (AAIMHI WA)</w:t>
            </w:r>
          </w:p>
          <w:p w14:paraId="7B9F03AD" w14:textId="77777777" w:rsidR="00872643" w:rsidRPr="005D5059" w:rsidRDefault="00872643" w:rsidP="00AE0B34">
            <w:pPr>
              <w:rPr>
                <w:rFonts w:cs="Arial"/>
                <w:color w:val="000000" w:themeColor="text1"/>
              </w:rPr>
            </w:pPr>
          </w:p>
        </w:tc>
        <w:tc>
          <w:tcPr>
            <w:tcW w:w="1807" w:type="dxa"/>
          </w:tcPr>
          <w:p w14:paraId="1E5D0720" w14:textId="77777777" w:rsidR="00872643" w:rsidRDefault="00872643" w:rsidP="00AE0B34">
            <w:pPr>
              <w:rPr>
                <w:color w:val="000000" w:themeColor="text1"/>
                <w:sz w:val="20"/>
                <w:szCs w:val="20"/>
              </w:rPr>
            </w:pPr>
            <w:r>
              <w:rPr>
                <w:color w:val="000000" w:themeColor="text1"/>
                <w:sz w:val="20"/>
                <w:szCs w:val="20"/>
              </w:rPr>
              <w:t>Perth, WA</w:t>
            </w:r>
          </w:p>
        </w:tc>
      </w:tr>
    </w:tbl>
    <w:p w14:paraId="1395D203" w14:textId="6A82DCBD" w:rsidR="00872643" w:rsidRDefault="00872643" w:rsidP="00872643">
      <w:pPr>
        <w:pStyle w:val="Heading2"/>
        <w:numPr>
          <w:ilvl w:val="0"/>
          <w:numId w:val="0"/>
        </w:numPr>
        <w:ind w:left="851" w:hanging="851"/>
      </w:pPr>
      <w:bookmarkStart w:id="224" w:name="_Toc432577338"/>
      <w:r>
        <w:t>Appendix 7:</w:t>
      </w:r>
      <w:r w:rsidRPr="00872643">
        <w:t xml:space="preserve"> Individual consultations with stakeholders relating to </w:t>
      </w:r>
      <w:r w:rsidR="004D3B06">
        <w:t>my</w:t>
      </w:r>
      <w:r w:rsidRPr="00872643">
        <w:t xml:space="preserve"> examination </w:t>
      </w:r>
      <w:r w:rsidR="005D5059">
        <w:t>of</w:t>
      </w:r>
      <w:r w:rsidRPr="00872643">
        <w:t xml:space="preserve"> </w:t>
      </w:r>
      <w:r w:rsidR="005D5059">
        <w:t>family and domestic violence affecting children</w:t>
      </w:r>
      <w:bookmarkEnd w:id="224"/>
    </w:p>
    <w:tbl>
      <w:tblPr>
        <w:tblStyle w:val="TableGrid"/>
        <w:tblW w:w="9060" w:type="dxa"/>
        <w:tblLook w:val="04A0" w:firstRow="1" w:lastRow="0" w:firstColumn="1" w:lastColumn="0" w:noHBand="0" w:noVBand="1"/>
      </w:tblPr>
      <w:tblGrid>
        <w:gridCol w:w="1394"/>
        <w:gridCol w:w="5339"/>
        <w:gridCol w:w="2327"/>
      </w:tblGrid>
      <w:tr w:rsidR="00872643" w14:paraId="275E7CC1" w14:textId="77777777" w:rsidTr="00AE0B34">
        <w:tc>
          <w:tcPr>
            <w:tcW w:w="1394" w:type="dxa"/>
          </w:tcPr>
          <w:p w14:paraId="5017B7EA" w14:textId="77777777" w:rsidR="00872643" w:rsidRDefault="00872643" w:rsidP="00AE0B34">
            <w:pPr>
              <w:spacing w:before="0" w:after="0"/>
              <w:rPr>
                <w:b/>
              </w:rPr>
            </w:pPr>
            <w:r>
              <w:rPr>
                <w:b/>
              </w:rPr>
              <w:t>Date</w:t>
            </w:r>
          </w:p>
        </w:tc>
        <w:tc>
          <w:tcPr>
            <w:tcW w:w="5339" w:type="dxa"/>
          </w:tcPr>
          <w:p w14:paraId="38F76373" w14:textId="77777777" w:rsidR="00872643" w:rsidRDefault="00872643" w:rsidP="00AE0B34">
            <w:pPr>
              <w:spacing w:before="0" w:after="0"/>
              <w:rPr>
                <w:b/>
              </w:rPr>
            </w:pPr>
            <w:r>
              <w:rPr>
                <w:b/>
              </w:rPr>
              <w:t>Consultation</w:t>
            </w:r>
          </w:p>
        </w:tc>
        <w:tc>
          <w:tcPr>
            <w:tcW w:w="2327" w:type="dxa"/>
          </w:tcPr>
          <w:p w14:paraId="05AF0BA5" w14:textId="77777777" w:rsidR="00872643" w:rsidRDefault="00872643" w:rsidP="00AE0B34">
            <w:pPr>
              <w:spacing w:before="0" w:after="0"/>
              <w:rPr>
                <w:b/>
              </w:rPr>
            </w:pPr>
            <w:r>
              <w:rPr>
                <w:b/>
              </w:rPr>
              <w:t>Location</w:t>
            </w:r>
          </w:p>
        </w:tc>
      </w:tr>
      <w:tr w:rsidR="00872643" w14:paraId="31E4255E" w14:textId="77777777" w:rsidTr="00AE0B34">
        <w:tc>
          <w:tcPr>
            <w:tcW w:w="1394" w:type="dxa"/>
          </w:tcPr>
          <w:p w14:paraId="6EE4BA59" w14:textId="77777777" w:rsidR="00872643" w:rsidRDefault="00872643" w:rsidP="00AE0B34">
            <w:r>
              <w:t>19.03.15</w:t>
            </w:r>
          </w:p>
        </w:tc>
        <w:tc>
          <w:tcPr>
            <w:tcW w:w="5339" w:type="dxa"/>
          </w:tcPr>
          <w:p w14:paraId="57CDD80D" w14:textId="77777777" w:rsidR="00872643" w:rsidRPr="00965522" w:rsidRDefault="00872643" w:rsidP="00AE0B34">
            <w:pPr>
              <w:rPr>
                <w:bCs/>
              </w:rPr>
            </w:pPr>
            <w:r>
              <w:rPr>
                <w:bCs/>
              </w:rPr>
              <w:t xml:space="preserve">Tracy Adams, Chief Executive Officer, </w:t>
            </w:r>
            <w:r w:rsidRPr="001A7DE0">
              <w:rPr>
                <w:bCs/>
              </w:rPr>
              <w:t>BoysTown</w:t>
            </w:r>
            <w:r>
              <w:rPr>
                <w:bCs/>
              </w:rPr>
              <w:t xml:space="preserve"> </w:t>
            </w:r>
            <w:r w:rsidRPr="005043BC">
              <w:rPr>
                <w:bCs/>
              </w:rPr>
              <w:t>and John Dalgleish</w:t>
            </w:r>
            <w:r>
              <w:rPr>
                <w:rFonts w:cs="Arial"/>
                <w:sz w:val="20"/>
                <w:szCs w:val="20"/>
              </w:rPr>
              <w:t xml:space="preserve">, </w:t>
            </w:r>
            <w:r w:rsidRPr="00965522">
              <w:rPr>
                <w:bCs/>
              </w:rPr>
              <w:t>Manager, Strategy and Research</w:t>
            </w:r>
            <w:r w:rsidRPr="00965522">
              <w:rPr>
                <w:bCs/>
              </w:rPr>
              <w:br/>
              <w:t>BoysTown</w:t>
            </w:r>
          </w:p>
        </w:tc>
        <w:tc>
          <w:tcPr>
            <w:tcW w:w="2327" w:type="dxa"/>
          </w:tcPr>
          <w:p w14:paraId="0EE63DF9" w14:textId="77777777" w:rsidR="00872643" w:rsidRDefault="00872643" w:rsidP="00AE0B34">
            <w:r>
              <w:t>AHRC, NSW</w:t>
            </w:r>
          </w:p>
        </w:tc>
      </w:tr>
      <w:tr w:rsidR="00872643" w14:paraId="099C2E8E" w14:textId="77777777" w:rsidTr="00AE0B34">
        <w:tc>
          <w:tcPr>
            <w:tcW w:w="1394" w:type="dxa"/>
          </w:tcPr>
          <w:p w14:paraId="187A4B90" w14:textId="77777777" w:rsidR="00872643" w:rsidRPr="00654FFB" w:rsidRDefault="00872643" w:rsidP="00AE0B34">
            <w:r w:rsidRPr="00654FFB">
              <w:t>25.03.15</w:t>
            </w:r>
          </w:p>
        </w:tc>
        <w:tc>
          <w:tcPr>
            <w:tcW w:w="5339" w:type="dxa"/>
          </w:tcPr>
          <w:p w14:paraId="26B18092" w14:textId="77777777" w:rsidR="00872643" w:rsidRPr="00654FFB" w:rsidRDefault="00872643" w:rsidP="00AE0B34">
            <w:pPr>
              <w:rPr>
                <w:bCs/>
              </w:rPr>
            </w:pPr>
            <w:r w:rsidRPr="00654FFB">
              <w:rPr>
                <w:bCs/>
                <w:lang w:val="en"/>
              </w:rPr>
              <w:t xml:space="preserve">Maree Walk, NSW Department of Family and Community Services </w:t>
            </w:r>
          </w:p>
        </w:tc>
        <w:tc>
          <w:tcPr>
            <w:tcW w:w="2327" w:type="dxa"/>
          </w:tcPr>
          <w:p w14:paraId="029E2FCB" w14:textId="77777777" w:rsidR="00872643" w:rsidRDefault="00872643" w:rsidP="00AE0B34">
            <w:r>
              <w:t>Sydney, NSW</w:t>
            </w:r>
          </w:p>
        </w:tc>
      </w:tr>
      <w:tr w:rsidR="00872643" w14:paraId="788C2065" w14:textId="77777777" w:rsidTr="00AE0B34">
        <w:tc>
          <w:tcPr>
            <w:tcW w:w="1394" w:type="dxa"/>
          </w:tcPr>
          <w:p w14:paraId="47B2ACB8" w14:textId="77777777" w:rsidR="00872643" w:rsidRDefault="00872643" w:rsidP="00AE0B34">
            <w:r>
              <w:t>01.04.15</w:t>
            </w:r>
          </w:p>
        </w:tc>
        <w:tc>
          <w:tcPr>
            <w:tcW w:w="5339" w:type="dxa"/>
          </w:tcPr>
          <w:p w14:paraId="2C98E2FB" w14:textId="77777777" w:rsidR="00872643" w:rsidRPr="0050595C" w:rsidRDefault="00872643" w:rsidP="00AE0B34">
            <w:pPr>
              <w:rPr>
                <w:bCs/>
                <w:highlight w:val="magenta"/>
              </w:rPr>
            </w:pPr>
            <w:r w:rsidRPr="009D1F32">
              <w:rPr>
                <w:bCs/>
              </w:rPr>
              <w:t xml:space="preserve">Nicole Mayo, Chief Operating Officer, CRIMTRAC </w:t>
            </w:r>
          </w:p>
        </w:tc>
        <w:tc>
          <w:tcPr>
            <w:tcW w:w="2327" w:type="dxa"/>
          </w:tcPr>
          <w:p w14:paraId="00488111" w14:textId="77777777" w:rsidR="00872643" w:rsidRDefault="00872643" w:rsidP="00AE0B34">
            <w:r>
              <w:t>AHRC, NSW</w:t>
            </w:r>
          </w:p>
        </w:tc>
      </w:tr>
      <w:tr w:rsidR="00872643" w14:paraId="59D457DD" w14:textId="77777777" w:rsidTr="00AE0B34">
        <w:tc>
          <w:tcPr>
            <w:tcW w:w="1394" w:type="dxa"/>
          </w:tcPr>
          <w:p w14:paraId="32C3BDE0" w14:textId="77777777" w:rsidR="00872643" w:rsidRDefault="00872643" w:rsidP="00AE0B34">
            <w:r>
              <w:t>01.06.15</w:t>
            </w:r>
          </w:p>
        </w:tc>
        <w:tc>
          <w:tcPr>
            <w:tcW w:w="5339" w:type="dxa"/>
          </w:tcPr>
          <w:p w14:paraId="1A5813EB" w14:textId="77777777" w:rsidR="00872643" w:rsidRPr="00C80D94" w:rsidRDefault="00872643" w:rsidP="00AE0B34">
            <w:pPr>
              <w:rPr>
                <w:bCs/>
              </w:rPr>
            </w:pPr>
            <w:r w:rsidRPr="00C80D94">
              <w:rPr>
                <w:bCs/>
              </w:rPr>
              <w:t>Amy Prendergast, D</w:t>
            </w:r>
            <w:r>
              <w:rPr>
                <w:bCs/>
              </w:rPr>
              <w:t xml:space="preserve">irector, </w:t>
            </w:r>
            <w:r w:rsidRPr="00C80D94">
              <w:rPr>
                <w:bCs/>
              </w:rPr>
              <w:t>Policy &amp; Coordination , Family Safety Taskforce, Department of Social Services</w:t>
            </w:r>
          </w:p>
          <w:p w14:paraId="4000D42C" w14:textId="77777777" w:rsidR="00872643" w:rsidRPr="00F92216" w:rsidRDefault="00872643" w:rsidP="00AE0B34">
            <w:pPr>
              <w:rPr>
                <w:bCs/>
              </w:rPr>
            </w:pPr>
          </w:p>
        </w:tc>
        <w:tc>
          <w:tcPr>
            <w:tcW w:w="2327" w:type="dxa"/>
          </w:tcPr>
          <w:p w14:paraId="7AD85F7E" w14:textId="77777777" w:rsidR="00872643" w:rsidRDefault="00872643" w:rsidP="00AE0B34">
            <w:r>
              <w:t>Canberra, ACT</w:t>
            </w:r>
          </w:p>
        </w:tc>
      </w:tr>
      <w:tr w:rsidR="00872643" w14:paraId="6FA81B3A" w14:textId="77777777" w:rsidTr="00AE0B34">
        <w:tc>
          <w:tcPr>
            <w:tcW w:w="1394" w:type="dxa"/>
          </w:tcPr>
          <w:p w14:paraId="423B9320" w14:textId="77777777" w:rsidR="00872643" w:rsidRPr="00371D3A" w:rsidRDefault="00872643" w:rsidP="00AE0B34">
            <w:pPr>
              <w:spacing w:before="0" w:after="0"/>
            </w:pPr>
            <w:r w:rsidRPr="00371D3A">
              <w:t>09.07.15</w:t>
            </w:r>
          </w:p>
        </w:tc>
        <w:tc>
          <w:tcPr>
            <w:tcW w:w="5339" w:type="dxa"/>
          </w:tcPr>
          <w:p w14:paraId="0288044D" w14:textId="01556D47" w:rsidR="00872643" w:rsidRPr="00371D3A" w:rsidRDefault="00872643" w:rsidP="009F6831">
            <w:pPr>
              <w:spacing w:before="0" w:after="0"/>
            </w:pPr>
            <w:r>
              <w:t xml:space="preserve">Rosie Batty, 2015 Australian of the Year, </w:t>
            </w:r>
            <w:r w:rsidR="009F6831">
              <w:t>A</w:t>
            </w:r>
            <w:r>
              <w:t>dvocate</w:t>
            </w:r>
          </w:p>
        </w:tc>
        <w:tc>
          <w:tcPr>
            <w:tcW w:w="2327" w:type="dxa"/>
          </w:tcPr>
          <w:p w14:paraId="3719B100" w14:textId="77777777" w:rsidR="00872643" w:rsidRPr="00371D3A" w:rsidRDefault="00872643" w:rsidP="00AE0B34">
            <w:pPr>
              <w:spacing w:before="0" w:after="0"/>
            </w:pPr>
            <w:r>
              <w:t>AHRC, NSW</w:t>
            </w:r>
          </w:p>
        </w:tc>
      </w:tr>
      <w:tr w:rsidR="00872643" w14:paraId="2C4B2110" w14:textId="77777777" w:rsidTr="00AE0B34">
        <w:tc>
          <w:tcPr>
            <w:tcW w:w="1394" w:type="dxa"/>
          </w:tcPr>
          <w:p w14:paraId="1F2962D4" w14:textId="77777777" w:rsidR="00872643" w:rsidRPr="00371D3A" w:rsidRDefault="00872643" w:rsidP="00AE0B34">
            <w:pPr>
              <w:spacing w:before="0" w:after="0"/>
            </w:pPr>
            <w:r>
              <w:t>21.07.15</w:t>
            </w:r>
          </w:p>
        </w:tc>
        <w:tc>
          <w:tcPr>
            <w:tcW w:w="5339" w:type="dxa"/>
          </w:tcPr>
          <w:p w14:paraId="11C12214" w14:textId="77777777" w:rsidR="00872643" w:rsidRPr="00371D3A" w:rsidRDefault="00872643" w:rsidP="00AE0B34">
            <w:pPr>
              <w:spacing w:before="0" w:after="0"/>
            </w:pPr>
            <w:r>
              <w:t xml:space="preserve">Kristy MacKellar, Advocate </w:t>
            </w:r>
          </w:p>
        </w:tc>
        <w:tc>
          <w:tcPr>
            <w:tcW w:w="2327" w:type="dxa"/>
          </w:tcPr>
          <w:p w14:paraId="3945228C" w14:textId="77777777" w:rsidR="00872643" w:rsidRPr="00371D3A" w:rsidRDefault="00872643" w:rsidP="00AE0B34">
            <w:pPr>
              <w:spacing w:before="0" w:after="0"/>
            </w:pPr>
            <w:r>
              <w:t>Melbourne, VIC</w:t>
            </w:r>
          </w:p>
        </w:tc>
      </w:tr>
      <w:tr w:rsidR="00872643" w14:paraId="4B0656AD" w14:textId="77777777" w:rsidTr="00AE0B34">
        <w:tc>
          <w:tcPr>
            <w:tcW w:w="1394" w:type="dxa"/>
          </w:tcPr>
          <w:p w14:paraId="5940323C" w14:textId="77777777" w:rsidR="00872643" w:rsidRPr="00371D3A" w:rsidRDefault="00872643" w:rsidP="00AE0B34">
            <w:pPr>
              <w:spacing w:before="0" w:after="0"/>
            </w:pPr>
            <w:r>
              <w:t>06.08.15</w:t>
            </w:r>
          </w:p>
        </w:tc>
        <w:tc>
          <w:tcPr>
            <w:tcW w:w="5339" w:type="dxa"/>
          </w:tcPr>
          <w:p w14:paraId="0ED41652" w14:textId="77777777" w:rsidR="00872643" w:rsidRPr="00371D3A" w:rsidRDefault="00872643" w:rsidP="00AE0B34">
            <w:pPr>
              <w:spacing w:before="0" w:after="0"/>
            </w:pPr>
            <w:r>
              <w:t xml:space="preserve">Professor Catherine Humphries, </w:t>
            </w:r>
            <w:r w:rsidRPr="00CB4EC2">
              <w:t>Professor of Social Work</w:t>
            </w:r>
            <w:r>
              <w:t>,</w:t>
            </w:r>
            <w:r w:rsidRPr="00CB4EC2">
              <w:t xml:space="preserve"> University of Melbourn</w:t>
            </w:r>
            <w:r>
              <w:t>e</w:t>
            </w:r>
          </w:p>
        </w:tc>
        <w:tc>
          <w:tcPr>
            <w:tcW w:w="2327" w:type="dxa"/>
          </w:tcPr>
          <w:p w14:paraId="7968F831" w14:textId="77777777" w:rsidR="00872643" w:rsidRPr="00371D3A" w:rsidRDefault="00872643" w:rsidP="00AE0B34">
            <w:pPr>
              <w:spacing w:before="0" w:after="0"/>
            </w:pPr>
            <w:r>
              <w:t>Melbourne, VIC</w:t>
            </w:r>
          </w:p>
        </w:tc>
      </w:tr>
    </w:tbl>
    <w:p w14:paraId="6F9506B7" w14:textId="3C43C070" w:rsidR="00A90ED5" w:rsidRDefault="00A90ED5" w:rsidP="00A90ED5">
      <w:pPr>
        <w:pStyle w:val="Heading2"/>
        <w:numPr>
          <w:ilvl w:val="0"/>
          <w:numId w:val="0"/>
        </w:numPr>
        <w:ind w:left="851" w:hanging="851"/>
      </w:pPr>
      <w:bookmarkStart w:id="225" w:name="_Toc432144050"/>
      <w:bookmarkStart w:id="226" w:name="_Toc432577339"/>
      <w:r>
        <w:t>Appendix 8:</w:t>
      </w:r>
      <w:r w:rsidRPr="00872643">
        <w:t xml:space="preserve"> </w:t>
      </w:r>
      <w:r w:rsidRPr="002D7B35">
        <w:t>ABS Recorded Crime – Victims data about children aged 0 to 17 years who were victims of physical assault and sexual assault</w:t>
      </w:r>
      <w:bookmarkEnd w:id="225"/>
      <w:bookmarkEnd w:id="226"/>
    </w:p>
    <w:p w14:paraId="432F821B" w14:textId="77777777" w:rsidR="00A90ED5" w:rsidRDefault="00A90ED5" w:rsidP="00A90ED5">
      <w:pPr>
        <w:jc w:val="both"/>
      </w:pPr>
      <w:r>
        <w:t>The data in this appendix is drawn from Tables 1-9 of the customised report I obtained from ABS about the ABS Recorded Crime – Victims publication.</w:t>
      </w:r>
    </w:p>
    <w:p w14:paraId="109F27BE" w14:textId="77777777" w:rsidR="00A90ED5" w:rsidRPr="006F6C4D" w:rsidRDefault="00A90ED5" w:rsidP="00A90ED5">
      <w:pPr>
        <w:jc w:val="both"/>
      </w:pPr>
      <w:r w:rsidRPr="006F6C4D">
        <w:t xml:space="preserve">This </w:t>
      </w:r>
      <w:r>
        <w:t>appendix</w:t>
      </w:r>
      <w:r w:rsidRPr="006F6C4D">
        <w:t xml:space="preserve"> presents data about children aged 0 to 17 years who were victims of physical assault and sexual assault offences at a residential location that came to the attention of and were recorded by police during the four year period between 2010 and 2013.</w:t>
      </w:r>
    </w:p>
    <w:p w14:paraId="44C46702" w14:textId="77777777" w:rsidR="00A90ED5" w:rsidRPr="006F6C4D" w:rsidRDefault="00A90ED5" w:rsidP="00A90ED5">
      <w:pPr>
        <w:jc w:val="both"/>
      </w:pPr>
      <w:r w:rsidRPr="006F6C4D">
        <w:t xml:space="preserve">The data that ABS supplied me with was disaggregated by each of the four years between 2010 and 2013. I have presented the data in this </w:t>
      </w:r>
      <w:r>
        <w:t>appendix</w:t>
      </w:r>
      <w:r w:rsidRPr="006F6C4D">
        <w:t xml:space="preserve"> in its aggregate form as one four-year period derived from the data ABS provided</w:t>
      </w:r>
      <w:r>
        <w:t>.</w:t>
      </w:r>
    </w:p>
    <w:p w14:paraId="3DB0A067" w14:textId="77777777" w:rsidR="00A90ED5" w:rsidRPr="006F6C4D" w:rsidRDefault="00A90ED5" w:rsidP="00A90ED5">
      <w:pPr>
        <w:jc w:val="both"/>
      </w:pPr>
      <w:r w:rsidRPr="006F6C4D">
        <w:t>The data does not capture incidents that never came to the attention of police or incidents that occurred in a location other than a residential location.</w:t>
      </w:r>
    </w:p>
    <w:p w14:paraId="3C065FBE" w14:textId="77777777" w:rsidR="00A90ED5" w:rsidRPr="006F6C4D" w:rsidRDefault="00A90ED5" w:rsidP="00A90ED5">
      <w:pPr>
        <w:jc w:val="both"/>
      </w:pPr>
      <w:r w:rsidRPr="006F6C4D">
        <w:t xml:space="preserve">The data presented in this </w:t>
      </w:r>
      <w:r>
        <w:t>appendix</w:t>
      </w:r>
      <w:r w:rsidRPr="006F6C4D">
        <w:t xml:space="preserve"> does not count the number of unique child victims. A single child can appear in multiple offence categories and so it is not meaningful to aggregate the number of child victims across the physical assault and sexual assault offence types.</w:t>
      </w:r>
      <w:r w:rsidRPr="006F6C4D">
        <w:rPr>
          <w:rStyle w:val="EndnoteReference"/>
        </w:rPr>
        <w:endnoteReference w:id="710"/>
      </w:r>
      <w:r w:rsidRPr="006F6C4D">
        <w:t xml:space="preserve"> </w:t>
      </w:r>
    </w:p>
    <w:p w14:paraId="5B93CB12" w14:textId="77777777" w:rsidR="00A90ED5" w:rsidRDefault="00A90ED5" w:rsidP="00A90ED5">
      <w:pPr>
        <w:jc w:val="both"/>
      </w:pPr>
      <w:r>
        <w:t xml:space="preserve">The same child can also be counted as a victim multiple times for the same offence within a single year as well as over the course of the four year period between 2010 and 2013. </w:t>
      </w:r>
    </w:p>
    <w:p w14:paraId="4FE26394" w14:textId="77777777" w:rsidR="00A90ED5" w:rsidRPr="004D3D86" w:rsidRDefault="00A90ED5" w:rsidP="00A90ED5">
      <w:pPr>
        <w:jc w:val="both"/>
      </w:pPr>
      <w:r w:rsidRPr="004D3D86">
        <w:t xml:space="preserve">For </w:t>
      </w:r>
      <w:r>
        <w:t>these</w:t>
      </w:r>
      <w:r w:rsidRPr="004D3D86">
        <w:t xml:space="preserve"> reason</w:t>
      </w:r>
      <w:r>
        <w:t>s</w:t>
      </w:r>
      <w:r w:rsidRPr="004D3D86">
        <w:t>, the physical assault and sexual assault data is presented separately.</w:t>
      </w:r>
    </w:p>
    <w:p w14:paraId="3B131023" w14:textId="77777777" w:rsidR="00A90ED5" w:rsidRPr="004D3D86" w:rsidRDefault="00A90ED5" w:rsidP="00A90ED5">
      <w:pPr>
        <w:jc w:val="both"/>
      </w:pPr>
      <w:r w:rsidRPr="004D3D86">
        <w:t>A residential location is defined by ABS as any location containing a permanent or semi-permanent dwelling used for private or commercial residential purposes. This definition may encompass any surrounding land/yard connected to the dwelling, together with any other structures existing at the location.</w:t>
      </w:r>
      <w:r w:rsidRPr="004D3D86">
        <w:rPr>
          <w:rStyle w:val="EndnoteReference"/>
        </w:rPr>
        <w:endnoteReference w:id="711"/>
      </w:r>
    </w:p>
    <w:p w14:paraId="655EF3B7" w14:textId="77777777" w:rsidR="00A90ED5" w:rsidRPr="004D3D86" w:rsidRDefault="00A90ED5" w:rsidP="00A90ED5">
      <w:pPr>
        <w:jc w:val="both"/>
      </w:pPr>
      <w:r w:rsidRPr="004D3D86">
        <w:t>The ABS defines assault as the direct (and immediate/confrontational) infliction of force, injury, or violence upon a child or children, or the direct (and immediate/confrontational) threat of force, injury or violence where there is an apprehension that the threat could be enacted.</w:t>
      </w:r>
      <w:r w:rsidRPr="004D3D86">
        <w:rPr>
          <w:rStyle w:val="EndnoteReference"/>
        </w:rPr>
        <w:endnoteReference w:id="712"/>
      </w:r>
    </w:p>
    <w:p w14:paraId="06B8ADFE" w14:textId="77777777" w:rsidR="00A90ED5" w:rsidRDefault="00A90ED5" w:rsidP="00A90ED5">
      <w:pPr>
        <w:jc w:val="both"/>
      </w:pPr>
      <w:r w:rsidRPr="004D3D86">
        <w:t>Sexual assault is defined by ABS as physical contact, or intent of contact, of a sexual nature directed toward another person where that person does not give consent, gives consent as a result of intimidation or deception, or consent is proscribed (i.e. the person is legally deemed incapable of giving consent because of youth, temporary/permanent (mental) incapacity or there is a familial relationship.</w:t>
      </w:r>
      <w:r w:rsidRPr="004D3D86">
        <w:rPr>
          <w:rStyle w:val="EndnoteReference"/>
        </w:rPr>
        <w:endnoteReference w:id="713"/>
      </w:r>
    </w:p>
    <w:p w14:paraId="75F79C12" w14:textId="77777777" w:rsidR="00A90ED5" w:rsidRDefault="00A90ED5" w:rsidP="00A90ED5">
      <w:pPr>
        <w:jc w:val="both"/>
      </w:pPr>
      <w:r w:rsidRPr="00D2738E">
        <w:t xml:space="preserve">The data presented in this publication has been </w:t>
      </w:r>
      <w:r w:rsidRPr="0029615E">
        <w:t>confidentialised</w:t>
      </w:r>
      <w:r w:rsidRPr="00D2738E">
        <w:t xml:space="preserve"> to prevent identification of victims. Table cells containing small values have been randomly adjusted to avoid releasing confidential information. Due to this randomisation process, totals may vary slightly across tables. These adjustments do not impair the</w:t>
      </w:r>
      <w:r>
        <w:t xml:space="preserve"> value of the tables as a whole.</w:t>
      </w:r>
      <w:r>
        <w:rPr>
          <w:rStyle w:val="EndnoteReference"/>
        </w:rPr>
        <w:endnoteReference w:id="714"/>
      </w:r>
    </w:p>
    <w:p w14:paraId="372B6496" w14:textId="77777777" w:rsidR="00A90ED5" w:rsidRDefault="00A90ED5" w:rsidP="00A90ED5">
      <w:pPr>
        <w:jc w:val="both"/>
      </w:pPr>
      <w:r>
        <w:t>A small number of child v</w:t>
      </w:r>
      <w:r w:rsidRPr="00D2738E">
        <w:t>ictims for whom sex was not specified</w:t>
      </w:r>
      <w:r>
        <w:t xml:space="preserve"> are not</w:t>
      </w:r>
      <w:r w:rsidRPr="00D2738E">
        <w:t xml:space="preserve"> counted in the males/females part </w:t>
      </w:r>
      <w:r>
        <w:t>of the data</w:t>
      </w:r>
      <w:r w:rsidRPr="00D2738E">
        <w:t xml:space="preserve"> but are counted in the persons part</w:t>
      </w:r>
      <w:r>
        <w:t xml:space="preserve">. </w:t>
      </w:r>
      <w:r w:rsidRPr="00D2738E">
        <w:t>This is why when you add males plus females it will sometimes fall sh</w:t>
      </w:r>
      <w:r>
        <w:t>ort of the total persons count.</w:t>
      </w:r>
    </w:p>
    <w:p w14:paraId="16BEA6B0" w14:textId="77777777" w:rsidR="00A90ED5" w:rsidRDefault="00A90ED5" w:rsidP="00A90ED5">
      <w:pPr>
        <w:jc w:val="both"/>
      </w:pPr>
      <w:r>
        <w:t>The physical assault and sexual assault data presented in this appendix describes the offender’s relationship to the child victim. The offender’s relationship to the child victim is recorded by police as that perceived by the child at the time of the offence.</w:t>
      </w:r>
      <w:r>
        <w:rPr>
          <w:rStyle w:val="EndnoteReference"/>
        </w:rPr>
        <w:endnoteReference w:id="715"/>
      </w:r>
    </w:p>
    <w:p w14:paraId="2B0D5966" w14:textId="77777777" w:rsidR="00A90ED5" w:rsidRDefault="00A90ED5" w:rsidP="00A90ED5">
      <w:pPr>
        <w:jc w:val="both"/>
      </w:pPr>
      <w:r>
        <w:t>In some cases the total number of child victims of physical assault and sexual assault is greater than the sum of the separate offender categories because the total sum includes ‘no offender identified’ and ‘not stated/inadequately described’.</w:t>
      </w:r>
    </w:p>
    <w:p w14:paraId="3A2B5F05" w14:textId="77777777" w:rsidR="00A90ED5" w:rsidRDefault="00A90ED5" w:rsidP="00A90ED5">
      <w:pPr>
        <w:jc w:val="both"/>
      </w:pPr>
      <w:r>
        <w:t>There are some inconsistencies in the coding of offender types between current and former boyfriends and girlfriends across the jurisdictions, which should be taken into account when making comparisons:</w:t>
      </w:r>
    </w:p>
    <w:p w14:paraId="2CE908CD" w14:textId="77777777" w:rsidR="00A90ED5" w:rsidRDefault="00A90ED5" w:rsidP="00A90ED5">
      <w:pPr>
        <w:ind w:firstLine="360"/>
        <w:jc w:val="both"/>
      </w:pPr>
      <w:r>
        <w:t>Boyfriend/girlfriend:</w:t>
      </w:r>
    </w:p>
    <w:p w14:paraId="03036CFA" w14:textId="77777777" w:rsidR="00A90ED5" w:rsidRDefault="00A90ED5" w:rsidP="000D1D92">
      <w:pPr>
        <w:pStyle w:val="ListParagraph"/>
        <w:numPr>
          <w:ilvl w:val="0"/>
          <w:numId w:val="47"/>
        </w:numPr>
        <w:jc w:val="both"/>
      </w:pPr>
      <w:r>
        <w:t xml:space="preserve">for New South Wales, Victoria, Queensland, South Australia and Tasmania, boyfriend and girlfriend are coded to ‘boyfriend/girlfriend’ </w:t>
      </w:r>
    </w:p>
    <w:p w14:paraId="357877C1" w14:textId="77777777" w:rsidR="00A90ED5" w:rsidRDefault="00A90ED5" w:rsidP="000D1D92">
      <w:pPr>
        <w:pStyle w:val="ListParagraph"/>
        <w:numPr>
          <w:ilvl w:val="0"/>
          <w:numId w:val="47"/>
        </w:numPr>
        <w:jc w:val="both"/>
      </w:pPr>
      <w:r>
        <w:t>for the Northern Territory, some boyfriends and girlfriends may be included in 'Other non-family member not elsewhere classified' or in 'Partner'</w:t>
      </w:r>
    </w:p>
    <w:p w14:paraId="69970526" w14:textId="77777777" w:rsidR="00A90ED5" w:rsidRDefault="00A90ED5" w:rsidP="000D1D92">
      <w:pPr>
        <w:pStyle w:val="ListParagraph"/>
        <w:numPr>
          <w:ilvl w:val="0"/>
          <w:numId w:val="47"/>
        </w:numPr>
        <w:jc w:val="both"/>
      </w:pPr>
      <w:r>
        <w:t>for the Australian Capital Territory, boyfriend and girlfriend are coded to 'Partner'</w:t>
      </w:r>
    </w:p>
    <w:p w14:paraId="61AD7212" w14:textId="77777777" w:rsidR="00A90ED5" w:rsidRDefault="00A90ED5" w:rsidP="00A90ED5">
      <w:pPr>
        <w:ind w:firstLine="360"/>
        <w:jc w:val="both"/>
      </w:pPr>
      <w:r>
        <w:t>Ex-boyfriend/ex-girlfriend:</w:t>
      </w:r>
    </w:p>
    <w:p w14:paraId="55FE12A0" w14:textId="77777777" w:rsidR="00A90ED5" w:rsidRDefault="00A90ED5" w:rsidP="000D1D92">
      <w:pPr>
        <w:pStyle w:val="ListParagraph"/>
        <w:numPr>
          <w:ilvl w:val="0"/>
          <w:numId w:val="48"/>
        </w:numPr>
        <w:jc w:val="both"/>
      </w:pPr>
      <w:r>
        <w:t>for Queensland, Victoria, South Australia and Tasmania ex-boyfriends and ex-girlfriends are coded to ‘ex-boyfriend/ex-girlfriend’</w:t>
      </w:r>
    </w:p>
    <w:p w14:paraId="0F1D6828" w14:textId="77777777" w:rsidR="00A90ED5" w:rsidRDefault="00A90ED5" w:rsidP="000D1D92">
      <w:pPr>
        <w:pStyle w:val="ListParagraph"/>
        <w:numPr>
          <w:ilvl w:val="0"/>
          <w:numId w:val="48"/>
        </w:numPr>
        <w:jc w:val="both"/>
      </w:pPr>
      <w:r>
        <w:t>for New South Wales, ex-boyfriends and ex-girlfriends are coded to 'Boyfriend/girlfriend'</w:t>
      </w:r>
    </w:p>
    <w:p w14:paraId="76318CD0" w14:textId="77777777" w:rsidR="00A90ED5" w:rsidRDefault="00A90ED5" w:rsidP="000D1D92">
      <w:pPr>
        <w:pStyle w:val="ListParagraph"/>
        <w:numPr>
          <w:ilvl w:val="0"/>
          <w:numId w:val="48"/>
        </w:numPr>
        <w:jc w:val="both"/>
      </w:pPr>
      <w:r>
        <w:t>for the Northern Territory and the Australian Capital Territory, ex-boyfriends and ex-girlfriends are coded to ‘Ex-partner’.</w:t>
      </w:r>
      <w:r>
        <w:rPr>
          <w:rStyle w:val="EndnoteReference"/>
        </w:rPr>
        <w:endnoteReference w:id="716"/>
      </w:r>
    </w:p>
    <w:p w14:paraId="65F3EFF0" w14:textId="77777777" w:rsidR="00A90ED5" w:rsidRDefault="00A90ED5" w:rsidP="00A90ED5">
      <w:pPr>
        <w:jc w:val="both"/>
      </w:pPr>
      <w:r>
        <w:t>The data presented in this appendix is disaggregated by the type of offender:</w:t>
      </w:r>
    </w:p>
    <w:p w14:paraId="5A48A513" w14:textId="77777777" w:rsidR="00A90ED5" w:rsidRDefault="00A90ED5" w:rsidP="000D1D92">
      <w:pPr>
        <w:pStyle w:val="ListParagraph"/>
        <w:numPr>
          <w:ilvl w:val="0"/>
          <w:numId w:val="49"/>
        </w:numPr>
        <w:jc w:val="both"/>
      </w:pPr>
      <w:r>
        <w:t>parent</w:t>
      </w:r>
    </w:p>
    <w:p w14:paraId="2FF1B068" w14:textId="77777777" w:rsidR="00A90ED5" w:rsidRDefault="00A90ED5" w:rsidP="000D1D92">
      <w:pPr>
        <w:pStyle w:val="ListParagraph"/>
        <w:numPr>
          <w:ilvl w:val="0"/>
          <w:numId w:val="49"/>
        </w:numPr>
        <w:jc w:val="both"/>
      </w:pPr>
      <w:r>
        <w:t>partner (includes boyfriend/girlfriend in some states and territories)</w:t>
      </w:r>
    </w:p>
    <w:p w14:paraId="66094BD6" w14:textId="77777777" w:rsidR="00A90ED5" w:rsidRDefault="00A90ED5" w:rsidP="000D1D92">
      <w:pPr>
        <w:pStyle w:val="ListParagraph"/>
        <w:numPr>
          <w:ilvl w:val="0"/>
          <w:numId w:val="49"/>
        </w:numPr>
        <w:jc w:val="both"/>
      </w:pPr>
      <w:r>
        <w:t>sibling</w:t>
      </w:r>
    </w:p>
    <w:p w14:paraId="0DAF4A94" w14:textId="77777777" w:rsidR="00A90ED5" w:rsidRDefault="00A90ED5" w:rsidP="000D1D92">
      <w:pPr>
        <w:pStyle w:val="ListParagraph"/>
        <w:numPr>
          <w:ilvl w:val="0"/>
          <w:numId w:val="49"/>
        </w:numPr>
        <w:jc w:val="both"/>
      </w:pPr>
      <w:r>
        <w:t xml:space="preserve">other family member (includes sibling for some states and territories) </w:t>
      </w:r>
    </w:p>
    <w:p w14:paraId="18CCD095" w14:textId="77777777" w:rsidR="00A90ED5" w:rsidRDefault="00A90ED5" w:rsidP="000D1D92">
      <w:pPr>
        <w:pStyle w:val="ListParagraph"/>
        <w:numPr>
          <w:ilvl w:val="0"/>
          <w:numId w:val="49"/>
        </w:numPr>
        <w:jc w:val="both"/>
      </w:pPr>
      <w:r>
        <w:t>non-family member known to the victim (includes ex-partner, ex-boyfriend/girlfriend for some states and territories, and other non-family members not related to the victim such as foster parents, teachers, acquaintances, colleagues and friends).</w:t>
      </w:r>
    </w:p>
    <w:p w14:paraId="046A9C2E" w14:textId="77777777" w:rsidR="00A90ED5" w:rsidRDefault="00A90ED5" w:rsidP="000D1D92">
      <w:pPr>
        <w:pStyle w:val="ListParagraph"/>
        <w:numPr>
          <w:ilvl w:val="0"/>
          <w:numId w:val="48"/>
        </w:numPr>
        <w:jc w:val="both"/>
      </w:pPr>
      <w:r>
        <w:t>stranger.</w:t>
      </w:r>
      <w:r>
        <w:rPr>
          <w:rStyle w:val="EndnoteReference"/>
        </w:rPr>
        <w:endnoteReference w:id="717"/>
      </w:r>
    </w:p>
    <w:p w14:paraId="08F63F18" w14:textId="77777777" w:rsidR="00A90ED5" w:rsidRDefault="00A90ED5" w:rsidP="00A90ED5">
      <w:pPr>
        <w:jc w:val="both"/>
      </w:pPr>
      <w:r>
        <w:t>The data in this appendix is also disaggregated by the sex of the child victim (male and female) and their age (0 to 9 years, 10 to 14 years and 15 to 17 years).</w:t>
      </w:r>
    </w:p>
    <w:p w14:paraId="69DF3FE7" w14:textId="77777777" w:rsidR="00A90ED5" w:rsidRDefault="00A90ED5" w:rsidP="00A90ED5">
      <w:pPr>
        <w:jc w:val="both"/>
      </w:pPr>
      <w:r>
        <w:t>Due to some jurisdictions not complying with the National Crime Recording Standard (NCRS)</w:t>
      </w:r>
      <w:r>
        <w:rPr>
          <w:rStyle w:val="EndnoteReference"/>
        </w:rPr>
        <w:endnoteReference w:id="718"/>
      </w:r>
      <w:r>
        <w:t xml:space="preserve"> and the data quality requirements for national reporting of Aboriginal and Torres Strait Islander status, ABS was not able to provide the data about child victims in a uniform or consistent way between the physical assault and sexual assault data.</w:t>
      </w:r>
    </w:p>
    <w:p w14:paraId="34A365FF" w14:textId="77777777" w:rsidR="00A90ED5" w:rsidRDefault="00A90ED5" w:rsidP="00A90ED5">
      <w:pPr>
        <w:jc w:val="both"/>
      </w:pPr>
      <w:r>
        <w:t>Physical assault data is provided for New South Wales, South Australia, the Northern Territory and the Australian Capital Territory only. Aboriginal and Torres Strait Islander status data about child victims of physical assault was not provided for the Australian Capital Territory. Data about sibling offenders of physical assault was provided for New South Wales and South Australia only.</w:t>
      </w:r>
    </w:p>
    <w:p w14:paraId="7B8CC2BF" w14:textId="77777777" w:rsidR="00A90ED5" w:rsidRDefault="00A90ED5" w:rsidP="00A90ED5">
      <w:pPr>
        <w:jc w:val="both"/>
      </w:pPr>
      <w:r>
        <w:t>Similarly, sexual assault data is provided for New South Wales, Queensland, Victoria, South Australia, Tasmania, the Northern Territory and the Australian Capital Territory only. Aboriginal and Torres Strait Islander status data about child victims of sexual assault was not provided other than for New South Wales and Queensland.</w:t>
      </w:r>
    </w:p>
    <w:p w14:paraId="621814CB" w14:textId="77777777" w:rsidR="00A90ED5" w:rsidRDefault="00A90ED5" w:rsidP="00A90ED5">
      <w:pPr>
        <w:jc w:val="both"/>
      </w:pPr>
      <w:r>
        <w:t>The level of detail able to be released for the offender categories varies across the state and territories. Data about sibling offenders of physical assault, for example, was provided for New South Wales and Victoria. Data about sibling offenders of physical assault, however, could not be outputted for the Northern Territory or the Australia Capital Territory without there being a risk of identifying individuals.</w:t>
      </w:r>
    </w:p>
    <w:p w14:paraId="50E28FE1" w14:textId="77777777" w:rsidR="00A90ED5" w:rsidRDefault="00A90ED5" w:rsidP="00A90ED5">
      <w:pPr>
        <w:jc w:val="both"/>
      </w:pPr>
      <w:r>
        <w:t>The ABS provided me with the most detailed data possible about child victims of physical assault and sexual assault. This appendix presents the data that ABS provided me with.</w:t>
      </w:r>
    </w:p>
    <w:p w14:paraId="1EB6864E" w14:textId="3D1E0B08" w:rsidR="00A90ED5" w:rsidRPr="00B44877" w:rsidRDefault="00A90ED5" w:rsidP="00E51B5E">
      <w:pPr>
        <w:pStyle w:val="Heading3"/>
        <w:numPr>
          <w:ilvl w:val="0"/>
          <w:numId w:val="0"/>
        </w:numPr>
        <w:ind w:left="851" w:hanging="851"/>
      </w:pPr>
      <w:bookmarkStart w:id="227" w:name="_Toc429579650"/>
      <w:bookmarkStart w:id="228" w:name="_Toc430168454"/>
      <w:bookmarkStart w:id="229" w:name="_Toc432144051"/>
      <w:r>
        <w:t xml:space="preserve">8.1 </w:t>
      </w:r>
      <w:r w:rsidRPr="00507EC0">
        <w:t>ABS data about child victims of</w:t>
      </w:r>
      <w:r>
        <w:t xml:space="preserve"> </w:t>
      </w:r>
      <w:r w:rsidRPr="00507EC0">
        <w:t>physical assault in a residential</w:t>
      </w:r>
      <w:r w:rsidRPr="00B44877">
        <w:t xml:space="preserve"> location aged 0 to 17 years</w:t>
      </w:r>
      <w:bookmarkEnd w:id="227"/>
      <w:bookmarkEnd w:id="228"/>
      <w:bookmarkEnd w:id="229"/>
    </w:p>
    <w:p w14:paraId="5B4B1076" w14:textId="77777777" w:rsidR="00A90ED5" w:rsidRPr="004029FF" w:rsidRDefault="00A90ED5" w:rsidP="00A90ED5">
      <w:pPr>
        <w:jc w:val="both"/>
      </w:pPr>
      <w:r>
        <w:t xml:space="preserve">The physical assault data in this appendix is drawn from Tables 1-4 of the customised </w:t>
      </w:r>
      <w:r w:rsidRPr="00507EC0">
        <w:rPr>
          <w:rFonts w:cs="Arial"/>
        </w:rPr>
        <w:t>report I obtained from ABS about the ABS Recorded Crime – Victims publication.</w:t>
      </w:r>
    </w:p>
    <w:p w14:paraId="69C36C8F" w14:textId="4FFADFD7" w:rsidR="00A90ED5" w:rsidRPr="00507EC0" w:rsidRDefault="00E51B5E" w:rsidP="00E51B5E">
      <w:pPr>
        <w:pStyle w:val="Heading4"/>
        <w:numPr>
          <w:ilvl w:val="0"/>
          <w:numId w:val="0"/>
        </w:numPr>
        <w:ind w:left="851" w:hanging="851"/>
      </w:pPr>
      <w:bookmarkStart w:id="230" w:name="_Toc430168455"/>
      <w:bookmarkStart w:id="231" w:name="_Toc432144052"/>
      <w:r>
        <w:t xml:space="preserve">8.1.1 </w:t>
      </w:r>
      <w:r w:rsidR="00A90ED5" w:rsidRPr="00507EC0">
        <w:t>New South Wales data about child victims of physical assault in a residential location</w:t>
      </w:r>
      <w:bookmarkEnd w:id="230"/>
      <w:bookmarkEnd w:id="231"/>
    </w:p>
    <w:p w14:paraId="0928A728" w14:textId="77777777" w:rsidR="00A90ED5" w:rsidRPr="006C5890" w:rsidRDefault="00A90ED5" w:rsidP="00A90ED5">
      <w:pPr>
        <w:jc w:val="both"/>
      </w:pPr>
      <w:r>
        <w:t xml:space="preserve">In New South Wales between 2010 and 2013 there were </w:t>
      </w:r>
      <w:r>
        <w:rPr>
          <w:b/>
        </w:rPr>
        <w:t>17,602 police recorded</w:t>
      </w:r>
      <w:r w:rsidRPr="00302855">
        <w:rPr>
          <w:b/>
        </w:rPr>
        <w:t xml:space="preserve"> child victims of </w:t>
      </w:r>
      <w:r>
        <w:rPr>
          <w:b/>
        </w:rPr>
        <w:t xml:space="preserve">physical </w:t>
      </w:r>
      <w:r w:rsidRPr="00302855">
        <w:rPr>
          <w:b/>
        </w:rPr>
        <w:t>assault</w:t>
      </w:r>
      <w:r>
        <w:rPr>
          <w:b/>
        </w:rPr>
        <w:t xml:space="preserve"> in a residential location</w:t>
      </w:r>
      <w:r>
        <w:t>:</w:t>
      </w:r>
    </w:p>
    <w:p w14:paraId="77A17103" w14:textId="77777777" w:rsidR="00A90ED5" w:rsidRPr="001637FB" w:rsidRDefault="00A90ED5" w:rsidP="000D1D92">
      <w:pPr>
        <w:pStyle w:val="ListParagraph"/>
        <w:numPr>
          <w:ilvl w:val="0"/>
          <w:numId w:val="51"/>
        </w:numPr>
        <w:jc w:val="both"/>
        <w:rPr>
          <w:sz w:val="22"/>
          <w:szCs w:val="22"/>
        </w:rPr>
      </w:pPr>
      <w:r w:rsidRPr="001637FB">
        <w:rPr>
          <w:b/>
          <w:sz w:val="22"/>
          <w:szCs w:val="22"/>
        </w:rPr>
        <w:t>Aboriginal and Torres Strait Islander children accounted for 10.75%</w:t>
      </w:r>
      <w:r w:rsidRPr="001637FB">
        <w:rPr>
          <w:sz w:val="22"/>
          <w:szCs w:val="22"/>
        </w:rPr>
        <w:t xml:space="preserve"> or 1,893 victims.</w:t>
      </w:r>
    </w:p>
    <w:p w14:paraId="077964DF" w14:textId="77777777" w:rsidR="00A90ED5" w:rsidRPr="001637FB" w:rsidRDefault="00A90ED5" w:rsidP="000D1D92">
      <w:pPr>
        <w:pStyle w:val="ListParagraph"/>
        <w:numPr>
          <w:ilvl w:val="0"/>
          <w:numId w:val="51"/>
        </w:numPr>
        <w:jc w:val="both"/>
        <w:rPr>
          <w:sz w:val="22"/>
          <w:szCs w:val="22"/>
        </w:rPr>
      </w:pPr>
      <w:r w:rsidRPr="001637FB">
        <w:rPr>
          <w:b/>
          <w:sz w:val="22"/>
          <w:szCs w:val="22"/>
        </w:rPr>
        <w:t>Non-Indigenous children accounted for 80.88%</w:t>
      </w:r>
      <w:r w:rsidRPr="001637FB">
        <w:rPr>
          <w:sz w:val="22"/>
          <w:szCs w:val="22"/>
        </w:rPr>
        <w:t xml:space="preserve"> or 14,238 victims.</w:t>
      </w:r>
    </w:p>
    <w:p w14:paraId="571F7E53" w14:textId="77777777" w:rsidR="00A90ED5" w:rsidRPr="001637FB" w:rsidRDefault="00A90ED5" w:rsidP="000D1D92">
      <w:pPr>
        <w:pStyle w:val="ListParagraph"/>
        <w:numPr>
          <w:ilvl w:val="0"/>
          <w:numId w:val="51"/>
        </w:numPr>
        <w:jc w:val="both"/>
        <w:rPr>
          <w:sz w:val="22"/>
          <w:szCs w:val="22"/>
        </w:rPr>
      </w:pPr>
      <w:r w:rsidRPr="001637FB">
        <w:rPr>
          <w:b/>
          <w:sz w:val="22"/>
          <w:szCs w:val="22"/>
        </w:rPr>
        <w:t>The Indigenous status was unknown for 8.35%</w:t>
      </w:r>
      <w:r w:rsidRPr="001637FB">
        <w:rPr>
          <w:sz w:val="22"/>
          <w:szCs w:val="22"/>
        </w:rPr>
        <w:t xml:space="preserve"> of children or 1,471 victims.</w:t>
      </w:r>
    </w:p>
    <w:p w14:paraId="6E3E22A5" w14:textId="77777777" w:rsidR="00A90ED5" w:rsidRPr="00E51B5E" w:rsidRDefault="00A90ED5" w:rsidP="00E51B5E">
      <w:pPr>
        <w:rPr>
          <w:u w:val="single"/>
        </w:rPr>
      </w:pPr>
      <w:r w:rsidRPr="00E51B5E">
        <w:rPr>
          <w:u w:val="single"/>
        </w:rPr>
        <w:t>Aboriginal and Torres Strait Islander children who were victims of physical assault in a residential location</w:t>
      </w:r>
    </w:p>
    <w:p w14:paraId="60C414BE" w14:textId="77777777" w:rsidR="00A90ED5" w:rsidRDefault="00A90ED5" w:rsidP="00A90ED5">
      <w:pPr>
        <w:jc w:val="both"/>
      </w:pPr>
      <w:r>
        <w:t xml:space="preserve">In New South Wales between 2010 and 2013 there were </w:t>
      </w:r>
      <w:r w:rsidRPr="00205389">
        <w:rPr>
          <w:b/>
        </w:rPr>
        <w:t>1,8</w:t>
      </w:r>
      <w:r>
        <w:rPr>
          <w:b/>
        </w:rPr>
        <w:t>93 police recorded</w:t>
      </w:r>
      <w:r w:rsidRPr="00205389">
        <w:rPr>
          <w:b/>
        </w:rPr>
        <w:t xml:space="preserve"> Aboriginal and Torres Strait I</w:t>
      </w:r>
      <w:r>
        <w:rPr>
          <w:b/>
        </w:rPr>
        <w:t>slander child victims of physical assault in a residential location</w:t>
      </w:r>
      <w:r>
        <w:t>:</w:t>
      </w:r>
    </w:p>
    <w:p w14:paraId="5D5CA027" w14:textId="77777777" w:rsidR="00A90ED5" w:rsidRPr="001637FB" w:rsidRDefault="00A90ED5" w:rsidP="000D1D92">
      <w:pPr>
        <w:pStyle w:val="ListParagraph"/>
        <w:numPr>
          <w:ilvl w:val="0"/>
          <w:numId w:val="50"/>
        </w:numPr>
        <w:jc w:val="both"/>
        <w:rPr>
          <w:sz w:val="22"/>
          <w:szCs w:val="22"/>
        </w:rPr>
      </w:pPr>
      <w:r w:rsidRPr="001637FB">
        <w:rPr>
          <w:b/>
          <w:sz w:val="22"/>
          <w:szCs w:val="22"/>
        </w:rPr>
        <w:t>Non-family members known to the victim accounted for the largest proportion of offenders</w:t>
      </w:r>
      <w:r w:rsidRPr="001637FB">
        <w:rPr>
          <w:sz w:val="22"/>
          <w:szCs w:val="22"/>
        </w:rPr>
        <w:t xml:space="preserve"> (25.67% or 486 victims), followed by </w:t>
      </w:r>
      <w:r w:rsidRPr="001637FB">
        <w:rPr>
          <w:b/>
          <w:sz w:val="22"/>
          <w:szCs w:val="22"/>
        </w:rPr>
        <w:t>parents</w:t>
      </w:r>
      <w:r w:rsidRPr="001637FB">
        <w:rPr>
          <w:sz w:val="22"/>
          <w:szCs w:val="22"/>
        </w:rPr>
        <w:t xml:space="preserve"> (24.14% or 457 victims), then </w:t>
      </w:r>
      <w:r w:rsidRPr="001637FB">
        <w:rPr>
          <w:b/>
          <w:sz w:val="22"/>
          <w:szCs w:val="22"/>
        </w:rPr>
        <w:t>other family members</w:t>
      </w:r>
      <w:r w:rsidRPr="001637FB">
        <w:rPr>
          <w:sz w:val="22"/>
          <w:szCs w:val="22"/>
        </w:rPr>
        <w:t xml:space="preserve"> (17.48% or 331 victims), then </w:t>
      </w:r>
      <w:r w:rsidRPr="001637FB">
        <w:rPr>
          <w:b/>
          <w:sz w:val="22"/>
          <w:szCs w:val="22"/>
        </w:rPr>
        <w:t>siblings</w:t>
      </w:r>
      <w:r w:rsidRPr="001637FB">
        <w:rPr>
          <w:sz w:val="22"/>
          <w:szCs w:val="22"/>
        </w:rPr>
        <w:t xml:space="preserve"> (13.41% or 254 victims), then </w:t>
      </w:r>
      <w:r w:rsidRPr="001637FB">
        <w:rPr>
          <w:b/>
          <w:sz w:val="22"/>
          <w:szCs w:val="22"/>
        </w:rPr>
        <w:t>partners</w:t>
      </w:r>
      <w:r w:rsidRPr="001637FB">
        <w:rPr>
          <w:sz w:val="22"/>
          <w:szCs w:val="22"/>
        </w:rPr>
        <w:t xml:space="preserve"> (11.93% or 226 victims), and then </w:t>
      </w:r>
      <w:r w:rsidRPr="001637FB">
        <w:rPr>
          <w:b/>
          <w:sz w:val="22"/>
          <w:szCs w:val="22"/>
        </w:rPr>
        <w:t>strangers</w:t>
      </w:r>
      <w:r w:rsidRPr="001637FB">
        <w:rPr>
          <w:sz w:val="22"/>
          <w:szCs w:val="22"/>
        </w:rPr>
        <w:t xml:space="preserve"> (3.75% or 71 victims).</w:t>
      </w:r>
    </w:p>
    <w:p w14:paraId="4578DDEC" w14:textId="77777777" w:rsidR="00A90ED5" w:rsidRPr="001637FB" w:rsidRDefault="00A90ED5" w:rsidP="000D1D92">
      <w:pPr>
        <w:pStyle w:val="ListParagraph"/>
        <w:numPr>
          <w:ilvl w:val="0"/>
          <w:numId w:val="50"/>
        </w:numPr>
        <w:jc w:val="both"/>
        <w:rPr>
          <w:sz w:val="22"/>
          <w:szCs w:val="22"/>
        </w:rPr>
      </w:pPr>
      <w:r w:rsidRPr="001637FB">
        <w:rPr>
          <w:b/>
          <w:sz w:val="22"/>
          <w:szCs w:val="22"/>
        </w:rPr>
        <w:t>Male children aged 0 to 9 years</w:t>
      </w:r>
      <w:r w:rsidRPr="001637FB">
        <w:rPr>
          <w:sz w:val="22"/>
          <w:szCs w:val="22"/>
        </w:rPr>
        <w:t xml:space="preserve"> accounted for the largest proportion of child victims who </w:t>
      </w:r>
      <w:r w:rsidRPr="001637FB">
        <w:rPr>
          <w:b/>
          <w:sz w:val="22"/>
          <w:szCs w:val="22"/>
        </w:rPr>
        <w:t xml:space="preserve">reported the offender was </w:t>
      </w:r>
      <w:r>
        <w:rPr>
          <w:b/>
          <w:sz w:val="22"/>
          <w:szCs w:val="22"/>
        </w:rPr>
        <w:t>their</w:t>
      </w:r>
      <w:r w:rsidRPr="001637FB">
        <w:rPr>
          <w:b/>
          <w:sz w:val="22"/>
          <w:szCs w:val="22"/>
        </w:rPr>
        <w:t xml:space="preserve"> parent</w:t>
      </w:r>
      <w:r w:rsidRPr="001637FB">
        <w:rPr>
          <w:sz w:val="22"/>
          <w:szCs w:val="22"/>
        </w:rPr>
        <w:t xml:space="preserve"> (21.88% or 100 victims).</w:t>
      </w:r>
    </w:p>
    <w:p w14:paraId="48E673D6" w14:textId="77777777" w:rsidR="00A90ED5" w:rsidRPr="001637FB" w:rsidRDefault="00A90ED5" w:rsidP="000D1D92">
      <w:pPr>
        <w:pStyle w:val="ListParagraph"/>
        <w:numPr>
          <w:ilvl w:val="0"/>
          <w:numId w:val="50"/>
        </w:numPr>
        <w:jc w:val="both"/>
        <w:rPr>
          <w:sz w:val="22"/>
          <w:szCs w:val="22"/>
        </w:rPr>
      </w:pPr>
      <w:r w:rsidRPr="001637FB">
        <w:rPr>
          <w:b/>
          <w:sz w:val="22"/>
          <w:szCs w:val="22"/>
        </w:rPr>
        <w:t xml:space="preserve">Female children aged 15 to 17 years </w:t>
      </w:r>
      <w:r w:rsidRPr="001637FB">
        <w:rPr>
          <w:sz w:val="22"/>
          <w:szCs w:val="22"/>
        </w:rPr>
        <w:t>accounted for the largest proportion of child victims who</w:t>
      </w:r>
      <w:r w:rsidRPr="001637FB">
        <w:rPr>
          <w:b/>
          <w:sz w:val="22"/>
          <w:szCs w:val="22"/>
        </w:rPr>
        <w:t xml:space="preserve"> reported the offender was their partner</w:t>
      </w:r>
      <w:r w:rsidRPr="001637FB">
        <w:rPr>
          <w:sz w:val="22"/>
          <w:szCs w:val="22"/>
        </w:rPr>
        <w:t xml:space="preserve"> (84.07% or 190 victims), their</w:t>
      </w:r>
      <w:r w:rsidRPr="001637FB">
        <w:rPr>
          <w:b/>
          <w:sz w:val="22"/>
          <w:szCs w:val="22"/>
        </w:rPr>
        <w:t xml:space="preserve"> sibling</w:t>
      </w:r>
      <w:r w:rsidRPr="001637FB">
        <w:rPr>
          <w:sz w:val="22"/>
          <w:szCs w:val="22"/>
        </w:rPr>
        <w:t xml:space="preserve"> (36.61% or 93 victims), a</w:t>
      </w:r>
      <w:r w:rsidRPr="001637FB">
        <w:rPr>
          <w:b/>
          <w:sz w:val="22"/>
          <w:szCs w:val="22"/>
        </w:rPr>
        <w:t xml:space="preserve"> non-family member known to the victim</w:t>
      </w:r>
      <w:r w:rsidRPr="001637FB">
        <w:rPr>
          <w:sz w:val="22"/>
          <w:szCs w:val="22"/>
        </w:rPr>
        <w:t xml:space="preserve"> (33.74% or 164 victims), a </w:t>
      </w:r>
      <w:r w:rsidRPr="001637FB">
        <w:rPr>
          <w:b/>
          <w:sz w:val="22"/>
          <w:szCs w:val="22"/>
        </w:rPr>
        <w:t>stranger</w:t>
      </w:r>
      <w:r w:rsidRPr="001637FB">
        <w:rPr>
          <w:sz w:val="22"/>
          <w:szCs w:val="22"/>
        </w:rPr>
        <w:t xml:space="preserve"> (30.99% or 22 victims), and some </w:t>
      </w:r>
      <w:r w:rsidRPr="001637FB">
        <w:rPr>
          <w:b/>
          <w:sz w:val="22"/>
          <w:szCs w:val="22"/>
        </w:rPr>
        <w:t xml:space="preserve">other family member </w:t>
      </w:r>
      <w:r w:rsidRPr="001637FB">
        <w:rPr>
          <w:sz w:val="22"/>
          <w:szCs w:val="22"/>
        </w:rPr>
        <w:t>(27.49% or 91 victims).</w:t>
      </w:r>
    </w:p>
    <w:p w14:paraId="4BF6AF0F" w14:textId="77777777" w:rsidR="00A90ED5" w:rsidRDefault="00A90ED5" w:rsidP="00A90ED5">
      <w:pPr>
        <w:jc w:val="both"/>
        <w:rPr>
          <w:highlight w:val="yellow"/>
        </w:rPr>
      </w:pPr>
      <w:r>
        <w:rPr>
          <w:noProof/>
        </w:rPr>
        <w:drawing>
          <wp:inline distT="0" distB="0" distL="0" distR="0" wp14:anchorId="1FF09BFE" wp14:editId="6C9D2122">
            <wp:extent cx="6229350" cy="29908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1A6B5E1" w14:textId="77777777" w:rsidR="00A90ED5" w:rsidRPr="00E51B5E" w:rsidRDefault="00A90ED5" w:rsidP="00E51B5E">
      <w:pPr>
        <w:rPr>
          <w:u w:val="single"/>
        </w:rPr>
      </w:pPr>
      <w:r w:rsidRPr="00E51B5E">
        <w:rPr>
          <w:u w:val="single"/>
        </w:rPr>
        <w:t>Non-Indigenous children who were victims of physical assault in a residential location</w:t>
      </w:r>
    </w:p>
    <w:p w14:paraId="039C5401" w14:textId="77777777" w:rsidR="00A90ED5" w:rsidRDefault="00A90ED5" w:rsidP="00A90ED5">
      <w:pPr>
        <w:jc w:val="both"/>
      </w:pPr>
      <w:r>
        <w:t xml:space="preserve">In New South Wales between 2010 and 2013 there were </w:t>
      </w:r>
      <w:r>
        <w:rPr>
          <w:b/>
        </w:rPr>
        <w:t>14,238</w:t>
      </w:r>
      <w:r w:rsidRPr="000A74F5">
        <w:rPr>
          <w:b/>
        </w:rPr>
        <w:t xml:space="preserve"> </w:t>
      </w:r>
      <w:r>
        <w:rPr>
          <w:b/>
        </w:rPr>
        <w:t xml:space="preserve">police recorded </w:t>
      </w:r>
      <w:r w:rsidRPr="000A74F5">
        <w:rPr>
          <w:b/>
        </w:rPr>
        <w:t xml:space="preserve">non-Indigenous child victims of </w:t>
      </w:r>
      <w:r>
        <w:rPr>
          <w:b/>
        </w:rPr>
        <w:t xml:space="preserve">physical </w:t>
      </w:r>
      <w:r w:rsidRPr="000A74F5">
        <w:rPr>
          <w:b/>
        </w:rPr>
        <w:t>assaul</w:t>
      </w:r>
      <w:r>
        <w:rPr>
          <w:b/>
        </w:rPr>
        <w:t>t in a residential location</w:t>
      </w:r>
      <w:r w:rsidRPr="000A74F5">
        <w:t>:</w:t>
      </w:r>
    </w:p>
    <w:p w14:paraId="1F4F66FC" w14:textId="77777777" w:rsidR="00A90ED5" w:rsidRDefault="00A90ED5" w:rsidP="000D1D92">
      <w:pPr>
        <w:pStyle w:val="ListParagraph"/>
        <w:numPr>
          <w:ilvl w:val="0"/>
          <w:numId w:val="50"/>
        </w:numPr>
        <w:jc w:val="both"/>
      </w:pPr>
      <w:r w:rsidRPr="00321D51">
        <w:rPr>
          <w:b/>
        </w:rPr>
        <w:t>Parents accounted for the largest proportion of offenders</w:t>
      </w:r>
      <w:r w:rsidRPr="007446FB">
        <w:t xml:space="preserve"> (</w:t>
      </w:r>
      <w:r>
        <w:t>35.91</w:t>
      </w:r>
      <w:r w:rsidRPr="007446FB">
        <w:t xml:space="preserve">% or </w:t>
      </w:r>
      <w:r>
        <w:t>5,114</w:t>
      </w:r>
      <w:r w:rsidRPr="007446FB">
        <w:t xml:space="preserve"> victims), </w:t>
      </w:r>
      <w:r w:rsidRPr="000C45ED">
        <w:t xml:space="preserve">followed by </w:t>
      </w:r>
      <w:r w:rsidRPr="00321D51">
        <w:rPr>
          <w:b/>
        </w:rPr>
        <w:t>non-family members</w:t>
      </w:r>
      <w:r>
        <w:rPr>
          <w:b/>
        </w:rPr>
        <w:t xml:space="preserve"> known to the victim</w:t>
      </w:r>
      <w:r w:rsidRPr="007446FB">
        <w:t xml:space="preserve"> (2</w:t>
      </w:r>
      <w:r>
        <w:t>6</w:t>
      </w:r>
      <w:r w:rsidRPr="007446FB">
        <w:t>.</w:t>
      </w:r>
      <w:r>
        <w:t>15</w:t>
      </w:r>
      <w:r w:rsidRPr="007446FB">
        <w:t xml:space="preserve">% or </w:t>
      </w:r>
      <w:r>
        <w:t>3,724</w:t>
      </w:r>
      <w:r w:rsidRPr="007446FB">
        <w:t xml:space="preserve"> victims), </w:t>
      </w:r>
      <w:r w:rsidRPr="000C45ED">
        <w:t>then</w:t>
      </w:r>
      <w:r w:rsidRPr="00321D51">
        <w:rPr>
          <w:b/>
        </w:rPr>
        <w:t xml:space="preserve"> siblings</w:t>
      </w:r>
      <w:r w:rsidRPr="007446FB">
        <w:t xml:space="preserve"> (</w:t>
      </w:r>
      <w:r>
        <w:t>11.65</w:t>
      </w:r>
      <w:r w:rsidRPr="007446FB">
        <w:t xml:space="preserve">% or </w:t>
      </w:r>
      <w:r>
        <w:t>1,659</w:t>
      </w:r>
      <w:r w:rsidRPr="007446FB">
        <w:t xml:space="preserve"> </w:t>
      </w:r>
      <w:r w:rsidRPr="000C45ED">
        <w:t xml:space="preserve">victims), then </w:t>
      </w:r>
      <w:r w:rsidRPr="000C45ED">
        <w:rPr>
          <w:b/>
        </w:rPr>
        <w:t>other</w:t>
      </w:r>
      <w:r w:rsidRPr="00321D51">
        <w:rPr>
          <w:b/>
        </w:rPr>
        <w:t xml:space="preserve"> family members</w:t>
      </w:r>
      <w:r>
        <w:t xml:space="preserve"> (9.43% or 1,344), </w:t>
      </w:r>
      <w:r w:rsidRPr="000C45ED">
        <w:t>then</w:t>
      </w:r>
      <w:r w:rsidRPr="000C45ED">
        <w:rPr>
          <w:b/>
        </w:rPr>
        <w:t xml:space="preserve"> strangers</w:t>
      </w:r>
      <w:r>
        <w:t xml:space="preserve"> (6.39% or 911 victims), and then </w:t>
      </w:r>
      <w:r w:rsidRPr="000C45ED">
        <w:rPr>
          <w:b/>
        </w:rPr>
        <w:t>partners</w:t>
      </w:r>
      <w:r w:rsidRPr="007446FB">
        <w:t xml:space="preserve"> (</w:t>
      </w:r>
      <w:r>
        <w:t>6.22</w:t>
      </w:r>
      <w:r w:rsidRPr="007446FB">
        <w:t xml:space="preserve">% or </w:t>
      </w:r>
      <w:r>
        <w:t>887</w:t>
      </w:r>
      <w:r w:rsidRPr="007446FB">
        <w:t xml:space="preserve"> victims)</w:t>
      </w:r>
      <w:r>
        <w:t>.</w:t>
      </w:r>
    </w:p>
    <w:p w14:paraId="442E8300" w14:textId="77777777" w:rsidR="00A90ED5" w:rsidRDefault="00A90ED5" w:rsidP="000D1D92">
      <w:pPr>
        <w:pStyle w:val="ListParagraph"/>
        <w:numPr>
          <w:ilvl w:val="0"/>
          <w:numId w:val="50"/>
        </w:numPr>
        <w:jc w:val="both"/>
      </w:pPr>
      <w:r w:rsidRPr="00FB7429">
        <w:rPr>
          <w:b/>
        </w:rPr>
        <w:t xml:space="preserve">Male children aged 15 to 17 </w:t>
      </w:r>
      <w:r w:rsidRPr="004B70AB">
        <w:rPr>
          <w:b/>
        </w:rPr>
        <w:t>years</w:t>
      </w:r>
      <w:r w:rsidRPr="006F593D">
        <w:t xml:space="preserve"> accounted for the largest proportion of child victims who</w:t>
      </w:r>
      <w:r w:rsidRPr="00FB7429">
        <w:rPr>
          <w:b/>
        </w:rPr>
        <w:t xml:space="preserve"> reported the offender was a stranger</w:t>
      </w:r>
      <w:r w:rsidRPr="00240529">
        <w:t xml:space="preserve"> (</w:t>
      </w:r>
      <w:r>
        <w:t>47.42</w:t>
      </w:r>
      <w:r w:rsidRPr="00240529">
        <w:t xml:space="preserve">% or </w:t>
      </w:r>
      <w:r>
        <w:t>432</w:t>
      </w:r>
      <w:r w:rsidRPr="00240529">
        <w:t xml:space="preserve"> victims).</w:t>
      </w:r>
    </w:p>
    <w:p w14:paraId="47646C58" w14:textId="77777777" w:rsidR="00A90ED5" w:rsidRDefault="00A90ED5" w:rsidP="000D1D92">
      <w:pPr>
        <w:pStyle w:val="ListParagraph"/>
        <w:numPr>
          <w:ilvl w:val="0"/>
          <w:numId w:val="50"/>
        </w:numPr>
        <w:jc w:val="both"/>
      </w:pPr>
      <w:r w:rsidRPr="00FB7429">
        <w:rPr>
          <w:b/>
        </w:rPr>
        <w:t xml:space="preserve">Female children aged 10 to 14 years and female children aged 15 to 17 years </w:t>
      </w:r>
      <w:r w:rsidRPr="006F593D">
        <w:t>accounted</w:t>
      </w:r>
      <w:r>
        <w:t xml:space="preserve"> for the largest and equal</w:t>
      </w:r>
      <w:r w:rsidRPr="006F593D">
        <w:t xml:space="preserve"> proportion of child victims who</w:t>
      </w:r>
      <w:r>
        <w:rPr>
          <w:b/>
        </w:rPr>
        <w:t xml:space="preserve"> reported the offender was their parent </w:t>
      </w:r>
      <w:r>
        <w:t>(19.08% each or 976 victims each).</w:t>
      </w:r>
    </w:p>
    <w:p w14:paraId="729D4189" w14:textId="77777777" w:rsidR="00A90ED5" w:rsidRPr="00C21855" w:rsidRDefault="00A90ED5" w:rsidP="000D1D92">
      <w:pPr>
        <w:pStyle w:val="ListParagraph"/>
        <w:numPr>
          <w:ilvl w:val="0"/>
          <w:numId w:val="50"/>
        </w:numPr>
        <w:jc w:val="both"/>
      </w:pPr>
      <w:r w:rsidRPr="00FB7429">
        <w:rPr>
          <w:b/>
        </w:rPr>
        <w:t xml:space="preserve">Female children aged 15 to 17 years </w:t>
      </w:r>
      <w:r w:rsidRPr="006F593D">
        <w:t>accounted for the largest proportion of child victims who</w:t>
      </w:r>
      <w:r w:rsidRPr="00FB7429">
        <w:rPr>
          <w:b/>
        </w:rPr>
        <w:t xml:space="preserve"> reported the offender was their partner</w:t>
      </w:r>
      <w:r w:rsidRPr="007446FB">
        <w:t xml:space="preserve"> (</w:t>
      </w:r>
      <w:r>
        <w:t>87.15</w:t>
      </w:r>
      <w:r w:rsidRPr="007446FB">
        <w:t xml:space="preserve">% or </w:t>
      </w:r>
      <w:r>
        <w:t>773</w:t>
      </w:r>
      <w:r w:rsidRPr="007446FB">
        <w:t xml:space="preserve"> victims),</w:t>
      </w:r>
      <w:r>
        <w:t xml:space="preserve"> a </w:t>
      </w:r>
      <w:r>
        <w:rPr>
          <w:b/>
        </w:rPr>
        <w:t xml:space="preserve">non-family member known to the victim </w:t>
      </w:r>
      <w:r w:rsidRPr="007446FB">
        <w:t>(</w:t>
      </w:r>
      <w:r>
        <w:t xml:space="preserve">29.78% or 1109 victims), their </w:t>
      </w:r>
      <w:r w:rsidRPr="00FB7429">
        <w:rPr>
          <w:b/>
        </w:rPr>
        <w:t>sibling</w:t>
      </w:r>
      <w:r w:rsidRPr="007446FB">
        <w:t xml:space="preserve"> (</w:t>
      </w:r>
      <w:r>
        <w:t>29.17</w:t>
      </w:r>
      <w:r w:rsidRPr="007446FB">
        <w:t xml:space="preserve">% or </w:t>
      </w:r>
      <w:r>
        <w:t>484</w:t>
      </w:r>
      <w:r w:rsidRPr="007446FB">
        <w:t xml:space="preserve"> victims), </w:t>
      </w:r>
      <w:r>
        <w:t xml:space="preserve">and some </w:t>
      </w:r>
      <w:r w:rsidRPr="00FB7429">
        <w:rPr>
          <w:b/>
        </w:rPr>
        <w:t>other family member</w:t>
      </w:r>
      <w:r>
        <w:t xml:space="preserve"> </w:t>
      </w:r>
      <w:r w:rsidRPr="007446FB">
        <w:t>(</w:t>
      </w:r>
      <w:r>
        <w:t>26.56</w:t>
      </w:r>
      <w:r w:rsidRPr="007446FB">
        <w:t xml:space="preserve">% or </w:t>
      </w:r>
      <w:r>
        <w:t>357</w:t>
      </w:r>
      <w:r w:rsidRPr="007446FB">
        <w:t xml:space="preserve"> victims).</w:t>
      </w:r>
    </w:p>
    <w:p w14:paraId="15E80F3F" w14:textId="77777777" w:rsidR="00A90ED5" w:rsidRPr="00626946" w:rsidRDefault="00A90ED5" w:rsidP="00A90ED5">
      <w:pPr>
        <w:jc w:val="both"/>
      </w:pPr>
      <w:r>
        <w:rPr>
          <w:noProof/>
        </w:rPr>
        <w:drawing>
          <wp:inline distT="0" distB="0" distL="0" distR="0" wp14:anchorId="630D0897" wp14:editId="060F70C9">
            <wp:extent cx="6162675" cy="326707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29D9BB6" w14:textId="77777777" w:rsidR="00A90ED5" w:rsidRPr="00E51B5E" w:rsidRDefault="00A90ED5" w:rsidP="00E51B5E">
      <w:pPr>
        <w:rPr>
          <w:u w:val="single"/>
        </w:rPr>
      </w:pPr>
      <w:r w:rsidRPr="00E51B5E">
        <w:rPr>
          <w:u w:val="single"/>
        </w:rPr>
        <w:t>Aboriginal and Torres Strait Islander status unknown for child victims of physical assault in a residential location</w:t>
      </w:r>
    </w:p>
    <w:p w14:paraId="736B54F4" w14:textId="77777777" w:rsidR="00A90ED5" w:rsidRDefault="00A90ED5" w:rsidP="00A90ED5">
      <w:pPr>
        <w:jc w:val="both"/>
      </w:pPr>
      <w:r>
        <w:t xml:space="preserve">In New South Wales between 2010 and 2013 there were </w:t>
      </w:r>
      <w:r w:rsidRPr="00756791">
        <w:rPr>
          <w:b/>
        </w:rPr>
        <w:t>1,4</w:t>
      </w:r>
      <w:r>
        <w:rPr>
          <w:b/>
        </w:rPr>
        <w:t>71</w:t>
      </w:r>
      <w:r w:rsidRPr="00205389">
        <w:rPr>
          <w:b/>
        </w:rPr>
        <w:t xml:space="preserve"> </w:t>
      </w:r>
      <w:r>
        <w:rPr>
          <w:b/>
        </w:rPr>
        <w:t>police recorded child victims of physical assault with Indigenous status unknown in a residential location</w:t>
      </w:r>
      <w:r>
        <w:t>:</w:t>
      </w:r>
    </w:p>
    <w:p w14:paraId="77A70B8D" w14:textId="77777777" w:rsidR="00A90ED5" w:rsidRDefault="00A90ED5" w:rsidP="000D1D92">
      <w:pPr>
        <w:pStyle w:val="ListParagraph"/>
        <w:numPr>
          <w:ilvl w:val="0"/>
          <w:numId w:val="52"/>
        </w:numPr>
        <w:jc w:val="both"/>
      </w:pPr>
      <w:r w:rsidRPr="003428C3">
        <w:rPr>
          <w:b/>
        </w:rPr>
        <w:t>Parents accounted for the largest proportion of offenders</w:t>
      </w:r>
      <w:r>
        <w:t xml:space="preserve"> (34.05% or 501 victims), followed by </w:t>
      </w:r>
      <w:r w:rsidRPr="003428C3">
        <w:rPr>
          <w:b/>
        </w:rPr>
        <w:t>non-family members</w:t>
      </w:r>
      <w:r>
        <w:rPr>
          <w:b/>
        </w:rPr>
        <w:t xml:space="preserve"> known to the victim</w:t>
      </w:r>
      <w:r>
        <w:t xml:space="preserve"> (28.75% or 423 victims), then </w:t>
      </w:r>
      <w:r w:rsidRPr="003428C3">
        <w:rPr>
          <w:b/>
        </w:rPr>
        <w:t>siblings</w:t>
      </w:r>
      <w:r>
        <w:t xml:space="preserve"> (11.35% or 167 victims), then </w:t>
      </w:r>
      <w:r w:rsidRPr="003428C3">
        <w:rPr>
          <w:b/>
        </w:rPr>
        <w:t>other family members</w:t>
      </w:r>
      <w:r>
        <w:t xml:space="preserve"> (8.63% or 127 victims), then </w:t>
      </w:r>
      <w:r w:rsidRPr="003428C3">
        <w:rPr>
          <w:b/>
        </w:rPr>
        <w:t>partners</w:t>
      </w:r>
      <w:r>
        <w:t xml:space="preserve"> (7.61% or 112 victims), and then </w:t>
      </w:r>
      <w:r w:rsidRPr="003428C3">
        <w:rPr>
          <w:b/>
        </w:rPr>
        <w:t>strangers</w:t>
      </w:r>
      <w:r>
        <w:t xml:space="preserve"> (5.23% or 77 victims).</w:t>
      </w:r>
    </w:p>
    <w:p w14:paraId="5E731B2E" w14:textId="77777777" w:rsidR="00A90ED5" w:rsidRDefault="00A90ED5" w:rsidP="000D1D92">
      <w:pPr>
        <w:pStyle w:val="ListParagraph"/>
        <w:numPr>
          <w:ilvl w:val="0"/>
          <w:numId w:val="52"/>
        </w:numPr>
        <w:jc w:val="both"/>
      </w:pPr>
      <w:r w:rsidRPr="00F56F85">
        <w:rPr>
          <w:b/>
        </w:rPr>
        <w:t>Male children aged 0 to 9 years</w:t>
      </w:r>
      <w:r w:rsidRPr="00C74640">
        <w:t xml:space="preserve"> </w:t>
      </w:r>
      <w:r w:rsidRPr="00F25FF2">
        <w:rPr>
          <w:b/>
        </w:rPr>
        <w:t>and female children aged 15 to 17 years</w:t>
      </w:r>
      <w:r w:rsidRPr="00C74640">
        <w:t xml:space="preserve"> </w:t>
      </w:r>
      <w:r>
        <w:t xml:space="preserve">accounted for the largest and equal proportion of </w:t>
      </w:r>
      <w:r w:rsidRPr="00C74640">
        <w:t xml:space="preserve">child victims who </w:t>
      </w:r>
      <w:r w:rsidRPr="00C74640">
        <w:rPr>
          <w:b/>
        </w:rPr>
        <w:t xml:space="preserve">reported the offender was </w:t>
      </w:r>
      <w:r>
        <w:rPr>
          <w:b/>
        </w:rPr>
        <w:t>their</w:t>
      </w:r>
      <w:r w:rsidRPr="00C74640">
        <w:rPr>
          <w:b/>
        </w:rPr>
        <w:t xml:space="preserve"> parent</w:t>
      </w:r>
      <w:r>
        <w:t xml:space="preserve"> (20.76% each or 104 victims each).</w:t>
      </w:r>
    </w:p>
    <w:p w14:paraId="00E69067" w14:textId="77777777" w:rsidR="00A90ED5" w:rsidRDefault="00A90ED5" w:rsidP="000D1D92">
      <w:pPr>
        <w:pStyle w:val="ListParagraph"/>
        <w:numPr>
          <w:ilvl w:val="0"/>
          <w:numId w:val="52"/>
        </w:numPr>
        <w:jc w:val="both"/>
      </w:pPr>
      <w:r w:rsidRPr="00080904">
        <w:rPr>
          <w:b/>
        </w:rPr>
        <w:t xml:space="preserve">Male children aged 15 to 17 years </w:t>
      </w:r>
      <w:r w:rsidRPr="00F25FF2">
        <w:t>accounted for the largest proportion of child victims who</w:t>
      </w:r>
      <w:r w:rsidRPr="00080904">
        <w:rPr>
          <w:b/>
        </w:rPr>
        <w:t xml:space="preserve"> reported the offender was a stranger</w:t>
      </w:r>
      <w:r w:rsidRPr="00240529">
        <w:t xml:space="preserve"> (</w:t>
      </w:r>
      <w:r>
        <w:t>46.75</w:t>
      </w:r>
      <w:r w:rsidRPr="00240529">
        <w:t xml:space="preserve">% or </w:t>
      </w:r>
      <w:r>
        <w:t xml:space="preserve">36 victims), </w:t>
      </w:r>
      <w:r w:rsidRPr="00F25FF2">
        <w:t>and a</w:t>
      </w:r>
      <w:r>
        <w:rPr>
          <w:b/>
        </w:rPr>
        <w:t xml:space="preserve"> non-family member known to the victim </w:t>
      </w:r>
      <w:r>
        <w:t>(31.21% or 132 victims).</w:t>
      </w:r>
    </w:p>
    <w:p w14:paraId="283E66FB" w14:textId="77777777" w:rsidR="00A90ED5" w:rsidRDefault="00A90ED5" w:rsidP="000D1D92">
      <w:pPr>
        <w:pStyle w:val="ListParagraph"/>
        <w:numPr>
          <w:ilvl w:val="0"/>
          <w:numId w:val="52"/>
        </w:numPr>
        <w:jc w:val="both"/>
      </w:pPr>
      <w:r w:rsidRPr="00F25FF2">
        <w:rPr>
          <w:b/>
        </w:rPr>
        <w:t xml:space="preserve">Female children aged 15 to 17 years </w:t>
      </w:r>
      <w:r w:rsidRPr="00F25FF2">
        <w:t xml:space="preserve">accounted for the largest proportion of child victims who </w:t>
      </w:r>
      <w:r w:rsidRPr="00F25FF2">
        <w:rPr>
          <w:b/>
        </w:rPr>
        <w:t>reported the offender was their partner</w:t>
      </w:r>
      <w:r w:rsidRPr="007446FB">
        <w:t xml:space="preserve"> (</w:t>
      </w:r>
      <w:r>
        <w:t>85.71</w:t>
      </w:r>
      <w:r w:rsidRPr="007446FB">
        <w:t xml:space="preserve">% or </w:t>
      </w:r>
      <w:r>
        <w:t>96</w:t>
      </w:r>
      <w:r w:rsidRPr="007446FB">
        <w:t xml:space="preserve"> victims), </w:t>
      </w:r>
      <w:r>
        <w:t>their</w:t>
      </w:r>
      <w:r w:rsidRPr="007446FB">
        <w:t xml:space="preserve"> </w:t>
      </w:r>
      <w:r w:rsidRPr="00F25FF2">
        <w:rPr>
          <w:b/>
        </w:rPr>
        <w:t>sibling</w:t>
      </w:r>
      <w:r w:rsidRPr="007446FB">
        <w:t xml:space="preserve"> (</w:t>
      </w:r>
      <w:r>
        <w:t>30.54</w:t>
      </w:r>
      <w:r w:rsidRPr="007446FB">
        <w:t xml:space="preserve">% or </w:t>
      </w:r>
      <w:r>
        <w:t>51</w:t>
      </w:r>
      <w:r w:rsidRPr="007446FB">
        <w:t xml:space="preserve"> victims),</w:t>
      </w:r>
      <w:r>
        <w:t xml:space="preserve"> and</w:t>
      </w:r>
      <w:r w:rsidRPr="007446FB">
        <w:t xml:space="preserve"> some </w:t>
      </w:r>
      <w:r w:rsidRPr="00F25FF2">
        <w:rPr>
          <w:b/>
        </w:rPr>
        <w:t>other family member</w:t>
      </w:r>
      <w:r w:rsidRPr="007446FB">
        <w:t xml:space="preserve"> (</w:t>
      </w:r>
      <w:r>
        <w:t>28.35</w:t>
      </w:r>
      <w:r w:rsidRPr="007446FB">
        <w:t xml:space="preserve">% or </w:t>
      </w:r>
      <w:r>
        <w:t>36</w:t>
      </w:r>
      <w:r w:rsidRPr="007446FB">
        <w:t xml:space="preserve"> victims)</w:t>
      </w:r>
      <w:r>
        <w:t>.</w:t>
      </w:r>
    </w:p>
    <w:p w14:paraId="7D01816D" w14:textId="77777777" w:rsidR="00A90ED5" w:rsidRDefault="00A90ED5" w:rsidP="00A90ED5">
      <w:pPr>
        <w:jc w:val="both"/>
      </w:pPr>
      <w:r>
        <w:rPr>
          <w:noProof/>
        </w:rPr>
        <w:drawing>
          <wp:inline distT="0" distB="0" distL="0" distR="0" wp14:anchorId="19668006" wp14:editId="0C4A3814">
            <wp:extent cx="6124575" cy="3333750"/>
            <wp:effectExtent l="0" t="0" r="952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DCF1A90" w14:textId="77F153B7" w:rsidR="00A90ED5" w:rsidRPr="00243307" w:rsidRDefault="00E51B5E" w:rsidP="00E51B5E">
      <w:pPr>
        <w:pStyle w:val="Heading4"/>
        <w:numPr>
          <w:ilvl w:val="0"/>
          <w:numId w:val="0"/>
        </w:numPr>
        <w:ind w:left="851" w:hanging="851"/>
      </w:pPr>
      <w:bookmarkStart w:id="232" w:name="_Toc430168456"/>
      <w:bookmarkStart w:id="233" w:name="_Toc432144053"/>
      <w:r>
        <w:t xml:space="preserve">8.1.2 </w:t>
      </w:r>
      <w:r w:rsidR="00A90ED5" w:rsidRPr="00243307">
        <w:t>South Australian data about child victims of physical assault in a residential location</w:t>
      </w:r>
      <w:bookmarkEnd w:id="232"/>
      <w:bookmarkEnd w:id="233"/>
    </w:p>
    <w:p w14:paraId="4D3ACE05" w14:textId="77777777" w:rsidR="00A90ED5" w:rsidRDefault="00A90ED5" w:rsidP="00A90ED5">
      <w:pPr>
        <w:jc w:val="both"/>
      </w:pPr>
      <w:r>
        <w:t xml:space="preserve">In </w:t>
      </w:r>
      <w:r w:rsidRPr="00677892">
        <w:t xml:space="preserve">South Australia </w:t>
      </w:r>
      <w:r>
        <w:t xml:space="preserve">between 2010 and 2013 there were </w:t>
      </w:r>
      <w:r>
        <w:rPr>
          <w:b/>
        </w:rPr>
        <w:t>3,073 police recorded</w:t>
      </w:r>
      <w:r w:rsidRPr="00302855">
        <w:rPr>
          <w:b/>
        </w:rPr>
        <w:t xml:space="preserve"> child victims of </w:t>
      </w:r>
      <w:r>
        <w:rPr>
          <w:b/>
        </w:rPr>
        <w:t xml:space="preserve">physical </w:t>
      </w:r>
      <w:r w:rsidRPr="00302855">
        <w:rPr>
          <w:b/>
        </w:rPr>
        <w:t>assault</w:t>
      </w:r>
      <w:r>
        <w:rPr>
          <w:b/>
        </w:rPr>
        <w:t xml:space="preserve"> in a residential location</w:t>
      </w:r>
      <w:r>
        <w:t xml:space="preserve">: </w:t>
      </w:r>
    </w:p>
    <w:p w14:paraId="63FE6923" w14:textId="77777777" w:rsidR="00A90ED5" w:rsidRPr="00621ED5" w:rsidRDefault="00A90ED5" w:rsidP="000D1D92">
      <w:pPr>
        <w:pStyle w:val="ListParagraph"/>
        <w:numPr>
          <w:ilvl w:val="0"/>
          <w:numId w:val="51"/>
        </w:numPr>
        <w:jc w:val="both"/>
      </w:pPr>
      <w:r w:rsidRPr="00DF7CD9">
        <w:rPr>
          <w:b/>
        </w:rPr>
        <w:t>Aboriginal and Torres Strait Islander children accounted for 14.</w:t>
      </w:r>
      <w:r>
        <w:rPr>
          <w:b/>
        </w:rPr>
        <w:t>05</w:t>
      </w:r>
      <w:r w:rsidRPr="00DF7CD9">
        <w:rPr>
          <w:b/>
        </w:rPr>
        <w:t>%</w:t>
      </w:r>
      <w:r w:rsidRPr="00621ED5">
        <w:t xml:space="preserve"> or 4</w:t>
      </w:r>
      <w:r>
        <w:t>32</w:t>
      </w:r>
      <w:r w:rsidRPr="00621ED5">
        <w:t xml:space="preserve"> victims</w:t>
      </w:r>
      <w:r>
        <w:t>.</w:t>
      </w:r>
    </w:p>
    <w:p w14:paraId="32143CF5" w14:textId="77777777" w:rsidR="00A90ED5" w:rsidRPr="00621ED5" w:rsidRDefault="00A90ED5" w:rsidP="000D1D92">
      <w:pPr>
        <w:pStyle w:val="ListParagraph"/>
        <w:numPr>
          <w:ilvl w:val="0"/>
          <w:numId w:val="51"/>
        </w:numPr>
        <w:jc w:val="both"/>
      </w:pPr>
      <w:r w:rsidRPr="00DF7CD9">
        <w:rPr>
          <w:b/>
        </w:rPr>
        <w:t xml:space="preserve">Non-Indigenous children accounted for </w:t>
      </w:r>
      <w:r>
        <w:rPr>
          <w:b/>
        </w:rPr>
        <w:t>82.98</w:t>
      </w:r>
      <w:r w:rsidRPr="00DF7CD9">
        <w:rPr>
          <w:b/>
        </w:rPr>
        <w:t>%</w:t>
      </w:r>
      <w:r w:rsidRPr="00621ED5">
        <w:t xml:space="preserve"> or 2,</w:t>
      </w:r>
      <w:r>
        <w:t>550</w:t>
      </w:r>
      <w:r w:rsidRPr="00621ED5">
        <w:t xml:space="preserve"> victims</w:t>
      </w:r>
      <w:r>
        <w:t>.</w:t>
      </w:r>
    </w:p>
    <w:p w14:paraId="4D73434B" w14:textId="77777777" w:rsidR="00A90ED5" w:rsidRDefault="00A90ED5" w:rsidP="000D1D92">
      <w:pPr>
        <w:pStyle w:val="ListParagraph"/>
        <w:numPr>
          <w:ilvl w:val="0"/>
          <w:numId w:val="51"/>
        </w:numPr>
        <w:jc w:val="both"/>
      </w:pPr>
      <w:r w:rsidRPr="00DF7CD9">
        <w:rPr>
          <w:b/>
        </w:rPr>
        <w:t xml:space="preserve">The Indigenous status was unknown for </w:t>
      </w:r>
      <w:r>
        <w:rPr>
          <w:b/>
        </w:rPr>
        <w:t>2.96</w:t>
      </w:r>
      <w:r w:rsidRPr="00DF7CD9">
        <w:rPr>
          <w:b/>
        </w:rPr>
        <w:t>%</w:t>
      </w:r>
      <w:r>
        <w:t xml:space="preserve"> of children</w:t>
      </w:r>
      <w:r w:rsidRPr="00621ED5">
        <w:t xml:space="preserve"> or </w:t>
      </w:r>
      <w:r>
        <w:t>91</w:t>
      </w:r>
      <w:r w:rsidRPr="00621ED5">
        <w:t xml:space="preserve"> </w:t>
      </w:r>
      <w:r>
        <w:t>victims.</w:t>
      </w:r>
    </w:p>
    <w:p w14:paraId="59E9683D" w14:textId="77777777" w:rsidR="00A90ED5" w:rsidRPr="00E51B5E" w:rsidRDefault="00A90ED5" w:rsidP="00E51B5E">
      <w:pPr>
        <w:rPr>
          <w:u w:val="single"/>
        </w:rPr>
      </w:pPr>
      <w:r w:rsidRPr="00E51B5E">
        <w:rPr>
          <w:u w:val="single"/>
        </w:rPr>
        <w:t>Aboriginal and Torres Strait Islander children who were victims of physical assault in a residential location</w:t>
      </w:r>
    </w:p>
    <w:p w14:paraId="6A50DDC0" w14:textId="77777777" w:rsidR="00A90ED5" w:rsidRDefault="00A90ED5" w:rsidP="00A90ED5">
      <w:pPr>
        <w:jc w:val="both"/>
      </w:pPr>
      <w:r>
        <w:t xml:space="preserve">In </w:t>
      </w:r>
      <w:r w:rsidRPr="00677892">
        <w:t xml:space="preserve">South Australia </w:t>
      </w:r>
      <w:r>
        <w:t xml:space="preserve">between 2010 and 2013 there were </w:t>
      </w:r>
      <w:r>
        <w:rPr>
          <w:b/>
        </w:rPr>
        <w:t>432</w:t>
      </w:r>
      <w:r w:rsidRPr="00205389">
        <w:rPr>
          <w:b/>
        </w:rPr>
        <w:t xml:space="preserve"> </w:t>
      </w:r>
      <w:r>
        <w:rPr>
          <w:b/>
        </w:rPr>
        <w:t xml:space="preserve">police recorded </w:t>
      </w:r>
      <w:r w:rsidRPr="00205389">
        <w:rPr>
          <w:b/>
        </w:rPr>
        <w:t>Aboriginal and Torres Strait I</w:t>
      </w:r>
      <w:r>
        <w:rPr>
          <w:b/>
        </w:rPr>
        <w:t>slander child victims of physical assault in a residential location</w:t>
      </w:r>
      <w:r>
        <w:t>:</w:t>
      </w:r>
    </w:p>
    <w:p w14:paraId="3B57F6AD" w14:textId="77777777" w:rsidR="00A90ED5" w:rsidRDefault="00A90ED5" w:rsidP="000D1D92">
      <w:pPr>
        <w:pStyle w:val="ListParagraph"/>
        <w:numPr>
          <w:ilvl w:val="0"/>
          <w:numId w:val="53"/>
        </w:numPr>
        <w:jc w:val="both"/>
      </w:pPr>
      <w:r w:rsidRPr="00C0533C">
        <w:rPr>
          <w:b/>
        </w:rPr>
        <w:t>Parents accounted for the largest proportion of offenders</w:t>
      </w:r>
      <w:r>
        <w:t xml:space="preserve"> (39.58% or 171 victims), followed by </w:t>
      </w:r>
      <w:r w:rsidRPr="00C0533C">
        <w:rPr>
          <w:b/>
        </w:rPr>
        <w:t>non-family members</w:t>
      </w:r>
      <w:r>
        <w:rPr>
          <w:b/>
        </w:rPr>
        <w:t xml:space="preserve"> known to the victim</w:t>
      </w:r>
      <w:r>
        <w:t xml:space="preserve"> (24.3% or 105 victims), then </w:t>
      </w:r>
      <w:r w:rsidRPr="00C0533C">
        <w:rPr>
          <w:b/>
        </w:rPr>
        <w:t>partners and other-family members</w:t>
      </w:r>
      <w:r>
        <w:t xml:space="preserve"> (11.34% each or 49 victims each), then </w:t>
      </w:r>
      <w:r w:rsidRPr="00C0533C">
        <w:rPr>
          <w:b/>
        </w:rPr>
        <w:t>siblings</w:t>
      </w:r>
      <w:r>
        <w:t xml:space="preserve"> (7.87% or 34 victims), and then </w:t>
      </w:r>
      <w:r w:rsidRPr="00C0533C">
        <w:rPr>
          <w:b/>
        </w:rPr>
        <w:t>strangers</w:t>
      </w:r>
      <w:r>
        <w:t xml:space="preserve"> (4.16% or 18 victims).</w:t>
      </w:r>
    </w:p>
    <w:p w14:paraId="389F2237" w14:textId="77777777" w:rsidR="00A90ED5" w:rsidRDefault="00A90ED5" w:rsidP="000D1D92">
      <w:pPr>
        <w:pStyle w:val="ListParagraph"/>
        <w:numPr>
          <w:ilvl w:val="0"/>
          <w:numId w:val="53"/>
        </w:numPr>
        <w:jc w:val="both"/>
      </w:pPr>
      <w:r>
        <w:rPr>
          <w:b/>
        </w:rPr>
        <w:t xml:space="preserve">Male children aged 15 to 17 years </w:t>
      </w:r>
      <w:r w:rsidRPr="00B34804">
        <w:t xml:space="preserve">accounted for the largest proportion of child victims who </w:t>
      </w:r>
      <w:r>
        <w:rPr>
          <w:b/>
        </w:rPr>
        <w:t>reported the offender was their sibling</w:t>
      </w:r>
      <w:r>
        <w:t xml:space="preserve"> (29.41% or 10 victims), </w:t>
      </w:r>
      <w:r w:rsidRPr="00B42B73">
        <w:rPr>
          <w:b/>
        </w:rPr>
        <w:t>followed closely by male children aged 10 to 14 years</w:t>
      </w:r>
      <w:r>
        <w:t xml:space="preserve"> (26.47% or 9 victims).</w:t>
      </w:r>
    </w:p>
    <w:p w14:paraId="4BF069E0" w14:textId="77777777" w:rsidR="00A90ED5" w:rsidRDefault="00A90ED5" w:rsidP="000D1D92">
      <w:pPr>
        <w:pStyle w:val="ListParagraph"/>
        <w:numPr>
          <w:ilvl w:val="0"/>
          <w:numId w:val="53"/>
        </w:numPr>
        <w:jc w:val="both"/>
      </w:pPr>
      <w:r w:rsidRPr="00B229D6">
        <w:rPr>
          <w:b/>
        </w:rPr>
        <w:t xml:space="preserve">Female children aged 10 to 14 years </w:t>
      </w:r>
      <w:r w:rsidRPr="00B34804">
        <w:t xml:space="preserve">accounted for the largest proportion of child victims who </w:t>
      </w:r>
      <w:r w:rsidRPr="00B229D6">
        <w:rPr>
          <w:b/>
        </w:rPr>
        <w:t xml:space="preserve">reported the offender was </w:t>
      </w:r>
      <w:r>
        <w:rPr>
          <w:b/>
        </w:rPr>
        <w:t>their</w:t>
      </w:r>
      <w:r w:rsidRPr="00B229D6">
        <w:rPr>
          <w:b/>
        </w:rPr>
        <w:t xml:space="preserve"> parent</w:t>
      </w:r>
      <w:r>
        <w:t xml:space="preserve"> (24.56% or 42 victims).</w:t>
      </w:r>
    </w:p>
    <w:p w14:paraId="611AA4AB" w14:textId="77777777" w:rsidR="00A90ED5" w:rsidRDefault="00A90ED5" w:rsidP="000D1D92">
      <w:pPr>
        <w:pStyle w:val="ListParagraph"/>
        <w:numPr>
          <w:ilvl w:val="0"/>
          <w:numId w:val="53"/>
        </w:numPr>
        <w:jc w:val="both"/>
      </w:pPr>
      <w:r w:rsidRPr="00B34804">
        <w:rPr>
          <w:b/>
        </w:rPr>
        <w:t xml:space="preserve">Female children aged 15 to 17 years </w:t>
      </w:r>
      <w:r w:rsidRPr="00B34804">
        <w:t>accounted for the largest proportion of child victims who</w:t>
      </w:r>
      <w:r w:rsidRPr="00B34804">
        <w:rPr>
          <w:b/>
        </w:rPr>
        <w:t xml:space="preserve"> reported the offender was their partner</w:t>
      </w:r>
      <w:r>
        <w:t xml:space="preserve"> (93.88% or 46 victims),</w:t>
      </w:r>
      <w:r w:rsidRPr="00B34804">
        <w:t xml:space="preserve"> </w:t>
      </w:r>
      <w:r>
        <w:t xml:space="preserve">a </w:t>
      </w:r>
      <w:r w:rsidRPr="00B34804">
        <w:rPr>
          <w:b/>
        </w:rPr>
        <w:t>stranger</w:t>
      </w:r>
      <w:r w:rsidRPr="00C06201">
        <w:t xml:space="preserve"> (50% or </w:t>
      </w:r>
      <w:r>
        <w:t xml:space="preserve">9 victims), and a </w:t>
      </w:r>
      <w:r w:rsidRPr="00B34804">
        <w:rPr>
          <w:b/>
        </w:rPr>
        <w:t>non-family member known to the victim</w:t>
      </w:r>
      <w:r>
        <w:t xml:space="preserve"> (44.76% or 47 victims).</w:t>
      </w:r>
    </w:p>
    <w:p w14:paraId="562C1C58" w14:textId="77777777" w:rsidR="00A90ED5" w:rsidRPr="00626946" w:rsidRDefault="00A90ED5" w:rsidP="00A90ED5">
      <w:pPr>
        <w:jc w:val="both"/>
      </w:pPr>
      <w:r>
        <w:rPr>
          <w:noProof/>
        </w:rPr>
        <w:drawing>
          <wp:inline distT="0" distB="0" distL="0" distR="0" wp14:anchorId="16561F33" wp14:editId="00F7A965">
            <wp:extent cx="6181725" cy="340042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BC406B">
        <w:rPr>
          <w:highlight w:val="yellow"/>
        </w:rPr>
        <w:t xml:space="preserve"> </w:t>
      </w:r>
    </w:p>
    <w:p w14:paraId="75484F35" w14:textId="77777777" w:rsidR="00A90ED5" w:rsidRPr="00E51B5E" w:rsidRDefault="00A90ED5" w:rsidP="00E51B5E">
      <w:pPr>
        <w:rPr>
          <w:u w:val="single"/>
        </w:rPr>
      </w:pPr>
      <w:r w:rsidRPr="00E51B5E">
        <w:rPr>
          <w:u w:val="single"/>
        </w:rPr>
        <w:t>Non-Indigenous children who were victims of physical assault in a residential location</w:t>
      </w:r>
    </w:p>
    <w:p w14:paraId="72138C07" w14:textId="77777777" w:rsidR="00A90ED5" w:rsidRDefault="00A90ED5" w:rsidP="00A90ED5">
      <w:pPr>
        <w:jc w:val="both"/>
      </w:pPr>
      <w:r>
        <w:t xml:space="preserve">In </w:t>
      </w:r>
      <w:r w:rsidRPr="00677892">
        <w:t xml:space="preserve">South Australia </w:t>
      </w:r>
      <w:r>
        <w:t xml:space="preserve">between 2010 and 2013 there were </w:t>
      </w:r>
      <w:r>
        <w:rPr>
          <w:b/>
        </w:rPr>
        <w:t>2,550 police recorded</w:t>
      </w:r>
      <w:r w:rsidRPr="000A74F5">
        <w:rPr>
          <w:b/>
        </w:rPr>
        <w:t xml:space="preserve"> non-Indigenous child victims of </w:t>
      </w:r>
      <w:r>
        <w:rPr>
          <w:b/>
        </w:rPr>
        <w:t xml:space="preserve">physical </w:t>
      </w:r>
      <w:r w:rsidRPr="000A74F5">
        <w:rPr>
          <w:b/>
        </w:rPr>
        <w:t>assault</w:t>
      </w:r>
      <w:r>
        <w:rPr>
          <w:b/>
        </w:rPr>
        <w:t xml:space="preserve"> in a residential location</w:t>
      </w:r>
      <w:r w:rsidRPr="000A74F5">
        <w:t>:</w:t>
      </w:r>
    </w:p>
    <w:p w14:paraId="72EFD868" w14:textId="77777777" w:rsidR="00A90ED5" w:rsidRDefault="00A90ED5" w:rsidP="000D1D92">
      <w:pPr>
        <w:pStyle w:val="ListParagraph"/>
        <w:numPr>
          <w:ilvl w:val="0"/>
          <w:numId w:val="54"/>
        </w:numPr>
        <w:jc w:val="both"/>
      </w:pPr>
      <w:r w:rsidRPr="00F505DD">
        <w:rPr>
          <w:b/>
        </w:rPr>
        <w:t>Parents accounted for the largest proportion of offenders</w:t>
      </w:r>
      <w:r>
        <w:t xml:space="preserve"> (45.09% or 1,150 victims), followed by </w:t>
      </w:r>
      <w:r w:rsidRPr="00F505DD">
        <w:rPr>
          <w:b/>
        </w:rPr>
        <w:t>non-family members</w:t>
      </w:r>
      <w:r>
        <w:rPr>
          <w:b/>
        </w:rPr>
        <w:t xml:space="preserve"> known to the victim</w:t>
      </w:r>
      <w:r>
        <w:t xml:space="preserve"> (27.56% or 703 victims), then </w:t>
      </w:r>
      <w:r w:rsidRPr="00F505DD">
        <w:rPr>
          <w:b/>
        </w:rPr>
        <w:t>strangers</w:t>
      </w:r>
      <w:r>
        <w:t xml:space="preserve"> (7.8% or 199 victims), then </w:t>
      </w:r>
      <w:r w:rsidRPr="00F505DD">
        <w:rPr>
          <w:b/>
        </w:rPr>
        <w:t>siblings</w:t>
      </w:r>
      <w:r>
        <w:t xml:space="preserve"> (6.54% or 167 victims), then </w:t>
      </w:r>
      <w:r w:rsidRPr="00F505DD">
        <w:rPr>
          <w:b/>
        </w:rPr>
        <w:t>partners</w:t>
      </w:r>
      <w:r>
        <w:t xml:space="preserve"> (6% or 153 victims), and then </w:t>
      </w:r>
      <w:r w:rsidRPr="00F505DD">
        <w:rPr>
          <w:b/>
        </w:rPr>
        <w:t>other family members</w:t>
      </w:r>
      <w:r>
        <w:t xml:space="preserve"> (3.88% or 99 victims).</w:t>
      </w:r>
    </w:p>
    <w:p w14:paraId="764E1553" w14:textId="77777777" w:rsidR="00A90ED5" w:rsidRDefault="00A90ED5" w:rsidP="000D1D92">
      <w:pPr>
        <w:pStyle w:val="ListParagraph"/>
        <w:numPr>
          <w:ilvl w:val="0"/>
          <w:numId w:val="54"/>
        </w:numPr>
        <w:jc w:val="both"/>
      </w:pPr>
      <w:r w:rsidRPr="00F1236E">
        <w:rPr>
          <w:b/>
        </w:rPr>
        <w:t xml:space="preserve">Males children aged 0 to 9 years </w:t>
      </w:r>
      <w:r w:rsidRPr="00F1236E">
        <w:t>acco</w:t>
      </w:r>
      <w:r w:rsidRPr="00CE502F">
        <w:t>unted for the largest proportion of child victims who</w:t>
      </w:r>
      <w:r w:rsidRPr="005B471A">
        <w:rPr>
          <w:b/>
        </w:rPr>
        <w:t xml:space="preserve"> reported the offender was some other family member </w:t>
      </w:r>
      <w:r>
        <w:t xml:space="preserve">(22.22% or 22 victims), </w:t>
      </w:r>
      <w:r w:rsidRPr="005B471A">
        <w:rPr>
          <w:b/>
        </w:rPr>
        <w:t xml:space="preserve">followed closely by male children aged 10 to 14 years </w:t>
      </w:r>
      <w:r>
        <w:t>(21.21% or 21 victims).</w:t>
      </w:r>
    </w:p>
    <w:p w14:paraId="2C95019F" w14:textId="77777777" w:rsidR="00A90ED5" w:rsidRDefault="00A90ED5" w:rsidP="000D1D92">
      <w:pPr>
        <w:pStyle w:val="ListParagraph"/>
        <w:numPr>
          <w:ilvl w:val="0"/>
          <w:numId w:val="54"/>
        </w:numPr>
        <w:jc w:val="both"/>
      </w:pPr>
      <w:r w:rsidRPr="005B471A">
        <w:rPr>
          <w:b/>
        </w:rPr>
        <w:t xml:space="preserve">Male children aged 15 to 17 years </w:t>
      </w:r>
      <w:r w:rsidRPr="00CE502F">
        <w:t>accounted for the largest proportion of child victims who</w:t>
      </w:r>
      <w:r w:rsidRPr="005B471A">
        <w:rPr>
          <w:b/>
        </w:rPr>
        <w:t xml:space="preserve"> reported the offender was a stranger</w:t>
      </w:r>
      <w:r>
        <w:t xml:space="preserve"> (49.25% or 98 victims).</w:t>
      </w:r>
    </w:p>
    <w:p w14:paraId="6B6BFCF6" w14:textId="77777777" w:rsidR="00A90ED5" w:rsidRDefault="00A90ED5" w:rsidP="000D1D92">
      <w:pPr>
        <w:pStyle w:val="ListParagraph"/>
        <w:numPr>
          <w:ilvl w:val="0"/>
          <w:numId w:val="54"/>
        </w:numPr>
        <w:jc w:val="both"/>
      </w:pPr>
      <w:r w:rsidRPr="005B471A">
        <w:rPr>
          <w:b/>
        </w:rPr>
        <w:t xml:space="preserve">Female children aged 10 to 14 years </w:t>
      </w:r>
      <w:r w:rsidRPr="00CE502F">
        <w:t xml:space="preserve">accounted for the largest proportion of child victims who </w:t>
      </w:r>
      <w:r w:rsidRPr="005B471A">
        <w:rPr>
          <w:b/>
        </w:rPr>
        <w:t xml:space="preserve">reported the offender was </w:t>
      </w:r>
      <w:r>
        <w:rPr>
          <w:b/>
        </w:rPr>
        <w:t>their</w:t>
      </w:r>
      <w:r w:rsidRPr="005B471A">
        <w:rPr>
          <w:b/>
        </w:rPr>
        <w:t xml:space="preserve"> parent</w:t>
      </w:r>
      <w:r>
        <w:t xml:space="preserve"> (20.87% or 240 victims).</w:t>
      </w:r>
    </w:p>
    <w:p w14:paraId="28D45F28" w14:textId="77777777" w:rsidR="00A90ED5" w:rsidRDefault="00A90ED5" w:rsidP="000D1D92">
      <w:pPr>
        <w:pStyle w:val="ListParagraph"/>
        <w:numPr>
          <w:ilvl w:val="0"/>
          <w:numId w:val="54"/>
        </w:numPr>
        <w:jc w:val="both"/>
      </w:pPr>
      <w:r w:rsidRPr="005B471A">
        <w:rPr>
          <w:b/>
        </w:rPr>
        <w:t xml:space="preserve">Female children aged 15 to 17 years </w:t>
      </w:r>
      <w:r w:rsidRPr="00CE502F">
        <w:t xml:space="preserve">accounted for the largest proportion of child victims who </w:t>
      </w:r>
      <w:r w:rsidRPr="005B471A">
        <w:rPr>
          <w:b/>
        </w:rPr>
        <w:t xml:space="preserve">reported the offender was </w:t>
      </w:r>
      <w:r>
        <w:rPr>
          <w:b/>
        </w:rPr>
        <w:t>their</w:t>
      </w:r>
      <w:r w:rsidRPr="005B471A">
        <w:rPr>
          <w:b/>
        </w:rPr>
        <w:t xml:space="preserve"> partner</w:t>
      </w:r>
      <w:r>
        <w:t xml:space="preserve"> (90.2% or 138 victims), their </w:t>
      </w:r>
      <w:r w:rsidRPr="005B471A">
        <w:rPr>
          <w:b/>
        </w:rPr>
        <w:t>sibling</w:t>
      </w:r>
      <w:r>
        <w:t xml:space="preserve"> (33.53% or 56 victims), and a </w:t>
      </w:r>
      <w:r w:rsidRPr="005B471A">
        <w:rPr>
          <w:b/>
        </w:rPr>
        <w:t>non-family member</w:t>
      </w:r>
      <w:r>
        <w:rPr>
          <w:b/>
        </w:rPr>
        <w:t xml:space="preserve"> known to the victim</w:t>
      </w:r>
      <w:r>
        <w:t xml:space="preserve"> (37.83% or 266 victims).</w:t>
      </w:r>
    </w:p>
    <w:p w14:paraId="765349AF" w14:textId="77777777" w:rsidR="00A90ED5" w:rsidRPr="00626946" w:rsidRDefault="00A90ED5" w:rsidP="00A90ED5">
      <w:pPr>
        <w:jc w:val="both"/>
      </w:pPr>
      <w:r>
        <w:rPr>
          <w:noProof/>
        </w:rPr>
        <w:drawing>
          <wp:inline distT="0" distB="0" distL="0" distR="0" wp14:anchorId="382A2E35" wp14:editId="453B68AB">
            <wp:extent cx="5962650" cy="328612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43EBBB4" w14:textId="77777777" w:rsidR="00A90ED5" w:rsidRPr="00E51B5E" w:rsidRDefault="00A90ED5" w:rsidP="00E51B5E">
      <w:pPr>
        <w:rPr>
          <w:u w:val="single"/>
        </w:rPr>
      </w:pPr>
      <w:r w:rsidRPr="00E51B5E">
        <w:rPr>
          <w:u w:val="single"/>
        </w:rPr>
        <w:t>Aboriginal and Torres Strait Islander status unknown for child victims of physical assault in a residential location</w:t>
      </w:r>
    </w:p>
    <w:p w14:paraId="25B3CF6B" w14:textId="77777777" w:rsidR="00A90ED5" w:rsidRDefault="00A90ED5" w:rsidP="00A90ED5">
      <w:pPr>
        <w:jc w:val="both"/>
      </w:pPr>
      <w:r>
        <w:t xml:space="preserve">In South Australia between 2010 and 2013 there were </w:t>
      </w:r>
      <w:r>
        <w:rPr>
          <w:b/>
        </w:rPr>
        <w:t>91</w:t>
      </w:r>
      <w:r w:rsidRPr="00205389">
        <w:rPr>
          <w:b/>
        </w:rPr>
        <w:t xml:space="preserve"> </w:t>
      </w:r>
      <w:r>
        <w:rPr>
          <w:b/>
        </w:rPr>
        <w:t>police recorded child victims of physical assault with Indigenous status unknown in a residential location</w:t>
      </w:r>
      <w:r>
        <w:t>:</w:t>
      </w:r>
    </w:p>
    <w:p w14:paraId="7E290C6A" w14:textId="77777777" w:rsidR="00A90ED5" w:rsidRDefault="00A90ED5" w:rsidP="000D1D92">
      <w:pPr>
        <w:pStyle w:val="ListParagraph"/>
        <w:numPr>
          <w:ilvl w:val="0"/>
          <w:numId w:val="61"/>
        </w:numPr>
        <w:jc w:val="both"/>
      </w:pPr>
      <w:r w:rsidRPr="00CD577D">
        <w:rPr>
          <w:b/>
        </w:rPr>
        <w:t xml:space="preserve">Parents accounted for the largest proportion of offenders </w:t>
      </w:r>
      <w:r>
        <w:t xml:space="preserve">(42.85% or 39 victims), followed by </w:t>
      </w:r>
      <w:r w:rsidRPr="00CD577D">
        <w:rPr>
          <w:b/>
        </w:rPr>
        <w:t>non-family members known to the victim</w:t>
      </w:r>
      <w:r>
        <w:t xml:space="preserve"> (20.87% or 19 victims), then </w:t>
      </w:r>
      <w:r w:rsidRPr="00CD577D">
        <w:rPr>
          <w:b/>
        </w:rPr>
        <w:t>strangers</w:t>
      </w:r>
      <w:r>
        <w:t xml:space="preserve"> (13.18% or 12 victims), then </w:t>
      </w:r>
      <w:r w:rsidRPr="00CD577D">
        <w:rPr>
          <w:b/>
        </w:rPr>
        <w:t>siblings</w:t>
      </w:r>
      <w:r>
        <w:t xml:space="preserve"> (9.89% or 9 victims), then </w:t>
      </w:r>
      <w:r w:rsidRPr="00CD577D">
        <w:rPr>
          <w:b/>
        </w:rPr>
        <w:t xml:space="preserve">partners </w:t>
      </w:r>
      <w:r>
        <w:t xml:space="preserve">(6.59% or 6 victims), and then </w:t>
      </w:r>
      <w:r w:rsidRPr="00CE502F">
        <w:rPr>
          <w:b/>
        </w:rPr>
        <w:t>other family members</w:t>
      </w:r>
      <w:r>
        <w:t xml:space="preserve"> (3.29% or 3 victims).</w:t>
      </w:r>
    </w:p>
    <w:p w14:paraId="07CE48D4" w14:textId="77777777" w:rsidR="00A90ED5" w:rsidRDefault="00A90ED5" w:rsidP="000D1D92">
      <w:pPr>
        <w:pStyle w:val="ListParagraph"/>
        <w:numPr>
          <w:ilvl w:val="0"/>
          <w:numId w:val="61"/>
        </w:numPr>
        <w:jc w:val="both"/>
      </w:pPr>
      <w:r>
        <w:rPr>
          <w:b/>
        </w:rPr>
        <w:t>Male children aged 0 to 9 years</w:t>
      </w:r>
      <w:r>
        <w:t xml:space="preserve"> accounted for the largest proportion of child victims who </w:t>
      </w:r>
      <w:r w:rsidRPr="00E732E5">
        <w:rPr>
          <w:b/>
        </w:rPr>
        <w:t>reported</w:t>
      </w:r>
      <w:r>
        <w:rPr>
          <w:b/>
        </w:rPr>
        <w:t xml:space="preserve"> the offender some other family member </w:t>
      </w:r>
      <w:r>
        <w:t xml:space="preserve">(100% or 3 victims) and their </w:t>
      </w:r>
      <w:r>
        <w:rPr>
          <w:b/>
        </w:rPr>
        <w:t>parent</w:t>
      </w:r>
      <w:r>
        <w:t xml:space="preserve"> (30.76% or 12 victims).</w:t>
      </w:r>
    </w:p>
    <w:p w14:paraId="0FCCAC7C" w14:textId="77777777" w:rsidR="00A90ED5" w:rsidRDefault="00A90ED5" w:rsidP="000D1D92">
      <w:pPr>
        <w:pStyle w:val="ListParagraph"/>
        <w:numPr>
          <w:ilvl w:val="0"/>
          <w:numId w:val="61"/>
        </w:numPr>
        <w:jc w:val="both"/>
      </w:pPr>
      <w:r>
        <w:rPr>
          <w:b/>
        </w:rPr>
        <w:t>Male children aged 15 to 17 years</w:t>
      </w:r>
      <w:r>
        <w:t xml:space="preserve"> accounted for the largest proportion of child victims who </w:t>
      </w:r>
      <w:r w:rsidRPr="00E732E5">
        <w:rPr>
          <w:b/>
        </w:rPr>
        <w:t>reported</w:t>
      </w:r>
      <w:r>
        <w:t xml:space="preserve"> </w:t>
      </w:r>
      <w:r>
        <w:rPr>
          <w:b/>
        </w:rPr>
        <w:t>the offender was a stranger</w:t>
      </w:r>
      <w:r>
        <w:t xml:space="preserve"> (50% or 6 victims) and a </w:t>
      </w:r>
      <w:r w:rsidRPr="007604AD">
        <w:rPr>
          <w:b/>
        </w:rPr>
        <w:t>n</w:t>
      </w:r>
      <w:r>
        <w:rPr>
          <w:b/>
        </w:rPr>
        <w:t xml:space="preserve">on-family member </w:t>
      </w:r>
      <w:r>
        <w:t>(36.84% or 7 victims).</w:t>
      </w:r>
    </w:p>
    <w:p w14:paraId="3A01BEC1" w14:textId="77777777" w:rsidR="00A90ED5" w:rsidRDefault="00A90ED5" w:rsidP="000D1D92">
      <w:pPr>
        <w:pStyle w:val="ListParagraph"/>
        <w:numPr>
          <w:ilvl w:val="0"/>
          <w:numId w:val="61"/>
        </w:numPr>
        <w:jc w:val="both"/>
      </w:pPr>
      <w:r>
        <w:rPr>
          <w:b/>
        </w:rPr>
        <w:t>Female children aged 10 to 14 years</w:t>
      </w:r>
      <w:r>
        <w:t xml:space="preserve"> accounted for the largest proportion of child victims who </w:t>
      </w:r>
      <w:r w:rsidRPr="00E732E5">
        <w:rPr>
          <w:b/>
        </w:rPr>
        <w:t>reported</w:t>
      </w:r>
      <w:r>
        <w:t xml:space="preserve"> </w:t>
      </w:r>
      <w:r>
        <w:rPr>
          <w:b/>
        </w:rPr>
        <w:t xml:space="preserve">the offender was their sibling </w:t>
      </w:r>
      <w:r>
        <w:t>(66.66% or 6 victims).</w:t>
      </w:r>
    </w:p>
    <w:p w14:paraId="6FFFC44F" w14:textId="77777777" w:rsidR="00A90ED5" w:rsidRDefault="00A90ED5" w:rsidP="000D1D92">
      <w:pPr>
        <w:pStyle w:val="ListParagraph"/>
        <w:numPr>
          <w:ilvl w:val="0"/>
          <w:numId w:val="61"/>
        </w:numPr>
        <w:jc w:val="both"/>
      </w:pPr>
      <w:r w:rsidRPr="00E732E5">
        <w:rPr>
          <w:b/>
        </w:rPr>
        <w:t xml:space="preserve">Female children aged 15 to 17 years </w:t>
      </w:r>
      <w:r>
        <w:t xml:space="preserve">accounted for all of the child victims who </w:t>
      </w:r>
      <w:r w:rsidRPr="00E732E5">
        <w:rPr>
          <w:b/>
        </w:rPr>
        <w:t xml:space="preserve">reported the offender was their partner </w:t>
      </w:r>
      <w:r>
        <w:t xml:space="preserve">(100% or 6 victims). </w:t>
      </w:r>
    </w:p>
    <w:p w14:paraId="421AEE81" w14:textId="77777777" w:rsidR="00A90ED5" w:rsidRDefault="00A90ED5" w:rsidP="00A90ED5">
      <w:pPr>
        <w:jc w:val="both"/>
      </w:pPr>
    </w:p>
    <w:p w14:paraId="1E3CA29B" w14:textId="77777777" w:rsidR="00A90ED5" w:rsidRDefault="00A90ED5" w:rsidP="00A90ED5">
      <w:pPr>
        <w:jc w:val="both"/>
      </w:pPr>
      <w:r>
        <w:rPr>
          <w:noProof/>
        </w:rPr>
        <w:drawing>
          <wp:inline distT="0" distB="0" distL="0" distR="0" wp14:anchorId="132B3D05" wp14:editId="7CD09492">
            <wp:extent cx="5759450" cy="3134995"/>
            <wp:effectExtent l="0" t="0" r="12700" b="825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736E2B0" w14:textId="23FE6B61" w:rsidR="00A90ED5" w:rsidRPr="00243307" w:rsidRDefault="00E51B5E" w:rsidP="00E51B5E">
      <w:pPr>
        <w:pStyle w:val="Heading4"/>
        <w:numPr>
          <w:ilvl w:val="0"/>
          <w:numId w:val="0"/>
        </w:numPr>
        <w:ind w:left="851" w:hanging="851"/>
      </w:pPr>
      <w:bookmarkStart w:id="234" w:name="_Toc430168457"/>
      <w:bookmarkStart w:id="235" w:name="_Toc432144054"/>
      <w:r>
        <w:t xml:space="preserve">8.1.3 </w:t>
      </w:r>
      <w:r w:rsidR="00A90ED5" w:rsidRPr="00243307">
        <w:t>Northern Territory data about child victims of physical assault in a residential location</w:t>
      </w:r>
      <w:bookmarkEnd w:id="234"/>
      <w:bookmarkEnd w:id="235"/>
    </w:p>
    <w:p w14:paraId="2FA32D44" w14:textId="77777777" w:rsidR="00A90ED5" w:rsidRDefault="00A90ED5" w:rsidP="00A90ED5">
      <w:pPr>
        <w:jc w:val="both"/>
      </w:pPr>
      <w:r>
        <w:t>In the Northern Territory</w:t>
      </w:r>
      <w:r w:rsidRPr="00677892">
        <w:t xml:space="preserve"> </w:t>
      </w:r>
      <w:r>
        <w:t xml:space="preserve">between 2010 and 2013 there were </w:t>
      </w:r>
      <w:r>
        <w:rPr>
          <w:b/>
        </w:rPr>
        <w:t>824</w:t>
      </w:r>
      <w:r w:rsidRPr="00302855">
        <w:rPr>
          <w:b/>
        </w:rPr>
        <w:t xml:space="preserve"> </w:t>
      </w:r>
      <w:r>
        <w:rPr>
          <w:b/>
        </w:rPr>
        <w:t xml:space="preserve">police recorded </w:t>
      </w:r>
      <w:r w:rsidRPr="00302855">
        <w:rPr>
          <w:b/>
        </w:rPr>
        <w:t xml:space="preserve">child victims of </w:t>
      </w:r>
      <w:r>
        <w:rPr>
          <w:b/>
        </w:rPr>
        <w:t xml:space="preserve">physical </w:t>
      </w:r>
      <w:r w:rsidRPr="00302855">
        <w:rPr>
          <w:b/>
        </w:rPr>
        <w:t>assault</w:t>
      </w:r>
      <w:r>
        <w:rPr>
          <w:b/>
        </w:rPr>
        <w:t xml:space="preserve"> in a residential location</w:t>
      </w:r>
      <w:r>
        <w:t xml:space="preserve">: </w:t>
      </w:r>
    </w:p>
    <w:p w14:paraId="220C4D71" w14:textId="77777777" w:rsidR="00A90ED5" w:rsidRPr="00610CE2" w:rsidRDefault="00A90ED5" w:rsidP="000D1D92">
      <w:pPr>
        <w:pStyle w:val="ListParagraph"/>
        <w:numPr>
          <w:ilvl w:val="0"/>
          <w:numId w:val="51"/>
        </w:numPr>
        <w:jc w:val="both"/>
      </w:pPr>
      <w:r w:rsidRPr="008B40C4">
        <w:rPr>
          <w:b/>
        </w:rPr>
        <w:t>Aboriginal and Torres Strait Islander children accounted for 7</w:t>
      </w:r>
      <w:r>
        <w:rPr>
          <w:b/>
        </w:rPr>
        <w:t>8</w:t>
      </w:r>
      <w:r w:rsidRPr="008B40C4">
        <w:rPr>
          <w:b/>
        </w:rPr>
        <w:t>.</w:t>
      </w:r>
      <w:r>
        <w:rPr>
          <w:b/>
        </w:rPr>
        <w:t>27</w:t>
      </w:r>
      <w:r w:rsidRPr="008B40C4">
        <w:rPr>
          <w:b/>
        </w:rPr>
        <w:t>%</w:t>
      </w:r>
      <w:r w:rsidRPr="00610CE2">
        <w:t xml:space="preserve"> or </w:t>
      </w:r>
      <w:r>
        <w:t>645</w:t>
      </w:r>
      <w:r w:rsidRPr="00610CE2">
        <w:t xml:space="preserve"> victims</w:t>
      </w:r>
      <w:r>
        <w:t>.</w:t>
      </w:r>
    </w:p>
    <w:p w14:paraId="4D03A352" w14:textId="77777777" w:rsidR="00A90ED5" w:rsidRPr="00610CE2" w:rsidRDefault="00A90ED5" w:rsidP="000D1D92">
      <w:pPr>
        <w:pStyle w:val="ListParagraph"/>
        <w:numPr>
          <w:ilvl w:val="0"/>
          <w:numId w:val="51"/>
        </w:numPr>
        <w:jc w:val="both"/>
      </w:pPr>
      <w:r w:rsidRPr="008B40C4">
        <w:rPr>
          <w:b/>
        </w:rPr>
        <w:t>Non-Indigenous children accounted for 1</w:t>
      </w:r>
      <w:r>
        <w:rPr>
          <w:b/>
        </w:rPr>
        <w:t>7</w:t>
      </w:r>
      <w:r w:rsidRPr="008B40C4">
        <w:rPr>
          <w:b/>
        </w:rPr>
        <w:t>.</w:t>
      </w:r>
      <w:r>
        <w:rPr>
          <w:b/>
        </w:rPr>
        <w:t>83</w:t>
      </w:r>
      <w:r w:rsidRPr="008B40C4">
        <w:rPr>
          <w:b/>
        </w:rPr>
        <w:t>%</w:t>
      </w:r>
      <w:r w:rsidRPr="00610CE2">
        <w:t xml:space="preserve"> or </w:t>
      </w:r>
      <w:r>
        <w:t>147</w:t>
      </w:r>
      <w:r w:rsidRPr="00610CE2">
        <w:t xml:space="preserve"> victims</w:t>
      </w:r>
      <w:r>
        <w:t>.</w:t>
      </w:r>
    </w:p>
    <w:p w14:paraId="1F9D4E44" w14:textId="77777777" w:rsidR="00A90ED5" w:rsidRPr="00610CE2" w:rsidRDefault="00A90ED5" w:rsidP="000D1D92">
      <w:pPr>
        <w:pStyle w:val="ListParagraph"/>
        <w:numPr>
          <w:ilvl w:val="0"/>
          <w:numId w:val="51"/>
        </w:numPr>
        <w:jc w:val="both"/>
      </w:pPr>
      <w:r w:rsidRPr="008B40C4">
        <w:rPr>
          <w:b/>
        </w:rPr>
        <w:t>The Indigenous status was unknown for 3.</w:t>
      </w:r>
      <w:r>
        <w:rPr>
          <w:b/>
        </w:rPr>
        <w:t>88</w:t>
      </w:r>
      <w:r w:rsidRPr="008B40C4">
        <w:rPr>
          <w:b/>
        </w:rPr>
        <w:t>%</w:t>
      </w:r>
      <w:r>
        <w:rPr>
          <w:b/>
        </w:rPr>
        <w:t xml:space="preserve"> </w:t>
      </w:r>
      <w:r w:rsidRPr="00CE502F">
        <w:t>of children</w:t>
      </w:r>
      <w:r w:rsidRPr="008B40C4">
        <w:rPr>
          <w:b/>
        </w:rPr>
        <w:t xml:space="preserve"> </w:t>
      </w:r>
      <w:r w:rsidRPr="00610CE2">
        <w:t>or 3</w:t>
      </w:r>
      <w:r>
        <w:t>2</w:t>
      </w:r>
      <w:r w:rsidRPr="00610CE2">
        <w:t xml:space="preserve"> victims.</w:t>
      </w:r>
    </w:p>
    <w:p w14:paraId="70D0597F" w14:textId="77777777" w:rsidR="00A90ED5" w:rsidRPr="00E51B5E" w:rsidRDefault="00A90ED5" w:rsidP="00E51B5E">
      <w:pPr>
        <w:rPr>
          <w:u w:val="single"/>
        </w:rPr>
      </w:pPr>
      <w:r w:rsidRPr="00E51B5E">
        <w:rPr>
          <w:u w:val="single"/>
        </w:rPr>
        <w:t>Aboriginal and Torres Strait Islander children who were victims of physical assault in a residential location</w:t>
      </w:r>
    </w:p>
    <w:p w14:paraId="04065254" w14:textId="77777777" w:rsidR="00A90ED5" w:rsidRDefault="00A90ED5" w:rsidP="00A90ED5">
      <w:pPr>
        <w:jc w:val="both"/>
      </w:pPr>
      <w:r>
        <w:t>In the Northern Territory</w:t>
      </w:r>
      <w:r w:rsidRPr="00677892">
        <w:t xml:space="preserve"> </w:t>
      </w:r>
      <w:r>
        <w:t xml:space="preserve">between 2010 and 2013 there were </w:t>
      </w:r>
      <w:r>
        <w:rPr>
          <w:b/>
        </w:rPr>
        <w:t>645</w:t>
      </w:r>
      <w:r w:rsidRPr="00205389">
        <w:rPr>
          <w:b/>
        </w:rPr>
        <w:t xml:space="preserve"> </w:t>
      </w:r>
      <w:r>
        <w:rPr>
          <w:b/>
        </w:rPr>
        <w:t xml:space="preserve">police recorded </w:t>
      </w:r>
      <w:r w:rsidRPr="00205389">
        <w:rPr>
          <w:b/>
        </w:rPr>
        <w:t>Aboriginal and Torres Strait I</w:t>
      </w:r>
      <w:r>
        <w:rPr>
          <w:b/>
        </w:rPr>
        <w:t>slander child victims of physical assault in a residential location</w:t>
      </w:r>
      <w:r>
        <w:t>:</w:t>
      </w:r>
    </w:p>
    <w:p w14:paraId="0191174B" w14:textId="77777777" w:rsidR="00A90ED5" w:rsidRDefault="00A90ED5" w:rsidP="000D1D92">
      <w:pPr>
        <w:pStyle w:val="ListParagraph"/>
        <w:numPr>
          <w:ilvl w:val="0"/>
          <w:numId w:val="53"/>
        </w:numPr>
        <w:jc w:val="both"/>
      </w:pPr>
      <w:r>
        <w:rPr>
          <w:b/>
        </w:rPr>
        <w:t>Other family members</w:t>
      </w:r>
      <w:r w:rsidRPr="00B73C64">
        <w:rPr>
          <w:b/>
        </w:rPr>
        <w:t xml:space="preserve"> </w:t>
      </w:r>
      <w:r w:rsidRPr="008B40C4">
        <w:rPr>
          <w:b/>
        </w:rPr>
        <w:t>accounted for the largest proportion of offenders</w:t>
      </w:r>
      <w:r w:rsidRPr="00B73C64">
        <w:rPr>
          <w:b/>
        </w:rPr>
        <w:t xml:space="preserve"> </w:t>
      </w:r>
      <w:r>
        <w:t xml:space="preserve">(29.92%% or 193 victims), followed by </w:t>
      </w:r>
      <w:r w:rsidRPr="008B40C4">
        <w:rPr>
          <w:b/>
        </w:rPr>
        <w:t>partners</w:t>
      </w:r>
      <w:r>
        <w:t xml:space="preserve"> (28.06% or 181 victims), then </w:t>
      </w:r>
      <w:r>
        <w:rPr>
          <w:b/>
        </w:rPr>
        <w:t>pa</w:t>
      </w:r>
      <w:r w:rsidRPr="00B73C64">
        <w:rPr>
          <w:b/>
        </w:rPr>
        <w:t xml:space="preserve">rents </w:t>
      </w:r>
      <w:r>
        <w:t xml:space="preserve">(19.37% or 125 victims), then </w:t>
      </w:r>
      <w:r w:rsidRPr="00B73C64">
        <w:rPr>
          <w:b/>
        </w:rPr>
        <w:t>non-family members known to the victim</w:t>
      </w:r>
      <w:r>
        <w:t xml:space="preserve"> (16.27% or 105 victims each), and then </w:t>
      </w:r>
      <w:r w:rsidRPr="00B73C64">
        <w:rPr>
          <w:b/>
        </w:rPr>
        <w:t>strangers</w:t>
      </w:r>
      <w:r>
        <w:t xml:space="preserve"> (2.32% or 15 victims).</w:t>
      </w:r>
    </w:p>
    <w:p w14:paraId="36374342" w14:textId="77777777" w:rsidR="00A90ED5" w:rsidRPr="00EA05EA" w:rsidRDefault="00A90ED5" w:rsidP="000D1D92">
      <w:pPr>
        <w:pStyle w:val="ListParagraph"/>
        <w:numPr>
          <w:ilvl w:val="0"/>
          <w:numId w:val="53"/>
        </w:numPr>
        <w:jc w:val="both"/>
        <w:rPr>
          <w:b/>
        </w:rPr>
      </w:pPr>
      <w:r>
        <w:rPr>
          <w:b/>
        </w:rPr>
        <w:t>Male children aged 0 to 9 years</w:t>
      </w:r>
      <w:r>
        <w:t xml:space="preserve"> accounted for the largest proportion of child victims who </w:t>
      </w:r>
      <w:r>
        <w:rPr>
          <w:b/>
        </w:rPr>
        <w:t xml:space="preserve">reported the offender was their parent </w:t>
      </w:r>
      <w:r>
        <w:t>(33.6% or 42 victims).</w:t>
      </w:r>
    </w:p>
    <w:p w14:paraId="011BF87F" w14:textId="77777777" w:rsidR="00A90ED5" w:rsidRDefault="00A90ED5" w:rsidP="000D1D92">
      <w:pPr>
        <w:pStyle w:val="ListParagraph"/>
        <w:numPr>
          <w:ilvl w:val="0"/>
          <w:numId w:val="53"/>
        </w:numPr>
        <w:jc w:val="both"/>
      </w:pPr>
      <w:r w:rsidRPr="00050D94">
        <w:rPr>
          <w:b/>
        </w:rPr>
        <w:t xml:space="preserve">Female children aged 15 to 17 years </w:t>
      </w:r>
      <w:r w:rsidRPr="00EA05EA">
        <w:t xml:space="preserve">accounted for the largest proportion of child victims </w:t>
      </w:r>
      <w:r>
        <w:t xml:space="preserve">who reported the offender was their </w:t>
      </w:r>
      <w:r w:rsidRPr="00EA05EA">
        <w:rPr>
          <w:b/>
        </w:rPr>
        <w:t xml:space="preserve">partner </w:t>
      </w:r>
      <w:r>
        <w:t xml:space="preserve">(86.74% or 157 victims), a </w:t>
      </w:r>
      <w:r w:rsidRPr="00EA05EA">
        <w:rPr>
          <w:b/>
        </w:rPr>
        <w:t>stranger</w:t>
      </w:r>
      <w:r>
        <w:t xml:space="preserve"> (60% or 9 victims), a </w:t>
      </w:r>
      <w:r w:rsidRPr="00EA05EA">
        <w:rPr>
          <w:b/>
        </w:rPr>
        <w:t xml:space="preserve">non-family members known to the victim </w:t>
      </w:r>
      <w:r>
        <w:t xml:space="preserve">(47.62% or 50 victims), and some </w:t>
      </w:r>
      <w:r w:rsidRPr="00EA05EA">
        <w:rPr>
          <w:b/>
        </w:rPr>
        <w:t xml:space="preserve">other family member </w:t>
      </w:r>
      <w:r>
        <w:t>(29.53% or 57 victims).</w:t>
      </w:r>
    </w:p>
    <w:p w14:paraId="2918E3F3" w14:textId="77777777" w:rsidR="00A90ED5" w:rsidRDefault="00A90ED5" w:rsidP="00A90ED5">
      <w:pPr>
        <w:jc w:val="both"/>
      </w:pPr>
    </w:p>
    <w:p w14:paraId="3AEDA384" w14:textId="77777777" w:rsidR="00A90ED5" w:rsidRDefault="00A90ED5" w:rsidP="00A90ED5">
      <w:pPr>
        <w:jc w:val="both"/>
      </w:pPr>
      <w:r>
        <w:rPr>
          <w:noProof/>
        </w:rPr>
        <w:drawing>
          <wp:inline distT="0" distB="0" distL="0" distR="0" wp14:anchorId="68E0A83D" wp14:editId="0DA3081A">
            <wp:extent cx="5759450" cy="3134995"/>
            <wp:effectExtent l="0" t="0" r="12700" b="825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9A6D3CF" w14:textId="77777777" w:rsidR="00A90ED5" w:rsidRPr="00E51B5E" w:rsidRDefault="00A90ED5" w:rsidP="00E51B5E">
      <w:pPr>
        <w:rPr>
          <w:u w:val="single"/>
        </w:rPr>
      </w:pPr>
      <w:r w:rsidRPr="00E51B5E">
        <w:rPr>
          <w:u w:val="single"/>
        </w:rPr>
        <w:t>Non-Indigenous children who were victims of physical assault in a residential location</w:t>
      </w:r>
    </w:p>
    <w:p w14:paraId="20188E0F" w14:textId="77777777" w:rsidR="00A90ED5" w:rsidRDefault="00A90ED5" w:rsidP="00A90ED5">
      <w:pPr>
        <w:jc w:val="both"/>
      </w:pPr>
      <w:r>
        <w:t>In the Northern Territory</w:t>
      </w:r>
      <w:r w:rsidRPr="00677892">
        <w:t xml:space="preserve"> </w:t>
      </w:r>
      <w:r>
        <w:t xml:space="preserve">between 2010 and 2013 there were </w:t>
      </w:r>
      <w:r>
        <w:rPr>
          <w:b/>
        </w:rPr>
        <w:t>147 police recorded</w:t>
      </w:r>
      <w:r w:rsidRPr="000A74F5">
        <w:rPr>
          <w:b/>
        </w:rPr>
        <w:t xml:space="preserve"> non-Indigenous child victims of</w:t>
      </w:r>
      <w:r>
        <w:rPr>
          <w:b/>
        </w:rPr>
        <w:t xml:space="preserve"> physical</w:t>
      </w:r>
      <w:r w:rsidRPr="000A74F5">
        <w:rPr>
          <w:b/>
        </w:rPr>
        <w:t xml:space="preserve"> assaul</w:t>
      </w:r>
      <w:r>
        <w:rPr>
          <w:b/>
        </w:rPr>
        <w:t>t in a residential location</w:t>
      </w:r>
      <w:r w:rsidRPr="000A74F5">
        <w:t>:</w:t>
      </w:r>
    </w:p>
    <w:p w14:paraId="690E9177" w14:textId="77777777" w:rsidR="00A90ED5" w:rsidRDefault="00A90ED5" w:rsidP="000D1D92">
      <w:pPr>
        <w:pStyle w:val="ListParagraph"/>
        <w:numPr>
          <w:ilvl w:val="0"/>
          <w:numId w:val="53"/>
        </w:numPr>
        <w:jc w:val="both"/>
      </w:pPr>
      <w:r w:rsidRPr="00756BB2">
        <w:rPr>
          <w:b/>
        </w:rPr>
        <w:t>Parents accounted for the largest proportion of offenders</w:t>
      </w:r>
      <w:r>
        <w:t xml:space="preserve"> (20.40% or 30 victims), followed by </w:t>
      </w:r>
      <w:r w:rsidRPr="00756BB2">
        <w:rPr>
          <w:b/>
        </w:rPr>
        <w:t>other family members</w:t>
      </w:r>
      <w:r>
        <w:t xml:space="preserve"> (31.29% or 46 victims), then </w:t>
      </w:r>
      <w:r w:rsidRPr="00756BB2">
        <w:rPr>
          <w:b/>
        </w:rPr>
        <w:t>non-family membe</w:t>
      </w:r>
      <w:r>
        <w:rPr>
          <w:b/>
        </w:rPr>
        <w:t xml:space="preserve">rs known to the victim </w:t>
      </w:r>
      <w:r>
        <w:t xml:space="preserve">(23.8% or 35 victims), then </w:t>
      </w:r>
      <w:r w:rsidRPr="00756BB2">
        <w:rPr>
          <w:b/>
        </w:rPr>
        <w:t>strangers</w:t>
      </w:r>
      <w:r>
        <w:t xml:space="preserve"> (12.24% or 18 victims), and then </w:t>
      </w:r>
      <w:r w:rsidRPr="00756BB2">
        <w:rPr>
          <w:b/>
        </w:rPr>
        <w:t>partners</w:t>
      </w:r>
      <w:r>
        <w:t xml:space="preserve"> (10.2% or 15 victims).</w:t>
      </w:r>
    </w:p>
    <w:p w14:paraId="6EEF6F06" w14:textId="77777777" w:rsidR="00A90ED5" w:rsidRDefault="00A90ED5" w:rsidP="000D1D92">
      <w:pPr>
        <w:pStyle w:val="ListParagraph"/>
        <w:numPr>
          <w:ilvl w:val="0"/>
          <w:numId w:val="53"/>
        </w:numPr>
        <w:jc w:val="both"/>
      </w:pPr>
      <w:r w:rsidRPr="00CB6528">
        <w:rPr>
          <w:b/>
        </w:rPr>
        <w:t xml:space="preserve">Female children aged 10 to 14 years </w:t>
      </w:r>
      <w:r w:rsidRPr="0073089E">
        <w:t>accounted for the largest proportion of child victims who</w:t>
      </w:r>
      <w:r w:rsidRPr="00CB6528">
        <w:rPr>
          <w:b/>
        </w:rPr>
        <w:t xml:space="preserve"> reported the offender was some other family member</w:t>
      </w:r>
      <w:r>
        <w:t xml:space="preserve"> (30.43% or 14 victims).</w:t>
      </w:r>
    </w:p>
    <w:p w14:paraId="72832F7D" w14:textId="77777777" w:rsidR="00A90ED5" w:rsidRDefault="00A90ED5" w:rsidP="000D1D92">
      <w:pPr>
        <w:pStyle w:val="ListParagraph"/>
        <w:numPr>
          <w:ilvl w:val="0"/>
          <w:numId w:val="53"/>
        </w:numPr>
        <w:jc w:val="both"/>
      </w:pPr>
      <w:r w:rsidRPr="00756BB2">
        <w:rPr>
          <w:b/>
        </w:rPr>
        <w:t xml:space="preserve">Female children aged 15 to 17 years </w:t>
      </w:r>
      <w:r w:rsidRPr="0073089E">
        <w:t xml:space="preserve">accounted for the largest proportion of child victims who </w:t>
      </w:r>
      <w:r w:rsidRPr="00756BB2">
        <w:rPr>
          <w:b/>
        </w:rPr>
        <w:t xml:space="preserve">reported the offender was </w:t>
      </w:r>
      <w:r w:rsidRPr="0073089E">
        <w:rPr>
          <w:b/>
        </w:rPr>
        <w:t>their</w:t>
      </w:r>
      <w:r>
        <w:t xml:space="preserve"> </w:t>
      </w:r>
      <w:r w:rsidRPr="00756BB2">
        <w:rPr>
          <w:b/>
        </w:rPr>
        <w:t>partner</w:t>
      </w:r>
      <w:r>
        <w:t xml:space="preserve"> (100% or 15 victims),</w:t>
      </w:r>
      <w:r w:rsidRPr="0073089E">
        <w:t xml:space="preserve"> </w:t>
      </w:r>
      <w:r>
        <w:t xml:space="preserve">a </w:t>
      </w:r>
      <w:r w:rsidRPr="00CB6528">
        <w:rPr>
          <w:b/>
        </w:rPr>
        <w:t>stranger</w:t>
      </w:r>
      <w:r>
        <w:t xml:space="preserve"> (50% or 9 victims), their</w:t>
      </w:r>
      <w:r w:rsidRPr="00756BB2">
        <w:rPr>
          <w:b/>
        </w:rPr>
        <w:t xml:space="preserve"> parent</w:t>
      </w:r>
      <w:r>
        <w:t xml:space="preserve"> (40% or 12 victims), and a </w:t>
      </w:r>
      <w:r w:rsidRPr="00756BB2">
        <w:rPr>
          <w:b/>
        </w:rPr>
        <w:t>non-family member known to the victim</w:t>
      </w:r>
      <w:r>
        <w:t xml:space="preserve"> (37.14% or 13 victims).</w:t>
      </w:r>
    </w:p>
    <w:p w14:paraId="2DC1C76C" w14:textId="77777777" w:rsidR="00A90ED5" w:rsidRPr="00626946" w:rsidRDefault="00A90ED5" w:rsidP="00A90ED5">
      <w:pPr>
        <w:jc w:val="both"/>
      </w:pPr>
      <w:r>
        <w:rPr>
          <w:noProof/>
        </w:rPr>
        <w:drawing>
          <wp:inline distT="0" distB="0" distL="0" distR="0" wp14:anchorId="427A7C0D" wp14:editId="6FF5D7CF">
            <wp:extent cx="5759450" cy="3134995"/>
            <wp:effectExtent l="0" t="0" r="12700" b="825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BC406B">
        <w:rPr>
          <w:highlight w:val="yellow"/>
        </w:rPr>
        <w:t xml:space="preserve"> </w:t>
      </w:r>
    </w:p>
    <w:p w14:paraId="7E0C3B32" w14:textId="77777777" w:rsidR="00A90ED5" w:rsidRPr="00E51B5E" w:rsidRDefault="00A90ED5" w:rsidP="00E51B5E">
      <w:pPr>
        <w:rPr>
          <w:u w:val="single"/>
        </w:rPr>
      </w:pPr>
      <w:r w:rsidRPr="00E51B5E">
        <w:rPr>
          <w:u w:val="single"/>
        </w:rPr>
        <w:t>Aboriginal and Torres Strait Islander status unknown for child victims of physical assault in a residential location</w:t>
      </w:r>
    </w:p>
    <w:p w14:paraId="3647D983" w14:textId="77777777" w:rsidR="00A90ED5" w:rsidRDefault="00A90ED5" w:rsidP="00A90ED5">
      <w:pPr>
        <w:jc w:val="both"/>
      </w:pPr>
      <w:r>
        <w:t xml:space="preserve">In the Northern Territory between 2010 and 2013 there were </w:t>
      </w:r>
      <w:r>
        <w:rPr>
          <w:b/>
        </w:rPr>
        <w:t>32 police recorded child victims of physical assault with Indigenous status unknown in a residential location</w:t>
      </w:r>
      <w:r>
        <w:t>:</w:t>
      </w:r>
    </w:p>
    <w:p w14:paraId="7D70433D" w14:textId="77777777" w:rsidR="00A90ED5" w:rsidRPr="00E237EF" w:rsidRDefault="00A90ED5" w:rsidP="000D1D92">
      <w:pPr>
        <w:pStyle w:val="ListParagraph"/>
        <w:numPr>
          <w:ilvl w:val="0"/>
          <w:numId w:val="62"/>
        </w:numPr>
        <w:jc w:val="both"/>
        <w:rPr>
          <w:b/>
        </w:rPr>
      </w:pPr>
      <w:r w:rsidRPr="00EE61E1">
        <w:rPr>
          <w:b/>
        </w:rPr>
        <w:t xml:space="preserve">Parents accounted for the largest proportion of offenders </w:t>
      </w:r>
      <w:r>
        <w:t xml:space="preserve">(32.35% or 9 victims), followed by </w:t>
      </w:r>
      <w:r w:rsidRPr="00EE61E1">
        <w:rPr>
          <w:b/>
        </w:rPr>
        <w:t>other family members</w:t>
      </w:r>
      <w:r>
        <w:t xml:space="preserve"> (26.47% or 9 victims), then </w:t>
      </w:r>
      <w:r w:rsidRPr="00EE61E1">
        <w:rPr>
          <w:b/>
        </w:rPr>
        <w:t xml:space="preserve">partners </w:t>
      </w:r>
      <w:r>
        <w:t xml:space="preserve">(25.53% or 8 victims), then </w:t>
      </w:r>
      <w:r w:rsidRPr="00EE61E1">
        <w:rPr>
          <w:b/>
        </w:rPr>
        <w:t>non family members known to the victim</w:t>
      </w:r>
      <w:r>
        <w:t xml:space="preserve"> (17.65% or 6 victims).</w:t>
      </w:r>
    </w:p>
    <w:p w14:paraId="56D07465" w14:textId="77777777" w:rsidR="00A90ED5" w:rsidRPr="00E237EF" w:rsidRDefault="00A90ED5" w:rsidP="000D1D92">
      <w:pPr>
        <w:pStyle w:val="ListParagraph"/>
        <w:numPr>
          <w:ilvl w:val="0"/>
          <w:numId w:val="62"/>
        </w:numPr>
        <w:jc w:val="both"/>
        <w:rPr>
          <w:b/>
        </w:rPr>
      </w:pPr>
      <w:r>
        <w:rPr>
          <w:b/>
        </w:rPr>
        <w:t xml:space="preserve">Male children aged 0 to 9 years, male children aged 15 to 17 years and female children aged 15 to 17 years </w:t>
      </w:r>
      <w:r>
        <w:t xml:space="preserve">account for the largest and equal proportion of child victims who </w:t>
      </w:r>
      <w:r>
        <w:rPr>
          <w:b/>
        </w:rPr>
        <w:t xml:space="preserve">reported the offender was some other family member </w:t>
      </w:r>
      <w:r>
        <w:t>(33.3% each or 3 victims each)</w:t>
      </w:r>
    </w:p>
    <w:p w14:paraId="160E1CA3" w14:textId="77777777" w:rsidR="00A90ED5" w:rsidRPr="00AD35D4" w:rsidRDefault="00A90ED5" w:rsidP="000D1D92">
      <w:pPr>
        <w:pStyle w:val="ListParagraph"/>
        <w:numPr>
          <w:ilvl w:val="0"/>
          <w:numId w:val="62"/>
        </w:numPr>
        <w:jc w:val="both"/>
        <w:rPr>
          <w:b/>
        </w:rPr>
      </w:pPr>
      <w:r>
        <w:rPr>
          <w:b/>
        </w:rPr>
        <w:t>Female children aged 0 to 9 years</w:t>
      </w:r>
      <w:r>
        <w:t xml:space="preserve"> accounted for the largest proportion of child victims who </w:t>
      </w:r>
      <w:r>
        <w:rPr>
          <w:b/>
        </w:rPr>
        <w:t xml:space="preserve">reported the offender was their parent </w:t>
      </w:r>
      <w:r>
        <w:t>(66.66% or 6 victims).</w:t>
      </w:r>
    </w:p>
    <w:p w14:paraId="366D59CE" w14:textId="77777777" w:rsidR="00A90ED5" w:rsidRPr="00AD35D4" w:rsidRDefault="00A90ED5" w:rsidP="000D1D92">
      <w:pPr>
        <w:pStyle w:val="ListParagraph"/>
        <w:numPr>
          <w:ilvl w:val="0"/>
          <w:numId w:val="62"/>
        </w:numPr>
        <w:jc w:val="both"/>
        <w:rPr>
          <w:b/>
        </w:rPr>
      </w:pPr>
      <w:r>
        <w:rPr>
          <w:b/>
        </w:rPr>
        <w:t>Female children aged 15 to 17 years</w:t>
      </w:r>
      <w:r>
        <w:t xml:space="preserve"> accounted for all child victims who </w:t>
      </w:r>
      <w:r>
        <w:rPr>
          <w:b/>
        </w:rPr>
        <w:t xml:space="preserve">reported the offender was their partner </w:t>
      </w:r>
      <w:r>
        <w:t xml:space="preserve">(100% or 8 victims), and a </w:t>
      </w:r>
      <w:r>
        <w:rPr>
          <w:b/>
        </w:rPr>
        <w:t xml:space="preserve">non-family member </w:t>
      </w:r>
      <w:r>
        <w:t>(100% or 6 victims).</w:t>
      </w:r>
    </w:p>
    <w:p w14:paraId="1C1AFD58" w14:textId="77777777" w:rsidR="00A90ED5" w:rsidRDefault="00A90ED5" w:rsidP="00A90ED5">
      <w:pPr>
        <w:jc w:val="both"/>
        <w:rPr>
          <w:b/>
        </w:rPr>
      </w:pPr>
      <w:r>
        <w:rPr>
          <w:noProof/>
        </w:rPr>
        <w:drawing>
          <wp:inline distT="0" distB="0" distL="0" distR="0" wp14:anchorId="45651F47" wp14:editId="536DC307">
            <wp:extent cx="5759450" cy="3134995"/>
            <wp:effectExtent l="0" t="0" r="12700" b="8255"/>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275D3B6" w14:textId="1375333E" w:rsidR="00A90ED5" w:rsidRPr="00243307" w:rsidRDefault="00E51B5E" w:rsidP="00E51B5E">
      <w:pPr>
        <w:pStyle w:val="Heading4"/>
        <w:numPr>
          <w:ilvl w:val="0"/>
          <w:numId w:val="0"/>
        </w:numPr>
        <w:ind w:left="851" w:hanging="851"/>
      </w:pPr>
      <w:bookmarkStart w:id="236" w:name="_Toc430168458"/>
      <w:bookmarkStart w:id="237" w:name="_Toc432144055"/>
      <w:r>
        <w:t xml:space="preserve">8.1.4 </w:t>
      </w:r>
      <w:r w:rsidR="00A90ED5" w:rsidRPr="00243307">
        <w:t>Australian Capital Territory data about child victims of physical assault in a residential location</w:t>
      </w:r>
      <w:bookmarkEnd w:id="236"/>
      <w:bookmarkEnd w:id="237"/>
    </w:p>
    <w:p w14:paraId="0D47D68B" w14:textId="77777777" w:rsidR="00A90ED5" w:rsidRPr="0041544C" w:rsidRDefault="00A90ED5" w:rsidP="00A90ED5">
      <w:pPr>
        <w:jc w:val="both"/>
      </w:pPr>
      <w:r>
        <w:t>In the Australian Capital Territory</w:t>
      </w:r>
      <w:r w:rsidRPr="00677892">
        <w:t xml:space="preserve"> </w:t>
      </w:r>
      <w:r>
        <w:t xml:space="preserve">between 2010 and 2013 there were </w:t>
      </w:r>
      <w:r>
        <w:rPr>
          <w:b/>
        </w:rPr>
        <w:t>449 police recorded child victims of physical assault in a residential location</w:t>
      </w:r>
      <w:r>
        <w:t>:</w:t>
      </w:r>
    </w:p>
    <w:p w14:paraId="17FE5BC7" w14:textId="77777777" w:rsidR="00A90ED5" w:rsidRPr="001A3B4B" w:rsidRDefault="00A90ED5" w:rsidP="000D1D92">
      <w:pPr>
        <w:pStyle w:val="ListParagraph"/>
        <w:numPr>
          <w:ilvl w:val="0"/>
          <w:numId w:val="55"/>
        </w:numPr>
        <w:jc w:val="both"/>
        <w:rPr>
          <w:b/>
        </w:rPr>
      </w:pPr>
      <w:r w:rsidRPr="001A3B4B">
        <w:rPr>
          <w:b/>
        </w:rPr>
        <w:t xml:space="preserve">Parents accounted for the largest proportion of offenders </w:t>
      </w:r>
      <w:r>
        <w:t xml:space="preserve">(52.11% or 234 victims), followed by </w:t>
      </w:r>
      <w:r w:rsidRPr="001A3B4B">
        <w:rPr>
          <w:b/>
        </w:rPr>
        <w:t>non-family members</w:t>
      </w:r>
      <w:r>
        <w:rPr>
          <w:b/>
        </w:rPr>
        <w:t xml:space="preserve"> known to the victim</w:t>
      </w:r>
      <w:r w:rsidRPr="001A3B4B">
        <w:rPr>
          <w:b/>
        </w:rPr>
        <w:t xml:space="preserve"> </w:t>
      </w:r>
      <w:r>
        <w:t xml:space="preserve">(23.6% or 106 victims), then </w:t>
      </w:r>
      <w:r>
        <w:rPr>
          <w:b/>
        </w:rPr>
        <w:t xml:space="preserve">other family members </w:t>
      </w:r>
      <w:r>
        <w:t xml:space="preserve">(14.92% or 67 victims), then </w:t>
      </w:r>
      <w:r>
        <w:rPr>
          <w:b/>
        </w:rPr>
        <w:t xml:space="preserve">partners </w:t>
      </w:r>
      <w:r>
        <w:t xml:space="preserve">(5.12% or 23 victims), and then </w:t>
      </w:r>
      <w:r>
        <w:rPr>
          <w:b/>
        </w:rPr>
        <w:t xml:space="preserve">strangers </w:t>
      </w:r>
      <w:r>
        <w:t>(0.66% or 3 victims).</w:t>
      </w:r>
    </w:p>
    <w:p w14:paraId="1413AD80" w14:textId="77777777" w:rsidR="00A90ED5" w:rsidRDefault="00A90ED5" w:rsidP="000D1D92">
      <w:pPr>
        <w:pStyle w:val="ListParagraph"/>
        <w:numPr>
          <w:ilvl w:val="0"/>
          <w:numId w:val="55"/>
        </w:numPr>
        <w:jc w:val="both"/>
      </w:pPr>
      <w:r w:rsidRPr="00984224">
        <w:rPr>
          <w:b/>
        </w:rPr>
        <w:t xml:space="preserve">Male children aged 10 to 14 years </w:t>
      </w:r>
      <w:r w:rsidRPr="0073089E">
        <w:t>accounted for the largest proportion of child victims who</w:t>
      </w:r>
      <w:r w:rsidRPr="00984224">
        <w:rPr>
          <w:b/>
        </w:rPr>
        <w:t xml:space="preserve"> reported the offender was </w:t>
      </w:r>
      <w:r>
        <w:rPr>
          <w:b/>
        </w:rPr>
        <w:t>their</w:t>
      </w:r>
      <w:r w:rsidRPr="00984224">
        <w:rPr>
          <w:b/>
        </w:rPr>
        <w:t xml:space="preserve"> parent</w:t>
      </w:r>
      <w:r>
        <w:t xml:space="preserve"> (22.65% or 53 victims).</w:t>
      </w:r>
    </w:p>
    <w:p w14:paraId="51F3B08F" w14:textId="77777777" w:rsidR="00A90ED5" w:rsidRDefault="00A90ED5" w:rsidP="000D1D92">
      <w:pPr>
        <w:pStyle w:val="ListParagraph"/>
        <w:numPr>
          <w:ilvl w:val="0"/>
          <w:numId w:val="55"/>
        </w:numPr>
        <w:jc w:val="both"/>
      </w:pPr>
      <w:r>
        <w:rPr>
          <w:b/>
        </w:rPr>
        <w:t xml:space="preserve">Female children aged 10 to 14 years </w:t>
      </w:r>
      <w:r w:rsidRPr="0073089E">
        <w:t>accounted for the largest proportion of child victims who</w:t>
      </w:r>
      <w:r>
        <w:rPr>
          <w:b/>
        </w:rPr>
        <w:t xml:space="preserve"> reported the offender was some other family member </w:t>
      </w:r>
      <w:r>
        <w:t xml:space="preserve">(26.87% or 18 victims), </w:t>
      </w:r>
      <w:r>
        <w:rPr>
          <w:b/>
        </w:rPr>
        <w:t xml:space="preserve">followed closely by female children aged 15 to 17 years </w:t>
      </w:r>
      <w:r>
        <w:t>(25.37% or 17 victims).</w:t>
      </w:r>
    </w:p>
    <w:p w14:paraId="0CC94C79" w14:textId="77777777" w:rsidR="00A90ED5" w:rsidRDefault="00A90ED5" w:rsidP="000D1D92">
      <w:pPr>
        <w:pStyle w:val="ListParagraph"/>
        <w:numPr>
          <w:ilvl w:val="0"/>
          <w:numId w:val="55"/>
        </w:numPr>
        <w:jc w:val="both"/>
      </w:pPr>
      <w:r w:rsidRPr="00140CE9">
        <w:rPr>
          <w:b/>
        </w:rPr>
        <w:t xml:space="preserve">Female children aged 15 to 17 years </w:t>
      </w:r>
      <w:r w:rsidRPr="00140CE9">
        <w:t>accounted for the largest proportion of child victims who</w:t>
      </w:r>
      <w:r w:rsidRPr="00140CE9">
        <w:rPr>
          <w:b/>
        </w:rPr>
        <w:t xml:space="preserve"> reported the offender was a</w:t>
      </w:r>
      <w:r>
        <w:t xml:space="preserve"> </w:t>
      </w:r>
      <w:r w:rsidRPr="00140CE9">
        <w:rPr>
          <w:b/>
        </w:rPr>
        <w:t>stranger</w:t>
      </w:r>
      <w:r>
        <w:t xml:space="preserve"> (100% or 3 victims), </w:t>
      </w:r>
      <w:r w:rsidRPr="00140CE9">
        <w:rPr>
          <w:b/>
        </w:rPr>
        <w:t>their partner</w:t>
      </w:r>
      <w:r>
        <w:t xml:space="preserve"> (86.96% or 20 victims), and </w:t>
      </w:r>
      <w:r w:rsidRPr="00140CE9">
        <w:rPr>
          <w:b/>
        </w:rPr>
        <w:t>a non-family member known to the victim</w:t>
      </w:r>
      <w:r>
        <w:t xml:space="preserve"> (38.68% or 41 victims).</w:t>
      </w:r>
    </w:p>
    <w:p w14:paraId="21876E5D" w14:textId="77777777" w:rsidR="00A90ED5" w:rsidRPr="00626946" w:rsidRDefault="00A90ED5" w:rsidP="00A90ED5">
      <w:pPr>
        <w:jc w:val="both"/>
      </w:pPr>
      <w:r>
        <w:rPr>
          <w:noProof/>
        </w:rPr>
        <w:drawing>
          <wp:inline distT="0" distB="0" distL="0" distR="0" wp14:anchorId="34DFD463" wp14:editId="09E3A293">
            <wp:extent cx="5759450" cy="2590800"/>
            <wp:effectExtent l="0" t="0" r="1270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3A1A64C" w14:textId="40325B36" w:rsidR="00A90ED5" w:rsidRPr="00243307" w:rsidRDefault="00A90ED5" w:rsidP="00E51B5E">
      <w:pPr>
        <w:pStyle w:val="Heading3"/>
        <w:numPr>
          <w:ilvl w:val="0"/>
          <w:numId w:val="0"/>
        </w:numPr>
        <w:ind w:left="851" w:hanging="851"/>
      </w:pPr>
      <w:bookmarkStart w:id="238" w:name="_Toc430168459"/>
      <w:bookmarkStart w:id="239" w:name="_Toc432144056"/>
      <w:r>
        <w:t xml:space="preserve">8.2 </w:t>
      </w:r>
      <w:r w:rsidRPr="00243307">
        <w:t>ABS data about child victims of sexual assault aged 0-17 years</w:t>
      </w:r>
      <w:bookmarkEnd w:id="238"/>
      <w:bookmarkEnd w:id="239"/>
    </w:p>
    <w:p w14:paraId="4B759A82" w14:textId="77777777" w:rsidR="00A90ED5" w:rsidRDefault="00A90ED5" w:rsidP="00A90ED5">
      <w:pPr>
        <w:jc w:val="both"/>
      </w:pPr>
      <w:r>
        <w:t>The sexual assault data in this appendix is drawn from Tables 5-9 of the customised report I obtained from ABS about the ABS Recorded Crime – Victims publication.</w:t>
      </w:r>
    </w:p>
    <w:p w14:paraId="79B55274" w14:textId="77777777" w:rsidR="00A90ED5" w:rsidRDefault="00A90ED5" w:rsidP="00A90ED5">
      <w:pPr>
        <w:jc w:val="both"/>
      </w:pPr>
      <w:r>
        <w:t xml:space="preserve">The ABS provided me with data about child victims of sexual assault aged 0 to 17 years for New South Wales, Queensland, Victoria, South Australia, Tasmania, the Northern Territory and the Australian Capital Territory. </w:t>
      </w:r>
    </w:p>
    <w:p w14:paraId="3C291531" w14:textId="77777777" w:rsidR="00A90ED5" w:rsidRDefault="00A90ED5" w:rsidP="00A90ED5">
      <w:pPr>
        <w:jc w:val="both"/>
      </w:pPr>
      <w:r>
        <w:t>Aboriginal and Torres Strait Islander status data was only provided for New South Wales and Queensland.</w:t>
      </w:r>
    </w:p>
    <w:p w14:paraId="0F1EC5C1" w14:textId="34BE9106" w:rsidR="00A90ED5" w:rsidRPr="00243307" w:rsidRDefault="00E51B5E" w:rsidP="00E51B5E">
      <w:pPr>
        <w:pStyle w:val="Heading4"/>
        <w:numPr>
          <w:ilvl w:val="0"/>
          <w:numId w:val="0"/>
        </w:numPr>
        <w:ind w:left="851" w:hanging="851"/>
      </w:pPr>
      <w:bookmarkStart w:id="240" w:name="_Toc430168460"/>
      <w:bookmarkStart w:id="241" w:name="_Toc432144057"/>
      <w:r>
        <w:t xml:space="preserve">8.2.1 </w:t>
      </w:r>
      <w:r w:rsidR="00A90ED5" w:rsidRPr="00243307">
        <w:t>New South Wales data about child victims of sexual assault in a residential location</w:t>
      </w:r>
      <w:bookmarkEnd w:id="240"/>
      <w:bookmarkEnd w:id="241"/>
    </w:p>
    <w:p w14:paraId="2A95457F" w14:textId="77777777" w:rsidR="00A90ED5" w:rsidRPr="00AF64F3" w:rsidRDefault="00A90ED5" w:rsidP="00A90ED5">
      <w:pPr>
        <w:jc w:val="both"/>
      </w:pPr>
      <w:r>
        <w:t xml:space="preserve">In New South Wales between 2010 and 2013 there were </w:t>
      </w:r>
      <w:r>
        <w:rPr>
          <w:b/>
        </w:rPr>
        <w:t>11,669</w:t>
      </w:r>
      <w:r w:rsidRPr="00302855">
        <w:rPr>
          <w:b/>
        </w:rPr>
        <w:t xml:space="preserve"> </w:t>
      </w:r>
      <w:r>
        <w:rPr>
          <w:b/>
        </w:rPr>
        <w:t xml:space="preserve">police recorded </w:t>
      </w:r>
      <w:r w:rsidRPr="00302855">
        <w:rPr>
          <w:b/>
        </w:rPr>
        <w:t xml:space="preserve">child victims of </w:t>
      </w:r>
      <w:r w:rsidRPr="00AF64F3">
        <w:rPr>
          <w:b/>
        </w:rPr>
        <w:t>sexual assault</w:t>
      </w:r>
      <w:r>
        <w:rPr>
          <w:b/>
        </w:rPr>
        <w:t xml:space="preserve"> in a residential location</w:t>
      </w:r>
      <w:r w:rsidRPr="00AF64F3">
        <w:t xml:space="preserve">: </w:t>
      </w:r>
    </w:p>
    <w:p w14:paraId="3B97DE72" w14:textId="77777777" w:rsidR="00A90ED5" w:rsidRPr="00AF64F3" w:rsidRDefault="00A90ED5" w:rsidP="000D1D92">
      <w:pPr>
        <w:pStyle w:val="ListParagraph"/>
        <w:numPr>
          <w:ilvl w:val="0"/>
          <w:numId w:val="51"/>
        </w:numPr>
        <w:jc w:val="both"/>
      </w:pPr>
      <w:r w:rsidRPr="009370F5">
        <w:rPr>
          <w:b/>
        </w:rPr>
        <w:t>Aboriginal and Torres Strait Islander children accounted for 11.</w:t>
      </w:r>
      <w:r>
        <w:rPr>
          <w:b/>
        </w:rPr>
        <w:t>11</w:t>
      </w:r>
      <w:r w:rsidRPr="009370F5">
        <w:rPr>
          <w:b/>
        </w:rPr>
        <w:t>%</w:t>
      </w:r>
      <w:r w:rsidRPr="00AF64F3">
        <w:t xml:space="preserve"> or </w:t>
      </w:r>
      <w:r>
        <w:t>1,297</w:t>
      </w:r>
      <w:r w:rsidRPr="00AF64F3">
        <w:t xml:space="preserve"> victims</w:t>
      </w:r>
    </w:p>
    <w:p w14:paraId="4C3D95ED" w14:textId="77777777" w:rsidR="00A90ED5" w:rsidRPr="00AF64F3" w:rsidRDefault="00A90ED5" w:rsidP="000D1D92">
      <w:pPr>
        <w:pStyle w:val="ListParagraph"/>
        <w:numPr>
          <w:ilvl w:val="0"/>
          <w:numId w:val="51"/>
        </w:numPr>
        <w:jc w:val="both"/>
      </w:pPr>
      <w:r w:rsidRPr="009370F5">
        <w:rPr>
          <w:b/>
        </w:rPr>
        <w:t>Non-Indigenous children accounted for 80.5%</w:t>
      </w:r>
      <w:r w:rsidRPr="00AF64F3">
        <w:t xml:space="preserve"> or </w:t>
      </w:r>
      <w:r>
        <w:t>9,394</w:t>
      </w:r>
      <w:r w:rsidRPr="00AF64F3">
        <w:t xml:space="preserve"> victims</w:t>
      </w:r>
    </w:p>
    <w:p w14:paraId="71AD8F1E" w14:textId="77777777" w:rsidR="00A90ED5" w:rsidRPr="00AF64F3" w:rsidRDefault="00A90ED5" w:rsidP="000D1D92">
      <w:pPr>
        <w:pStyle w:val="ListParagraph"/>
        <w:numPr>
          <w:ilvl w:val="0"/>
          <w:numId w:val="51"/>
        </w:numPr>
        <w:jc w:val="both"/>
      </w:pPr>
      <w:r w:rsidRPr="009370F5">
        <w:rPr>
          <w:b/>
        </w:rPr>
        <w:t>The Indigenous status was unknown for 8.3</w:t>
      </w:r>
      <w:r>
        <w:rPr>
          <w:b/>
        </w:rPr>
        <w:t>8</w:t>
      </w:r>
      <w:r w:rsidRPr="009370F5">
        <w:rPr>
          <w:b/>
        </w:rPr>
        <w:t xml:space="preserve">% </w:t>
      </w:r>
      <w:r w:rsidRPr="000719FF">
        <w:t>of children</w:t>
      </w:r>
      <w:r w:rsidRPr="00AF64F3">
        <w:t xml:space="preserve"> or </w:t>
      </w:r>
      <w:r>
        <w:t>978</w:t>
      </w:r>
      <w:r w:rsidRPr="00AF64F3">
        <w:t xml:space="preserve"> child victims.</w:t>
      </w:r>
    </w:p>
    <w:p w14:paraId="2A5872ED" w14:textId="77777777" w:rsidR="00A90ED5" w:rsidRPr="00E51B5E" w:rsidRDefault="00A90ED5" w:rsidP="00E51B5E">
      <w:pPr>
        <w:rPr>
          <w:u w:val="single"/>
        </w:rPr>
      </w:pPr>
      <w:r w:rsidRPr="00E51B5E">
        <w:rPr>
          <w:u w:val="single"/>
        </w:rPr>
        <w:t>Aboriginal and Torres Strait Islander children who were victims of sexual assault in a residential location</w:t>
      </w:r>
    </w:p>
    <w:p w14:paraId="1E3DBFD9" w14:textId="77777777" w:rsidR="00A90ED5" w:rsidRDefault="00A90ED5" w:rsidP="00A90ED5">
      <w:pPr>
        <w:jc w:val="both"/>
      </w:pPr>
      <w:r>
        <w:t xml:space="preserve">In New South Wales between 2010 and 2013 there were </w:t>
      </w:r>
      <w:r>
        <w:rPr>
          <w:b/>
        </w:rPr>
        <w:t>1,297</w:t>
      </w:r>
      <w:r w:rsidRPr="00205389">
        <w:rPr>
          <w:b/>
        </w:rPr>
        <w:t xml:space="preserve"> </w:t>
      </w:r>
      <w:r>
        <w:rPr>
          <w:b/>
        </w:rPr>
        <w:t xml:space="preserve">police recorded </w:t>
      </w:r>
      <w:r w:rsidRPr="00205389">
        <w:rPr>
          <w:b/>
        </w:rPr>
        <w:t>Aboriginal and Torres Strait I</w:t>
      </w:r>
      <w:r>
        <w:rPr>
          <w:b/>
        </w:rPr>
        <w:t>slander child victims of sexual assault in a residential location</w:t>
      </w:r>
      <w:r>
        <w:t>:</w:t>
      </w:r>
    </w:p>
    <w:p w14:paraId="41F5A1D4" w14:textId="77777777" w:rsidR="00A90ED5" w:rsidRDefault="00A90ED5" w:rsidP="000D1D92">
      <w:pPr>
        <w:pStyle w:val="ListParagraph"/>
        <w:numPr>
          <w:ilvl w:val="0"/>
          <w:numId w:val="50"/>
        </w:numPr>
        <w:jc w:val="both"/>
      </w:pPr>
      <w:r w:rsidRPr="009370F5">
        <w:rPr>
          <w:b/>
        </w:rPr>
        <w:t>Non-family members accounted for the largest proportion of offenders</w:t>
      </w:r>
      <w:r w:rsidRPr="007446FB">
        <w:t xml:space="preserve"> (</w:t>
      </w:r>
      <w:r>
        <w:t>40.47</w:t>
      </w:r>
      <w:r w:rsidRPr="007446FB">
        <w:t xml:space="preserve">% or </w:t>
      </w:r>
      <w:r>
        <w:t>525</w:t>
      </w:r>
      <w:r w:rsidRPr="007446FB">
        <w:t xml:space="preserve"> victims),</w:t>
      </w:r>
      <w:r>
        <w:t xml:space="preserve"> followed by </w:t>
      </w:r>
      <w:r w:rsidRPr="007378B4">
        <w:rPr>
          <w:b/>
        </w:rPr>
        <w:t>other family members</w:t>
      </w:r>
      <w:r w:rsidRPr="007446FB">
        <w:t xml:space="preserve"> (</w:t>
      </w:r>
      <w:r>
        <w:t>18.35</w:t>
      </w:r>
      <w:r w:rsidRPr="007446FB">
        <w:t xml:space="preserve">% or </w:t>
      </w:r>
      <w:r>
        <w:t>238</w:t>
      </w:r>
      <w:r w:rsidRPr="007446FB">
        <w:t xml:space="preserve"> victims), then </w:t>
      </w:r>
      <w:r w:rsidRPr="007378B4">
        <w:rPr>
          <w:b/>
        </w:rPr>
        <w:t>parents</w:t>
      </w:r>
      <w:r>
        <w:t xml:space="preserve"> </w:t>
      </w:r>
      <w:r w:rsidRPr="007446FB">
        <w:t>(</w:t>
      </w:r>
      <w:r>
        <w:t>16.11</w:t>
      </w:r>
      <w:r w:rsidRPr="007446FB">
        <w:t xml:space="preserve">% or </w:t>
      </w:r>
      <w:r>
        <w:t>209</w:t>
      </w:r>
      <w:r w:rsidRPr="007446FB">
        <w:t xml:space="preserve"> victims), then </w:t>
      </w:r>
      <w:r w:rsidRPr="007378B4">
        <w:rPr>
          <w:b/>
        </w:rPr>
        <w:t>partners</w:t>
      </w:r>
      <w:r>
        <w:t xml:space="preserve"> </w:t>
      </w:r>
      <w:r w:rsidRPr="007446FB">
        <w:t>(</w:t>
      </w:r>
      <w:r>
        <w:t>6.63</w:t>
      </w:r>
      <w:r w:rsidRPr="007446FB">
        <w:t xml:space="preserve">% or </w:t>
      </w:r>
      <w:r>
        <w:t>86</w:t>
      </w:r>
      <w:r w:rsidRPr="007446FB">
        <w:t xml:space="preserve"> victims), then </w:t>
      </w:r>
      <w:r w:rsidRPr="007378B4">
        <w:rPr>
          <w:b/>
        </w:rPr>
        <w:t>siblings</w:t>
      </w:r>
      <w:r>
        <w:t xml:space="preserve"> </w:t>
      </w:r>
      <w:r w:rsidRPr="007446FB">
        <w:t>(</w:t>
      </w:r>
      <w:r>
        <w:t>6.47</w:t>
      </w:r>
      <w:r w:rsidRPr="007446FB">
        <w:t xml:space="preserve">% or </w:t>
      </w:r>
      <w:r>
        <w:t>84</w:t>
      </w:r>
      <w:r w:rsidRPr="007446FB">
        <w:t xml:space="preserve"> victims), and </w:t>
      </w:r>
      <w:r>
        <w:t xml:space="preserve">then </w:t>
      </w:r>
      <w:r w:rsidRPr="007378B4">
        <w:rPr>
          <w:b/>
        </w:rPr>
        <w:t>strangers</w:t>
      </w:r>
      <w:r w:rsidRPr="007446FB">
        <w:t xml:space="preserve"> (</w:t>
      </w:r>
      <w:r>
        <w:t>3.16</w:t>
      </w:r>
      <w:r w:rsidRPr="007446FB">
        <w:t xml:space="preserve">% or </w:t>
      </w:r>
      <w:r>
        <w:t>41</w:t>
      </w:r>
      <w:r w:rsidRPr="007446FB">
        <w:t xml:space="preserve"> victims).</w:t>
      </w:r>
    </w:p>
    <w:p w14:paraId="074E0C20" w14:textId="77777777" w:rsidR="00A90ED5" w:rsidRDefault="00A90ED5" w:rsidP="000D1D92">
      <w:pPr>
        <w:pStyle w:val="ListParagraph"/>
        <w:numPr>
          <w:ilvl w:val="0"/>
          <w:numId w:val="50"/>
        </w:numPr>
        <w:jc w:val="both"/>
      </w:pPr>
      <w:r w:rsidRPr="007378B4">
        <w:rPr>
          <w:b/>
        </w:rPr>
        <w:t xml:space="preserve">Female children aged 0 to 9 </w:t>
      </w:r>
      <w:r w:rsidRPr="008C5B56">
        <w:rPr>
          <w:b/>
        </w:rPr>
        <w:t>years</w:t>
      </w:r>
      <w:r w:rsidRPr="00F577A9">
        <w:t xml:space="preserve"> accounted for the largest proportion of child victims who</w:t>
      </w:r>
      <w:r w:rsidRPr="007378B4">
        <w:rPr>
          <w:b/>
        </w:rPr>
        <w:t xml:space="preserve"> reported the offender was </w:t>
      </w:r>
      <w:r>
        <w:rPr>
          <w:b/>
        </w:rPr>
        <w:t>their</w:t>
      </w:r>
      <w:r w:rsidRPr="007378B4">
        <w:rPr>
          <w:b/>
        </w:rPr>
        <w:t xml:space="preserve"> parent</w:t>
      </w:r>
      <w:r>
        <w:t xml:space="preserve"> (36.36% or 76 victims), some </w:t>
      </w:r>
      <w:r w:rsidRPr="007378B4">
        <w:rPr>
          <w:b/>
        </w:rPr>
        <w:t>other family member</w:t>
      </w:r>
      <w:r>
        <w:t xml:space="preserve"> (36.13% or 86 victims), and a </w:t>
      </w:r>
      <w:r w:rsidRPr="007378B4">
        <w:rPr>
          <w:b/>
        </w:rPr>
        <w:t>sibling</w:t>
      </w:r>
      <w:r>
        <w:t xml:space="preserve"> (34.52% or 29 victims).</w:t>
      </w:r>
    </w:p>
    <w:p w14:paraId="5833CD63" w14:textId="77777777" w:rsidR="00A90ED5" w:rsidRDefault="00A90ED5" w:rsidP="000D1D92">
      <w:pPr>
        <w:pStyle w:val="ListParagraph"/>
        <w:numPr>
          <w:ilvl w:val="0"/>
          <w:numId w:val="50"/>
        </w:numPr>
        <w:jc w:val="both"/>
      </w:pPr>
      <w:r w:rsidRPr="00446793">
        <w:rPr>
          <w:b/>
        </w:rPr>
        <w:t xml:space="preserve">Female children aged 10 to 14 </w:t>
      </w:r>
      <w:r w:rsidRPr="008C5B56">
        <w:rPr>
          <w:b/>
        </w:rPr>
        <w:t>years</w:t>
      </w:r>
      <w:r w:rsidRPr="00446793">
        <w:rPr>
          <w:b/>
        </w:rPr>
        <w:t xml:space="preserve"> </w:t>
      </w:r>
      <w:r w:rsidRPr="00F577A9">
        <w:t>accounted for the largest proportion of child victims who</w:t>
      </w:r>
      <w:r w:rsidRPr="00446793">
        <w:rPr>
          <w:b/>
        </w:rPr>
        <w:t xml:space="preserve"> reported the offender was their partner</w:t>
      </w:r>
      <w:r>
        <w:t xml:space="preserve"> (47.67% or 41 victims), a </w:t>
      </w:r>
      <w:r w:rsidRPr="00446793">
        <w:rPr>
          <w:b/>
        </w:rPr>
        <w:t>non-family member known to the victim</w:t>
      </w:r>
      <w:r>
        <w:t xml:space="preserve"> (42.29% or 222 victims), and a </w:t>
      </w:r>
      <w:r w:rsidRPr="00446793">
        <w:rPr>
          <w:b/>
        </w:rPr>
        <w:t xml:space="preserve">stranger </w:t>
      </w:r>
      <w:r>
        <w:t>(41.46% or 17 victims).</w:t>
      </w:r>
    </w:p>
    <w:p w14:paraId="565B3DC8" w14:textId="77777777" w:rsidR="00A90ED5" w:rsidRPr="00626946" w:rsidRDefault="00A90ED5" w:rsidP="00A90ED5">
      <w:pPr>
        <w:jc w:val="both"/>
      </w:pPr>
      <w:r>
        <w:rPr>
          <w:noProof/>
        </w:rPr>
        <w:drawing>
          <wp:inline distT="0" distB="0" distL="0" distR="0" wp14:anchorId="7CE09540" wp14:editId="4ECAACC3">
            <wp:extent cx="5759450" cy="2883535"/>
            <wp:effectExtent l="0" t="0" r="12700" b="1206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55E144D" w14:textId="77777777" w:rsidR="00A90ED5" w:rsidRPr="00E51B5E" w:rsidRDefault="00A90ED5" w:rsidP="00E51B5E">
      <w:pPr>
        <w:rPr>
          <w:u w:val="single"/>
        </w:rPr>
      </w:pPr>
      <w:r w:rsidRPr="00E51B5E">
        <w:rPr>
          <w:u w:val="single"/>
        </w:rPr>
        <w:t>Non-Indigenous children who were victims of sexual assault in a residential location</w:t>
      </w:r>
    </w:p>
    <w:p w14:paraId="053D7E01" w14:textId="77777777" w:rsidR="00A90ED5" w:rsidRDefault="00A90ED5" w:rsidP="00A90ED5">
      <w:pPr>
        <w:jc w:val="both"/>
      </w:pPr>
      <w:r>
        <w:t xml:space="preserve">In New South Wales between 2010 and 2013 there were </w:t>
      </w:r>
      <w:r>
        <w:rPr>
          <w:b/>
        </w:rPr>
        <w:t>9,394</w:t>
      </w:r>
      <w:r w:rsidRPr="000A74F5">
        <w:rPr>
          <w:b/>
        </w:rPr>
        <w:t xml:space="preserve"> </w:t>
      </w:r>
      <w:r>
        <w:rPr>
          <w:b/>
        </w:rPr>
        <w:t xml:space="preserve">police recorded </w:t>
      </w:r>
      <w:r w:rsidRPr="000A74F5">
        <w:rPr>
          <w:b/>
        </w:rPr>
        <w:t>non-Indigenous child victims of</w:t>
      </w:r>
      <w:r>
        <w:rPr>
          <w:b/>
        </w:rPr>
        <w:t xml:space="preserve"> sexual</w:t>
      </w:r>
      <w:r w:rsidRPr="000A74F5">
        <w:rPr>
          <w:b/>
        </w:rPr>
        <w:t xml:space="preserve"> assaul</w:t>
      </w:r>
      <w:r>
        <w:rPr>
          <w:b/>
        </w:rPr>
        <w:t>t in a residential location</w:t>
      </w:r>
      <w:r w:rsidRPr="000A74F5">
        <w:t>:</w:t>
      </w:r>
    </w:p>
    <w:p w14:paraId="5ED71032" w14:textId="77777777" w:rsidR="00A90ED5" w:rsidRPr="006F6C4D" w:rsidRDefault="00A90ED5" w:rsidP="000D1D92">
      <w:pPr>
        <w:pStyle w:val="ListParagraph"/>
        <w:numPr>
          <w:ilvl w:val="0"/>
          <w:numId w:val="56"/>
        </w:numPr>
        <w:jc w:val="both"/>
      </w:pPr>
      <w:r w:rsidRPr="00E11296">
        <w:rPr>
          <w:b/>
        </w:rPr>
        <w:t>Non-family members</w:t>
      </w:r>
      <w:r>
        <w:rPr>
          <w:b/>
        </w:rPr>
        <w:t xml:space="preserve"> known to the victim</w:t>
      </w:r>
      <w:r w:rsidRPr="00E11296">
        <w:rPr>
          <w:b/>
        </w:rPr>
        <w:t xml:space="preserve"> accounted for the largest proportion of offenders</w:t>
      </w:r>
      <w:r w:rsidRPr="007446FB">
        <w:t xml:space="preserve"> (</w:t>
      </w:r>
      <w:r>
        <w:t>40.79% or 3,832 victims</w:t>
      </w:r>
      <w:r w:rsidRPr="007446FB">
        <w:t>),</w:t>
      </w:r>
      <w:r>
        <w:t xml:space="preserve"> followed by </w:t>
      </w:r>
      <w:r w:rsidRPr="00E11296">
        <w:rPr>
          <w:b/>
        </w:rPr>
        <w:t>parents</w:t>
      </w:r>
      <w:r>
        <w:t xml:space="preserve"> (20.02% or 1,881 victims), then </w:t>
      </w:r>
      <w:r w:rsidRPr="00E11296">
        <w:rPr>
          <w:b/>
        </w:rPr>
        <w:t>other family members</w:t>
      </w:r>
      <w:r>
        <w:t xml:space="preserve"> (15.4% or 1,447 </w:t>
      </w:r>
      <w:r w:rsidRPr="006F6C4D">
        <w:t xml:space="preserve">victims), then </w:t>
      </w:r>
      <w:r w:rsidRPr="006F6C4D">
        <w:rPr>
          <w:b/>
        </w:rPr>
        <w:t>partners</w:t>
      </w:r>
      <w:r w:rsidRPr="006F6C4D">
        <w:t xml:space="preserve"> (6.7% or 630 victims), then </w:t>
      </w:r>
      <w:r w:rsidRPr="006F6C4D">
        <w:rPr>
          <w:b/>
        </w:rPr>
        <w:t>siblings</w:t>
      </w:r>
      <w:r w:rsidRPr="006F6C4D">
        <w:t xml:space="preserve"> (5.84% or 549 victims), and then </w:t>
      </w:r>
      <w:r w:rsidRPr="006F6C4D">
        <w:rPr>
          <w:b/>
        </w:rPr>
        <w:t>strangers</w:t>
      </w:r>
      <w:r w:rsidRPr="006F6C4D">
        <w:t xml:space="preserve"> (2.87% or 270 victims).</w:t>
      </w:r>
    </w:p>
    <w:p w14:paraId="7B953184" w14:textId="77777777" w:rsidR="00A90ED5" w:rsidRPr="006F6C4D" w:rsidRDefault="00A90ED5" w:rsidP="000D1D92">
      <w:pPr>
        <w:pStyle w:val="ListParagraph"/>
        <w:numPr>
          <w:ilvl w:val="0"/>
          <w:numId w:val="56"/>
        </w:numPr>
        <w:jc w:val="both"/>
      </w:pPr>
      <w:r w:rsidRPr="006F6C4D">
        <w:rPr>
          <w:b/>
        </w:rPr>
        <w:t xml:space="preserve">Female children aged 0 to 9 years </w:t>
      </w:r>
      <w:r w:rsidRPr="006F6C4D">
        <w:t>accounted for the largest proportion of child victims who</w:t>
      </w:r>
      <w:r w:rsidRPr="006F6C4D">
        <w:rPr>
          <w:b/>
        </w:rPr>
        <w:t xml:space="preserve"> reported the offender was their parent </w:t>
      </w:r>
      <w:r w:rsidRPr="006F6C4D">
        <w:t xml:space="preserve">(36.04% or 678 victims), their </w:t>
      </w:r>
      <w:r w:rsidRPr="006F6C4D">
        <w:rPr>
          <w:b/>
        </w:rPr>
        <w:t>sibling</w:t>
      </w:r>
      <w:r w:rsidRPr="006F6C4D">
        <w:t xml:space="preserve"> (35.7% or 196 victims), and some </w:t>
      </w:r>
      <w:r w:rsidRPr="006F6C4D">
        <w:rPr>
          <w:b/>
        </w:rPr>
        <w:t>other family member</w:t>
      </w:r>
      <w:r w:rsidRPr="006F6C4D">
        <w:t xml:space="preserve"> (34.76% or 503 victims).</w:t>
      </w:r>
    </w:p>
    <w:p w14:paraId="25998F9D" w14:textId="77777777" w:rsidR="00A90ED5" w:rsidRDefault="00A90ED5" w:rsidP="000D1D92">
      <w:pPr>
        <w:pStyle w:val="ListParagraph"/>
        <w:numPr>
          <w:ilvl w:val="0"/>
          <w:numId w:val="56"/>
        </w:numPr>
        <w:jc w:val="both"/>
      </w:pPr>
      <w:r w:rsidRPr="006F6C4D">
        <w:rPr>
          <w:b/>
        </w:rPr>
        <w:t xml:space="preserve">Female children aged 10 to 14 years </w:t>
      </w:r>
      <w:r w:rsidRPr="006F6C4D">
        <w:t xml:space="preserve">accounted for the </w:t>
      </w:r>
      <w:r w:rsidRPr="008C5B56">
        <w:t>largest proportion of child victims who</w:t>
      </w:r>
      <w:r w:rsidRPr="00796B9D">
        <w:rPr>
          <w:b/>
        </w:rPr>
        <w:t xml:space="preserve"> reported the offender was a non-family member known to the victim</w:t>
      </w:r>
      <w:r>
        <w:t xml:space="preserve"> (35.41% or 1,357 victims).</w:t>
      </w:r>
    </w:p>
    <w:p w14:paraId="0F273ADA" w14:textId="77777777" w:rsidR="00A90ED5" w:rsidRDefault="00A90ED5" w:rsidP="000D1D92">
      <w:pPr>
        <w:pStyle w:val="ListParagraph"/>
        <w:numPr>
          <w:ilvl w:val="0"/>
          <w:numId w:val="56"/>
        </w:numPr>
        <w:jc w:val="both"/>
      </w:pPr>
      <w:r w:rsidRPr="00796B9D">
        <w:rPr>
          <w:b/>
        </w:rPr>
        <w:t xml:space="preserve">Female children aged 15 to 17 years </w:t>
      </w:r>
      <w:r w:rsidRPr="008C5B56">
        <w:t>accounted for the largest proportion of child victims who</w:t>
      </w:r>
      <w:r w:rsidRPr="00796B9D">
        <w:rPr>
          <w:b/>
        </w:rPr>
        <w:t xml:space="preserve"> reported the offender was </w:t>
      </w:r>
      <w:r>
        <w:rPr>
          <w:b/>
        </w:rPr>
        <w:t>their</w:t>
      </w:r>
      <w:r w:rsidRPr="00796B9D">
        <w:rPr>
          <w:b/>
        </w:rPr>
        <w:t xml:space="preserve"> partner</w:t>
      </w:r>
      <w:r>
        <w:t xml:space="preserve"> (49.68% or 313 victims), and a </w:t>
      </w:r>
      <w:r w:rsidRPr="008C5B56">
        <w:rPr>
          <w:b/>
        </w:rPr>
        <w:t>stranger</w:t>
      </w:r>
      <w:r>
        <w:t xml:space="preserve"> (46.67% or 126 victims).</w:t>
      </w:r>
    </w:p>
    <w:p w14:paraId="6F09753D" w14:textId="77777777" w:rsidR="00A90ED5" w:rsidRPr="00626946" w:rsidRDefault="00A90ED5" w:rsidP="00A90ED5">
      <w:pPr>
        <w:jc w:val="both"/>
      </w:pPr>
      <w:r>
        <w:rPr>
          <w:noProof/>
        </w:rPr>
        <w:drawing>
          <wp:inline distT="0" distB="0" distL="0" distR="0" wp14:anchorId="5052A010" wp14:editId="0CD35CE2">
            <wp:extent cx="5759450" cy="2883535"/>
            <wp:effectExtent l="0" t="0" r="12700" b="1206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8E3A044" w14:textId="77777777" w:rsidR="00A90ED5" w:rsidRPr="00E51B5E" w:rsidRDefault="00A90ED5" w:rsidP="00E51B5E">
      <w:pPr>
        <w:rPr>
          <w:u w:val="single"/>
        </w:rPr>
      </w:pPr>
      <w:r w:rsidRPr="00E51B5E">
        <w:rPr>
          <w:u w:val="single"/>
        </w:rPr>
        <w:t>Aboriginal and Torres Strait Islander status unknown for child victims of sexual assault in a residential location</w:t>
      </w:r>
    </w:p>
    <w:p w14:paraId="2F883B54" w14:textId="77777777" w:rsidR="00A90ED5" w:rsidRDefault="00A90ED5" w:rsidP="00A90ED5">
      <w:pPr>
        <w:jc w:val="both"/>
      </w:pPr>
      <w:r>
        <w:t xml:space="preserve">In New South Wales between 2010 and 2013 there were </w:t>
      </w:r>
      <w:r>
        <w:rPr>
          <w:b/>
        </w:rPr>
        <w:t>978</w:t>
      </w:r>
      <w:r w:rsidRPr="00205389">
        <w:rPr>
          <w:b/>
        </w:rPr>
        <w:t xml:space="preserve"> </w:t>
      </w:r>
      <w:r>
        <w:rPr>
          <w:b/>
        </w:rPr>
        <w:t>police recorded child victims of sexual assault with Indigenous status unknown in a residential location</w:t>
      </w:r>
      <w:r>
        <w:t>:</w:t>
      </w:r>
    </w:p>
    <w:p w14:paraId="1858CB34" w14:textId="77777777" w:rsidR="00A90ED5" w:rsidRDefault="00A90ED5" w:rsidP="000D1D92">
      <w:pPr>
        <w:pStyle w:val="ListParagraph"/>
        <w:numPr>
          <w:ilvl w:val="0"/>
          <w:numId w:val="57"/>
        </w:numPr>
        <w:jc w:val="both"/>
      </w:pPr>
      <w:r w:rsidRPr="004E369D">
        <w:rPr>
          <w:b/>
        </w:rPr>
        <w:t>Non-family members</w:t>
      </w:r>
      <w:r>
        <w:rPr>
          <w:b/>
        </w:rPr>
        <w:t xml:space="preserve"> known to the victim</w:t>
      </w:r>
      <w:r w:rsidRPr="004E369D">
        <w:rPr>
          <w:b/>
        </w:rPr>
        <w:t xml:space="preserve"> accounted for the largest proportion of offenders</w:t>
      </w:r>
      <w:r>
        <w:t xml:space="preserve"> (37.52% or 367 victims), followed by </w:t>
      </w:r>
      <w:r w:rsidRPr="004E369D">
        <w:rPr>
          <w:b/>
        </w:rPr>
        <w:t>parents</w:t>
      </w:r>
      <w:r>
        <w:t xml:space="preserve"> (19.22% or 188 victims), then </w:t>
      </w:r>
      <w:r w:rsidRPr="004E369D">
        <w:rPr>
          <w:b/>
        </w:rPr>
        <w:t>other family members</w:t>
      </w:r>
      <w:r>
        <w:t xml:space="preserve"> (15.74% or 154 victims), then </w:t>
      </w:r>
      <w:r w:rsidRPr="004E369D">
        <w:rPr>
          <w:b/>
        </w:rPr>
        <w:t>siblings</w:t>
      </w:r>
      <w:r>
        <w:t xml:space="preserve"> (8.58% or 84 victims), then </w:t>
      </w:r>
      <w:r w:rsidRPr="004E369D">
        <w:rPr>
          <w:b/>
        </w:rPr>
        <w:t>partners</w:t>
      </w:r>
      <w:r>
        <w:t xml:space="preserve"> (8.38% or 82 victims), and then </w:t>
      </w:r>
      <w:r w:rsidRPr="004E369D">
        <w:rPr>
          <w:b/>
        </w:rPr>
        <w:t>strangers</w:t>
      </w:r>
      <w:r>
        <w:t xml:space="preserve"> (1.84% or 18 victims).</w:t>
      </w:r>
    </w:p>
    <w:p w14:paraId="21783A85" w14:textId="77777777" w:rsidR="00A90ED5" w:rsidRDefault="00A90ED5" w:rsidP="000D1D92">
      <w:pPr>
        <w:pStyle w:val="ListParagraph"/>
        <w:numPr>
          <w:ilvl w:val="0"/>
          <w:numId w:val="57"/>
        </w:numPr>
        <w:jc w:val="both"/>
      </w:pPr>
      <w:r w:rsidRPr="00C353CD">
        <w:rPr>
          <w:b/>
        </w:rPr>
        <w:t xml:space="preserve">Female children aged 0 to 9 </w:t>
      </w:r>
      <w:r w:rsidRPr="004B70AB">
        <w:t>years accounted for the largest proportion of child victims who</w:t>
      </w:r>
      <w:r w:rsidRPr="00C353CD">
        <w:rPr>
          <w:b/>
        </w:rPr>
        <w:t xml:space="preserve"> reported the offender was </w:t>
      </w:r>
      <w:r>
        <w:rPr>
          <w:b/>
        </w:rPr>
        <w:t>their</w:t>
      </w:r>
      <w:r w:rsidRPr="00C353CD">
        <w:rPr>
          <w:b/>
        </w:rPr>
        <w:t xml:space="preserve"> sibling</w:t>
      </w:r>
      <w:r>
        <w:t xml:space="preserve"> (32.14% or 27 victims), and </w:t>
      </w:r>
      <w:r w:rsidRPr="00C353CD">
        <w:t xml:space="preserve">some </w:t>
      </w:r>
      <w:r w:rsidRPr="00C353CD">
        <w:rPr>
          <w:b/>
        </w:rPr>
        <w:t>other family member</w:t>
      </w:r>
      <w:r>
        <w:t xml:space="preserve"> (31.17% or 48 victims).</w:t>
      </w:r>
    </w:p>
    <w:p w14:paraId="1C69D5BD" w14:textId="77777777" w:rsidR="00A90ED5" w:rsidRDefault="00A90ED5" w:rsidP="000D1D92">
      <w:pPr>
        <w:pStyle w:val="ListParagraph"/>
        <w:numPr>
          <w:ilvl w:val="0"/>
          <w:numId w:val="57"/>
        </w:numPr>
        <w:jc w:val="both"/>
      </w:pPr>
      <w:r w:rsidRPr="004B70AB">
        <w:rPr>
          <w:b/>
        </w:rPr>
        <w:t>Female children aged 10 to 14 years</w:t>
      </w:r>
      <w:r w:rsidRPr="008C5B56">
        <w:t xml:space="preserve"> accounted for the largest proportion of child victims who</w:t>
      </w:r>
      <w:r w:rsidRPr="004B70AB">
        <w:rPr>
          <w:b/>
        </w:rPr>
        <w:t xml:space="preserve"> reported the offender was a non-family member known to the victim</w:t>
      </w:r>
      <w:r>
        <w:rPr>
          <w:b/>
        </w:rPr>
        <w:t xml:space="preserve"> </w:t>
      </w:r>
      <w:r>
        <w:t xml:space="preserve">(34.6% or 127 victims), and </w:t>
      </w:r>
      <w:r w:rsidRPr="004B70AB">
        <w:t>their</w:t>
      </w:r>
      <w:r w:rsidRPr="004B70AB">
        <w:rPr>
          <w:b/>
        </w:rPr>
        <w:t xml:space="preserve"> parent</w:t>
      </w:r>
      <w:r>
        <w:t xml:space="preserve"> (29.79% or 56 victims).</w:t>
      </w:r>
    </w:p>
    <w:p w14:paraId="233969D6" w14:textId="77777777" w:rsidR="00A90ED5" w:rsidRDefault="00A90ED5" w:rsidP="000D1D92">
      <w:pPr>
        <w:pStyle w:val="ListParagraph"/>
        <w:numPr>
          <w:ilvl w:val="0"/>
          <w:numId w:val="57"/>
        </w:numPr>
        <w:jc w:val="both"/>
      </w:pPr>
      <w:r w:rsidRPr="008B04EC">
        <w:rPr>
          <w:b/>
        </w:rPr>
        <w:t xml:space="preserve">Female children aged 15 to 17 years </w:t>
      </w:r>
      <w:r w:rsidRPr="004B70AB">
        <w:t>accounted for the largest proportion of child victims who</w:t>
      </w:r>
      <w:r w:rsidRPr="008B04EC">
        <w:rPr>
          <w:b/>
        </w:rPr>
        <w:t xml:space="preserve"> reported the offender was </w:t>
      </w:r>
      <w:r w:rsidRPr="004B70AB">
        <w:rPr>
          <w:b/>
        </w:rPr>
        <w:t>a</w:t>
      </w:r>
      <w:r>
        <w:t xml:space="preserve"> </w:t>
      </w:r>
      <w:r w:rsidRPr="008B04EC">
        <w:rPr>
          <w:b/>
        </w:rPr>
        <w:t>stranger</w:t>
      </w:r>
      <w:r>
        <w:t xml:space="preserve"> (83.33% or 15 victims) and their</w:t>
      </w:r>
      <w:r w:rsidRPr="008B04EC">
        <w:rPr>
          <w:b/>
        </w:rPr>
        <w:t xml:space="preserve"> partner</w:t>
      </w:r>
      <w:r>
        <w:t xml:space="preserve"> (57.32% or 47 victims).</w:t>
      </w:r>
    </w:p>
    <w:p w14:paraId="6C9DF6BB" w14:textId="77777777" w:rsidR="00A90ED5" w:rsidRPr="00626946" w:rsidRDefault="00A90ED5" w:rsidP="00A90ED5">
      <w:pPr>
        <w:jc w:val="both"/>
      </w:pPr>
      <w:r>
        <w:rPr>
          <w:noProof/>
        </w:rPr>
        <w:drawing>
          <wp:inline distT="0" distB="0" distL="0" distR="0" wp14:anchorId="239F0020" wp14:editId="25D4A40B">
            <wp:extent cx="5759450" cy="2883535"/>
            <wp:effectExtent l="0" t="0" r="12700" b="1206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30F426C" w14:textId="52680909" w:rsidR="00A90ED5" w:rsidRPr="00243307" w:rsidRDefault="00E51B5E" w:rsidP="00E51B5E">
      <w:pPr>
        <w:pStyle w:val="Heading4"/>
        <w:numPr>
          <w:ilvl w:val="0"/>
          <w:numId w:val="0"/>
        </w:numPr>
        <w:ind w:left="851" w:hanging="851"/>
      </w:pPr>
      <w:bookmarkStart w:id="242" w:name="_Toc430168461"/>
      <w:bookmarkStart w:id="243" w:name="_Toc432144058"/>
      <w:r>
        <w:t xml:space="preserve">8.2.2 </w:t>
      </w:r>
      <w:r w:rsidR="00A90ED5" w:rsidRPr="00243307">
        <w:t>Queensland data about child victims of sexual assault in a residential location</w:t>
      </w:r>
      <w:bookmarkEnd w:id="242"/>
      <w:bookmarkEnd w:id="243"/>
    </w:p>
    <w:p w14:paraId="7B73DEA8" w14:textId="77777777" w:rsidR="00A90ED5" w:rsidRDefault="00A90ED5" w:rsidP="00A90ED5">
      <w:pPr>
        <w:jc w:val="both"/>
      </w:pPr>
      <w:r>
        <w:t xml:space="preserve">In Queensland between 2010 and 2013 there were </w:t>
      </w:r>
      <w:r>
        <w:rPr>
          <w:b/>
        </w:rPr>
        <w:t>7,727</w:t>
      </w:r>
      <w:r w:rsidRPr="00302855">
        <w:rPr>
          <w:b/>
        </w:rPr>
        <w:t xml:space="preserve"> </w:t>
      </w:r>
      <w:r>
        <w:rPr>
          <w:b/>
        </w:rPr>
        <w:t xml:space="preserve">police recorded </w:t>
      </w:r>
      <w:r w:rsidRPr="00302855">
        <w:rPr>
          <w:b/>
        </w:rPr>
        <w:t xml:space="preserve">child victims of </w:t>
      </w:r>
      <w:r>
        <w:rPr>
          <w:b/>
        </w:rPr>
        <w:t xml:space="preserve">sexual </w:t>
      </w:r>
      <w:r w:rsidRPr="00302855">
        <w:rPr>
          <w:b/>
        </w:rPr>
        <w:t>assault</w:t>
      </w:r>
      <w:r>
        <w:rPr>
          <w:b/>
        </w:rPr>
        <w:t xml:space="preserve"> in a residential location</w:t>
      </w:r>
      <w:r>
        <w:t xml:space="preserve">: </w:t>
      </w:r>
    </w:p>
    <w:p w14:paraId="2731C06E" w14:textId="77777777" w:rsidR="00A90ED5" w:rsidRPr="00912180" w:rsidRDefault="00A90ED5" w:rsidP="000D1D92">
      <w:pPr>
        <w:pStyle w:val="ListParagraph"/>
        <w:numPr>
          <w:ilvl w:val="0"/>
          <w:numId w:val="51"/>
        </w:numPr>
        <w:jc w:val="both"/>
      </w:pPr>
      <w:r w:rsidRPr="009709A5">
        <w:rPr>
          <w:b/>
        </w:rPr>
        <w:t>Aboriginal and Torres Strait Islander children accounted for 11.</w:t>
      </w:r>
      <w:r>
        <w:rPr>
          <w:b/>
        </w:rPr>
        <w:t>32</w:t>
      </w:r>
      <w:r w:rsidRPr="009709A5">
        <w:rPr>
          <w:b/>
        </w:rPr>
        <w:t>%</w:t>
      </w:r>
      <w:r w:rsidRPr="00912180">
        <w:t xml:space="preserve"> or </w:t>
      </w:r>
      <w:r>
        <w:t>875</w:t>
      </w:r>
      <w:r w:rsidRPr="00912180">
        <w:t xml:space="preserve"> victims</w:t>
      </w:r>
    </w:p>
    <w:p w14:paraId="3AB00E02" w14:textId="77777777" w:rsidR="00A90ED5" w:rsidRPr="00912180" w:rsidRDefault="00A90ED5" w:rsidP="000D1D92">
      <w:pPr>
        <w:pStyle w:val="ListParagraph"/>
        <w:numPr>
          <w:ilvl w:val="0"/>
          <w:numId w:val="51"/>
        </w:numPr>
        <w:jc w:val="both"/>
      </w:pPr>
      <w:r w:rsidRPr="009709A5">
        <w:rPr>
          <w:b/>
        </w:rPr>
        <w:t>Non-Indigenous children accounted for 67.</w:t>
      </w:r>
      <w:r>
        <w:rPr>
          <w:b/>
        </w:rPr>
        <w:t>21</w:t>
      </w:r>
      <w:r w:rsidRPr="009709A5">
        <w:rPr>
          <w:b/>
        </w:rPr>
        <w:t>%</w:t>
      </w:r>
      <w:r w:rsidRPr="00912180">
        <w:t xml:space="preserve"> or </w:t>
      </w:r>
      <w:r>
        <w:t>5,194</w:t>
      </w:r>
      <w:r w:rsidRPr="00912180">
        <w:t xml:space="preserve"> victims</w:t>
      </w:r>
    </w:p>
    <w:p w14:paraId="0F163899" w14:textId="77777777" w:rsidR="00A90ED5" w:rsidRDefault="00A90ED5" w:rsidP="000D1D92">
      <w:pPr>
        <w:pStyle w:val="ListParagraph"/>
        <w:numPr>
          <w:ilvl w:val="0"/>
          <w:numId w:val="51"/>
        </w:numPr>
        <w:jc w:val="both"/>
      </w:pPr>
      <w:r w:rsidRPr="009709A5">
        <w:rPr>
          <w:b/>
        </w:rPr>
        <w:t>The Indigenous status was unknown for 2</w:t>
      </w:r>
      <w:r>
        <w:rPr>
          <w:b/>
        </w:rPr>
        <w:t>1</w:t>
      </w:r>
      <w:r w:rsidRPr="009709A5">
        <w:rPr>
          <w:b/>
        </w:rPr>
        <w:t>.</w:t>
      </w:r>
      <w:r>
        <w:rPr>
          <w:b/>
        </w:rPr>
        <w:t>45</w:t>
      </w:r>
      <w:r w:rsidRPr="009709A5">
        <w:rPr>
          <w:b/>
        </w:rPr>
        <w:t>%</w:t>
      </w:r>
      <w:r w:rsidRPr="004B70AB">
        <w:t xml:space="preserve"> of children</w:t>
      </w:r>
      <w:r w:rsidRPr="00912180">
        <w:t xml:space="preserve"> or </w:t>
      </w:r>
      <w:r>
        <w:t>1,658</w:t>
      </w:r>
      <w:r w:rsidRPr="00912180">
        <w:t xml:space="preserve"> child victims</w:t>
      </w:r>
      <w:r>
        <w:t>.</w:t>
      </w:r>
    </w:p>
    <w:p w14:paraId="6285FF33" w14:textId="77777777" w:rsidR="00A90ED5" w:rsidRPr="00E51B5E" w:rsidRDefault="00A90ED5" w:rsidP="00E51B5E">
      <w:pPr>
        <w:rPr>
          <w:u w:val="single"/>
        </w:rPr>
      </w:pPr>
      <w:r w:rsidRPr="00E51B5E">
        <w:rPr>
          <w:u w:val="single"/>
        </w:rPr>
        <w:t>Aboriginal and Torres Strait Islander children were victims of sexual assault in a residential location</w:t>
      </w:r>
    </w:p>
    <w:p w14:paraId="499C3B84" w14:textId="77777777" w:rsidR="00A90ED5" w:rsidRDefault="00A90ED5" w:rsidP="00A90ED5">
      <w:pPr>
        <w:jc w:val="both"/>
      </w:pPr>
      <w:r>
        <w:t xml:space="preserve">In Queensland between 2010 and 2013 there were </w:t>
      </w:r>
      <w:r>
        <w:rPr>
          <w:b/>
        </w:rPr>
        <w:t>875</w:t>
      </w:r>
      <w:r w:rsidRPr="00205389">
        <w:rPr>
          <w:b/>
        </w:rPr>
        <w:t xml:space="preserve"> </w:t>
      </w:r>
      <w:r>
        <w:rPr>
          <w:b/>
        </w:rPr>
        <w:t xml:space="preserve">police recorded </w:t>
      </w:r>
      <w:r w:rsidRPr="00205389">
        <w:rPr>
          <w:b/>
        </w:rPr>
        <w:t>Aboriginal and Torres Strait I</w:t>
      </w:r>
      <w:r>
        <w:rPr>
          <w:b/>
        </w:rPr>
        <w:t>slander child victims of sexual assault in a residential location</w:t>
      </w:r>
      <w:r>
        <w:t>:</w:t>
      </w:r>
    </w:p>
    <w:p w14:paraId="09A417B0" w14:textId="77777777" w:rsidR="00A90ED5" w:rsidRDefault="00A90ED5" w:rsidP="000D1D92">
      <w:pPr>
        <w:pStyle w:val="ListParagraph"/>
        <w:numPr>
          <w:ilvl w:val="0"/>
          <w:numId w:val="59"/>
        </w:numPr>
        <w:jc w:val="both"/>
      </w:pPr>
      <w:r w:rsidRPr="009709A5">
        <w:rPr>
          <w:b/>
        </w:rPr>
        <w:t xml:space="preserve">Non-family members </w:t>
      </w:r>
      <w:r>
        <w:rPr>
          <w:b/>
        </w:rPr>
        <w:t xml:space="preserve">known to the victim </w:t>
      </w:r>
      <w:r w:rsidRPr="009709A5">
        <w:rPr>
          <w:b/>
        </w:rPr>
        <w:t>accounted for the largest proportion of offenders</w:t>
      </w:r>
      <w:r w:rsidRPr="007446FB">
        <w:t xml:space="preserve"> (</w:t>
      </w:r>
      <w:r>
        <w:t>38.04</w:t>
      </w:r>
      <w:r w:rsidRPr="007446FB">
        <w:t xml:space="preserve">% or </w:t>
      </w:r>
      <w:r>
        <w:t>326</w:t>
      </w:r>
      <w:r w:rsidRPr="007446FB">
        <w:t xml:space="preserve"> victims), followed </w:t>
      </w:r>
      <w:r w:rsidRPr="009709A5">
        <w:t>by</w:t>
      </w:r>
      <w:r w:rsidRPr="009709A5">
        <w:rPr>
          <w:b/>
        </w:rPr>
        <w:t xml:space="preserve"> other family members</w:t>
      </w:r>
      <w:r w:rsidRPr="007446FB">
        <w:t xml:space="preserve"> (</w:t>
      </w:r>
      <w:r>
        <w:t>25.2</w:t>
      </w:r>
      <w:r w:rsidRPr="007446FB">
        <w:t xml:space="preserve">% or </w:t>
      </w:r>
      <w:r>
        <w:t>216</w:t>
      </w:r>
      <w:r w:rsidRPr="007446FB">
        <w:t xml:space="preserve"> victims), then </w:t>
      </w:r>
      <w:r w:rsidRPr="009709A5">
        <w:rPr>
          <w:b/>
        </w:rPr>
        <w:t>strangers</w:t>
      </w:r>
      <w:r>
        <w:t xml:space="preserve"> (17.85% or 153 victims), then </w:t>
      </w:r>
      <w:r w:rsidRPr="009709A5">
        <w:rPr>
          <w:b/>
        </w:rPr>
        <w:t>parents</w:t>
      </w:r>
      <w:r>
        <w:t xml:space="preserve"> (10.04% or 86 victims), and then </w:t>
      </w:r>
      <w:r w:rsidRPr="009709A5">
        <w:rPr>
          <w:b/>
        </w:rPr>
        <w:t>partners</w:t>
      </w:r>
      <w:r>
        <w:t xml:space="preserve"> (8.87% or 76 victims).</w:t>
      </w:r>
    </w:p>
    <w:p w14:paraId="772D8184" w14:textId="77777777" w:rsidR="00A90ED5" w:rsidRDefault="00A90ED5" w:rsidP="000D1D92">
      <w:pPr>
        <w:pStyle w:val="ListParagraph"/>
        <w:numPr>
          <w:ilvl w:val="0"/>
          <w:numId w:val="59"/>
        </w:numPr>
        <w:jc w:val="both"/>
      </w:pPr>
      <w:r w:rsidRPr="009709A5">
        <w:rPr>
          <w:b/>
        </w:rPr>
        <w:t xml:space="preserve">Female children aged 10 to 14 years </w:t>
      </w:r>
      <w:r w:rsidRPr="004B70AB">
        <w:t>accounted for the largest proportion of child victims who</w:t>
      </w:r>
      <w:r w:rsidRPr="009709A5">
        <w:rPr>
          <w:b/>
        </w:rPr>
        <w:t xml:space="preserve"> reported the offender was </w:t>
      </w:r>
      <w:r>
        <w:rPr>
          <w:b/>
        </w:rPr>
        <w:t>their</w:t>
      </w:r>
      <w:r w:rsidRPr="009709A5">
        <w:rPr>
          <w:b/>
        </w:rPr>
        <w:t xml:space="preserve"> parent</w:t>
      </w:r>
      <w:r>
        <w:t xml:space="preserve"> (50% or 43 victims), a </w:t>
      </w:r>
      <w:r w:rsidRPr="009709A5">
        <w:rPr>
          <w:b/>
        </w:rPr>
        <w:t>non-family member known to the victim</w:t>
      </w:r>
      <w:r>
        <w:t xml:space="preserve"> (42.64% or 139 victims) </w:t>
      </w:r>
      <w:r w:rsidRPr="004B70AB">
        <w:t>some</w:t>
      </w:r>
      <w:r w:rsidRPr="009709A5">
        <w:rPr>
          <w:b/>
        </w:rPr>
        <w:t xml:space="preserve"> other family member</w:t>
      </w:r>
      <w:r>
        <w:t xml:space="preserve"> (41.67% or 90 victims), and a </w:t>
      </w:r>
      <w:r w:rsidRPr="009709A5">
        <w:rPr>
          <w:b/>
        </w:rPr>
        <w:t>stranger</w:t>
      </w:r>
      <w:r>
        <w:t xml:space="preserve"> (41.18% or 63 victims).</w:t>
      </w:r>
    </w:p>
    <w:p w14:paraId="27CEA934" w14:textId="77777777" w:rsidR="00A90ED5" w:rsidRDefault="00A90ED5" w:rsidP="000D1D92">
      <w:pPr>
        <w:pStyle w:val="ListParagraph"/>
        <w:numPr>
          <w:ilvl w:val="0"/>
          <w:numId w:val="59"/>
        </w:numPr>
        <w:jc w:val="both"/>
      </w:pPr>
      <w:r w:rsidRPr="00F35998">
        <w:rPr>
          <w:b/>
        </w:rPr>
        <w:t>Female children aged 15 to 17 years a</w:t>
      </w:r>
      <w:r w:rsidRPr="004B70AB">
        <w:t>ccounted for the largest proportion of child victims who</w:t>
      </w:r>
      <w:r w:rsidRPr="00F35998">
        <w:rPr>
          <w:b/>
        </w:rPr>
        <w:t xml:space="preserve"> reported the offender was </w:t>
      </w:r>
      <w:r>
        <w:rPr>
          <w:b/>
        </w:rPr>
        <w:t>their</w:t>
      </w:r>
      <w:r w:rsidRPr="00F35998">
        <w:rPr>
          <w:b/>
        </w:rPr>
        <w:t xml:space="preserve"> partner</w:t>
      </w:r>
      <w:r>
        <w:t xml:space="preserve"> (48.68% or 37 victims).</w:t>
      </w:r>
    </w:p>
    <w:p w14:paraId="3E3DFA4B" w14:textId="77777777" w:rsidR="00A90ED5" w:rsidRPr="00626946" w:rsidRDefault="00A90ED5" w:rsidP="00A90ED5">
      <w:pPr>
        <w:jc w:val="both"/>
      </w:pPr>
      <w:r>
        <w:rPr>
          <w:noProof/>
        </w:rPr>
        <w:drawing>
          <wp:inline distT="0" distB="0" distL="0" distR="0" wp14:anchorId="69A5FA5B" wp14:editId="1F827663">
            <wp:extent cx="5759450" cy="3166745"/>
            <wp:effectExtent l="0" t="0" r="12700" b="1460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AB7F73F" w14:textId="77777777" w:rsidR="00A90ED5" w:rsidRPr="00E51B5E" w:rsidRDefault="00A90ED5" w:rsidP="00E51B5E">
      <w:pPr>
        <w:rPr>
          <w:u w:val="single"/>
        </w:rPr>
      </w:pPr>
      <w:r w:rsidRPr="00E51B5E">
        <w:rPr>
          <w:u w:val="single"/>
        </w:rPr>
        <w:t>Non-Indigenous children who were victims of sexual assault in a residential location</w:t>
      </w:r>
    </w:p>
    <w:p w14:paraId="2E950A39" w14:textId="77777777" w:rsidR="00A90ED5" w:rsidRDefault="00A90ED5" w:rsidP="00A90ED5">
      <w:pPr>
        <w:jc w:val="both"/>
      </w:pPr>
      <w:r>
        <w:t xml:space="preserve">In Queensland between 2010 and 2013 there were </w:t>
      </w:r>
      <w:r>
        <w:rPr>
          <w:b/>
        </w:rPr>
        <w:t>5,194</w:t>
      </w:r>
      <w:r w:rsidRPr="000A74F5">
        <w:rPr>
          <w:b/>
        </w:rPr>
        <w:t xml:space="preserve"> </w:t>
      </w:r>
      <w:r>
        <w:rPr>
          <w:b/>
        </w:rPr>
        <w:t xml:space="preserve">police recorded </w:t>
      </w:r>
      <w:r w:rsidRPr="000A74F5">
        <w:rPr>
          <w:b/>
        </w:rPr>
        <w:t xml:space="preserve">non-Indigenous child victims of </w:t>
      </w:r>
      <w:r>
        <w:rPr>
          <w:b/>
        </w:rPr>
        <w:t xml:space="preserve">sexual </w:t>
      </w:r>
      <w:r w:rsidRPr="000A74F5">
        <w:rPr>
          <w:b/>
        </w:rPr>
        <w:t>assault</w:t>
      </w:r>
      <w:r>
        <w:rPr>
          <w:b/>
        </w:rPr>
        <w:t xml:space="preserve"> in a residential location</w:t>
      </w:r>
      <w:r w:rsidRPr="000A74F5">
        <w:t>:</w:t>
      </w:r>
    </w:p>
    <w:p w14:paraId="26B5FA7C" w14:textId="77777777" w:rsidR="00A90ED5" w:rsidRDefault="00A90ED5" w:rsidP="000D1D92">
      <w:pPr>
        <w:pStyle w:val="ListParagraph"/>
        <w:numPr>
          <w:ilvl w:val="0"/>
          <w:numId w:val="60"/>
        </w:numPr>
        <w:jc w:val="both"/>
      </w:pPr>
      <w:r w:rsidRPr="00A14853">
        <w:rPr>
          <w:b/>
        </w:rPr>
        <w:t>Non-family members accounted for the largest proportion of offenders</w:t>
      </w:r>
      <w:r w:rsidRPr="007446FB">
        <w:t xml:space="preserve"> (</w:t>
      </w:r>
      <w:r>
        <w:t>42.08</w:t>
      </w:r>
      <w:r w:rsidRPr="007446FB">
        <w:t xml:space="preserve">% or </w:t>
      </w:r>
      <w:r>
        <w:t>2,186</w:t>
      </w:r>
      <w:r w:rsidRPr="007446FB">
        <w:t xml:space="preserve"> victims), followed by </w:t>
      </w:r>
      <w:r w:rsidRPr="00A14853">
        <w:rPr>
          <w:b/>
        </w:rPr>
        <w:t>other family members</w:t>
      </w:r>
      <w:r w:rsidRPr="007446FB">
        <w:t xml:space="preserve"> (</w:t>
      </w:r>
      <w:r>
        <w:t>20.85</w:t>
      </w:r>
      <w:r w:rsidRPr="007446FB">
        <w:t xml:space="preserve">% or </w:t>
      </w:r>
      <w:r>
        <w:t>1,083</w:t>
      </w:r>
      <w:r w:rsidRPr="007446FB">
        <w:t xml:space="preserve"> victims), then </w:t>
      </w:r>
      <w:r w:rsidRPr="00A14853">
        <w:rPr>
          <w:b/>
        </w:rPr>
        <w:t>parents</w:t>
      </w:r>
      <w:r>
        <w:t xml:space="preserve"> (15.32% or 796 victims), then </w:t>
      </w:r>
      <w:r w:rsidRPr="00A14853">
        <w:rPr>
          <w:b/>
        </w:rPr>
        <w:t>strangers</w:t>
      </w:r>
      <w:r>
        <w:t xml:space="preserve"> (14.92% or 775 victims), and then </w:t>
      </w:r>
      <w:r w:rsidRPr="00A14853">
        <w:rPr>
          <w:b/>
        </w:rPr>
        <w:t>partners</w:t>
      </w:r>
      <w:r>
        <w:t xml:space="preserve"> (4.96% or 258 victims).</w:t>
      </w:r>
    </w:p>
    <w:p w14:paraId="2E572F5B" w14:textId="77777777" w:rsidR="00A90ED5" w:rsidRDefault="00A90ED5" w:rsidP="000D1D92">
      <w:pPr>
        <w:pStyle w:val="ListParagraph"/>
        <w:numPr>
          <w:ilvl w:val="0"/>
          <w:numId w:val="60"/>
        </w:numPr>
        <w:jc w:val="both"/>
      </w:pPr>
      <w:r w:rsidRPr="00A14853">
        <w:rPr>
          <w:b/>
        </w:rPr>
        <w:t xml:space="preserve">Female children aged 0 to 9 years </w:t>
      </w:r>
      <w:r w:rsidRPr="00CB3424">
        <w:t xml:space="preserve">accounted for the largest proportion of child victims who </w:t>
      </w:r>
      <w:r w:rsidRPr="00A14853">
        <w:rPr>
          <w:b/>
        </w:rPr>
        <w:t>reported the offender was some other family member</w:t>
      </w:r>
      <w:r>
        <w:t xml:space="preserve"> (31.76% or 344 victims).</w:t>
      </w:r>
    </w:p>
    <w:p w14:paraId="61C07466" w14:textId="77777777" w:rsidR="00A90ED5" w:rsidRDefault="00A90ED5" w:rsidP="000D1D92">
      <w:pPr>
        <w:pStyle w:val="ListParagraph"/>
        <w:numPr>
          <w:ilvl w:val="0"/>
          <w:numId w:val="59"/>
        </w:numPr>
        <w:jc w:val="both"/>
      </w:pPr>
      <w:r w:rsidRPr="00A14853">
        <w:rPr>
          <w:b/>
        </w:rPr>
        <w:t xml:space="preserve">Female children aged 10 to 14 </w:t>
      </w:r>
      <w:r w:rsidRPr="00CB3424">
        <w:t xml:space="preserve">years accounted for the largest proportion of child victims who </w:t>
      </w:r>
      <w:r w:rsidRPr="00A14853">
        <w:rPr>
          <w:b/>
        </w:rPr>
        <w:t xml:space="preserve">reported the offender was </w:t>
      </w:r>
      <w:r w:rsidRPr="00CB3424">
        <w:rPr>
          <w:b/>
        </w:rPr>
        <w:t>a</w:t>
      </w:r>
      <w:r>
        <w:t xml:space="preserve"> </w:t>
      </w:r>
      <w:r w:rsidRPr="00A14853">
        <w:rPr>
          <w:b/>
        </w:rPr>
        <w:t>stranger</w:t>
      </w:r>
      <w:r>
        <w:t xml:space="preserve"> (39.87% or 309 victims)</w:t>
      </w:r>
      <w:r w:rsidRPr="00CB3424">
        <w:t xml:space="preserve"> </w:t>
      </w:r>
      <w:r>
        <w:t xml:space="preserve">a </w:t>
      </w:r>
      <w:r w:rsidRPr="00A14853">
        <w:rPr>
          <w:b/>
        </w:rPr>
        <w:t>non-family member known to the victim</w:t>
      </w:r>
      <w:r>
        <w:t xml:space="preserve"> (35.36% or 773 victims) and their </w:t>
      </w:r>
      <w:r w:rsidRPr="00A14853">
        <w:rPr>
          <w:b/>
        </w:rPr>
        <w:t>parent</w:t>
      </w:r>
      <w:r>
        <w:t xml:space="preserve"> (33.79% or 269 victims).</w:t>
      </w:r>
    </w:p>
    <w:p w14:paraId="2F3E4BB1" w14:textId="77777777" w:rsidR="00A90ED5" w:rsidRDefault="00A90ED5" w:rsidP="000D1D92">
      <w:pPr>
        <w:pStyle w:val="ListParagraph"/>
        <w:numPr>
          <w:ilvl w:val="0"/>
          <w:numId w:val="59"/>
        </w:numPr>
        <w:jc w:val="both"/>
      </w:pPr>
      <w:r w:rsidRPr="00A14853">
        <w:rPr>
          <w:b/>
        </w:rPr>
        <w:t xml:space="preserve">Female children aged 15 to 17 years </w:t>
      </w:r>
      <w:r w:rsidRPr="00CB3424">
        <w:t>accounted for the largest proportion of child victims who</w:t>
      </w:r>
      <w:r w:rsidRPr="00A14853">
        <w:rPr>
          <w:b/>
        </w:rPr>
        <w:t xml:space="preserve"> reported the offender was a partner</w:t>
      </w:r>
      <w:r>
        <w:t xml:space="preserve"> (60.47% or 156 victims).</w:t>
      </w:r>
    </w:p>
    <w:p w14:paraId="03EA8897" w14:textId="77777777" w:rsidR="00A90ED5" w:rsidRPr="00626946" w:rsidRDefault="00A90ED5" w:rsidP="00A90ED5">
      <w:pPr>
        <w:jc w:val="both"/>
      </w:pPr>
      <w:r>
        <w:rPr>
          <w:noProof/>
        </w:rPr>
        <w:drawing>
          <wp:inline distT="0" distB="0" distL="0" distR="0" wp14:anchorId="6B047B12" wp14:editId="25F249D7">
            <wp:extent cx="5759450" cy="3166745"/>
            <wp:effectExtent l="0" t="0" r="12700" b="1460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BC406B">
        <w:rPr>
          <w:highlight w:val="yellow"/>
        </w:rPr>
        <w:t xml:space="preserve"> </w:t>
      </w:r>
    </w:p>
    <w:p w14:paraId="5786C0AD" w14:textId="77777777" w:rsidR="00A90ED5" w:rsidRPr="00E51B5E" w:rsidRDefault="00A90ED5" w:rsidP="00E51B5E">
      <w:pPr>
        <w:rPr>
          <w:u w:val="single"/>
        </w:rPr>
      </w:pPr>
      <w:r w:rsidRPr="00E51B5E">
        <w:rPr>
          <w:u w:val="single"/>
        </w:rPr>
        <w:t>Aboriginal and Torres Strait Islander status unknown for child victims of sexual assault in a residential location</w:t>
      </w:r>
    </w:p>
    <w:p w14:paraId="679A930C" w14:textId="77777777" w:rsidR="00A90ED5" w:rsidRDefault="00A90ED5" w:rsidP="00A90ED5">
      <w:pPr>
        <w:jc w:val="both"/>
      </w:pPr>
      <w:r>
        <w:t xml:space="preserve">In Queensland between 2010 and 2013 there were </w:t>
      </w:r>
      <w:r>
        <w:rPr>
          <w:b/>
        </w:rPr>
        <w:t>1,658</w:t>
      </w:r>
      <w:r w:rsidRPr="00205389">
        <w:rPr>
          <w:b/>
        </w:rPr>
        <w:t xml:space="preserve"> </w:t>
      </w:r>
      <w:r>
        <w:rPr>
          <w:b/>
        </w:rPr>
        <w:t>police recorded child victims of sexual assault with Indigenous status unknown in a residential location</w:t>
      </w:r>
      <w:r>
        <w:t>:</w:t>
      </w:r>
    </w:p>
    <w:p w14:paraId="30082A46" w14:textId="77777777" w:rsidR="00A90ED5" w:rsidRDefault="00A90ED5" w:rsidP="000D1D92">
      <w:pPr>
        <w:pStyle w:val="ListParagraph"/>
        <w:numPr>
          <w:ilvl w:val="0"/>
          <w:numId w:val="60"/>
        </w:numPr>
        <w:jc w:val="both"/>
      </w:pPr>
      <w:r w:rsidRPr="0096285F">
        <w:rPr>
          <w:b/>
        </w:rPr>
        <w:t>Non-family members accounted for the largest proportion of offenders</w:t>
      </w:r>
      <w:r w:rsidRPr="007446FB">
        <w:t xml:space="preserve"> (</w:t>
      </w:r>
      <w:r>
        <w:t>32.14</w:t>
      </w:r>
      <w:r w:rsidRPr="007446FB">
        <w:t xml:space="preserve">% or </w:t>
      </w:r>
      <w:r>
        <w:t>533</w:t>
      </w:r>
      <w:r w:rsidRPr="007446FB">
        <w:t xml:space="preserve"> victims), followed </w:t>
      </w:r>
      <w:r w:rsidRPr="0096285F">
        <w:t>by</w:t>
      </w:r>
      <w:r w:rsidRPr="0096285F">
        <w:rPr>
          <w:b/>
        </w:rPr>
        <w:t xml:space="preserve"> other family members</w:t>
      </w:r>
      <w:r w:rsidRPr="007446FB">
        <w:t xml:space="preserve"> (</w:t>
      </w:r>
      <w:r>
        <w:t>21.83</w:t>
      </w:r>
      <w:r w:rsidRPr="007446FB">
        <w:t xml:space="preserve">% or </w:t>
      </w:r>
      <w:r>
        <w:t>362</w:t>
      </w:r>
      <w:r w:rsidRPr="007446FB">
        <w:t xml:space="preserve"> victims), then </w:t>
      </w:r>
      <w:r w:rsidRPr="0096285F">
        <w:rPr>
          <w:b/>
        </w:rPr>
        <w:t>strangers</w:t>
      </w:r>
      <w:r>
        <w:t xml:space="preserve"> (18.09% or 300 victims), then </w:t>
      </w:r>
      <w:r w:rsidRPr="0096285F">
        <w:rPr>
          <w:b/>
        </w:rPr>
        <w:t>parents</w:t>
      </w:r>
      <w:r>
        <w:t xml:space="preserve"> (17.79% or 295 victims), and then </w:t>
      </w:r>
      <w:r w:rsidRPr="0096285F">
        <w:rPr>
          <w:b/>
        </w:rPr>
        <w:t>partners</w:t>
      </w:r>
      <w:r>
        <w:t xml:space="preserve"> (3.86% or 64 victims).</w:t>
      </w:r>
    </w:p>
    <w:p w14:paraId="444A7D05" w14:textId="77777777" w:rsidR="00A90ED5" w:rsidRDefault="00A90ED5" w:rsidP="000D1D92">
      <w:pPr>
        <w:pStyle w:val="ListParagraph"/>
        <w:numPr>
          <w:ilvl w:val="0"/>
          <w:numId w:val="60"/>
        </w:numPr>
        <w:jc w:val="both"/>
      </w:pPr>
      <w:r w:rsidRPr="0096285F">
        <w:rPr>
          <w:b/>
        </w:rPr>
        <w:t xml:space="preserve">Female children aged 0 to 9 </w:t>
      </w:r>
      <w:r w:rsidRPr="00CB3424">
        <w:t>years accounted for the largest proportion of child victims who</w:t>
      </w:r>
      <w:r w:rsidRPr="0096285F">
        <w:rPr>
          <w:b/>
        </w:rPr>
        <w:t xml:space="preserve"> reported the offender was </w:t>
      </w:r>
      <w:r w:rsidRPr="00CB3424">
        <w:rPr>
          <w:b/>
        </w:rPr>
        <w:t>some</w:t>
      </w:r>
      <w:r>
        <w:t xml:space="preserve"> </w:t>
      </w:r>
      <w:r w:rsidRPr="0096285F">
        <w:rPr>
          <w:b/>
        </w:rPr>
        <w:t>other family member</w:t>
      </w:r>
      <w:r>
        <w:t xml:space="preserve"> (42.82% or 155 victims) and their</w:t>
      </w:r>
      <w:r w:rsidRPr="0096285F">
        <w:rPr>
          <w:b/>
        </w:rPr>
        <w:t xml:space="preserve"> parent</w:t>
      </w:r>
      <w:r>
        <w:t xml:space="preserve"> (37.29% or 110 victims). </w:t>
      </w:r>
    </w:p>
    <w:p w14:paraId="78AB0E7E" w14:textId="77777777" w:rsidR="00A90ED5" w:rsidRDefault="00A90ED5" w:rsidP="000D1D92">
      <w:pPr>
        <w:pStyle w:val="ListParagraph"/>
        <w:numPr>
          <w:ilvl w:val="0"/>
          <w:numId w:val="60"/>
        </w:numPr>
        <w:jc w:val="both"/>
      </w:pPr>
      <w:r w:rsidRPr="0096285F">
        <w:rPr>
          <w:b/>
        </w:rPr>
        <w:t xml:space="preserve">Female children aged 10 to 14 years </w:t>
      </w:r>
      <w:r w:rsidRPr="00CB3424">
        <w:t xml:space="preserve">accounted for the largest proportion of child victims who </w:t>
      </w:r>
      <w:r w:rsidRPr="0096285F">
        <w:rPr>
          <w:b/>
        </w:rPr>
        <w:t>reported the offender was a non-family member</w:t>
      </w:r>
      <w:r>
        <w:t xml:space="preserve"> (31.89% or 170 victims), and a </w:t>
      </w:r>
      <w:r w:rsidRPr="0096285F">
        <w:rPr>
          <w:b/>
        </w:rPr>
        <w:t>stranger</w:t>
      </w:r>
      <w:r>
        <w:t xml:space="preserve"> (30.33% or 91 victims).</w:t>
      </w:r>
    </w:p>
    <w:p w14:paraId="5557E445" w14:textId="77777777" w:rsidR="00A90ED5" w:rsidRDefault="00A90ED5" w:rsidP="000D1D92">
      <w:pPr>
        <w:pStyle w:val="ListParagraph"/>
        <w:numPr>
          <w:ilvl w:val="0"/>
          <w:numId w:val="60"/>
        </w:numPr>
        <w:jc w:val="both"/>
      </w:pPr>
      <w:r w:rsidRPr="0096285F">
        <w:rPr>
          <w:b/>
        </w:rPr>
        <w:t xml:space="preserve">Female children aged 15 to 17 years </w:t>
      </w:r>
      <w:r w:rsidRPr="00CB3424">
        <w:t>accounted for the largest proportion of child victims who</w:t>
      </w:r>
      <w:r w:rsidRPr="0096285F">
        <w:rPr>
          <w:b/>
        </w:rPr>
        <w:t xml:space="preserve"> reported the offender was a partner</w:t>
      </w:r>
      <w:r>
        <w:t xml:space="preserve"> (59.38% or 38 victims).</w:t>
      </w:r>
    </w:p>
    <w:p w14:paraId="27DD0582" w14:textId="77777777" w:rsidR="00A90ED5" w:rsidRPr="00626946" w:rsidRDefault="00A90ED5" w:rsidP="00A90ED5">
      <w:pPr>
        <w:jc w:val="both"/>
      </w:pPr>
      <w:r>
        <w:rPr>
          <w:noProof/>
        </w:rPr>
        <w:drawing>
          <wp:inline distT="0" distB="0" distL="0" distR="0" wp14:anchorId="5B0790F3" wp14:editId="4C509DEE">
            <wp:extent cx="5759450" cy="3166745"/>
            <wp:effectExtent l="0" t="0" r="12700" b="1460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BC406B">
        <w:rPr>
          <w:highlight w:val="yellow"/>
        </w:rPr>
        <w:t xml:space="preserve"> </w:t>
      </w:r>
    </w:p>
    <w:p w14:paraId="652908EB" w14:textId="30914FE1" w:rsidR="00A90ED5" w:rsidRPr="00243307" w:rsidRDefault="00E51B5E" w:rsidP="00E51B5E">
      <w:pPr>
        <w:pStyle w:val="Heading4"/>
        <w:numPr>
          <w:ilvl w:val="0"/>
          <w:numId w:val="0"/>
        </w:numPr>
        <w:ind w:left="851" w:hanging="851"/>
      </w:pPr>
      <w:bookmarkStart w:id="244" w:name="_Toc430168462"/>
      <w:bookmarkStart w:id="245" w:name="_Toc432144059"/>
      <w:r>
        <w:t xml:space="preserve">8.2.3 </w:t>
      </w:r>
      <w:r w:rsidR="00A90ED5" w:rsidRPr="00243307">
        <w:t>Victoria data about child victims of sexual assault in a residential location</w:t>
      </w:r>
      <w:bookmarkEnd w:id="244"/>
      <w:bookmarkEnd w:id="245"/>
    </w:p>
    <w:p w14:paraId="7247FE27" w14:textId="77777777" w:rsidR="00A90ED5" w:rsidRDefault="00A90ED5" w:rsidP="00A90ED5">
      <w:pPr>
        <w:jc w:val="both"/>
      </w:pPr>
      <w:r>
        <w:t>In Victoria</w:t>
      </w:r>
      <w:r w:rsidRPr="00677892">
        <w:t xml:space="preserve"> </w:t>
      </w:r>
      <w:r>
        <w:t xml:space="preserve">between 2010 and 2013 there were </w:t>
      </w:r>
      <w:r>
        <w:rPr>
          <w:b/>
        </w:rPr>
        <w:t>4,864</w:t>
      </w:r>
      <w:r w:rsidRPr="00302855">
        <w:rPr>
          <w:b/>
        </w:rPr>
        <w:t xml:space="preserve"> </w:t>
      </w:r>
      <w:r>
        <w:rPr>
          <w:b/>
        </w:rPr>
        <w:t xml:space="preserve">police recorded </w:t>
      </w:r>
      <w:r w:rsidRPr="00302855">
        <w:rPr>
          <w:b/>
        </w:rPr>
        <w:t xml:space="preserve">child victims of </w:t>
      </w:r>
      <w:r>
        <w:rPr>
          <w:b/>
        </w:rPr>
        <w:t xml:space="preserve">sexual </w:t>
      </w:r>
      <w:r w:rsidRPr="00302855">
        <w:rPr>
          <w:b/>
        </w:rPr>
        <w:t>assault</w:t>
      </w:r>
      <w:r>
        <w:rPr>
          <w:b/>
        </w:rPr>
        <w:t xml:space="preserve"> in a residential location</w:t>
      </w:r>
      <w:r>
        <w:t>:</w:t>
      </w:r>
    </w:p>
    <w:p w14:paraId="4EEE15C1" w14:textId="77777777" w:rsidR="00A90ED5" w:rsidRDefault="00A90ED5" w:rsidP="000D1D92">
      <w:pPr>
        <w:pStyle w:val="ListParagraph"/>
        <w:numPr>
          <w:ilvl w:val="0"/>
          <w:numId w:val="58"/>
        </w:numPr>
        <w:jc w:val="both"/>
      </w:pPr>
      <w:r w:rsidRPr="003D2B69">
        <w:rPr>
          <w:b/>
        </w:rPr>
        <w:t xml:space="preserve">Non-family members </w:t>
      </w:r>
      <w:r>
        <w:rPr>
          <w:b/>
        </w:rPr>
        <w:t xml:space="preserve">known to the victim </w:t>
      </w:r>
      <w:r w:rsidRPr="003D2B69">
        <w:rPr>
          <w:b/>
        </w:rPr>
        <w:t>accounted for the largest proportion of offenders</w:t>
      </w:r>
      <w:r>
        <w:t xml:space="preserve"> (46.99% or 2,286 victims), followed by </w:t>
      </w:r>
      <w:r w:rsidRPr="003D2B69">
        <w:rPr>
          <w:b/>
        </w:rPr>
        <w:t>parents</w:t>
      </w:r>
      <w:r>
        <w:t xml:space="preserve"> (18.25% or 888 victims), then </w:t>
      </w:r>
      <w:r w:rsidRPr="003D2B69">
        <w:rPr>
          <w:b/>
        </w:rPr>
        <w:t>other family members</w:t>
      </w:r>
      <w:r>
        <w:t xml:space="preserve"> (16.42% or 799 victims), then </w:t>
      </w:r>
      <w:r w:rsidRPr="003D2B69">
        <w:rPr>
          <w:b/>
        </w:rPr>
        <w:t>siblings</w:t>
      </w:r>
      <w:r>
        <w:t xml:space="preserve"> (7.31% or 356 victims), then </w:t>
      </w:r>
      <w:r w:rsidRPr="003D2B69">
        <w:rPr>
          <w:b/>
        </w:rPr>
        <w:t>strangers</w:t>
      </w:r>
      <w:r>
        <w:t xml:space="preserve"> (5.34% or 260 victims), and then </w:t>
      </w:r>
      <w:r w:rsidRPr="003D2B69">
        <w:rPr>
          <w:b/>
        </w:rPr>
        <w:t>partners</w:t>
      </w:r>
      <w:r>
        <w:t xml:space="preserve"> (2.34% or 114 victims).</w:t>
      </w:r>
    </w:p>
    <w:p w14:paraId="1EC5630F" w14:textId="77777777" w:rsidR="00A90ED5" w:rsidRDefault="00A90ED5" w:rsidP="000D1D92">
      <w:pPr>
        <w:pStyle w:val="ListParagraph"/>
        <w:numPr>
          <w:ilvl w:val="0"/>
          <w:numId w:val="58"/>
        </w:numPr>
        <w:jc w:val="both"/>
      </w:pPr>
      <w:r w:rsidRPr="00723D30">
        <w:rPr>
          <w:b/>
        </w:rPr>
        <w:t>Female children aged 0 to 9 years</w:t>
      </w:r>
      <w:r>
        <w:t xml:space="preserve"> accounted for the largest proportion of child victims who </w:t>
      </w:r>
      <w:r w:rsidRPr="00934FB0">
        <w:rPr>
          <w:b/>
        </w:rPr>
        <w:t>reported the offender</w:t>
      </w:r>
      <w:r w:rsidRPr="00723D30">
        <w:rPr>
          <w:b/>
        </w:rPr>
        <w:t xml:space="preserve"> was a sibling</w:t>
      </w:r>
      <w:r>
        <w:t xml:space="preserve"> (32.02% or 114 victims).</w:t>
      </w:r>
    </w:p>
    <w:p w14:paraId="1575F70A" w14:textId="77777777" w:rsidR="00A90ED5" w:rsidRPr="006F6C4D" w:rsidRDefault="00A90ED5" w:rsidP="000D1D92">
      <w:pPr>
        <w:pStyle w:val="ListParagraph"/>
        <w:numPr>
          <w:ilvl w:val="0"/>
          <w:numId w:val="58"/>
        </w:numPr>
        <w:jc w:val="both"/>
      </w:pPr>
      <w:r w:rsidRPr="000022AE">
        <w:rPr>
          <w:b/>
        </w:rPr>
        <w:t xml:space="preserve">Female children </w:t>
      </w:r>
      <w:r w:rsidRPr="006F6C4D">
        <w:rPr>
          <w:b/>
        </w:rPr>
        <w:t>aged 10 to 14 years</w:t>
      </w:r>
      <w:r w:rsidRPr="006F6C4D">
        <w:t xml:space="preserve"> accounted for the largest proportion of child victims who </w:t>
      </w:r>
      <w:r w:rsidRPr="006F6C4D">
        <w:rPr>
          <w:b/>
        </w:rPr>
        <w:t>reported the offender was a parent</w:t>
      </w:r>
      <w:r w:rsidRPr="006F6C4D">
        <w:t xml:space="preserve"> (35.59% or 316 victims), and some </w:t>
      </w:r>
      <w:r w:rsidRPr="006F6C4D">
        <w:rPr>
          <w:b/>
        </w:rPr>
        <w:t>other family member</w:t>
      </w:r>
      <w:r w:rsidRPr="006F6C4D">
        <w:t xml:space="preserve"> (36.55% or 292 victims).</w:t>
      </w:r>
    </w:p>
    <w:p w14:paraId="69930423" w14:textId="77777777" w:rsidR="00A90ED5" w:rsidRPr="006F6C4D" w:rsidRDefault="00A90ED5" w:rsidP="000D1D92">
      <w:pPr>
        <w:pStyle w:val="ListParagraph"/>
        <w:numPr>
          <w:ilvl w:val="0"/>
          <w:numId w:val="58"/>
        </w:numPr>
        <w:jc w:val="both"/>
      </w:pPr>
      <w:r w:rsidRPr="006F6C4D">
        <w:rPr>
          <w:b/>
        </w:rPr>
        <w:t>Female children aged 15 to 17 years</w:t>
      </w:r>
      <w:r w:rsidRPr="006F6C4D">
        <w:t xml:space="preserve"> accounted for the largest proportion of child victims who </w:t>
      </w:r>
      <w:r w:rsidRPr="006F6C4D">
        <w:rPr>
          <w:b/>
        </w:rPr>
        <w:t>reported the offender was a partner</w:t>
      </w:r>
      <w:r w:rsidRPr="006F6C4D">
        <w:t xml:space="preserve"> (79.82% or 91 victims), a </w:t>
      </w:r>
      <w:r w:rsidRPr="006F6C4D">
        <w:rPr>
          <w:b/>
        </w:rPr>
        <w:t>stranger</w:t>
      </w:r>
      <w:r w:rsidRPr="006F6C4D">
        <w:t xml:space="preserve"> (48.46% or 126 victims), and </w:t>
      </w:r>
      <w:r w:rsidRPr="006F6C4D">
        <w:rPr>
          <w:b/>
        </w:rPr>
        <w:t>non-family member known to the victim</w:t>
      </w:r>
      <w:r w:rsidRPr="006F6C4D">
        <w:t xml:space="preserve"> (38.23% or 874 victims).</w:t>
      </w:r>
    </w:p>
    <w:p w14:paraId="481293D2" w14:textId="77777777" w:rsidR="00A90ED5" w:rsidRPr="00626946" w:rsidRDefault="00A90ED5" w:rsidP="00A90ED5">
      <w:pPr>
        <w:jc w:val="both"/>
      </w:pPr>
      <w:r>
        <w:rPr>
          <w:noProof/>
        </w:rPr>
        <w:drawing>
          <wp:inline distT="0" distB="0" distL="0" distR="0" wp14:anchorId="4BC7A3A1" wp14:editId="44DD2E1B">
            <wp:extent cx="5759450" cy="2883535"/>
            <wp:effectExtent l="0" t="0" r="12700" b="1206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BBDC8B7" w14:textId="3241ACBD" w:rsidR="00A90ED5" w:rsidRPr="00243307" w:rsidRDefault="00E51B5E" w:rsidP="00E51B5E">
      <w:pPr>
        <w:pStyle w:val="Heading4"/>
        <w:numPr>
          <w:ilvl w:val="0"/>
          <w:numId w:val="0"/>
        </w:numPr>
        <w:ind w:left="851" w:hanging="851"/>
      </w:pPr>
      <w:bookmarkStart w:id="246" w:name="_Toc430168463"/>
      <w:bookmarkStart w:id="247" w:name="_Toc432144060"/>
      <w:r>
        <w:t xml:space="preserve">8.2.4 </w:t>
      </w:r>
      <w:r w:rsidR="00A90ED5" w:rsidRPr="00243307">
        <w:t>South Australian data about child victims of sexual assault in a residential location</w:t>
      </w:r>
      <w:bookmarkEnd w:id="246"/>
      <w:bookmarkEnd w:id="247"/>
    </w:p>
    <w:p w14:paraId="0AC9DDC4" w14:textId="77777777" w:rsidR="00A90ED5" w:rsidRDefault="00A90ED5" w:rsidP="00A90ED5">
      <w:pPr>
        <w:jc w:val="both"/>
      </w:pPr>
      <w:r>
        <w:t>In South Australia</w:t>
      </w:r>
      <w:r w:rsidRPr="00677892">
        <w:t xml:space="preserve"> </w:t>
      </w:r>
      <w:r>
        <w:t xml:space="preserve">between 2010 and 2013 there were </w:t>
      </w:r>
      <w:r>
        <w:rPr>
          <w:b/>
        </w:rPr>
        <w:t>1,605</w:t>
      </w:r>
      <w:r w:rsidRPr="00302855">
        <w:rPr>
          <w:b/>
        </w:rPr>
        <w:t xml:space="preserve"> </w:t>
      </w:r>
      <w:r>
        <w:rPr>
          <w:b/>
        </w:rPr>
        <w:t xml:space="preserve">police recorded </w:t>
      </w:r>
      <w:r w:rsidRPr="00302855">
        <w:rPr>
          <w:b/>
        </w:rPr>
        <w:t xml:space="preserve">child victims of </w:t>
      </w:r>
      <w:r>
        <w:rPr>
          <w:b/>
        </w:rPr>
        <w:t xml:space="preserve">sexual </w:t>
      </w:r>
      <w:r w:rsidRPr="00302855">
        <w:rPr>
          <w:b/>
        </w:rPr>
        <w:t>assault</w:t>
      </w:r>
      <w:r>
        <w:rPr>
          <w:b/>
        </w:rPr>
        <w:t xml:space="preserve"> in a residential location</w:t>
      </w:r>
      <w:r>
        <w:t>:</w:t>
      </w:r>
    </w:p>
    <w:p w14:paraId="7D4D4E0A" w14:textId="77777777" w:rsidR="00A90ED5" w:rsidRDefault="00A90ED5" w:rsidP="000D1D92">
      <w:pPr>
        <w:pStyle w:val="ListParagraph"/>
        <w:numPr>
          <w:ilvl w:val="0"/>
          <w:numId w:val="58"/>
        </w:numPr>
        <w:jc w:val="both"/>
      </w:pPr>
      <w:r w:rsidRPr="0084704E">
        <w:rPr>
          <w:b/>
        </w:rPr>
        <w:t>Non-family members</w:t>
      </w:r>
      <w:r>
        <w:rPr>
          <w:b/>
        </w:rPr>
        <w:t xml:space="preserve"> known to the victim</w:t>
      </w:r>
      <w:r w:rsidRPr="0084704E">
        <w:rPr>
          <w:b/>
        </w:rPr>
        <w:t xml:space="preserve"> accounted for the largest proportion of offenders</w:t>
      </w:r>
      <w:r>
        <w:t xml:space="preserve"> (48.5% or 761 victims), followed by </w:t>
      </w:r>
      <w:r w:rsidRPr="008F364E">
        <w:rPr>
          <w:b/>
        </w:rPr>
        <w:t>other family members</w:t>
      </w:r>
      <w:r>
        <w:t xml:space="preserve"> (18.74% or 294 victims), then </w:t>
      </w:r>
      <w:r w:rsidRPr="008F364E">
        <w:rPr>
          <w:b/>
        </w:rPr>
        <w:t>parents</w:t>
      </w:r>
      <w:r>
        <w:t xml:space="preserve"> (18.16% or 285 victims), then </w:t>
      </w:r>
      <w:r w:rsidRPr="008F364E">
        <w:rPr>
          <w:b/>
        </w:rPr>
        <w:t>partners</w:t>
      </w:r>
      <w:r>
        <w:t xml:space="preserve"> (9.69% or 152 victims), and then </w:t>
      </w:r>
      <w:r w:rsidRPr="008F364E">
        <w:rPr>
          <w:b/>
        </w:rPr>
        <w:t>strangers</w:t>
      </w:r>
      <w:r>
        <w:t xml:space="preserve"> (4.91% or 77 victims).</w:t>
      </w:r>
    </w:p>
    <w:p w14:paraId="19B7CB6C" w14:textId="77777777" w:rsidR="00A90ED5" w:rsidRDefault="00A90ED5" w:rsidP="000D1D92">
      <w:pPr>
        <w:pStyle w:val="ListParagraph"/>
        <w:numPr>
          <w:ilvl w:val="0"/>
          <w:numId w:val="58"/>
        </w:numPr>
        <w:jc w:val="both"/>
      </w:pPr>
      <w:r w:rsidRPr="008F364E">
        <w:rPr>
          <w:b/>
        </w:rPr>
        <w:t>Female children aged 10 to 14 years</w:t>
      </w:r>
      <w:r>
        <w:t xml:space="preserve"> accounted for the largest proportion of child victims who </w:t>
      </w:r>
      <w:r w:rsidRPr="008F364E">
        <w:rPr>
          <w:b/>
        </w:rPr>
        <w:t>reported the offender was a parent</w:t>
      </w:r>
      <w:r>
        <w:t xml:space="preserve"> (38.6% or 110 victims), and some </w:t>
      </w:r>
      <w:r w:rsidRPr="008F364E">
        <w:rPr>
          <w:b/>
        </w:rPr>
        <w:t>other family member</w:t>
      </w:r>
      <w:r>
        <w:t xml:space="preserve"> (31.63% or 93 victims).</w:t>
      </w:r>
    </w:p>
    <w:p w14:paraId="3B03B664" w14:textId="77777777" w:rsidR="00A90ED5" w:rsidRDefault="00A90ED5" w:rsidP="000D1D92">
      <w:pPr>
        <w:pStyle w:val="ListParagraph"/>
        <w:numPr>
          <w:ilvl w:val="0"/>
          <w:numId w:val="58"/>
        </w:numPr>
        <w:jc w:val="both"/>
      </w:pPr>
      <w:r w:rsidRPr="008F364E">
        <w:rPr>
          <w:b/>
        </w:rPr>
        <w:t>Female children aged 15 to 17 years</w:t>
      </w:r>
      <w:r>
        <w:t xml:space="preserve"> accounted for the largest proportion of child victims who </w:t>
      </w:r>
      <w:r w:rsidRPr="008F364E">
        <w:rPr>
          <w:b/>
        </w:rPr>
        <w:t>reported the offender was a partner</w:t>
      </w:r>
      <w:r>
        <w:t xml:space="preserve"> (69.74% or 106 victims), and a </w:t>
      </w:r>
      <w:r w:rsidRPr="008F364E">
        <w:rPr>
          <w:b/>
        </w:rPr>
        <w:t>stranger</w:t>
      </w:r>
      <w:r>
        <w:t xml:space="preserve"> (41.56% or 32 victims).</w:t>
      </w:r>
    </w:p>
    <w:p w14:paraId="1878F119" w14:textId="77777777" w:rsidR="00A90ED5" w:rsidRDefault="00A90ED5" w:rsidP="000D1D92">
      <w:pPr>
        <w:pStyle w:val="ListParagraph"/>
        <w:numPr>
          <w:ilvl w:val="0"/>
          <w:numId w:val="58"/>
        </w:numPr>
        <w:jc w:val="both"/>
      </w:pPr>
      <w:r w:rsidRPr="008F364E">
        <w:rPr>
          <w:b/>
        </w:rPr>
        <w:t>Female children aged 15 to 17 years</w:t>
      </w:r>
      <w:r>
        <w:t xml:space="preserve"> also accounted for the largest proportion of child victims who </w:t>
      </w:r>
      <w:r w:rsidRPr="008F364E">
        <w:rPr>
          <w:b/>
        </w:rPr>
        <w:t xml:space="preserve">reported the offender was a non-family member known to the victims </w:t>
      </w:r>
      <w:r>
        <w:t xml:space="preserve">(34.56% or 263 victims), </w:t>
      </w:r>
      <w:r w:rsidRPr="008F364E">
        <w:rPr>
          <w:b/>
        </w:rPr>
        <w:t xml:space="preserve">followed closely by female children aged 10 to 14 years </w:t>
      </w:r>
      <w:r>
        <w:t>(34.43% or 262 victims).</w:t>
      </w:r>
    </w:p>
    <w:p w14:paraId="72C60C98" w14:textId="77777777" w:rsidR="00A90ED5" w:rsidRPr="00626946" w:rsidRDefault="00A90ED5" w:rsidP="00A90ED5">
      <w:pPr>
        <w:jc w:val="both"/>
      </w:pPr>
      <w:r>
        <w:rPr>
          <w:noProof/>
        </w:rPr>
        <w:drawing>
          <wp:inline distT="0" distB="0" distL="0" distR="0" wp14:anchorId="743E9ABF" wp14:editId="20C38288">
            <wp:extent cx="5759450" cy="3166745"/>
            <wp:effectExtent l="0" t="0" r="12700" b="1460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2DE0C1F" w14:textId="5603F718" w:rsidR="00A90ED5" w:rsidRPr="00243307" w:rsidRDefault="00E51B5E" w:rsidP="00E51B5E">
      <w:pPr>
        <w:pStyle w:val="Heading4"/>
        <w:numPr>
          <w:ilvl w:val="0"/>
          <w:numId w:val="0"/>
        </w:numPr>
        <w:ind w:left="851" w:hanging="851"/>
      </w:pPr>
      <w:bookmarkStart w:id="248" w:name="_Toc430168464"/>
      <w:bookmarkStart w:id="249" w:name="_Toc432144061"/>
      <w:r>
        <w:t xml:space="preserve">8.2.5 </w:t>
      </w:r>
      <w:r w:rsidR="00A90ED5" w:rsidRPr="00243307">
        <w:t>Tasmania data about child victims of sexual assault in a residential location</w:t>
      </w:r>
      <w:bookmarkEnd w:id="248"/>
      <w:bookmarkEnd w:id="249"/>
    </w:p>
    <w:p w14:paraId="0B83C021" w14:textId="77777777" w:rsidR="00A90ED5" w:rsidRDefault="00A90ED5" w:rsidP="00A90ED5">
      <w:pPr>
        <w:jc w:val="both"/>
      </w:pPr>
      <w:r>
        <w:t xml:space="preserve">In Tasmania between 2010 and 2013 there were </w:t>
      </w:r>
      <w:r>
        <w:rPr>
          <w:b/>
        </w:rPr>
        <w:t>258 police recorded child victims of sexual assault in a residential location</w:t>
      </w:r>
      <w:r>
        <w:t>:</w:t>
      </w:r>
    </w:p>
    <w:p w14:paraId="586E74AC" w14:textId="77777777" w:rsidR="00A90ED5" w:rsidRDefault="00A90ED5" w:rsidP="000D1D92">
      <w:pPr>
        <w:pStyle w:val="ListParagraph"/>
        <w:numPr>
          <w:ilvl w:val="0"/>
          <w:numId w:val="63"/>
        </w:numPr>
        <w:jc w:val="both"/>
      </w:pPr>
      <w:r>
        <w:rPr>
          <w:b/>
        </w:rPr>
        <w:t xml:space="preserve">Family members accounted for the largest proportion of offenders </w:t>
      </w:r>
      <w:r>
        <w:t xml:space="preserve">(46.51% or 120 victims), followed by </w:t>
      </w:r>
      <w:r>
        <w:rPr>
          <w:b/>
        </w:rPr>
        <w:t xml:space="preserve">non-family members known to the victim </w:t>
      </w:r>
      <w:r>
        <w:t xml:space="preserve">(46.12% or 119 victims), and then </w:t>
      </w:r>
      <w:r>
        <w:rPr>
          <w:b/>
        </w:rPr>
        <w:t xml:space="preserve">strangers </w:t>
      </w:r>
      <w:r>
        <w:t>(6.2% or 16 victims).</w:t>
      </w:r>
    </w:p>
    <w:p w14:paraId="207EDDA7" w14:textId="77777777" w:rsidR="00A90ED5" w:rsidRDefault="00A90ED5" w:rsidP="000D1D92">
      <w:pPr>
        <w:pStyle w:val="ListParagraph"/>
        <w:numPr>
          <w:ilvl w:val="0"/>
          <w:numId w:val="63"/>
        </w:numPr>
        <w:jc w:val="both"/>
      </w:pPr>
      <w:r>
        <w:rPr>
          <w:b/>
        </w:rPr>
        <w:t xml:space="preserve">Female children aged 0 to 9 years </w:t>
      </w:r>
      <w:r>
        <w:t xml:space="preserve">accounted for the largest proportion of child victims who </w:t>
      </w:r>
      <w:r>
        <w:rPr>
          <w:b/>
        </w:rPr>
        <w:t xml:space="preserve">reported the offender was a family members </w:t>
      </w:r>
      <w:r>
        <w:t>(31.66% or 38 victims).</w:t>
      </w:r>
    </w:p>
    <w:p w14:paraId="3E0A0A1D" w14:textId="77777777" w:rsidR="00A90ED5" w:rsidRDefault="00A90ED5" w:rsidP="000D1D92">
      <w:pPr>
        <w:pStyle w:val="ListParagraph"/>
        <w:numPr>
          <w:ilvl w:val="0"/>
          <w:numId w:val="63"/>
        </w:numPr>
        <w:jc w:val="both"/>
      </w:pPr>
      <w:r>
        <w:rPr>
          <w:b/>
        </w:rPr>
        <w:t xml:space="preserve">Female children aged 15 to 17 years </w:t>
      </w:r>
      <w:r>
        <w:t xml:space="preserve">accounted for the largest proportion of child victims who </w:t>
      </w:r>
      <w:r>
        <w:rPr>
          <w:b/>
        </w:rPr>
        <w:t xml:space="preserve">reported the offender was a non-family member known to the victim </w:t>
      </w:r>
      <w:r>
        <w:t xml:space="preserve">(41.17% or 49 victims), and a </w:t>
      </w:r>
      <w:r>
        <w:rPr>
          <w:b/>
        </w:rPr>
        <w:t xml:space="preserve">stranger </w:t>
      </w:r>
      <w:r>
        <w:t>(62.5% or 10 victims).</w:t>
      </w:r>
    </w:p>
    <w:p w14:paraId="2232C817" w14:textId="77777777" w:rsidR="00A90ED5" w:rsidRDefault="00A90ED5" w:rsidP="00A90ED5">
      <w:pPr>
        <w:jc w:val="both"/>
      </w:pPr>
      <w:r>
        <w:rPr>
          <w:noProof/>
        </w:rPr>
        <w:drawing>
          <wp:inline distT="0" distB="0" distL="0" distR="0" wp14:anchorId="077359AD" wp14:editId="6F43F326">
            <wp:extent cx="5759450" cy="3166745"/>
            <wp:effectExtent l="0" t="0" r="12700" b="146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132CDC2" w14:textId="359FF2CF" w:rsidR="00A90ED5" w:rsidRPr="008C045D" w:rsidRDefault="00E51B5E" w:rsidP="00E51B5E">
      <w:pPr>
        <w:pStyle w:val="Heading4"/>
        <w:numPr>
          <w:ilvl w:val="0"/>
          <w:numId w:val="0"/>
        </w:numPr>
        <w:ind w:left="851" w:hanging="851"/>
      </w:pPr>
      <w:bookmarkStart w:id="250" w:name="_Toc430168465"/>
      <w:bookmarkStart w:id="251" w:name="_Toc432144062"/>
      <w:r>
        <w:t xml:space="preserve">8.2.6 </w:t>
      </w:r>
      <w:r w:rsidR="00A90ED5" w:rsidRPr="008C045D">
        <w:t>Northern Territory data about child victims of sexual assault in a residential location</w:t>
      </w:r>
      <w:bookmarkEnd w:id="250"/>
      <w:bookmarkEnd w:id="251"/>
    </w:p>
    <w:p w14:paraId="650C562E" w14:textId="77777777" w:rsidR="00A90ED5" w:rsidRDefault="00A90ED5" w:rsidP="00A90ED5">
      <w:pPr>
        <w:jc w:val="both"/>
      </w:pPr>
      <w:r>
        <w:t xml:space="preserve">In the Northern Territory between 2010 and 2013 there were </w:t>
      </w:r>
      <w:r>
        <w:rPr>
          <w:b/>
        </w:rPr>
        <w:t>288 police recorded child victims of sexual assault in a residential location</w:t>
      </w:r>
      <w:r>
        <w:t>:</w:t>
      </w:r>
    </w:p>
    <w:p w14:paraId="25530039" w14:textId="77777777" w:rsidR="00A90ED5" w:rsidRDefault="00A90ED5" w:rsidP="000D1D92">
      <w:pPr>
        <w:pStyle w:val="ListParagraph"/>
        <w:numPr>
          <w:ilvl w:val="0"/>
          <w:numId w:val="64"/>
        </w:numPr>
        <w:jc w:val="both"/>
      </w:pPr>
      <w:r>
        <w:rPr>
          <w:b/>
        </w:rPr>
        <w:t xml:space="preserve">Non-family members known to the victim accounted for the largest proportion of offenders </w:t>
      </w:r>
      <w:r>
        <w:t xml:space="preserve">(58.87% or 146 victims), followed by </w:t>
      </w:r>
      <w:r>
        <w:rPr>
          <w:b/>
        </w:rPr>
        <w:t xml:space="preserve">family members </w:t>
      </w:r>
      <w:r>
        <w:t xml:space="preserve">(37.25% or 95 victims), and then </w:t>
      </w:r>
      <w:r>
        <w:rPr>
          <w:b/>
        </w:rPr>
        <w:t>strangers</w:t>
      </w:r>
      <w:r>
        <w:t xml:space="preserve"> (2.82% or 7 victims).</w:t>
      </w:r>
    </w:p>
    <w:p w14:paraId="7C3C588E" w14:textId="77777777" w:rsidR="00A90ED5" w:rsidRDefault="00A90ED5" w:rsidP="000D1D92">
      <w:pPr>
        <w:pStyle w:val="ListParagraph"/>
        <w:numPr>
          <w:ilvl w:val="0"/>
          <w:numId w:val="64"/>
        </w:numPr>
        <w:jc w:val="both"/>
      </w:pPr>
      <w:r>
        <w:rPr>
          <w:b/>
        </w:rPr>
        <w:t xml:space="preserve">Female children aged 10 to 14 years </w:t>
      </w:r>
      <w:r>
        <w:t xml:space="preserve">accounted for the largest proportion of child victims who </w:t>
      </w:r>
      <w:r>
        <w:rPr>
          <w:b/>
        </w:rPr>
        <w:t xml:space="preserve">reported the offender was a family member </w:t>
      </w:r>
      <w:r>
        <w:t xml:space="preserve">(33.68% or 32 victims), and </w:t>
      </w:r>
      <w:r>
        <w:rPr>
          <w:b/>
        </w:rPr>
        <w:t xml:space="preserve">non-family members known to the victim </w:t>
      </w:r>
      <w:r>
        <w:t>(41.09% or 60 victims).</w:t>
      </w:r>
    </w:p>
    <w:p w14:paraId="321E3539" w14:textId="77777777" w:rsidR="00A90ED5" w:rsidRDefault="00A90ED5" w:rsidP="000D1D92">
      <w:pPr>
        <w:pStyle w:val="ListParagraph"/>
        <w:numPr>
          <w:ilvl w:val="0"/>
          <w:numId w:val="64"/>
        </w:numPr>
        <w:jc w:val="both"/>
      </w:pPr>
      <w:r>
        <w:rPr>
          <w:b/>
        </w:rPr>
        <w:t xml:space="preserve">Female children aged 15 to 17 years </w:t>
      </w:r>
      <w:r>
        <w:t xml:space="preserve">accounted for the largest proportion of child victims who </w:t>
      </w:r>
      <w:r>
        <w:rPr>
          <w:b/>
        </w:rPr>
        <w:t xml:space="preserve">reported the offender was a stranger </w:t>
      </w:r>
      <w:r>
        <w:t>(57.14% or 4 victims).</w:t>
      </w:r>
    </w:p>
    <w:p w14:paraId="4BECAC70" w14:textId="77777777" w:rsidR="00A90ED5" w:rsidRPr="00575EC9" w:rsidRDefault="00A90ED5" w:rsidP="00A90ED5">
      <w:pPr>
        <w:jc w:val="both"/>
      </w:pPr>
      <w:r>
        <w:rPr>
          <w:noProof/>
        </w:rPr>
        <w:drawing>
          <wp:inline distT="0" distB="0" distL="0" distR="0" wp14:anchorId="1CD3E694" wp14:editId="0841734B">
            <wp:extent cx="5759450" cy="3166745"/>
            <wp:effectExtent l="0" t="0" r="12700" b="146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1A031A2" w14:textId="57205D14" w:rsidR="00A90ED5" w:rsidRPr="008C045D" w:rsidRDefault="00E51B5E" w:rsidP="00E51B5E">
      <w:pPr>
        <w:pStyle w:val="Heading4"/>
        <w:numPr>
          <w:ilvl w:val="0"/>
          <w:numId w:val="0"/>
        </w:numPr>
        <w:ind w:left="851" w:hanging="851"/>
      </w:pPr>
      <w:bookmarkStart w:id="252" w:name="_Toc430168466"/>
      <w:bookmarkStart w:id="253" w:name="_Toc432144063"/>
      <w:r>
        <w:t xml:space="preserve">8.2.7 </w:t>
      </w:r>
      <w:r w:rsidR="00A90ED5" w:rsidRPr="008C045D">
        <w:t>Australian Capital Territory data about child victims of sexual assault in a residential location</w:t>
      </w:r>
      <w:bookmarkEnd w:id="252"/>
      <w:bookmarkEnd w:id="253"/>
    </w:p>
    <w:p w14:paraId="099CF1BE" w14:textId="77777777" w:rsidR="00A90ED5" w:rsidRDefault="00A90ED5" w:rsidP="00A90ED5">
      <w:pPr>
        <w:jc w:val="both"/>
      </w:pPr>
      <w:r>
        <w:t xml:space="preserve">In the Australian Capital Territory between 2010 and 2013 there were </w:t>
      </w:r>
      <w:r>
        <w:rPr>
          <w:b/>
        </w:rPr>
        <w:t>247 police recorded child victims of sexual assault in a residential location</w:t>
      </w:r>
      <w:r>
        <w:t xml:space="preserve">: </w:t>
      </w:r>
    </w:p>
    <w:p w14:paraId="64F2A9FD" w14:textId="77777777" w:rsidR="00A90ED5" w:rsidRDefault="00A90ED5" w:rsidP="000D1D92">
      <w:pPr>
        <w:pStyle w:val="ListParagraph"/>
        <w:numPr>
          <w:ilvl w:val="0"/>
          <w:numId w:val="65"/>
        </w:numPr>
        <w:jc w:val="both"/>
      </w:pPr>
      <w:r>
        <w:rPr>
          <w:b/>
        </w:rPr>
        <w:t xml:space="preserve">Non-family members known to the victim accounted for the largest proportion of offenders </w:t>
      </w:r>
      <w:r>
        <w:t xml:space="preserve">(57.48% or 142 victims), followed by </w:t>
      </w:r>
      <w:r>
        <w:rPr>
          <w:b/>
        </w:rPr>
        <w:t xml:space="preserve">family members </w:t>
      </w:r>
      <w:r>
        <w:t xml:space="preserve">(39.86% or 96 victims) and then </w:t>
      </w:r>
      <w:r>
        <w:rPr>
          <w:b/>
        </w:rPr>
        <w:t xml:space="preserve">strangers </w:t>
      </w:r>
      <w:r>
        <w:t>(1.21% or 3 victims).</w:t>
      </w:r>
    </w:p>
    <w:p w14:paraId="4C702FF1" w14:textId="77777777" w:rsidR="00A90ED5" w:rsidRDefault="00A90ED5" w:rsidP="000D1D92">
      <w:pPr>
        <w:pStyle w:val="ListParagraph"/>
        <w:numPr>
          <w:ilvl w:val="0"/>
          <w:numId w:val="65"/>
        </w:numPr>
        <w:jc w:val="both"/>
      </w:pPr>
      <w:r>
        <w:rPr>
          <w:b/>
        </w:rPr>
        <w:t xml:space="preserve">Female children aged 0 to 9 years </w:t>
      </w:r>
      <w:r>
        <w:t xml:space="preserve">accounted for the largest proportion of child victims who </w:t>
      </w:r>
      <w:r>
        <w:rPr>
          <w:b/>
        </w:rPr>
        <w:t xml:space="preserve">reported the offender was a family member </w:t>
      </w:r>
      <w:r>
        <w:t>(35.41% or 34 victims).</w:t>
      </w:r>
    </w:p>
    <w:p w14:paraId="06EC1303" w14:textId="77777777" w:rsidR="00A90ED5" w:rsidRDefault="00A90ED5" w:rsidP="000D1D92">
      <w:pPr>
        <w:pStyle w:val="ListParagraph"/>
        <w:numPr>
          <w:ilvl w:val="0"/>
          <w:numId w:val="65"/>
        </w:numPr>
        <w:jc w:val="both"/>
      </w:pPr>
      <w:r>
        <w:rPr>
          <w:b/>
        </w:rPr>
        <w:t xml:space="preserve">Female children aged 10 to 14 years </w:t>
      </w:r>
      <w:r>
        <w:t xml:space="preserve">accounted for all of the child victims who </w:t>
      </w:r>
      <w:r>
        <w:rPr>
          <w:b/>
        </w:rPr>
        <w:t xml:space="preserve">reported the offender was a stranger </w:t>
      </w:r>
      <w:r>
        <w:t>(100% or 3 victims).</w:t>
      </w:r>
    </w:p>
    <w:p w14:paraId="29A20121" w14:textId="77777777" w:rsidR="00A90ED5" w:rsidRDefault="00A90ED5" w:rsidP="000D1D92">
      <w:pPr>
        <w:pStyle w:val="ListParagraph"/>
        <w:numPr>
          <w:ilvl w:val="0"/>
          <w:numId w:val="65"/>
        </w:numPr>
        <w:jc w:val="both"/>
      </w:pPr>
      <w:r>
        <w:rPr>
          <w:b/>
        </w:rPr>
        <w:t xml:space="preserve">Female children aged 15 to 17 years </w:t>
      </w:r>
      <w:r>
        <w:t xml:space="preserve">accounted for the largest proportion of child victims who </w:t>
      </w:r>
      <w:r>
        <w:rPr>
          <w:b/>
        </w:rPr>
        <w:t xml:space="preserve">reported the offender was a non-family member </w:t>
      </w:r>
      <w:r>
        <w:t>(38.73% or 55 victims).</w:t>
      </w:r>
    </w:p>
    <w:p w14:paraId="47121AD1" w14:textId="77777777" w:rsidR="00A90ED5" w:rsidRDefault="00A90ED5" w:rsidP="00A90ED5">
      <w:pPr>
        <w:jc w:val="both"/>
      </w:pPr>
      <w:r>
        <w:rPr>
          <w:noProof/>
        </w:rPr>
        <w:drawing>
          <wp:inline distT="0" distB="0" distL="0" distR="0" wp14:anchorId="51F0A836" wp14:editId="187200A7">
            <wp:extent cx="5759450" cy="3166745"/>
            <wp:effectExtent l="0" t="0" r="12700" b="1460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C9B96E0" w14:textId="77777777" w:rsidR="00A90ED5" w:rsidRPr="002D7B35" w:rsidRDefault="00A90ED5" w:rsidP="00A90ED5">
      <w:pPr>
        <w:jc w:val="both"/>
      </w:pPr>
    </w:p>
    <w:p w14:paraId="17F7C5C7" w14:textId="43B8A59F" w:rsidR="00A90ED5" w:rsidRPr="00426C5E" w:rsidRDefault="00A90ED5" w:rsidP="00A90ED5">
      <w:pPr>
        <w:pStyle w:val="Heading2"/>
        <w:numPr>
          <w:ilvl w:val="0"/>
          <w:numId w:val="0"/>
        </w:numPr>
        <w:ind w:left="851" w:hanging="851"/>
      </w:pPr>
      <w:r>
        <w:rPr>
          <w:highlight w:val="yellow"/>
        </w:rPr>
        <w:br w:type="column"/>
      </w:r>
      <w:bookmarkStart w:id="254" w:name="_Toc430168432"/>
      <w:bookmarkStart w:id="255" w:name="_Toc430702123"/>
      <w:bookmarkStart w:id="256" w:name="_Toc432144064"/>
      <w:bookmarkStart w:id="257" w:name="_Toc432577340"/>
      <w:r>
        <w:t xml:space="preserve">Appendix 9: </w:t>
      </w:r>
      <w:r w:rsidRPr="00426C5E">
        <w:t>ABS Personal Safety Survey data about children aged 0 to 14 years who experienced physical abuse and sexual abuse</w:t>
      </w:r>
      <w:bookmarkEnd w:id="254"/>
      <w:bookmarkEnd w:id="255"/>
      <w:bookmarkEnd w:id="256"/>
      <w:bookmarkEnd w:id="257"/>
    </w:p>
    <w:p w14:paraId="176B11D4" w14:textId="77777777" w:rsidR="00A90ED5" w:rsidRDefault="00A90ED5" w:rsidP="00A90ED5">
      <w:pPr>
        <w:jc w:val="both"/>
      </w:pPr>
      <w:r>
        <w:t>The estimated data in this appendix is drawn from Tables 10-12a of the customised report I obtained from ABS about the ABS 2012 Personal Safety Survey.</w:t>
      </w:r>
    </w:p>
    <w:p w14:paraId="01979DC7" w14:textId="77777777" w:rsidR="00A90ED5" w:rsidRDefault="00A90ED5" w:rsidP="00A90ED5">
      <w:pPr>
        <w:jc w:val="both"/>
      </w:pPr>
      <w:r>
        <w:t>This appendix presents prevalence estimates about children’s experience of physical abuse and sexual abuse before the age of 15 in Australia. The estimates in this appendix are based on survey data collected between February and December 2012 from Australian men and women aged 18 years and over who responded to survey questions about their experience of physical abuse and sexual abuse before the age of 15.</w:t>
      </w:r>
      <w:r>
        <w:rPr>
          <w:rStyle w:val="EndnoteReference"/>
        </w:rPr>
        <w:endnoteReference w:id="719"/>
      </w:r>
      <w:r>
        <w:t xml:space="preserve"> </w:t>
      </w:r>
    </w:p>
    <w:p w14:paraId="308C91C4" w14:textId="77777777" w:rsidR="00A90ED5" w:rsidRDefault="00A90ED5" w:rsidP="00A90ED5">
      <w:pPr>
        <w:jc w:val="both"/>
      </w:pPr>
      <w:r>
        <w:t xml:space="preserve">The estimates presented in this appendix may differ from the actual prevalence of physical abuse and sexual abuse before the age of 15 in the Australian community because the estimates </w:t>
      </w:r>
      <w:r w:rsidRPr="007C7FB8">
        <w:t xml:space="preserve">are based on information obtained from a sample of persons, and </w:t>
      </w:r>
      <w:r>
        <w:t xml:space="preserve">are </w:t>
      </w:r>
      <w:r w:rsidRPr="007C7FB8">
        <w:t>therefore subject to sampling error. Indications of the level of sampling error are measured by Relative Standard Errors (RSEs).</w:t>
      </w:r>
      <w:r w:rsidRPr="007C7FB8">
        <w:rPr>
          <w:rStyle w:val="EndnoteReference"/>
        </w:rPr>
        <w:endnoteReference w:id="720"/>
      </w:r>
    </w:p>
    <w:p w14:paraId="1BC0E812" w14:textId="77777777" w:rsidR="00A90ED5" w:rsidRDefault="00A90ED5" w:rsidP="00A90ED5">
      <w:pPr>
        <w:jc w:val="both"/>
      </w:pPr>
      <w:r>
        <w:t>In its statement about data quality, the ABS considers that estimates derived from the Personal Safety Survey with a relative standard error of less than 25% are considered sufficiently reliable for most purposes.</w:t>
      </w:r>
      <w:r>
        <w:rPr>
          <w:rStyle w:val="EndnoteReference"/>
        </w:rPr>
        <w:endnoteReference w:id="721"/>
      </w:r>
      <w:r>
        <w:t xml:space="preserve"> Only estimates of such precision are referred to in the text of this report, unless otherwise noted. </w:t>
      </w:r>
    </w:p>
    <w:p w14:paraId="5293ADAD" w14:textId="77777777" w:rsidR="00A90ED5" w:rsidRPr="00B318BF" w:rsidRDefault="00A90ED5" w:rsidP="00A90ED5">
      <w:pPr>
        <w:jc w:val="both"/>
        <w:rPr>
          <w:rFonts w:cs="Arial"/>
        </w:rPr>
      </w:pPr>
      <w:r>
        <w:t>For the purposes of the ABS Personal Safety Survey, incidents of violence experienced by a pe</w:t>
      </w:r>
      <w:r w:rsidRPr="00B318BF">
        <w:rPr>
          <w:rFonts w:cs="Arial"/>
        </w:rPr>
        <w:t>rson before the age of 15 years from any adult (male or female), including the person’s parents, is defined as abuse, not assault.</w:t>
      </w:r>
      <w:r w:rsidRPr="00B318BF">
        <w:rPr>
          <w:rStyle w:val="EndnoteReference"/>
          <w:rFonts w:cs="Arial"/>
          <w:sz w:val="24"/>
        </w:rPr>
        <w:endnoteReference w:id="722"/>
      </w:r>
      <w:r w:rsidRPr="00B318BF">
        <w:rPr>
          <w:rFonts w:cs="Arial"/>
        </w:rPr>
        <w:t xml:space="preserve"> Emotional abuse is excluded.</w:t>
      </w:r>
      <w:r w:rsidRPr="00B318BF">
        <w:rPr>
          <w:rStyle w:val="EndnoteReference"/>
          <w:rFonts w:cs="Arial"/>
          <w:sz w:val="24"/>
        </w:rPr>
        <w:endnoteReference w:id="723"/>
      </w:r>
    </w:p>
    <w:p w14:paraId="067AB1B6" w14:textId="77777777" w:rsidR="00A90ED5" w:rsidRPr="00B318BF" w:rsidRDefault="00A90ED5" w:rsidP="00A90ED5">
      <w:pPr>
        <w:jc w:val="both"/>
        <w:rPr>
          <w:rFonts w:cs="Arial"/>
        </w:rPr>
      </w:pPr>
      <w:r w:rsidRPr="00B318BF">
        <w:rPr>
          <w:rFonts w:cs="Arial"/>
        </w:rPr>
        <w:t>The ABS defines physical abuse as any deliberate physical injury (including bruises) inflicted upon a child (before the age of 15 years) by an adult. Discipline that accidentally resulted in an injury is excluded.</w:t>
      </w:r>
      <w:r w:rsidRPr="00B318BF">
        <w:rPr>
          <w:rStyle w:val="EndnoteReference"/>
          <w:rFonts w:cs="Arial"/>
          <w:sz w:val="24"/>
        </w:rPr>
        <w:endnoteReference w:id="724"/>
      </w:r>
    </w:p>
    <w:p w14:paraId="2C004578" w14:textId="77777777" w:rsidR="00A90ED5" w:rsidRPr="00B318BF" w:rsidRDefault="00A90ED5" w:rsidP="00A90ED5">
      <w:pPr>
        <w:spacing w:before="100" w:beforeAutospacing="1" w:after="100" w:afterAutospacing="1"/>
        <w:jc w:val="both"/>
        <w:rPr>
          <w:rFonts w:cs="Arial"/>
        </w:rPr>
      </w:pPr>
      <w:r w:rsidRPr="00B318BF">
        <w:rPr>
          <w:rFonts w:cs="Arial"/>
        </w:rPr>
        <w:t>Sexual abuse is define</w:t>
      </w:r>
      <w:r>
        <w:rPr>
          <w:rFonts w:cs="Arial"/>
        </w:rPr>
        <w:t>d</w:t>
      </w:r>
      <w:r w:rsidRPr="00B318BF">
        <w:rPr>
          <w:rFonts w:cs="Arial"/>
        </w:rPr>
        <w:t xml:space="preserve"> by the ABS as any act by an adult involving a child (before the age of 15 years) in sexual activity beyond their understanding or contrary to currently accepted community standards.</w:t>
      </w:r>
      <w:r w:rsidRPr="00B318BF">
        <w:rPr>
          <w:rStyle w:val="EndnoteReference"/>
          <w:rFonts w:cs="Arial"/>
          <w:sz w:val="24"/>
        </w:rPr>
        <w:endnoteReference w:id="725"/>
      </w:r>
    </w:p>
    <w:p w14:paraId="2175E8D5" w14:textId="77777777" w:rsidR="00A90ED5" w:rsidRDefault="00A90ED5" w:rsidP="00A90ED5">
      <w:pPr>
        <w:jc w:val="both"/>
      </w:pPr>
      <w:r w:rsidRPr="00B318BF">
        <w:rPr>
          <w:rFonts w:cs="Arial"/>
        </w:rPr>
        <w:t xml:space="preserve">The physical abuse and sexual abuse data presented in this </w:t>
      </w:r>
      <w:r>
        <w:rPr>
          <w:rFonts w:cs="Arial"/>
        </w:rPr>
        <w:t>appendix</w:t>
      </w:r>
      <w:r w:rsidRPr="00B318BF">
        <w:rPr>
          <w:rFonts w:cs="Arial"/>
        </w:rPr>
        <w:t xml:space="preserve"> describes the perpetrator’s relation</w:t>
      </w:r>
      <w:r>
        <w:t>ship to the victim.</w:t>
      </w:r>
      <w:r w:rsidRPr="00EC5397">
        <w:t xml:space="preserve"> </w:t>
      </w:r>
      <w:r>
        <w:t>The perpetrator’s relationship to the victim is identified by the survey respondent.</w:t>
      </w:r>
      <w:r>
        <w:rPr>
          <w:rStyle w:val="EndnoteReference"/>
        </w:rPr>
        <w:endnoteReference w:id="726"/>
      </w:r>
      <w:r>
        <w:t xml:space="preserve"> </w:t>
      </w:r>
    </w:p>
    <w:p w14:paraId="4371FDDC" w14:textId="77777777" w:rsidR="00A90ED5" w:rsidRDefault="00A90ED5" w:rsidP="00A90ED5">
      <w:pPr>
        <w:jc w:val="both"/>
      </w:pPr>
      <w:r>
        <w:t>If multiple perpetrators were involved in the first incident of physical abuse or sexual abuse experienced by the survey respondent before the age of 15 years then the incident would be counted separately for each type of perpetrator but only once in the aggregated totals. Components therefore may not add to the totals.</w:t>
      </w:r>
    </w:p>
    <w:p w14:paraId="0724A988" w14:textId="77777777" w:rsidR="00A90ED5" w:rsidRDefault="00A90ED5" w:rsidP="00A90ED5">
      <w:pPr>
        <w:jc w:val="both"/>
      </w:pPr>
      <w:r>
        <w:t>The data presented in this appendix is disaggregated by the type of perpetrator:</w:t>
      </w:r>
    </w:p>
    <w:p w14:paraId="24887A42" w14:textId="77777777" w:rsidR="00A90ED5" w:rsidRPr="007D0205" w:rsidRDefault="00A90ED5" w:rsidP="000D1D92">
      <w:pPr>
        <w:pStyle w:val="ListParagraph"/>
        <w:numPr>
          <w:ilvl w:val="0"/>
          <w:numId w:val="66"/>
        </w:numPr>
        <w:jc w:val="both"/>
      </w:pPr>
      <w:r w:rsidRPr="007D0205">
        <w:t>Family member – includes father, stepfather, mother, stepmother, brother, stepbrother, sister, stepsister, and other relative or in-law.</w:t>
      </w:r>
    </w:p>
    <w:p w14:paraId="22C70421" w14:textId="77777777" w:rsidR="00A90ED5" w:rsidRPr="007D0205" w:rsidRDefault="00A90ED5" w:rsidP="000D1D92">
      <w:pPr>
        <w:pStyle w:val="ListParagraph"/>
        <w:numPr>
          <w:ilvl w:val="0"/>
          <w:numId w:val="66"/>
        </w:numPr>
        <w:jc w:val="both"/>
      </w:pPr>
      <w:r w:rsidRPr="007D0205">
        <w:t>Other known person – includes family friend, acquaintance/neighbour, doctor, teacher, and priest/minister/rabbi.</w:t>
      </w:r>
    </w:p>
    <w:p w14:paraId="47F62AC6" w14:textId="77777777" w:rsidR="00A90ED5" w:rsidRPr="007D0205" w:rsidRDefault="00A90ED5" w:rsidP="000D1D92">
      <w:pPr>
        <w:pStyle w:val="ListParagraph"/>
        <w:numPr>
          <w:ilvl w:val="0"/>
          <w:numId w:val="66"/>
        </w:numPr>
        <w:jc w:val="both"/>
      </w:pPr>
      <w:r w:rsidRPr="007D0205">
        <w:t>Stranger.</w:t>
      </w:r>
    </w:p>
    <w:p w14:paraId="49D3BE07" w14:textId="77777777" w:rsidR="00A90ED5" w:rsidRDefault="00A90ED5" w:rsidP="00A90ED5">
      <w:pPr>
        <w:jc w:val="both"/>
      </w:pPr>
      <w:r>
        <w:t>The data presented in this appendix is also disaggregated by the sex of the person who experienced abuse before the age of 15 (male and female) and the age of the person at the first incident of abuse (less than 4 years, 4 to 9 years, 10 to 11 years, 12 to 14 years and “unknown/refusal”).</w:t>
      </w:r>
    </w:p>
    <w:p w14:paraId="5B2DF30D" w14:textId="77777777" w:rsidR="00A90ED5" w:rsidRDefault="00A90ED5" w:rsidP="00A90ED5">
      <w:pPr>
        <w:jc w:val="both"/>
      </w:pPr>
      <w:r>
        <w:t>Some of the estimated data contained in the customised report provided to me by ABS aggregated data about perpetrator type to improve the reliability of the data so that it could be released.</w:t>
      </w:r>
      <w:r>
        <w:rPr>
          <w:rStyle w:val="EndnoteReference"/>
        </w:rPr>
        <w:endnoteReference w:id="727"/>
      </w:r>
      <w:r>
        <w:t xml:space="preserve"> The level of detail at which the ABS Personal Safety Survey data can be outputted varies depending on estimates about male/female victims or physical/sexual abuse, which reflects differences in prevalence rates.</w:t>
      </w:r>
      <w:r>
        <w:rPr>
          <w:rStyle w:val="EndnoteReference"/>
        </w:rPr>
        <w:endnoteReference w:id="728"/>
      </w:r>
    </w:p>
    <w:p w14:paraId="0CD211C4" w14:textId="77777777" w:rsidR="00A90ED5" w:rsidRDefault="00A90ED5" w:rsidP="00A90ED5">
      <w:pPr>
        <w:jc w:val="both"/>
      </w:pPr>
      <w:r>
        <w:t>Fathers, mothers, siblings, other relatives or in-laws, non-family members known to the victim and strangers, for example, were provided to me as separate perpetrator types in the estimated data about all male physical abuse victims aged 0 to 14 years. None of these perpetrator types were provided separately, however, in the estimated data about male physical abuse victims by the four different age categories (under 4, 4 to 9, 10 to 11 and 12 to 14).</w:t>
      </w:r>
    </w:p>
    <w:p w14:paraId="72005016" w14:textId="77777777" w:rsidR="00A90ED5" w:rsidRDefault="00A90ED5" w:rsidP="00A90ED5">
      <w:pPr>
        <w:jc w:val="both"/>
      </w:pPr>
      <w:r>
        <w:t>Similarly, fathers and stepfathers were provided to me as two separate perpetrator types in the estimated data about all female sexual abuse victims aged 0 to 14 years. The perpetrator type is aggregated to a single father/stepfather category, however, in the estimated data provided to me about female sexual abuse victims by the four different age categories (under 4, 4 to 9, 10 to 11 and 12 to 14).</w:t>
      </w:r>
    </w:p>
    <w:p w14:paraId="110D4B90" w14:textId="77777777" w:rsidR="00A90ED5" w:rsidRDefault="00A90ED5" w:rsidP="00A90ED5">
      <w:pPr>
        <w:jc w:val="both"/>
      </w:pPr>
      <w:r>
        <w:t>The ABS provided me with the most detailed estimated data possible about children’s experience of physical abuse and sexual abuse before the age of 15. This appendix presents the data that ABS provided me with.</w:t>
      </w:r>
    </w:p>
    <w:p w14:paraId="4618989F" w14:textId="33481DCB" w:rsidR="00A90ED5" w:rsidRPr="008C045D" w:rsidRDefault="00A90ED5" w:rsidP="00A90ED5">
      <w:pPr>
        <w:pStyle w:val="Heading3"/>
        <w:numPr>
          <w:ilvl w:val="0"/>
          <w:numId w:val="0"/>
        </w:numPr>
        <w:ind w:left="851" w:hanging="851"/>
      </w:pPr>
      <w:bookmarkStart w:id="258" w:name="_Toc430168433"/>
      <w:bookmarkStart w:id="259" w:name="_Toc432144065"/>
      <w:r>
        <w:t xml:space="preserve">9.1 </w:t>
      </w:r>
      <w:r w:rsidRPr="008C045D">
        <w:t>Estimated number of children who experienced physical abuse</w:t>
      </w:r>
      <w:bookmarkEnd w:id="258"/>
      <w:bookmarkEnd w:id="259"/>
    </w:p>
    <w:p w14:paraId="38A3E647" w14:textId="4E5E8913" w:rsidR="00A90ED5" w:rsidRPr="008C045D" w:rsidRDefault="00A90ED5" w:rsidP="00A90ED5">
      <w:pPr>
        <w:pStyle w:val="Heading4"/>
        <w:numPr>
          <w:ilvl w:val="0"/>
          <w:numId w:val="0"/>
        </w:numPr>
        <w:ind w:left="851" w:hanging="851"/>
      </w:pPr>
      <w:bookmarkStart w:id="260" w:name="_Toc430168434"/>
      <w:bookmarkStart w:id="261" w:name="_Toc432144066"/>
      <w:r>
        <w:t xml:space="preserve">9.1.1 </w:t>
      </w:r>
      <w:r w:rsidRPr="008C045D">
        <w:t>Males experiences of physical abuse before the age of 15</w:t>
      </w:r>
      <w:bookmarkEnd w:id="260"/>
      <w:bookmarkEnd w:id="261"/>
    </w:p>
    <w:p w14:paraId="02C5F575" w14:textId="77777777" w:rsidR="00A90ED5" w:rsidRPr="00E20F06" w:rsidRDefault="00A90ED5" w:rsidP="00A90ED5">
      <w:pPr>
        <w:jc w:val="both"/>
      </w:pPr>
      <w:r>
        <w:t xml:space="preserve">According to the 2012 Personal Safety Survey data, it was estimated there were </w:t>
      </w:r>
      <w:r w:rsidRPr="005C0E0D">
        <w:rPr>
          <w:b/>
        </w:rPr>
        <w:t xml:space="preserve">824,300 adult men who first experienced physical abuse as a </w:t>
      </w:r>
      <w:r>
        <w:rPr>
          <w:b/>
        </w:rPr>
        <w:t>child aged between 0 to 14 years</w:t>
      </w:r>
      <w:r>
        <w:t>:</w:t>
      </w:r>
    </w:p>
    <w:p w14:paraId="7F663DCD" w14:textId="77777777" w:rsidR="00A90ED5" w:rsidRDefault="00A90ED5" w:rsidP="000D1D92">
      <w:pPr>
        <w:pStyle w:val="ListParagraph"/>
        <w:numPr>
          <w:ilvl w:val="0"/>
          <w:numId w:val="67"/>
        </w:numPr>
        <w:jc w:val="both"/>
      </w:pPr>
      <w:r w:rsidRPr="005C0E0D">
        <w:rPr>
          <w:b/>
        </w:rPr>
        <w:t>Fathers</w:t>
      </w:r>
      <w:r>
        <w:rPr>
          <w:b/>
        </w:rPr>
        <w:t>/stepfathers</w:t>
      </w:r>
      <w:r w:rsidRPr="005C0E0D">
        <w:rPr>
          <w:b/>
        </w:rPr>
        <w:t xml:space="preserve"> are estimated to account for the largest proportion of perpetrators</w:t>
      </w:r>
      <w:r>
        <w:t xml:space="preserve"> in the first incident of physical abuse experienced by male children (57.77% or 476,200), followed by </w:t>
      </w:r>
      <w:r w:rsidRPr="007C7C24">
        <w:rPr>
          <w:b/>
        </w:rPr>
        <w:t>non-family members known to the victim</w:t>
      </w:r>
      <w:r>
        <w:t xml:space="preserve"> (23.03% or 189,900), then </w:t>
      </w:r>
      <w:r w:rsidRPr="007C7C24">
        <w:rPr>
          <w:b/>
        </w:rPr>
        <w:t>mothers</w:t>
      </w:r>
      <w:r>
        <w:rPr>
          <w:b/>
        </w:rPr>
        <w:t>/stepmothers</w:t>
      </w:r>
      <w:r>
        <w:t xml:space="preserve"> (16.15% or 133,200), and then </w:t>
      </w:r>
      <w:r w:rsidRPr="007C7C24">
        <w:rPr>
          <w:b/>
        </w:rPr>
        <w:t>strangers</w:t>
      </w:r>
      <w:r>
        <w:t xml:space="preserve"> (8.12% or 66,700).</w:t>
      </w:r>
    </w:p>
    <w:p w14:paraId="105DD970" w14:textId="77777777" w:rsidR="00A90ED5" w:rsidRPr="00DC24B0" w:rsidRDefault="00A90ED5" w:rsidP="000D1D92">
      <w:pPr>
        <w:pStyle w:val="ListParagraph"/>
        <w:numPr>
          <w:ilvl w:val="0"/>
          <w:numId w:val="67"/>
        </w:numPr>
        <w:jc w:val="both"/>
      </w:pPr>
      <w:r w:rsidRPr="00DC24B0">
        <w:t xml:space="preserve">Of the 504,900 male children aged 0 to 14 years whose first incident of </w:t>
      </w:r>
      <w:r w:rsidRPr="00C30B79">
        <w:rPr>
          <w:b/>
        </w:rPr>
        <w:t>physical abuse was perpetrated by a parent, 302,000 (59.8%) were aged between 4 and 9 years</w:t>
      </w:r>
      <w:r w:rsidRPr="00DC24B0">
        <w:t xml:space="preserve"> when the incident occurred.</w:t>
      </w:r>
    </w:p>
    <w:p w14:paraId="7B6B60BF" w14:textId="77777777" w:rsidR="00A90ED5" w:rsidRDefault="00A90ED5" w:rsidP="00A90ED5">
      <w:pPr>
        <w:jc w:val="both"/>
      </w:pPr>
      <w:r>
        <w:rPr>
          <w:noProof/>
        </w:rPr>
        <w:drawing>
          <wp:inline distT="0" distB="0" distL="0" distR="0" wp14:anchorId="688FC2C2" wp14:editId="6E2F803D">
            <wp:extent cx="5759450" cy="3167380"/>
            <wp:effectExtent l="0" t="0" r="12700" b="1397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16B6F07" w14:textId="77777777" w:rsidR="00A90ED5" w:rsidRDefault="00A90ED5" w:rsidP="00A90ED5">
      <w:pPr>
        <w:jc w:val="both"/>
      </w:pPr>
      <w:r w:rsidRPr="0050122E">
        <w:rPr>
          <w:sz w:val="20"/>
          <w:szCs w:val="20"/>
        </w:rPr>
        <w:t>* Estimate has a relative standard error of 25% to 50% and should be used with caution.</w:t>
      </w:r>
    </w:p>
    <w:p w14:paraId="718F5241" w14:textId="77777777" w:rsidR="00A90ED5" w:rsidRDefault="00A90ED5" w:rsidP="00A90ED5">
      <w:pPr>
        <w:jc w:val="both"/>
      </w:pPr>
      <w:r>
        <w:rPr>
          <w:noProof/>
        </w:rPr>
        <w:drawing>
          <wp:inline distT="0" distB="0" distL="0" distR="0" wp14:anchorId="2F57965A" wp14:editId="4E2FCDA4">
            <wp:extent cx="5759450" cy="3167380"/>
            <wp:effectExtent l="0" t="0" r="12700" b="1397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2538B57" w14:textId="77777777" w:rsidR="00A90ED5" w:rsidRDefault="00A90ED5" w:rsidP="00A90ED5">
      <w:pPr>
        <w:jc w:val="both"/>
      </w:pPr>
      <w:r w:rsidRPr="0050122E">
        <w:rPr>
          <w:sz w:val="20"/>
          <w:szCs w:val="20"/>
        </w:rPr>
        <w:t>* Estimate has a relative standard error of 25% to 50% and should be used with caution.</w:t>
      </w:r>
    </w:p>
    <w:p w14:paraId="7A1548AA" w14:textId="79DAED50" w:rsidR="00A90ED5" w:rsidRPr="008C045D" w:rsidRDefault="00A90ED5" w:rsidP="00A90ED5">
      <w:pPr>
        <w:pStyle w:val="Heading4"/>
        <w:numPr>
          <w:ilvl w:val="0"/>
          <w:numId w:val="0"/>
        </w:numPr>
        <w:ind w:left="851" w:hanging="851"/>
      </w:pPr>
      <w:bookmarkStart w:id="262" w:name="_Toc432144067"/>
      <w:bookmarkStart w:id="263" w:name="_Toc430168435"/>
      <w:r>
        <w:t xml:space="preserve">9.1.2 </w:t>
      </w:r>
      <w:r w:rsidRPr="008C045D">
        <w:t>Females experiences of physical abuse before the age of 15</w:t>
      </w:r>
      <w:bookmarkEnd w:id="262"/>
    </w:p>
    <w:bookmarkEnd w:id="263"/>
    <w:p w14:paraId="1D91AD94" w14:textId="77777777" w:rsidR="00A90ED5" w:rsidRDefault="00A90ED5" w:rsidP="00A90ED5">
      <w:pPr>
        <w:jc w:val="both"/>
      </w:pPr>
      <w:r>
        <w:t xml:space="preserve">According to the 2012 Personal Safety Survey data, it was estimated there were </w:t>
      </w:r>
      <w:r w:rsidRPr="00ED3952">
        <w:rPr>
          <w:b/>
        </w:rPr>
        <w:t>935,600 adult women who first experienced physical abuse as a child aged between 0 to 14 years</w:t>
      </w:r>
      <w:r>
        <w:t>:</w:t>
      </w:r>
    </w:p>
    <w:p w14:paraId="78BCB824" w14:textId="77777777" w:rsidR="00A90ED5" w:rsidRDefault="00A90ED5" w:rsidP="000D1D92">
      <w:pPr>
        <w:pStyle w:val="ListParagraph"/>
        <w:numPr>
          <w:ilvl w:val="0"/>
          <w:numId w:val="70"/>
        </w:numPr>
        <w:jc w:val="both"/>
      </w:pPr>
      <w:r>
        <w:rPr>
          <w:b/>
        </w:rPr>
        <w:t xml:space="preserve">Fathers are estimated to account for the largest proportion of perpetrators </w:t>
      </w:r>
      <w:r>
        <w:t xml:space="preserve">in the first incident of physical abuse experienced by female children (46.16% or 431,900), followed by </w:t>
      </w:r>
      <w:r w:rsidRPr="00C77D62">
        <w:rPr>
          <w:b/>
        </w:rPr>
        <w:t>mothers</w:t>
      </w:r>
      <w:r>
        <w:t xml:space="preserve"> (34.05% or 318,600), then </w:t>
      </w:r>
      <w:r w:rsidRPr="00C77D62">
        <w:rPr>
          <w:b/>
        </w:rPr>
        <w:t>non-family members known to the victim</w:t>
      </w:r>
      <w:r>
        <w:t xml:space="preserve"> (9.87% or 92,400), then </w:t>
      </w:r>
      <w:r w:rsidRPr="00C77D62">
        <w:rPr>
          <w:b/>
        </w:rPr>
        <w:t>stepfathers</w:t>
      </w:r>
      <w:r>
        <w:t xml:space="preserve"> (7.25% or 67,900), then </w:t>
      </w:r>
      <w:r w:rsidRPr="00C77D62">
        <w:rPr>
          <w:b/>
        </w:rPr>
        <w:t>other relatives or in-laws</w:t>
      </w:r>
      <w:r>
        <w:t xml:space="preserve"> (6.13% or 57,400), then </w:t>
      </w:r>
      <w:r w:rsidRPr="00C77D62">
        <w:rPr>
          <w:b/>
        </w:rPr>
        <w:t>brothers/stepbrothers</w:t>
      </w:r>
      <w:r>
        <w:t xml:space="preserve"> (4.82% or 45,100), and then </w:t>
      </w:r>
      <w:r w:rsidRPr="00C77D62">
        <w:rPr>
          <w:b/>
        </w:rPr>
        <w:t>stepmothers</w:t>
      </w:r>
      <w:r>
        <w:t xml:space="preserve"> (1.89% or 17,700).</w:t>
      </w:r>
    </w:p>
    <w:p w14:paraId="7AF131D0" w14:textId="77777777" w:rsidR="00A90ED5" w:rsidRDefault="00A90ED5" w:rsidP="000D1D92">
      <w:pPr>
        <w:pStyle w:val="ListParagraph"/>
        <w:numPr>
          <w:ilvl w:val="0"/>
          <w:numId w:val="68"/>
        </w:numPr>
        <w:jc w:val="both"/>
      </w:pPr>
      <w:r>
        <w:t xml:space="preserve">Of the 431,900 female children aged 0 to 14 years whose first incident of </w:t>
      </w:r>
      <w:r w:rsidRPr="00C30B79">
        <w:rPr>
          <w:b/>
        </w:rPr>
        <w:t>physical abuse was perpetrated by their father, 246,900 (57.16%) were aged between 4 and 9 years</w:t>
      </w:r>
      <w:r>
        <w:t xml:space="preserve"> when the incident occurred.</w:t>
      </w:r>
    </w:p>
    <w:p w14:paraId="1210F8C5" w14:textId="77777777" w:rsidR="00A90ED5" w:rsidRDefault="00A90ED5" w:rsidP="000D1D92">
      <w:pPr>
        <w:pStyle w:val="ListParagraph"/>
        <w:numPr>
          <w:ilvl w:val="0"/>
          <w:numId w:val="68"/>
        </w:numPr>
        <w:jc w:val="both"/>
      </w:pPr>
      <w:r>
        <w:t xml:space="preserve">Of the 318,600 female children aged 0 to 14 years whose first incident of </w:t>
      </w:r>
      <w:r w:rsidRPr="00C30B79">
        <w:rPr>
          <w:b/>
        </w:rPr>
        <w:t>physical abuse was perpetrated by their mother, 190,000 (59.63%) were aged between 4 and 9 years</w:t>
      </w:r>
      <w:r>
        <w:t xml:space="preserve"> when the incident occurred.</w:t>
      </w:r>
    </w:p>
    <w:p w14:paraId="302448F4" w14:textId="77777777" w:rsidR="00A90ED5" w:rsidRPr="000854A1" w:rsidRDefault="00A90ED5" w:rsidP="00A90ED5">
      <w:pPr>
        <w:jc w:val="both"/>
        <w:rPr>
          <w:b/>
        </w:rPr>
      </w:pPr>
      <w:r>
        <w:rPr>
          <w:noProof/>
        </w:rPr>
        <w:drawing>
          <wp:inline distT="0" distB="0" distL="0" distR="0" wp14:anchorId="1AF0E958" wp14:editId="27348380">
            <wp:extent cx="5759450" cy="3167380"/>
            <wp:effectExtent l="0" t="0" r="12700" b="1397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B0F72A2" w14:textId="77777777" w:rsidR="00A90ED5" w:rsidRDefault="00A90ED5" w:rsidP="00A90ED5">
      <w:pPr>
        <w:jc w:val="both"/>
      </w:pPr>
      <w:r w:rsidRPr="0050122E">
        <w:rPr>
          <w:sz w:val="20"/>
          <w:szCs w:val="20"/>
        </w:rPr>
        <w:t>* Estimate has a relative standard error of 25% to 50% and should be used with caution.</w:t>
      </w:r>
    </w:p>
    <w:p w14:paraId="1AADA152" w14:textId="77777777" w:rsidR="00A90ED5" w:rsidRDefault="00A90ED5" w:rsidP="00A90ED5">
      <w:pPr>
        <w:jc w:val="both"/>
      </w:pPr>
      <w:r>
        <w:rPr>
          <w:noProof/>
        </w:rPr>
        <w:drawing>
          <wp:inline distT="0" distB="0" distL="0" distR="0" wp14:anchorId="24A597A0" wp14:editId="7FB68B98">
            <wp:extent cx="5759450" cy="3167380"/>
            <wp:effectExtent l="0" t="0" r="12700" b="13970"/>
            <wp:docPr id="672" name="Chart 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21292FF" w14:textId="77777777" w:rsidR="00A90ED5" w:rsidRDefault="00A90ED5" w:rsidP="00A90ED5">
      <w:pPr>
        <w:jc w:val="both"/>
      </w:pPr>
      <w:r w:rsidRPr="0050122E">
        <w:rPr>
          <w:sz w:val="20"/>
          <w:szCs w:val="20"/>
        </w:rPr>
        <w:t>* Estimate has a relative standard error of 25% to 50% and should be used with caution.</w:t>
      </w:r>
    </w:p>
    <w:p w14:paraId="6D9DE9B2" w14:textId="6649F1D2" w:rsidR="00A90ED5" w:rsidRPr="008C045D" w:rsidRDefault="00A90ED5" w:rsidP="00E51B5E">
      <w:pPr>
        <w:pStyle w:val="Heading3"/>
        <w:numPr>
          <w:ilvl w:val="0"/>
          <w:numId w:val="0"/>
        </w:numPr>
        <w:ind w:left="851" w:hanging="851"/>
      </w:pPr>
      <w:bookmarkStart w:id="264" w:name="_Toc430168436"/>
      <w:bookmarkStart w:id="265" w:name="_Toc432144068"/>
      <w:r>
        <w:t xml:space="preserve">9.2 </w:t>
      </w:r>
      <w:r w:rsidRPr="008C045D">
        <w:t>Estimated number of children who experienced sexual abuse</w:t>
      </w:r>
      <w:bookmarkEnd w:id="264"/>
      <w:bookmarkEnd w:id="265"/>
    </w:p>
    <w:p w14:paraId="5E1B402F" w14:textId="3782FD37" w:rsidR="00A90ED5" w:rsidRPr="008C045D" w:rsidRDefault="00A90ED5" w:rsidP="00A90ED5">
      <w:pPr>
        <w:pStyle w:val="Heading4"/>
        <w:numPr>
          <w:ilvl w:val="0"/>
          <w:numId w:val="0"/>
        </w:numPr>
        <w:ind w:left="851" w:hanging="851"/>
      </w:pPr>
      <w:bookmarkStart w:id="266" w:name="_Toc430168437"/>
      <w:bookmarkStart w:id="267" w:name="_Toc432144069"/>
      <w:r>
        <w:t xml:space="preserve">9.2.1 </w:t>
      </w:r>
      <w:r w:rsidRPr="008C045D">
        <w:t>Male experiences of sexual abuse before the age of 15</w:t>
      </w:r>
      <w:bookmarkEnd w:id="266"/>
      <w:bookmarkEnd w:id="267"/>
    </w:p>
    <w:p w14:paraId="567A21EA" w14:textId="77777777" w:rsidR="00A90ED5" w:rsidRPr="00606047" w:rsidRDefault="00A90ED5" w:rsidP="00A90ED5">
      <w:pPr>
        <w:jc w:val="both"/>
        <w:rPr>
          <w:b/>
        </w:rPr>
      </w:pPr>
      <w:r>
        <w:t xml:space="preserve">According to the 2012 Personal Safety Survey data, it was estimated there were </w:t>
      </w:r>
      <w:r w:rsidRPr="00665019">
        <w:rPr>
          <w:b/>
        </w:rPr>
        <w:t>354,100 adult men who first experienced sexual abuse as a child aged between 0 to 14 years</w:t>
      </w:r>
      <w:r>
        <w:rPr>
          <w:b/>
        </w:rPr>
        <w:t>:</w:t>
      </w:r>
    </w:p>
    <w:p w14:paraId="2673FBDB" w14:textId="77777777" w:rsidR="00A90ED5" w:rsidRDefault="00A90ED5" w:rsidP="000D1D92">
      <w:pPr>
        <w:pStyle w:val="ListParagraph"/>
        <w:numPr>
          <w:ilvl w:val="0"/>
          <w:numId w:val="69"/>
        </w:numPr>
        <w:jc w:val="both"/>
      </w:pPr>
      <w:r w:rsidRPr="00665019">
        <w:rPr>
          <w:b/>
        </w:rPr>
        <w:t>Non-family members known to the victim are estimated to account for the largest proportion of perpetrators</w:t>
      </w:r>
      <w:r>
        <w:t xml:space="preserve"> in the first incident of sexual abuse experienced by male children (60.88% or 215,600), followed by </w:t>
      </w:r>
      <w:r w:rsidRPr="00606047">
        <w:rPr>
          <w:b/>
        </w:rPr>
        <w:t>family members</w:t>
      </w:r>
      <w:r>
        <w:t xml:space="preserve"> (27.61% or 97,800), and then </w:t>
      </w:r>
      <w:r w:rsidRPr="00606047">
        <w:rPr>
          <w:b/>
        </w:rPr>
        <w:t>strangers</w:t>
      </w:r>
      <w:r>
        <w:t xml:space="preserve"> (14.09% or 49,900).</w:t>
      </w:r>
    </w:p>
    <w:p w14:paraId="4A91BEF9" w14:textId="77777777" w:rsidR="00A90ED5" w:rsidRDefault="00A90ED5" w:rsidP="00A90ED5">
      <w:pPr>
        <w:jc w:val="both"/>
      </w:pPr>
      <w:r>
        <w:rPr>
          <w:noProof/>
        </w:rPr>
        <w:drawing>
          <wp:inline distT="0" distB="0" distL="0" distR="0" wp14:anchorId="19164872" wp14:editId="06E60B91">
            <wp:extent cx="5648897" cy="3105917"/>
            <wp:effectExtent l="0" t="0" r="9525" b="18415"/>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4583C0F" w14:textId="77777777" w:rsidR="00A90ED5" w:rsidRDefault="00A90ED5" w:rsidP="00A90ED5">
      <w:pPr>
        <w:jc w:val="both"/>
      </w:pPr>
      <w:r w:rsidRPr="0050122E">
        <w:rPr>
          <w:sz w:val="20"/>
          <w:szCs w:val="20"/>
        </w:rPr>
        <w:t>* Estimate has a relative standard error of 25% to 50% and should be used with caution.</w:t>
      </w:r>
    </w:p>
    <w:p w14:paraId="5804F0FA" w14:textId="6E36A383" w:rsidR="00A90ED5" w:rsidRDefault="00A90ED5" w:rsidP="00A90ED5">
      <w:pPr>
        <w:pStyle w:val="Heading4"/>
        <w:numPr>
          <w:ilvl w:val="0"/>
          <w:numId w:val="0"/>
        </w:numPr>
        <w:ind w:left="851" w:hanging="851"/>
      </w:pPr>
      <w:bookmarkStart w:id="268" w:name="_Toc430168438"/>
      <w:bookmarkStart w:id="269" w:name="_Toc432144070"/>
      <w:r>
        <w:t>9.2.2 Female experiences of sexual abuse before the age of 15</w:t>
      </w:r>
      <w:bookmarkEnd w:id="268"/>
      <w:bookmarkEnd w:id="269"/>
    </w:p>
    <w:p w14:paraId="509D8561" w14:textId="77777777" w:rsidR="00A90ED5" w:rsidRDefault="00A90ED5" w:rsidP="00A90ED5">
      <w:pPr>
        <w:jc w:val="both"/>
      </w:pPr>
      <w:r>
        <w:t xml:space="preserve">According to the 2012 Personal Safety Survey data, it was estimated there were </w:t>
      </w:r>
      <w:r w:rsidRPr="0041246F">
        <w:rPr>
          <w:b/>
        </w:rPr>
        <w:t>1,092,200 adult women who first experienced sexual abuse as a child aged between 0 to 14 years</w:t>
      </w:r>
      <w:r>
        <w:t>:</w:t>
      </w:r>
    </w:p>
    <w:p w14:paraId="4612BCEB" w14:textId="77777777" w:rsidR="00A90ED5" w:rsidRDefault="00A90ED5" w:rsidP="000D1D92">
      <w:pPr>
        <w:pStyle w:val="ListParagraph"/>
        <w:numPr>
          <w:ilvl w:val="0"/>
          <w:numId w:val="69"/>
        </w:numPr>
        <w:jc w:val="both"/>
      </w:pPr>
      <w:r w:rsidRPr="0041246F">
        <w:rPr>
          <w:b/>
        </w:rPr>
        <w:t>Family members are estimated to account for the largest proportion of perpetrators</w:t>
      </w:r>
      <w:r>
        <w:t xml:space="preserve"> in the first incident of sexual abuse experienced by female children (47.17% or 515,200), followed by </w:t>
      </w:r>
      <w:r w:rsidRPr="00E77A58">
        <w:rPr>
          <w:b/>
        </w:rPr>
        <w:t>non-family members known to the victim</w:t>
      </w:r>
      <w:r>
        <w:t xml:space="preserve"> (44.8% or 489,400), and then </w:t>
      </w:r>
      <w:r w:rsidRPr="00E77A58">
        <w:rPr>
          <w:b/>
        </w:rPr>
        <w:t>strangers</w:t>
      </w:r>
      <w:r>
        <w:t xml:space="preserve"> (10.59% or 115,700).</w:t>
      </w:r>
    </w:p>
    <w:p w14:paraId="57E665AD" w14:textId="77777777" w:rsidR="00A90ED5" w:rsidRDefault="00A90ED5" w:rsidP="000D1D92">
      <w:pPr>
        <w:pStyle w:val="ListParagraph"/>
        <w:numPr>
          <w:ilvl w:val="0"/>
          <w:numId w:val="69"/>
        </w:numPr>
        <w:jc w:val="both"/>
      </w:pPr>
      <w:r w:rsidRPr="0041246F">
        <w:rPr>
          <w:b/>
        </w:rPr>
        <w:t>Male relatives or in-laws are estimated to account for more than half of the family member perpetrators</w:t>
      </w:r>
      <w:r>
        <w:t xml:space="preserve"> (57.45% or 296,000), followed by </w:t>
      </w:r>
      <w:r w:rsidRPr="00E77A58">
        <w:rPr>
          <w:b/>
        </w:rPr>
        <w:t>fathers</w:t>
      </w:r>
      <w:r>
        <w:t xml:space="preserve"> (17.52% or 90,300), then </w:t>
      </w:r>
      <w:r w:rsidRPr="00E77A58">
        <w:rPr>
          <w:b/>
        </w:rPr>
        <w:t>brothers/stepbrothers</w:t>
      </w:r>
      <w:r>
        <w:t xml:space="preserve"> (14.46% or 74,500), and then </w:t>
      </w:r>
      <w:r w:rsidRPr="00E77A58">
        <w:rPr>
          <w:b/>
        </w:rPr>
        <w:t>stepfathers</w:t>
      </w:r>
      <w:r>
        <w:t xml:space="preserve"> (11.72% or 60,400).</w:t>
      </w:r>
    </w:p>
    <w:p w14:paraId="3CD783AD" w14:textId="77777777" w:rsidR="00A90ED5" w:rsidRDefault="00A90ED5" w:rsidP="000D1D92">
      <w:pPr>
        <w:pStyle w:val="ListParagraph"/>
        <w:numPr>
          <w:ilvl w:val="0"/>
          <w:numId w:val="69"/>
        </w:numPr>
        <w:jc w:val="both"/>
      </w:pPr>
      <w:r>
        <w:t xml:space="preserve">Of the 150,700 female children aged 0 to 14 years whose first incident of </w:t>
      </w:r>
      <w:r>
        <w:rPr>
          <w:b/>
        </w:rPr>
        <w:t>sexual abuse was perpetrated by their father/stepfather, 62,700 (41.6%) were aged between 4 and 9 years</w:t>
      </w:r>
      <w:r>
        <w:t xml:space="preserve"> when the incident occurred.</w:t>
      </w:r>
    </w:p>
    <w:p w14:paraId="32E357EB" w14:textId="77777777" w:rsidR="00A90ED5" w:rsidRDefault="00A90ED5" w:rsidP="000D1D92">
      <w:pPr>
        <w:pStyle w:val="ListParagraph"/>
        <w:numPr>
          <w:ilvl w:val="0"/>
          <w:numId w:val="69"/>
        </w:numPr>
        <w:jc w:val="both"/>
      </w:pPr>
      <w:r>
        <w:t xml:space="preserve">Of the 74,500 female children aged 0 to 14 years whose first incident of </w:t>
      </w:r>
      <w:r w:rsidRPr="00DC1B60">
        <w:rPr>
          <w:b/>
        </w:rPr>
        <w:t>sexual</w:t>
      </w:r>
      <w:r>
        <w:t xml:space="preserve"> </w:t>
      </w:r>
      <w:r>
        <w:rPr>
          <w:b/>
        </w:rPr>
        <w:t>abuse was perpetrated by their brother/stepbrother, 42,300 (56.77%) were aged between 4 and 9 years</w:t>
      </w:r>
      <w:r>
        <w:t xml:space="preserve"> when the incident occurred.</w:t>
      </w:r>
    </w:p>
    <w:p w14:paraId="56B0A491" w14:textId="77777777" w:rsidR="00A90ED5" w:rsidRDefault="00A90ED5" w:rsidP="000D1D92">
      <w:pPr>
        <w:pStyle w:val="ListParagraph"/>
        <w:numPr>
          <w:ilvl w:val="0"/>
          <w:numId w:val="69"/>
        </w:numPr>
        <w:jc w:val="both"/>
      </w:pPr>
      <w:r>
        <w:t xml:space="preserve">Of the 296,000 female children aged 0 to 14 years whose first incident of </w:t>
      </w:r>
      <w:r>
        <w:rPr>
          <w:b/>
        </w:rPr>
        <w:t>sexual abuse was perpetrated by some other male relative or in-law, 162,000 (54.72%) were aged between 4 and 9 years</w:t>
      </w:r>
      <w:r>
        <w:t xml:space="preserve"> when the incident occurred.</w:t>
      </w:r>
    </w:p>
    <w:p w14:paraId="51A6327B" w14:textId="77777777" w:rsidR="00A90ED5" w:rsidRDefault="00A90ED5" w:rsidP="00A90ED5">
      <w:pPr>
        <w:jc w:val="both"/>
      </w:pPr>
      <w:r>
        <w:rPr>
          <w:noProof/>
        </w:rPr>
        <w:drawing>
          <wp:inline distT="0" distB="0" distL="0" distR="0" wp14:anchorId="42567E76" wp14:editId="0B3E44F8">
            <wp:extent cx="5648325" cy="3095625"/>
            <wp:effectExtent l="0" t="0" r="9525" b="9525"/>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t xml:space="preserve"> </w:t>
      </w:r>
    </w:p>
    <w:p w14:paraId="6FEB706C" w14:textId="77777777" w:rsidR="00A90ED5" w:rsidRPr="00DF11DA" w:rsidRDefault="00A90ED5" w:rsidP="00A90ED5">
      <w:pPr>
        <w:jc w:val="both"/>
        <w:rPr>
          <w:sz w:val="20"/>
          <w:szCs w:val="20"/>
        </w:rPr>
      </w:pPr>
      <w:r w:rsidRPr="00DF11DA">
        <w:rPr>
          <w:sz w:val="20"/>
          <w:szCs w:val="20"/>
        </w:rPr>
        <w:t>* Estimate has a relative standard error of 25% to 50% and should be used with caution.</w:t>
      </w:r>
    </w:p>
    <w:p w14:paraId="3644D3F9" w14:textId="77777777" w:rsidR="00A90ED5" w:rsidRDefault="00A90ED5" w:rsidP="00A90ED5">
      <w:pPr>
        <w:jc w:val="both"/>
        <w:rPr>
          <w:sz w:val="20"/>
          <w:szCs w:val="20"/>
        </w:rPr>
      </w:pPr>
      <w:r w:rsidRPr="00DF11DA">
        <w:rPr>
          <w:sz w:val="20"/>
          <w:szCs w:val="20"/>
        </w:rPr>
        <w:t>** Estimate has a relative standard error of greater than 50% and is considered too unreliable for general use.</w:t>
      </w:r>
    </w:p>
    <w:p w14:paraId="0984D14D" w14:textId="77777777" w:rsidR="00A90ED5" w:rsidRPr="00DF11DA" w:rsidRDefault="00A90ED5" w:rsidP="00A90ED5">
      <w:pPr>
        <w:jc w:val="both"/>
        <w:rPr>
          <w:sz w:val="20"/>
          <w:szCs w:val="20"/>
        </w:rPr>
      </w:pPr>
      <w:r>
        <w:rPr>
          <w:noProof/>
        </w:rPr>
        <w:drawing>
          <wp:inline distT="0" distB="0" distL="0" distR="0" wp14:anchorId="6EE8983C" wp14:editId="6C253433">
            <wp:extent cx="5759450" cy="3166745"/>
            <wp:effectExtent l="0" t="0" r="12700" b="14605"/>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75E2248" w14:textId="77777777" w:rsidR="00A90ED5" w:rsidRDefault="00A90ED5" w:rsidP="00A90ED5">
      <w:pPr>
        <w:jc w:val="both"/>
      </w:pPr>
      <w:r w:rsidRPr="00DF11DA">
        <w:rPr>
          <w:sz w:val="20"/>
          <w:szCs w:val="20"/>
        </w:rPr>
        <w:t>* Estimate has a relative standard error of 25% to 50% and should be used with caution.</w:t>
      </w:r>
    </w:p>
    <w:p w14:paraId="0155FD8D" w14:textId="77777777" w:rsidR="00A90ED5" w:rsidRDefault="00A90ED5" w:rsidP="00A90ED5">
      <w:pPr>
        <w:jc w:val="both"/>
        <w:rPr>
          <w:b/>
          <w:highlight w:val="yellow"/>
        </w:rPr>
      </w:pPr>
    </w:p>
    <w:p w14:paraId="5AECB215" w14:textId="715E24DA" w:rsidR="00A90ED5" w:rsidRPr="00426C5E" w:rsidRDefault="00A90ED5" w:rsidP="00A90ED5">
      <w:pPr>
        <w:pStyle w:val="Heading2"/>
        <w:numPr>
          <w:ilvl w:val="0"/>
          <w:numId w:val="0"/>
        </w:numPr>
        <w:ind w:left="851" w:hanging="851"/>
      </w:pPr>
      <w:bookmarkStart w:id="270" w:name="_Toc430702124"/>
      <w:bookmarkStart w:id="271" w:name="_Toc432144071"/>
      <w:bookmarkStart w:id="272" w:name="_Toc432577341"/>
      <w:r>
        <w:t xml:space="preserve">Appendix 10: </w:t>
      </w:r>
      <w:r w:rsidRPr="00426C5E">
        <w:t>National Centre for Longitudinal Data</w:t>
      </w:r>
      <w:bookmarkEnd w:id="270"/>
      <w:r w:rsidRPr="00426C5E">
        <w:t xml:space="preserve"> research summaries</w:t>
      </w:r>
      <w:bookmarkEnd w:id="271"/>
      <w:bookmarkEnd w:id="272"/>
    </w:p>
    <w:p w14:paraId="4578C1BF" w14:textId="77777777" w:rsidR="00A90ED5" w:rsidRDefault="00A90ED5" w:rsidP="00A90ED5">
      <w:pPr>
        <w:rPr>
          <w:lang w:val="en-US"/>
        </w:rPr>
      </w:pPr>
      <w:r>
        <w:rPr>
          <w:lang w:val="en-US"/>
        </w:rPr>
        <w:t>Submission 62 contains the complete research summaries on partner violence provided to me by the National Centre for Longitudinal Data. Extracts are included below.</w:t>
      </w:r>
    </w:p>
    <w:p w14:paraId="44AD93D4" w14:textId="324CC8D7" w:rsidR="00A90ED5" w:rsidRPr="001D539D" w:rsidRDefault="00A90ED5" w:rsidP="00A90ED5">
      <w:pPr>
        <w:pStyle w:val="Heading3"/>
        <w:numPr>
          <w:ilvl w:val="0"/>
          <w:numId w:val="0"/>
        </w:numPr>
        <w:ind w:left="851" w:hanging="851"/>
      </w:pPr>
      <w:bookmarkStart w:id="273" w:name="_Toc432144072"/>
      <w:r>
        <w:rPr>
          <w:lang w:val="en-US"/>
        </w:rPr>
        <w:t xml:space="preserve">10.1 </w:t>
      </w:r>
      <w:r w:rsidRPr="001D539D">
        <w:rPr>
          <w:lang w:val="en-US"/>
        </w:rPr>
        <w:t>Growing Up in Australia: The Longitudinal Study of Australian Children (LSAC)</w:t>
      </w:r>
      <w:bookmarkEnd w:id="273"/>
      <w:r w:rsidRPr="001D539D">
        <w:rPr>
          <w:lang w:val="en-US"/>
        </w:rPr>
        <w:t xml:space="preserve"> </w:t>
      </w:r>
    </w:p>
    <w:p w14:paraId="520D04E1" w14:textId="77777777" w:rsidR="00A90ED5" w:rsidRPr="00F747B0" w:rsidRDefault="00A90ED5" w:rsidP="00A90ED5">
      <w:pPr>
        <w:jc w:val="both"/>
        <w:rPr>
          <w:lang w:val="en-US"/>
        </w:rPr>
      </w:pPr>
      <w:r w:rsidRPr="001D539D">
        <w:rPr>
          <w:lang w:val="en-US"/>
        </w:rPr>
        <w:t xml:space="preserve">Growing Up in Australia: The Longitudinal Study of Australian Children (LSAC) </w:t>
      </w:r>
      <w:r w:rsidRPr="00F747B0">
        <w:rPr>
          <w:lang w:val="en-US"/>
        </w:rPr>
        <w:t>has followed the development of 10,000 children, young people and families from all parts of Australia since 2004.</w:t>
      </w:r>
      <w:r>
        <w:rPr>
          <w:lang w:val="en-US"/>
        </w:rPr>
        <w:t xml:space="preserve"> The survey collects information from children and their families.</w:t>
      </w:r>
      <w:r w:rsidRPr="00F747B0">
        <w:rPr>
          <w:lang w:val="en-US"/>
        </w:rPr>
        <w:t xml:space="preserve"> LSAC has not collected direct measures of domestic violence but has included</w:t>
      </w:r>
      <w:r>
        <w:rPr>
          <w:lang w:val="en-US"/>
        </w:rPr>
        <w:t xml:space="preserve"> some indicators. </w:t>
      </w:r>
      <w:r w:rsidRPr="00F747B0">
        <w:rPr>
          <w:lang w:val="en-US"/>
        </w:rPr>
        <w:t>These include:</w:t>
      </w:r>
    </w:p>
    <w:p w14:paraId="588115E9" w14:textId="77777777" w:rsidR="00A90ED5" w:rsidRPr="00F747B0" w:rsidRDefault="00A90ED5" w:rsidP="00A90ED5">
      <w:pPr>
        <w:ind w:left="1440" w:hanging="720"/>
        <w:jc w:val="both"/>
        <w:rPr>
          <w:lang w:val="en-US"/>
        </w:rPr>
      </w:pPr>
      <w:r w:rsidRPr="00F747B0">
        <w:rPr>
          <w:lang w:val="en-US"/>
        </w:rPr>
        <w:t>1.</w:t>
      </w:r>
      <w:r w:rsidRPr="00F747B0">
        <w:rPr>
          <w:lang w:val="en-US"/>
        </w:rPr>
        <w:tab/>
        <w:t xml:space="preserve">How often is there anger or hostility </w:t>
      </w:r>
      <w:r>
        <w:rPr>
          <w:lang w:val="en-US"/>
        </w:rPr>
        <w:t>between you and your partner? (C</w:t>
      </w:r>
      <w:r w:rsidRPr="00F747B0">
        <w:rPr>
          <w:lang w:val="en-US"/>
        </w:rPr>
        <w:t>ollected since Wave 1)</w:t>
      </w:r>
    </w:p>
    <w:p w14:paraId="6B32743E" w14:textId="77777777" w:rsidR="00A90ED5" w:rsidRPr="00F747B0" w:rsidRDefault="00A90ED5" w:rsidP="00A90ED5">
      <w:pPr>
        <w:ind w:left="1440" w:hanging="720"/>
        <w:jc w:val="both"/>
        <w:rPr>
          <w:lang w:val="en-US"/>
        </w:rPr>
      </w:pPr>
      <w:r w:rsidRPr="00F747B0">
        <w:rPr>
          <w:lang w:val="en-US"/>
        </w:rPr>
        <w:t>2.</w:t>
      </w:r>
      <w:r w:rsidRPr="00F747B0">
        <w:rPr>
          <w:lang w:val="en-US"/>
        </w:rPr>
        <w:tab/>
        <w:t>How often do you have arguments with your partner that end up with people pushing,</w:t>
      </w:r>
      <w:r>
        <w:rPr>
          <w:lang w:val="en-US"/>
        </w:rPr>
        <w:t xml:space="preserve"> hitting, kicking or shoving? (C</w:t>
      </w:r>
      <w:r w:rsidRPr="00F747B0">
        <w:rPr>
          <w:lang w:val="en-US"/>
        </w:rPr>
        <w:t>ollected since Wave 1)</w:t>
      </w:r>
    </w:p>
    <w:p w14:paraId="09A25E3F" w14:textId="77777777" w:rsidR="00A90ED5" w:rsidRPr="00F747B0" w:rsidRDefault="00A90ED5" w:rsidP="00A90ED5">
      <w:pPr>
        <w:ind w:left="1440" w:hanging="720"/>
        <w:jc w:val="both"/>
        <w:rPr>
          <w:lang w:val="en-US"/>
        </w:rPr>
      </w:pPr>
      <w:r w:rsidRPr="00F747B0">
        <w:rPr>
          <w:lang w:val="en-US"/>
        </w:rPr>
        <w:t>3.</w:t>
      </w:r>
      <w:r w:rsidRPr="00F747B0">
        <w:rPr>
          <w:lang w:val="en-US"/>
        </w:rPr>
        <w:tab/>
        <w:t>Have you ever been af</w:t>
      </w:r>
      <w:r>
        <w:rPr>
          <w:lang w:val="en-US"/>
        </w:rPr>
        <w:t>raid of your current partner? (Collected since Wave 4).</w:t>
      </w:r>
    </w:p>
    <w:p w14:paraId="350643C5" w14:textId="77777777" w:rsidR="00A90ED5" w:rsidRDefault="00A90ED5" w:rsidP="00A90ED5">
      <w:pPr>
        <w:jc w:val="both"/>
        <w:rPr>
          <w:lang w:val="en-US"/>
        </w:rPr>
      </w:pPr>
      <w:r>
        <w:rPr>
          <w:lang w:val="en-US"/>
        </w:rPr>
        <w:t>LSAC recognises the indicator</w:t>
      </w:r>
      <w:r w:rsidRPr="00E509EE">
        <w:rPr>
          <w:lang w:val="en-US"/>
        </w:rPr>
        <w:t xml:space="preserve"> ‘</w:t>
      </w:r>
      <w:r>
        <w:rPr>
          <w:lang w:val="en-US"/>
        </w:rPr>
        <w:t>Have you ever been afraid of partner’</w:t>
      </w:r>
      <w:r w:rsidRPr="00E509EE">
        <w:rPr>
          <w:lang w:val="en-US"/>
        </w:rPr>
        <w:t xml:space="preserve"> </w:t>
      </w:r>
      <w:r>
        <w:rPr>
          <w:lang w:val="en-US"/>
        </w:rPr>
        <w:t>as a good domestic violence indicator.</w:t>
      </w:r>
      <w:r>
        <w:rPr>
          <w:rStyle w:val="EndnoteReference"/>
          <w:lang w:val="en-US"/>
        </w:rPr>
        <w:endnoteReference w:id="729"/>
      </w:r>
    </w:p>
    <w:p w14:paraId="4C62AED6" w14:textId="77777777" w:rsidR="00A90ED5" w:rsidRDefault="00A90ED5" w:rsidP="00A90ED5">
      <w:pPr>
        <w:jc w:val="both"/>
        <w:rPr>
          <w:lang w:val="en-US"/>
        </w:rPr>
      </w:pPr>
      <w:r>
        <w:rPr>
          <w:lang w:val="en-US"/>
        </w:rPr>
        <w:t xml:space="preserve">It used this indicator in conjunction with </w:t>
      </w:r>
      <w:r w:rsidRPr="00F747B0">
        <w:rPr>
          <w:lang w:val="en-US"/>
        </w:rPr>
        <w:t xml:space="preserve">data collected in Wave 5 in 2012 when children were 8–9 years (B cohort) and 12–13 years (K cohort) to provide </w:t>
      </w:r>
      <w:r>
        <w:rPr>
          <w:lang w:val="en-US"/>
        </w:rPr>
        <w:t>information on partner violence for my statutory report.</w:t>
      </w:r>
      <w:r w:rsidRPr="00C739A3">
        <w:rPr>
          <w:rStyle w:val="EndnoteReference"/>
          <w:lang w:val="en-US"/>
        </w:rPr>
        <w:t xml:space="preserve"> </w:t>
      </w:r>
      <w:r>
        <w:rPr>
          <w:rStyle w:val="EndnoteReference"/>
          <w:lang w:val="en-US"/>
        </w:rPr>
        <w:endnoteReference w:id="730"/>
      </w:r>
    </w:p>
    <w:p w14:paraId="00DA3285" w14:textId="77777777" w:rsidR="00A90ED5" w:rsidRDefault="00A90ED5" w:rsidP="00A90ED5">
      <w:pPr>
        <w:jc w:val="both"/>
        <w:rPr>
          <w:lang w:val="en-US"/>
        </w:rPr>
      </w:pPr>
      <w:r>
        <w:rPr>
          <w:lang w:val="en-US"/>
        </w:rPr>
        <w:t xml:space="preserve">206 of the 3,376 mothers of children aged 8-9 years in the B cohort reported they had been afraid of their partner (6.1%). </w:t>
      </w:r>
    </w:p>
    <w:p w14:paraId="4DD0C593" w14:textId="77777777" w:rsidR="00A90ED5" w:rsidRDefault="00A90ED5" w:rsidP="00A90ED5">
      <w:pPr>
        <w:jc w:val="both"/>
        <w:rPr>
          <w:lang w:val="en-US"/>
        </w:rPr>
      </w:pPr>
      <w:r>
        <w:rPr>
          <w:lang w:val="en-US"/>
        </w:rPr>
        <w:t>199 of the 3,116 mothers of children aged 12-13 years in the K cohort reported they had been afraid of their partner (6.4%).</w:t>
      </w:r>
    </w:p>
    <w:p w14:paraId="5D386727" w14:textId="46FA8D68" w:rsidR="00A90ED5" w:rsidRPr="00C27853" w:rsidRDefault="00A90ED5" w:rsidP="00A90ED5">
      <w:pPr>
        <w:pStyle w:val="Heading3"/>
        <w:numPr>
          <w:ilvl w:val="0"/>
          <w:numId w:val="0"/>
        </w:numPr>
        <w:ind w:left="851" w:hanging="851"/>
        <w:rPr>
          <w:lang w:val="en-US"/>
        </w:rPr>
      </w:pPr>
      <w:bookmarkStart w:id="274" w:name="_Toc432144073"/>
      <w:r>
        <w:rPr>
          <w:lang w:val="en-US"/>
        </w:rPr>
        <w:t xml:space="preserve">10.2 </w:t>
      </w:r>
      <w:r w:rsidRPr="00C27853">
        <w:rPr>
          <w:lang w:val="en-US"/>
        </w:rPr>
        <w:t>The LSAC key find</w:t>
      </w:r>
      <w:r>
        <w:rPr>
          <w:lang w:val="en-US"/>
        </w:rPr>
        <w:t>ings</w:t>
      </w:r>
      <w:bookmarkEnd w:id="274"/>
    </w:p>
    <w:p w14:paraId="57DA24CC" w14:textId="77777777" w:rsidR="00A90ED5" w:rsidRDefault="00A90ED5" w:rsidP="000D1D92">
      <w:pPr>
        <w:pStyle w:val="ListParagraph"/>
        <w:numPr>
          <w:ilvl w:val="0"/>
          <w:numId w:val="42"/>
        </w:numPr>
        <w:jc w:val="both"/>
        <w:rPr>
          <w:lang w:val="en-US"/>
        </w:rPr>
      </w:pPr>
      <w:r w:rsidRPr="002877CC">
        <w:rPr>
          <w:lang w:val="en-US"/>
        </w:rPr>
        <w:t>Approximately 6 per cent of mothers reported they had been afraid of their current partners. Those mothers were more likely to report higher levels of hostility and physical violence between them and their partners compared to mothers who had not been afraid of their partners.</w:t>
      </w:r>
    </w:p>
    <w:p w14:paraId="66C299F2" w14:textId="77777777" w:rsidR="00A90ED5" w:rsidRDefault="00A90ED5" w:rsidP="00A90ED5">
      <w:pPr>
        <w:pStyle w:val="ListParagraph"/>
        <w:jc w:val="both"/>
        <w:rPr>
          <w:lang w:val="en-US"/>
        </w:rPr>
      </w:pPr>
    </w:p>
    <w:p w14:paraId="5298D213" w14:textId="77777777" w:rsidR="00A90ED5" w:rsidRDefault="00A90ED5" w:rsidP="000D1D92">
      <w:pPr>
        <w:pStyle w:val="ListParagraph"/>
        <w:numPr>
          <w:ilvl w:val="0"/>
          <w:numId w:val="42"/>
        </w:numPr>
        <w:jc w:val="both"/>
        <w:rPr>
          <w:lang w:val="en-US"/>
        </w:rPr>
      </w:pPr>
      <w:r w:rsidRPr="002877CC">
        <w:rPr>
          <w:lang w:val="en-US"/>
        </w:rPr>
        <w:t>Compared to mothers in relationships not characterised by domestic violence (DV), mothers who reported they had been afraid of their partners reported lower levels of family cohesion. A similar pattern was found in the child’s report on family cohesion.</w:t>
      </w:r>
    </w:p>
    <w:p w14:paraId="4BBFF1BA" w14:textId="77777777" w:rsidR="00A90ED5" w:rsidRPr="002877CC" w:rsidRDefault="00A90ED5" w:rsidP="00A90ED5">
      <w:pPr>
        <w:pStyle w:val="ListParagraph"/>
        <w:jc w:val="both"/>
        <w:rPr>
          <w:lang w:val="en-US"/>
        </w:rPr>
      </w:pPr>
    </w:p>
    <w:p w14:paraId="1DA949B5" w14:textId="77777777" w:rsidR="00A90ED5" w:rsidRPr="002877CC" w:rsidRDefault="00A90ED5" w:rsidP="000D1D92">
      <w:pPr>
        <w:pStyle w:val="ListParagraph"/>
        <w:numPr>
          <w:ilvl w:val="0"/>
          <w:numId w:val="42"/>
        </w:numPr>
        <w:jc w:val="both"/>
        <w:rPr>
          <w:lang w:val="en-US"/>
        </w:rPr>
      </w:pPr>
      <w:r w:rsidRPr="002877CC">
        <w:rPr>
          <w:lang w:val="en-US"/>
        </w:rPr>
        <w:t>Compared to mothers not experiencing DV, mothers experiencing DV were much more likely to be in a DV situation in future years, but were also much more likely to be single in future years.</w:t>
      </w:r>
    </w:p>
    <w:p w14:paraId="027D7621" w14:textId="77777777" w:rsidR="00A90ED5" w:rsidRDefault="00A90ED5" w:rsidP="00A90ED5">
      <w:pPr>
        <w:pStyle w:val="ListParagraph"/>
        <w:jc w:val="both"/>
        <w:rPr>
          <w:lang w:val="en-US"/>
        </w:rPr>
      </w:pPr>
    </w:p>
    <w:p w14:paraId="22298D82" w14:textId="77777777" w:rsidR="00A90ED5" w:rsidRPr="00882841" w:rsidRDefault="00A90ED5" w:rsidP="000D1D92">
      <w:pPr>
        <w:pStyle w:val="ListParagraph"/>
        <w:numPr>
          <w:ilvl w:val="0"/>
          <w:numId w:val="42"/>
        </w:numPr>
        <w:jc w:val="both"/>
        <w:rPr>
          <w:lang w:val="en-US"/>
        </w:rPr>
      </w:pPr>
      <w:r w:rsidRPr="002877CC">
        <w:rPr>
          <w:lang w:val="en-US"/>
        </w:rPr>
        <w:t xml:space="preserve">Most of the demographic characteristics investigated were not related to the occurrence of DV. </w:t>
      </w:r>
      <w:r>
        <w:rPr>
          <w:lang w:val="en-US"/>
        </w:rPr>
        <w:t xml:space="preserve">Demographic characteristics included: </w:t>
      </w:r>
      <w:r w:rsidRPr="00882841">
        <w:rPr>
          <w:lang w:val="en-US"/>
        </w:rPr>
        <w:t>state of residence, remoteness, socio-economic status indicator, number of siblings, mother’s age, father’s age, mother’s country of birth, father’s country of birth, mother’s year of arrival in Australia, mother’s year of arrival in Australia, mother’s language spoken at home, father’s language spoken at home, child’s language spoken at home, mother’s indigenous status, father’s indigenous status, mother’s education level, father’s education level, mother’s employment, father’s employment, mother’s medical condition, father’s medical condition.</w:t>
      </w:r>
      <w:r>
        <w:rPr>
          <w:lang w:val="en-US"/>
        </w:rPr>
        <w:t xml:space="preserve"> </w:t>
      </w:r>
      <w:r w:rsidRPr="00882841">
        <w:rPr>
          <w:lang w:val="en-US"/>
        </w:rPr>
        <w:t>However, partners of mothers experiencing DV were more likely to have a long-term (that is, 6 months or more) medical condition(s) compared to their counterparts.</w:t>
      </w:r>
    </w:p>
    <w:p w14:paraId="2F266C94" w14:textId="77777777" w:rsidR="00A90ED5" w:rsidRDefault="00A90ED5" w:rsidP="00A90ED5">
      <w:pPr>
        <w:pStyle w:val="ListParagraph"/>
        <w:jc w:val="both"/>
        <w:rPr>
          <w:lang w:val="en-US"/>
        </w:rPr>
      </w:pPr>
    </w:p>
    <w:p w14:paraId="702024A8" w14:textId="77777777" w:rsidR="00A90ED5" w:rsidRDefault="00A90ED5" w:rsidP="000D1D92">
      <w:pPr>
        <w:pStyle w:val="ListParagraph"/>
        <w:numPr>
          <w:ilvl w:val="0"/>
          <w:numId w:val="42"/>
        </w:numPr>
        <w:jc w:val="both"/>
        <w:rPr>
          <w:lang w:val="en-US"/>
        </w:rPr>
      </w:pPr>
      <w:r w:rsidRPr="002877CC">
        <w:rPr>
          <w:lang w:val="en-US"/>
        </w:rPr>
        <w:t>Compared to mothers and their partners</w:t>
      </w:r>
      <w:r>
        <w:rPr>
          <w:lang w:val="en-US"/>
        </w:rPr>
        <w:t>’</w:t>
      </w:r>
      <w:r w:rsidRPr="002877CC">
        <w:rPr>
          <w:lang w:val="en-US"/>
        </w:rPr>
        <w:t xml:space="preserve"> not experiencing domestic violence, those experiencing DV were more likely to suffer psychological distress. </w:t>
      </w:r>
    </w:p>
    <w:p w14:paraId="1C2B3865" w14:textId="77777777" w:rsidR="00A90ED5" w:rsidRDefault="00A90ED5" w:rsidP="00A90ED5">
      <w:pPr>
        <w:pStyle w:val="ListParagraph"/>
        <w:jc w:val="both"/>
        <w:rPr>
          <w:lang w:val="en-US"/>
        </w:rPr>
      </w:pPr>
    </w:p>
    <w:p w14:paraId="411F3BCE" w14:textId="77777777" w:rsidR="00A90ED5" w:rsidRDefault="00A90ED5" w:rsidP="000D1D92">
      <w:pPr>
        <w:pStyle w:val="ListParagraph"/>
        <w:numPr>
          <w:ilvl w:val="0"/>
          <w:numId w:val="42"/>
        </w:numPr>
        <w:jc w:val="both"/>
        <w:rPr>
          <w:lang w:val="en-US"/>
        </w:rPr>
      </w:pPr>
      <w:r w:rsidRPr="002877CC">
        <w:rPr>
          <w:lang w:val="en-US"/>
        </w:rPr>
        <w:t>Mothers experiencing DV were also more likely to rate their neighbourhood as unsafe, to report less social support and to face higher numbers of stressful life events and more financial hardship.</w:t>
      </w:r>
    </w:p>
    <w:p w14:paraId="664621C1" w14:textId="77777777" w:rsidR="00A90ED5" w:rsidRDefault="00A90ED5" w:rsidP="00A90ED5">
      <w:pPr>
        <w:pStyle w:val="ListParagraph"/>
        <w:jc w:val="both"/>
        <w:rPr>
          <w:lang w:val="en-US"/>
        </w:rPr>
      </w:pPr>
    </w:p>
    <w:p w14:paraId="2B89D3BD" w14:textId="77777777" w:rsidR="00A90ED5" w:rsidRDefault="00A90ED5" w:rsidP="000D1D92">
      <w:pPr>
        <w:pStyle w:val="ListParagraph"/>
        <w:numPr>
          <w:ilvl w:val="0"/>
          <w:numId w:val="42"/>
        </w:numPr>
        <w:jc w:val="both"/>
        <w:rPr>
          <w:lang w:val="en-US"/>
        </w:rPr>
      </w:pPr>
      <w:r w:rsidRPr="002877CC">
        <w:rPr>
          <w:lang w:val="en-US"/>
        </w:rPr>
        <w:t>Mothers experiencing DV were more likely to report lower levels of parenting efficacy and their children were more likely to have social and emotional problems compared to their counterparts.</w:t>
      </w:r>
    </w:p>
    <w:p w14:paraId="618CBF57" w14:textId="1A360272" w:rsidR="00A90ED5" w:rsidRDefault="00A90ED5" w:rsidP="00A90ED5">
      <w:pPr>
        <w:pStyle w:val="Heading3"/>
        <w:numPr>
          <w:ilvl w:val="0"/>
          <w:numId w:val="0"/>
        </w:numPr>
        <w:ind w:left="851" w:hanging="851"/>
        <w:rPr>
          <w:lang w:val="en-US"/>
        </w:rPr>
      </w:pPr>
      <w:bookmarkStart w:id="275" w:name="_Toc432144074"/>
      <w:r>
        <w:rPr>
          <w:lang w:val="en-US"/>
        </w:rPr>
        <w:t xml:space="preserve">10.3 </w:t>
      </w:r>
      <w:r w:rsidRPr="00C27853">
        <w:rPr>
          <w:lang w:val="en-US"/>
        </w:rPr>
        <w:t>Footprints in Time: The Longitudinal Study of Indigenous Children (LSIC)</w:t>
      </w:r>
      <w:bookmarkEnd w:id="275"/>
      <w:r>
        <w:rPr>
          <w:lang w:val="en-US"/>
        </w:rPr>
        <w:t xml:space="preserve"> </w:t>
      </w:r>
    </w:p>
    <w:p w14:paraId="6F9569F5" w14:textId="77777777" w:rsidR="00A90ED5" w:rsidRPr="0039791C" w:rsidRDefault="00A90ED5" w:rsidP="00A90ED5">
      <w:pPr>
        <w:jc w:val="both"/>
        <w:rPr>
          <w:lang w:val="en-US"/>
        </w:rPr>
      </w:pPr>
      <w:r w:rsidRPr="001D539D">
        <w:rPr>
          <w:b/>
          <w:lang w:val="en-US"/>
        </w:rPr>
        <w:t>Footprints in Time: The Longitudinal Study of Indigenous Children (LSIC)</w:t>
      </w:r>
      <w:r w:rsidRPr="001D539D">
        <w:rPr>
          <w:lang w:val="en-US"/>
        </w:rPr>
        <w:t xml:space="preserve"> </w:t>
      </w:r>
      <w:r w:rsidRPr="0039791C">
        <w:rPr>
          <w:lang w:val="en-US"/>
        </w:rPr>
        <w:t xml:space="preserve">includes two groups of Aboriginal and/or Torres Strait Islander children who were aged 6 to 18 months (B cohort) and 3½ - 5 years (K cohort) when the study began in 2008. </w:t>
      </w:r>
    </w:p>
    <w:p w14:paraId="520ED7C9" w14:textId="77777777" w:rsidR="00A90ED5" w:rsidRPr="0039791C" w:rsidRDefault="00A90ED5" w:rsidP="00A90ED5">
      <w:pPr>
        <w:jc w:val="both"/>
        <w:rPr>
          <w:lang w:val="en-US"/>
        </w:rPr>
      </w:pPr>
      <w:r w:rsidRPr="0039791C">
        <w:rPr>
          <w:lang w:val="en-US"/>
        </w:rPr>
        <w:t>LSIC has interviewed the families of between 1,200 and 1,700 Aboriginal and Torres Strait Islander children every year since 2008. They live in urban, regional and remote areas of Australia. While all of the children in the study are Indigenous, not all the primary carers or t</w:t>
      </w:r>
      <w:r>
        <w:rPr>
          <w:lang w:val="en-US"/>
        </w:rPr>
        <w:t xml:space="preserve">heir partners are Indigenous.  </w:t>
      </w:r>
    </w:p>
    <w:p w14:paraId="1E79168F" w14:textId="77777777" w:rsidR="00A90ED5" w:rsidRDefault="00A90ED5" w:rsidP="00A90ED5">
      <w:pPr>
        <w:jc w:val="both"/>
        <w:rPr>
          <w:lang w:val="en-US"/>
        </w:rPr>
      </w:pPr>
      <w:r>
        <w:rPr>
          <w:lang w:val="en-US"/>
        </w:rPr>
        <w:t xml:space="preserve">The research summary provided by LSIC included data collected in Wave 3 (2010) in conjunction with the question: </w:t>
      </w:r>
    </w:p>
    <w:p w14:paraId="26632BF1" w14:textId="77777777" w:rsidR="00A90ED5" w:rsidRDefault="00A90ED5" w:rsidP="00A90ED5">
      <w:pPr>
        <w:ind w:left="720"/>
        <w:jc w:val="both"/>
        <w:rPr>
          <w:lang w:val="en-US"/>
        </w:rPr>
      </w:pPr>
      <w:r w:rsidRPr="00E509EE">
        <w:rPr>
          <w:lang w:val="en-US"/>
        </w:rPr>
        <w:t>How often do you have arguments with your partner that end up with people pushing, hitting, kicking or shoving?</w:t>
      </w:r>
    </w:p>
    <w:p w14:paraId="459974AC" w14:textId="77777777" w:rsidR="00A90ED5" w:rsidRDefault="00A90ED5" w:rsidP="00A90ED5">
      <w:pPr>
        <w:jc w:val="both"/>
        <w:rPr>
          <w:lang w:val="en-US"/>
        </w:rPr>
      </w:pPr>
      <w:r>
        <w:rPr>
          <w:lang w:val="en-US"/>
        </w:rPr>
        <w:t xml:space="preserve">833 mothers of children aged mostly 3 or 6 years in Wave 3 (2010) were asked whether they have arguments with their partner that end up with people pushing, hitting, kicking and shoving. </w:t>
      </w:r>
    </w:p>
    <w:p w14:paraId="2B1DC633" w14:textId="77777777" w:rsidR="00A90ED5" w:rsidRDefault="00A90ED5" w:rsidP="00A90ED5">
      <w:pPr>
        <w:jc w:val="both"/>
        <w:rPr>
          <w:lang w:val="en-US"/>
        </w:rPr>
      </w:pPr>
      <w:r>
        <w:rPr>
          <w:lang w:val="en-US"/>
        </w:rPr>
        <w:t>769 mothers answered the question and 86.2% reported that arguments ‘never’ included physical violence, 10.3% reported they ‘rarely’ did, 3.3% reported they ‘sometimes’ did, and 0.3% reported they ‘often’ did.</w:t>
      </w:r>
    </w:p>
    <w:p w14:paraId="30495298" w14:textId="77777777" w:rsidR="00A90ED5" w:rsidRDefault="00A90ED5" w:rsidP="00A90ED5">
      <w:pPr>
        <w:jc w:val="both"/>
        <w:rPr>
          <w:lang w:val="en-US"/>
        </w:rPr>
      </w:pPr>
      <w:r>
        <w:rPr>
          <w:lang w:val="en-US"/>
        </w:rPr>
        <w:t>After taking into account children living in a single parent household, around 8% of Indigenous children in the sample live in households where parents’ arguments occasionally end up with people pushing, hitting, kicking or shoving (combining responses ‘rarely’, ‘sometimes’ and ‘often’).</w:t>
      </w:r>
    </w:p>
    <w:p w14:paraId="07F25050" w14:textId="05E0EA57" w:rsidR="00A90ED5" w:rsidRDefault="00A90ED5" w:rsidP="00A90ED5">
      <w:pPr>
        <w:pStyle w:val="Heading3"/>
        <w:numPr>
          <w:ilvl w:val="0"/>
          <w:numId w:val="0"/>
        </w:numPr>
        <w:ind w:left="851" w:hanging="851"/>
        <w:rPr>
          <w:lang w:val="en-US"/>
        </w:rPr>
      </w:pPr>
      <w:bookmarkStart w:id="276" w:name="_Toc432144075"/>
      <w:r>
        <w:rPr>
          <w:lang w:val="en-US"/>
        </w:rPr>
        <w:t xml:space="preserve">10.4 </w:t>
      </w:r>
      <w:r w:rsidRPr="00C27853">
        <w:rPr>
          <w:lang w:val="en-US"/>
        </w:rPr>
        <w:t xml:space="preserve">The </w:t>
      </w:r>
      <w:r>
        <w:rPr>
          <w:lang w:val="en-US"/>
        </w:rPr>
        <w:t>LSIC</w:t>
      </w:r>
      <w:r w:rsidRPr="00C27853">
        <w:rPr>
          <w:lang w:val="en-US"/>
        </w:rPr>
        <w:t xml:space="preserve"> key findings</w:t>
      </w:r>
      <w:bookmarkEnd w:id="276"/>
    </w:p>
    <w:p w14:paraId="75FFBE4A" w14:textId="77777777" w:rsidR="00A90ED5" w:rsidRDefault="00A90ED5" w:rsidP="000D1D92">
      <w:pPr>
        <w:pStyle w:val="ListParagraph"/>
        <w:numPr>
          <w:ilvl w:val="0"/>
          <w:numId w:val="43"/>
        </w:numPr>
        <w:spacing w:before="0" w:after="200" w:line="276" w:lineRule="auto"/>
        <w:jc w:val="both"/>
        <w:rPr>
          <w:rFonts w:eastAsia="Calibri" w:cs="Arial"/>
        </w:rPr>
      </w:pPr>
      <w:r w:rsidRPr="00C27853">
        <w:rPr>
          <w:rFonts w:eastAsia="Calibri" w:cs="Arial"/>
        </w:rPr>
        <w:t>Mothers who had arguments that included physical violence were much more likely to be in a partner violence situation in future waves, but were also much more likely to be single in future waves.</w:t>
      </w:r>
    </w:p>
    <w:p w14:paraId="6F3403AF" w14:textId="77777777" w:rsidR="00A90ED5" w:rsidRPr="00C27853" w:rsidRDefault="00A90ED5" w:rsidP="00A90ED5">
      <w:pPr>
        <w:pStyle w:val="ListParagraph"/>
        <w:spacing w:before="0" w:after="200" w:line="276" w:lineRule="auto"/>
        <w:jc w:val="both"/>
        <w:rPr>
          <w:rFonts w:eastAsia="Calibri" w:cs="Arial"/>
        </w:rPr>
      </w:pPr>
    </w:p>
    <w:p w14:paraId="397E3282" w14:textId="77777777" w:rsidR="00A90ED5" w:rsidRPr="00C27853" w:rsidRDefault="00A90ED5" w:rsidP="000D1D92">
      <w:pPr>
        <w:pStyle w:val="ListParagraph"/>
        <w:numPr>
          <w:ilvl w:val="0"/>
          <w:numId w:val="43"/>
        </w:numPr>
        <w:spacing w:before="0" w:after="200" w:line="276" w:lineRule="auto"/>
        <w:jc w:val="both"/>
        <w:rPr>
          <w:rFonts w:eastAsia="Calibri" w:cs="Arial"/>
        </w:rPr>
      </w:pPr>
      <w:r w:rsidRPr="00C27853">
        <w:rPr>
          <w:rFonts w:eastAsia="Calibri" w:cs="Arial"/>
        </w:rPr>
        <w:t>Demographic characteristics related to employment, education and financial hardship were related to partner violence. Remoteness was the single biggest predictor of partner violence in LSIC.</w:t>
      </w:r>
    </w:p>
    <w:p w14:paraId="3964684A" w14:textId="77777777" w:rsidR="00A90ED5" w:rsidRPr="00C27853" w:rsidRDefault="00A90ED5" w:rsidP="00A90ED5">
      <w:pPr>
        <w:pStyle w:val="ListParagraph"/>
        <w:spacing w:before="0" w:after="200" w:line="276" w:lineRule="auto"/>
        <w:jc w:val="both"/>
        <w:rPr>
          <w:rFonts w:eastAsia="Calibri" w:cs="Arial"/>
        </w:rPr>
      </w:pPr>
    </w:p>
    <w:p w14:paraId="5C01A829" w14:textId="77777777" w:rsidR="00A90ED5" w:rsidRPr="00C27853" w:rsidRDefault="00A90ED5" w:rsidP="000D1D92">
      <w:pPr>
        <w:pStyle w:val="ListParagraph"/>
        <w:numPr>
          <w:ilvl w:val="0"/>
          <w:numId w:val="43"/>
        </w:numPr>
        <w:spacing w:before="0" w:after="200" w:line="276" w:lineRule="auto"/>
        <w:jc w:val="both"/>
        <w:rPr>
          <w:rFonts w:eastAsia="Calibri" w:cs="Arial"/>
        </w:rPr>
      </w:pPr>
      <w:r w:rsidRPr="00C27853">
        <w:rPr>
          <w:rFonts w:eastAsia="Calibri" w:cs="Arial"/>
        </w:rPr>
        <w:t>Children were more likely to have social and emotional problems if they had been upset by family arguments and/or if their parents have had violent arguments.</w:t>
      </w:r>
    </w:p>
    <w:p w14:paraId="469D1F76" w14:textId="77777777" w:rsidR="00A90ED5" w:rsidRPr="00C27853" w:rsidRDefault="00A90ED5" w:rsidP="00A90ED5">
      <w:pPr>
        <w:pStyle w:val="ListParagraph"/>
        <w:spacing w:before="0" w:after="200" w:line="276" w:lineRule="auto"/>
        <w:jc w:val="both"/>
        <w:rPr>
          <w:rFonts w:eastAsia="Calibri" w:cs="Arial"/>
        </w:rPr>
      </w:pPr>
    </w:p>
    <w:p w14:paraId="14CCC14B" w14:textId="77777777" w:rsidR="00A90ED5" w:rsidRDefault="00A90ED5" w:rsidP="000D1D92">
      <w:pPr>
        <w:pStyle w:val="ListParagraph"/>
        <w:numPr>
          <w:ilvl w:val="0"/>
          <w:numId w:val="43"/>
        </w:numPr>
        <w:spacing w:before="0" w:after="200" w:line="276" w:lineRule="auto"/>
        <w:jc w:val="both"/>
        <w:rPr>
          <w:rFonts w:eastAsia="Calibri" w:cs="Arial"/>
        </w:rPr>
      </w:pPr>
      <w:r w:rsidRPr="00C27853">
        <w:rPr>
          <w:rFonts w:eastAsia="Calibri" w:cs="Arial"/>
        </w:rPr>
        <w:t>Mothers experiencing partner violence were more likely to rate family violence as a big problem in their community.</w:t>
      </w:r>
    </w:p>
    <w:p w14:paraId="0E202268" w14:textId="77777777" w:rsidR="00A90ED5" w:rsidRPr="001D539D" w:rsidRDefault="00A90ED5" w:rsidP="00A90ED5">
      <w:pPr>
        <w:pStyle w:val="ListParagraph"/>
        <w:rPr>
          <w:rFonts w:eastAsia="Calibri" w:cs="Arial"/>
        </w:rPr>
      </w:pPr>
    </w:p>
    <w:p w14:paraId="01D4A030" w14:textId="77777777" w:rsidR="00A90ED5" w:rsidRDefault="00A90ED5" w:rsidP="00A90ED5">
      <w:pPr>
        <w:spacing w:before="0" w:after="200" w:line="276" w:lineRule="auto"/>
        <w:jc w:val="both"/>
        <w:rPr>
          <w:rFonts w:eastAsia="Calibri" w:cs="Arial"/>
        </w:rPr>
      </w:pPr>
    </w:p>
    <w:p w14:paraId="551211F3" w14:textId="77777777" w:rsidR="00A90ED5" w:rsidRDefault="00A90ED5" w:rsidP="00A90ED5">
      <w:pPr>
        <w:spacing w:before="0" w:after="200" w:line="276" w:lineRule="auto"/>
        <w:jc w:val="both"/>
        <w:rPr>
          <w:rFonts w:eastAsia="Calibri" w:cs="Arial"/>
        </w:rPr>
      </w:pPr>
    </w:p>
    <w:p w14:paraId="3147802E" w14:textId="7FB56BF2" w:rsidR="00A90ED5" w:rsidRPr="008C045D" w:rsidRDefault="00A90ED5" w:rsidP="00A90ED5">
      <w:pPr>
        <w:pStyle w:val="Heading2"/>
        <w:numPr>
          <w:ilvl w:val="0"/>
          <w:numId w:val="0"/>
        </w:numPr>
        <w:ind w:left="851" w:hanging="851"/>
      </w:pPr>
      <w:r>
        <w:br w:type="column"/>
      </w:r>
      <w:bookmarkStart w:id="277" w:name="_Toc432144076"/>
      <w:bookmarkStart w:id="278" w:name="_Toc432577342"/>
      <w:r>
        <w:t>Appendix 11</w:t>
      </w:r>
      <w:r w:rsidR="000D1D92">
        <w:t>:</w:t>
      </w:r>
      <w:r>
        <w:t xml:space="preserve"> </w:t>
      </w:r>
      <w:r w:rsidRPr="001D539D">
        <w:t>Kids Helpline data about children’s experiences of family and domestic violence</w:t>
      </w:r>
      <w:bookmarkEnd w:id="277"/>
      <w:bookmarkEnd w:id="278"/>
    </w:p>
    <w:p w14:paraId="1F0D3A95" w14:textId="77777777" w:rsidR="00A90ED5" w:rsidRPr="00CB7783" w:rsidRDefault="00A90ED5" w:rsidP="00A90ED5">
      <w:pPr>
        <w:jc w:val="both"/>
      </w:pPr>
      <w:r>
        <w:t>The information provided in this appendix is based on Submission 14 from BoysTown about its Kids Helpline service.</w:t>
      </w:r>
      <w:r w:rsidRPr="00CB7783">
        <w:t xml:space="preserve"> </w:t>
      </w:r>
    </w:p>
    <w:p w14:paraId="598D1FBF" w14:textId="77777777" w:rsidR="00A90ED5" w:rsidRPr="00244A56" w:rsidRDefault="00A90ED5" w:rsidP="00A90ED5">
      <w:pPr>
        <w:jc w:val="both"/>
      </w:pPr>
      <w:r w:rsidRPr="00244A56">
        <w:rPr>
          <w:rFonts w:cs="Arial"/>
        </w:rPr>
        <w:t xml:space="preserve">The Kids Helpline </w:t>
      </w:r>
      <w:r w:rsidRPr="00244A56">
        <w:t xml:space="preserve">supplied me with a detailed report of contacts received from children and young people aged 5 to 17 years between January 2012 and December 2014, who directly raised family or domestic violence as their main concern or as their second significant concern. </w:t>
      </w:r>
    </w:p>
    <w:p w14:paraId="1607D661" w14:textId="77777777" w:rsidR="00A90ED5" w:rsidRPr="00244A56" w:rsidRDefault="00A90ED5" w:rsidP="00A90ED5">
      <w:pPr>
        <w:jc w:val="both"/>
      </w:pPr>
      <w:r w:rsidRPr="00244A56">
        <w:t>A total of 120,408 contacts were received from children and young people aged 5 to17 years, of these 603 (0.5%) raised family and domestic violence as their main concern and a further 396 (0.3%) raised it as their second significant concern. In 62% of contacts where family and domestic violence was raised as the main concern, no secondary concern was recorded.</w:t>
      </w:r>
      <w:r w:rsidRPr="00244A56">
        <w:rPr>
          <w:rStyle w:val="EndnoteReference"/>
        </w:rPr>
        <w:endnoteReference w:id="731"/>
      </w:r>
    </w:p>
    <w:p w14:paraId="45B8019B" w14:textId="77777777" w:rsidR="00A90ED5" w:rsidRPr="00244A56" w:rsidRDefault="00A90ED5" w:rsidP="00A90ED5">
      <w:pPr>
        <w:jc w:val="both"/>
      </w:pPr>
      <w:r w:rsidRPr="00244A56">
        <w:t>These figures are based on the number of contacts and not individuals.</w:t>
      </w:r>
      <w:r w:rsidRPr="00244A56">
        <w:rPr>
          <w:rStyle w:val="EndnoteReference"/>
        </w:rPr>
        <w:endnoteReference w:id="732"/>
      </w:r>
      <w:r w:rsidRPr="00244A56">
        <w:t xml:space="preserve">  Between January 2012 and December 2014, there were </w:t>
      </w:r>
      <w:r w:rsidRPr="00244A56">
        <w:rPr>
          <w:szCs w:val="20"/>
        </w:rPr>
        <w:t>999 contacts where family and domestic violence was raised as either the main or secondary concern.</w:t>
      </w:r>
      <w:r w:rsidRPr="00244A56">
        <w:rPr>
          <w:rStyle w:val="EndnoteReference"/>
          <w:szCs w:val="20"/>
        </w:rPr>
        <w:endnoteReference w:id="733"/>
      </w:r>
    </w:p>
    <w:p w14:paraId="3F228441" w14:textId="77777777" w:rsidR="00A90ED5" w:rsidRDefault="00A90ED5" w:rsidP="00A90ED5">
      <w:pPr>
        <w:jc w:val="both"/>
      </w:pPr>
      <w:r>
        <w:t>Kids Helpline records information about each contact made by a child or young person, including:</w:t>
      </w:r>
    </w:p>
    <w:p w14:paraId="2A388F80" w14:textId="77777777" w:rsidR="00A90ED5" w:rsidRDefault="00A90ED5" w:rsidP="000D1D92">
      <w:pPr>
        <w:pStyle w:val="ListParagraph"/>
        <w:numPr>
          <w:ilvl w:val="0"/>
          <w:numId w:val="46"/>
        </w:numPr>
        <w:jc w:val="both"/>
      </w:pPr>
      <w:r>
        <w:t>Demographic details</w:t>
      </w:r>
    </w:p>
    <w:p w14:paraId="56E5EBD4" w14:textId="77777777" w:rsidR="00A90ED5" w:rsidRDefault="00A90ED5" w:rsidP="000D1D92">
      <w:pPr>
        <w:pStyle w:val="ListParagraph"/>
        <w:numPr>
          <w:ilvl w:val="0"/>
          <w:numId w:val="46"/>
        </w:numPr>
        <w:jc w:val="both"/>
      </w:pPr>
      <w:r>
        <w:t>Concerns raised by the young person</w:t>
      </w:r>
    </w:p>
    <w:p w14:paraId="4D95050C" w14:textId="77777777" w:rsidR="00A90ED5" w:rsidRDefault="00A90ED5" w:rsidP="000D1D92">
      <w:pPr>
        <w:pStyle w:val="ListParagraph"/>
        <w:numPr>
          <w:ilvl w:val="0"/>
          <w:numId w:val="46"/>
        </w:numPr>
        <w:jc w:val="both"/>
      </w:pPr>
      <w:r>
        <w:t>Case notes about the content of the contact.</w:t>
      </w:r>
    </w:p>
    <w:p w14:paraId="68EF7FD0" w14:textId="77777777" w:rsidR="00A90ED5" w:rsidRDefault="00A90ED5" w:rsidP="00A90ED5">
      <w:pPr>
        <w:jc w:val="both"/>
      </w:pPr>
      <w:r w:rsidRPr="00EE7927">
        <w:t>Kids Helpline contacts are coded according to the concerns raised by the child, not the issues identified by the counsellor</w:t>
      </w:r>
      <w:r>
        <w:t>.</w:t>
      </w:r>
      <w:r>
        <w:rPr>
          <w:rStyle w:val="EndnoteReference"/>
        </w:rPr>
        <w:endnoteReference w:id="734"/>
      </w:r>
    </w:p>
    <w:p w14:paraId="47074254" w14:textId="710FE16E" w:rsidR="00A90ED5" w:rsidRPr="00321BC1" w:rsidRDefault="00A90ED5" w:rsidP="00A90ED5">
      <w:pPr>
        <w:pStyle w:val="Heading3"/>
        <w:numPr>
          <w:ilvl w:val="0"/>
          <w:numId w:val="0"/>
        </w:numPr>
        <w:ind w:left="851" w:hanging="851"/>
      </w:pPr>
      <w:bookmarkStart w:id="279" w:name="_Toc432144077"/>
      <w:r>
        <w:t xml:space="preserve">11.1 </w:t>
      </w:r>
      <w:r w:rsidRPr="00321BC1">
        <w:t xml:space="preserve">Demographic </w:t>
      </w:r>
      <w:r>
        <w:t xml:space="preserve">and geographic </w:t>
      </w:r>
      <w:r w:rsidRPr="00321BC1">
        <w:t>characteristics</w:t>
      </w:r>
      <w:bookmarkEnd w:id="279"/>
    </w:p>
    <w:p w14:paraId="7C885C57" w14:textId="77777777" w:rsidR="00A90ED5" w:rsidRDefault="00A90ED5" w:rsidP="00A90ED5">
      <w:pPr>
        <w:spacing w:before="0" w:after="0"/>
        <w:jc w:val="both"/>
        <w:rPr>
          <w:rFonts w:cs="Arial"/>
        </w:rPr>
      </w:pPr>
      <w:r>
        <w:rPr>
          <w:rFonts w:cs="Arial"/>
        </w:rPr>
        <w:t>In terms of contacts by children concerned with family and domestic violence, 80% (n=798) were female and 18% (n=182) were male. 2% were unknown. This is consistent with the demographic characteristics of all contacts with the Kids Helpline.</w:t>
      </w:r>
    </w:p>
    <w:p w14:paraId="164B6EEB" w14:textId="77777777" w:rsidR="00A90ED5" w:rsidRDefault="00A90ED5" w:rsidP="00A90ED5">
      <w:pPr>
        <w:spacing w:before="0" w:after="0"/>
        <w:jc w:val="both"/>
        <w:rPr>
          <w:rFonts w:cs="Arial"/>
        </w:rPr>
      </w:pPr>
    </w:p>
    <w:p w14:paraId="66EAE3D8" w14:textId="77777777" w:rsidR="00A90ED5" w:rsidRDefault="00A90ED5" w:rsidP="00A90ED5">
      <w:pPr>
        <w:spacing w:before="0" w:after="0"/>
        <w:jc w:val="both"/>
        <w:rPr>
          <w:rFonts w:cs="Arial"/>
        </w:rPr>
      </w:pPr>
      <w:r>
        <w:rPr>
          <w:rFonts w:cs="Arial"/>
        </w:rPr>
        <w:t>Of these contacts, 8% (n=75) were in the 5-9 age bracket; 11% (n=108) were in the 10-11 age bracket; 23% (n=233) were in the 12-13 age bracket; 32% (n=322) were in the 14-15 age bracket and 26% (n=261) were in the 16-17 age bracket. When comparing this with the demographic characteristics of all contacts with the Kids Helpline, there was a higher rate of contact</w:t>
      </w:r>
      <w:r w:rsidRPr="002973B3">
        <w:rPr>
          <w:rFonts w:cs="Arial"/>
        </w:rPr>
        <w:t xml:space="preserve"> </w:t>
      </w:r>
      <w:r>
        <w:rPr>
          <w:rFonts w:cs="Arial"/>
        </w:rPr>
        <w:t xml:space="preserve">about family and domestic violence </w:t>
      </w:r>
      <w:r w:rsidRPr="002973B3">
        <w:rPr>
          <w:rFonts w:cs="Arial"/>
        </w:rPr>
        <w:t xml:space="preserve">by children </w:t>
      </w:r>
      <w:r>
        <w:rPr>
          <w:rFonts w:cs="Arial"/>
        </w:rPr>
        <w:t>in the 5–11 age bracket and, to a lesser degree, in the 12-13 age bracket.</w:t>
      </w:r>
      <w:r w:rsidRPr="002973B3">
        <w:rPr>
          <w:rFonts w:cs="Arial"/>
        </w:rPr>
        <w:t xml:space="preserve"> </w:t>
      </w:r>
    </w:p>
    <w:p w14:paraId="5C33B154" w14:textId="77777777" w:rsidR="00A90ED5" w:rsidRDefault="00A90ED5" w:rsidP="00A90ED5">
      <w:pPr>
        <w:spacing w:before="0" w:after="0"/>
        <w:jc w:val="both"/>
        <w:rPr>
          <w:rFonts w:cs="Arial"/>
        </w:rPr>
      </w:pPr>
    </w:p>
    <w:p w14:paraId="4626D7E1" w14:textId="77777777" w:rsidR="00A90ED5" w:rsidRDefault="00A90ED5" w:rsidP="00A90ED5">
      <w:pPr>
        <w:spacing w:before="0" w:after="0"/>
        <w:jc w:val="both"/>
        <w:rPr>
          <w:rFonts w:cs="Arial"/>
        </w:rPr>
      </w:pPr>
      <w:r>
        <w:rPr>
          <w:rFonts w:cs="Arial"/>
        </w:rPr>
        <w:t>Only 2% (n=16) of contacts in relation to family and domestic violence were made by Indigenous children. This is consistent with the demographic characteristics of all contacts with the Kids Helpline. The Kids Helpline points out that:</w:t>
      </w:r>
    </w:p>
    <w:p w14:paraId="5B34AFF3" w14:textId="77777777" w:rsidR="00A90ED5" w:rsidRDefault="00A90ED5" w:rsidP="00A90ED5">
      <w:pPr>
        <w:spacing w:before="0" w:after="0"/>
        <w:jc w:val="both"/>
        <w:rPr>
          <w:rFonts w:cs="Arial"/>
        </w:rPr>
      </w:pPr>
    </w:p>
    <w:p w14:paraId="0F4ED59F" w14:textId="77777777" w:rsidR="00A90ED5" w:rsidRDefault="00A90ED5" w:rsidP="00A90ED5">
      <w:pPr>
        <w:spacing w:before="0" w:after="0"/>
        <w:ind w:left="720"/>
        <w:jc w:val="both"/>
        <w:rPr>
          <w:rFonts w:cs="Arial"/>
        </w:rPr>
      </w:pPr>
      <w:r>
        <w:rPr>
          <w:szCs w:val="20"/>
        </w:rPr>
        <w:t xml:space="preserve">The low level of Kids Helpline usage by Indigenous Australian children highlights the need for specialist services to engage </w:t>
      </w:r>
      <w:r w:rsidRPr="008A3BA9">
        <w:rPr>
          <w:szCs w:val="20"/>
        </w:rPr>
        <w:t>Aboriginal and Torres Strait Islander</w:t>
      </w:r>
      <w:r>
        <w:rPr>
          <w:szCs w:val="20"/>
        </w:rPr>
        <w:t xml:space="preserve"> children, families, and communities.</w:t>
      </w:r>
      <w:r>
        <w:rPr>
          <w:rStyle w:val="EndnoteReference"/>
          <w:szCs w:val="20"/>
        </w:rPr>
        <w:endnoteReference w:id="735"/>
      </w:r>
    </w:p>
    <w:p w14:paraId="5E65EE28" w14:textId="77777777" w:rsidR="00A90ED5" w:rsidRDefault="00A90ED5" w:rsidP="00A90ED5">
      <w:pPr>
        <w:spacing w:before="0" w:after="0"/>
        <w:jc w:val="both"/>
        <w:rPr>
          <w:rFonts w:cs="Arial"/>
        </w:rPr>
      </w:pPr>
    </w:p>
    <w:p w14:paraId="076E539E" w14:textId="77777777" w:rsidR="00A90ED5" w:rsidRDefault="00A90ED5" w:rsidP="00A90ED5">
      <w:pPr>
        <w:spacing w:before="0" w:after="0"/>
        <w:jc w:val="both"/>
        <w:rPr>
          <w:rFonts w:cs="Arial"/>
        </w:rPr>
      </w:pPr>
      <w:r>
        <w:rPr>
          <w:rFonts w:cs="Arial"/>
        </w:rPr>
        <w:t>14% (n=142) of contacts were made by children from CALD backgrounds. When comparing this with the demographic characteristics of all contacts with the Kids Helpline,</w:t>
      </w:r>
      <w:r w:rsidRPr="002973B3">
        <w:rPr>
          <w:rFonts w:cs="Arial"/>
        </w:rPr>
        <w:t xml:space="preserve"> </w:t>
      </w:r>
      <w:r>
        <w:rPr>
          <w:rFonts w:cs="Arial"/>
        </w:rPr>
        <w:t xml:space="preserve">there was a higher rate of CALD contacts in relation to family and domestic violence. It is important to note that cultural background is not known in approximately 70% of contacts. </w:t>
      </w:r>
      <w:r>
        <w:rPr>
          <w:rStyle w:val="EndnoteReference"/>
          <w:rFonts w:cs="Arial"/>
        </w:rPr>
        <w:endnoteReference w:id="736"/>
      </w:r>
    </w:p>
    <w:p w14:paraId="2E8A9B22" w14:textId="77777777" w:rsidR="00A90ED5" w:rsidRDefault="00A90ED5" w:rsidP="00A90ED5">
      <w:pPr>
        <w:spacing w:before="0" w:after="0"/>
        <w:jc w:val="both"/>
        <w:rPr>
          <w:rFonts w:cs="Arial"/>
        </w:rPr>
      </w:pPr>
    </w:p>
    <w:p w14:paraId="1BB9E9A7" w14:textId="51B5CCC0" w:rsidR="00A90ED5" w:rsidRDefault="00A90ED5" w:rsidP="00A90ED5">
      <w:pPr>
        <w:spacing w:before="0" w:after="0"/>
        <w:jc w:val="both"/>
        <w:rPr>
          <w:rFonts w:cs="Arial"/>
          <w:b/>
        </w:rPr>
      </w:pPr>
      <w:r w:rsidRPr="00781997">
        <w:rPr>
          <w:rFonts w:cs="Arial"/>
        </w:rPr>
        <w:t xml:space="preserve">The Kids helpline indicated that </w:t>
      </w:r>
      <w:r>
        <w:rPr>
          <w:rFonts w:cs="Arial"/>
        </w:rPr>
        <w:t>t</w:t>
      </w:r>
      <w:r w:rsidRPr="00781997">
        <w:rPr>
          <w:rFonts w:cs="Arial"/>
        </w:rPr>
        <w:t>her</w:t>
      </w:r>
      <w:r>
        <w:rPr>
          <w:rFonts w:cs="Arial"/>
        </w:rPr>
        <w:t xml:space="preserve">e was no difference between contacts about family and domestic violence </w:t>
      </w:r>
      <w:r w:rsidRPr="00781997">
        <w:rPr>
          <w:rFonts w:cs="Arial"/>
        </w:rPr>
        <w:t xml:space="preserve">and </w:t>
      </w:r>
      <w:r>
        <w:rPr>
          <w:rFonts w:cs="Arial"/>
        </w:rPr>
        <w:t xml:space="preserve">all </w:t>
      </w:r>
      <w:r w:rsidRPr="00781997">
        <w:rPr>
          <w:rFonts w:cs="Arial"/>
        </w:rPr>
        <w:t xml:space="preserve">other contacts in terms of the geographical region </w:t>
      </w:r>
      <w:r>
        <w:rPr>
          <w:rFonts w:cs="Arial"/>
        </w:rPr>
        <w:t xml:space="preserve">where </w:t>
      </w:r>
      <w:r w:rsidRPr="00781997">
        <w:rPr>
          <w:rFonts w:cs="Arial"/>
        </w:rPr>
        <w:t>the child lived (city, regio</w:t>
      </w:r>
      <w:r>
        <w:rPr>
          <w:rFonts w:cs="Arial"/>
        </w:rPr>
        <w:t>nal, remote).</w:t>
      </w:r>
      <w:r>
        <w:rPr>
          <w:rStyle w:val="EndnoteReference"/>
          <w:rFonts w:cs="Arial"/>
        </w:rPr>
        <w:endnoteReference w:id="737"/>
      </w:r>
      <w:r>
        <w:rPr>
          <w:rFonts w:cs="Arial"/>
        </w:rPr>
        <w:t xml:space="preserve"> Most contacts were from major cities, followed by inner regional, outer regional and remote.</w:t>
      </w:r>
      <w:r>
        <w:rPr>
          <w:rStyle w:val="EndnoteReference"/>
          <w:rFonts w:cs="Arial"/>
        </w:rPr>
        <w:endnoteReference w:id="738"/>
      </w:r>
    </w:p>
    <w:p w14:paraId="6F909267" w14:textId="1D189F64" w:rsidR="00A90ED5" w:rsidRDefault="00A90ED5" w:rsidP="00A90ED5">
      <w:pPr>
        <w:pStyle w:val="Heading3"/>
        <w:numPr>
          <w:ilvl w:val="0"/>
          <w:numId w:val="0"/>
        </w:numPr>
        <w:rPr>
          <w:rFonts w:cs="Arial"/>
        </w:rPr>
      </w:pPr>
      <w:bookmarkStart w:id="280" w:name="_Toc432144078"/>
      <w:r>
        <w:t xml:space="preserve">11.2 </w:t>
      </w:r>
      <w:r w:rsidRPr="00321BC1">
        <w:t>Method of contact to the Kids Helpline</w:t>
      </w:r>
      <w:bookmarkEnd w:id="280"/>
    </w:p>
    <w:p w14:paraId="184D6A56" w14:textId="77777777" w:rsidR="00A90ED5" w:rsidRDefault="00A90ED5" w:rsidP="00A90ED5">
      <w:pPr>
        <w:spacing w:before="0" w:after="0"/>
        <w:jc w:val="both"/>
        <w:rPr>
          <w:rFonts w:cs="Arial"/>
        </w:rPr>
      </w:pPr>
      <w:r>
        <w:rPr>
          <w:rFonts w:cs="Arial"/>
        </w:rPr>
        <w:t xml:space="preserve">The Kids Helpline indicated that there were </w:t>
      </w:r>
      <w:r w:rsidRPr="00367245">
        <w:rPr>
          <w:rFonts w:cs="Arial"/>
        </w:rPr>
        <w:t>no significant difference</w:t>
      </w:r>
      <w:r>
        <w:rPr>
          <w:rFonts w:cs="Arial"/>
        </w:rPr>
        <w:t>s between family and domestic violence contacts</w:t>
      </w:r>
      <w:r w:rsidRPr="00367245">
        <w:rPr>
          <w:rFonts w:cs="Arial"/>
        </w:rPr>
        <w:t xml:space="preserve"> and </w:t>
      </w:r>
      <w:r>
        <w:rPr>
          <w:rFonts w:cs="Arial"/>
        </w:rPr>
        <w:t xml:space="preserve">all </w:t>
      </w:r>
      <w:r w:rsidRPr="00367245">
        <w:rPr>
          <w:rFonts w:cs="Arial"/>
        </w:rPr>
        <w:t>other contacts</w:t>
      </w:r>
      <w:r>
        <w:rPr>
          <w:rFonts w:cs="Arial"/>
        </w:rPr>
        <w:t xml:space="preserve"> to the Kids Helpline</w:t>
      </w:r>
      <w:r w:rsidRPr="00367245">
        <w:rPr>
          <w:rFonts w:cs="Arial"/>
        </w:rPr>
        <w:t xml:space="preserve"> in terms of the contact</w:t>
      </w:r>
      <w:r>
        <w:rPr>
          <w:rFonts w:cs="Arial"/>
        </w:rPr>
        <w:t xml:space="preserve"> method (phone, email, or web).</w:t>
      </w:r>
      <w:r>
        <w:rPr>
          <w:rStyle w:val="EndnoteReference"/>
          <w:rFonts w:cs="Arial"/>
        </w:rPr>
        <w:endnoteReference w:id="739"/>
      </w:r>
      <w:r w:rsidRPr="00367245">
        <w:rPr>
          <w:rFonts w:cs="Arial"/>
        </w:rPr>
        <w:t xml:space="preserve"> </w:t>
      </w:r>
    </w:p>
    <w:p w14:paraId="6CF534E3" w14:textId="77777777" w:rsidR="00A90ED5" w:rsidRDefault="00A90ED5" w:rsidP="00A90ED5">
      <w:pPr>
        <w:spacing w:before="0" w:after="0"/>
        <w:jc w:val="both"/>
        <w:rPr>
          <w:rFonts w:cs="Arial"/>
        </w:rPr>
      </w:pPr>
    </w:p>
    <w:p w14:paraId="15FAEBE4" w14:textId="77777777" w:rsidR="00A90ED5" w:rsidRDefault="00A90ED5" w:rsidP="00A90ED5">
      <w:pPr>
        <w:spacing w:before="0" w:after="0"/>
        <w:jc w:val="both"/>
        <w:rPr>
          <w:rFonts w:cs="Arial"/>
        </w:rPr>
      </w:pPr>
      <w:r>
        <w:rPr>
          <w:rFonts w:cs="Arial"/>
        </w:rPr>
        <w:t xml:space="preserve">Of </w:t>
      </w:r>
      <w:r w:rsidRPr="00367245">
        <w:rPr>
          <w:rFonts w:cs="Arial"/>
        </w:rPr>
        <w:t>all contacts to</w:t>
      </w:r>
      <w:r>
        <w:rPr>
          <w:rFonts w:cs="Arial"/>
        </w:rPr>
        <w:t xml:space="preserve"> the</w:t>
      </w:r>
      <w:r w:rsidRPr="00367245">
        <w:rPr>
          <w:rFonts w:cs="Arial"/>
        </w:rPr>
        <w:t xml:space="preserve"> Kids Helpline, 68% of male contacts were by phone, while approximately 16% were by emai</w:t>
      </w:r>
      <w:r>
        <w:rPr>
          <w:rFonts w:cs="Arial"/>
        </w:rPr>
        <w:t xml:space="preserve">l and 15% used web counselling. </w:t>
      </w:r>
      <w:r w:rsidRPr="00367245">
        <w:rPr>
          <w:rFonts w:cs="Arial"/>
        </w:rPr>
        <w:t xml:space="preserve">48% of female contacts were by phone, 28% </w:t>
      </w:r>
      <w:r>
        <w:rPr>
          <w:rFonts w:cs="Arial"/>
        </w:rPr>
        <w:t>were by email and 24% used</w:t>
      </w:r>
      <w:r w:rsidRPr="00367245">
        <w:rPr>
          <w:rFonts w:cs="Arial"/>
        </w:rPr>
        <w:t xml:space="preserve"> web counselling</w:t>
      </w:r>
      <w:r>
        <w:rPr>
          <w:rFonts w:cs="Arial"/>
        </w:rPr>
        <w:t>.</w:t>
      </w:r>
      <w:r w:rsidRPr="00500ED8">
        <w:rPr>
          <w:rStyle w:val="EndnoteReference"/>
          <w:rFonts w:cs="Arial"/>
        </w:rPr>
        <w:t xml:space="preserve"> </w:t>
      </w:r>
      <w:r>
        <w:rPr>
          <w:rStyle w:val="EndnoteReference"/>
          <w:rFonts w:cs="Arial"/>
        </w:rPr>
        <w:endnoteReference w:id="740"/>
      </w:r>
      <w:r>
        <w:rPr>
          <w:rFonts w:cs="Arial"/>
        </w:rPr>
        <w:t xml:space="preserve"> </w:t>
      </w:r>
    </w:p>
    <w:p w14:paraId="56385461" w14:textId="77777777" w:rsidR="00A90ED5" w:rsidRDefault="00A90ED5" w:rsidP="00A90ED5">
      <w:pPr>
        <w:spacing w:before="0" w:after="0"/>
        <w:jc w:val="both"/>
        <w:rPr>
          <w:rFonts w:cs="Arial"/>
        </w:rPr>
      </w:pPr>
    </w:p>
    <w:p w14:paraId="4A0A032D" w14:textId="77777777" w:rsidR="00A90ED5" w:rsidRDefault="00A90ED5" w:rsidP="00A90ED5">
      <w:pPr>
        <w:spacing w:before="0" w:after="0"/>
        <w:jc w:val="both"/>
        <w:rPr>
          <w:rFonts w:cs="Arial"/>
        </w:rPr>
      </w:pPr>
      <w:r>
        <w:rPr>
          <w:rFonts w:cs="Arial"/>
        </w:rPr>
        <w:t xml:space="preserve">In terms of contacts where family and domestic violence was a concern, </w:t>
      </w:r>
      <w:r w:rsidRPr="00367245">
        <w:rPr>
          <w:rFonts w:cs="Arial"/>
        </w:rPr>
        <w:t>this patter</w:t>
      </w:r>
      <w:r>
        <w:rPr>
          <w:rFonts w:cs="Arial"/>
        </w:rPr>
        <w:t>n remained the same for females. Males contacting about family and domestic violence</w:t>
      </w:r>
      <w:r w:rsidRPr="00367245">
        <w:rPr>
          <w:rFonts w:cs="Arial"/>
        </w:rPr>
        <w:t xml:space="preserve"> </w:t>
      </w:r>
      <w:r>
        <w:rPr>
          <w:rFonts w:cs="Arial"/>
        </w:rPr>
        <w:t xml:space="preserve">were more </w:t>
      </w:r>
      <w:r w:rsidRPr="00367245">
        <w:rPr>
          <w:rFonts w:cs="Arial"/>
        </w:rPr>
        <w:t>likely to use the phone than other males, with 79% of contacts coming by phone</w:t>
      </w:r>
      <w:r>
        <w:rPr>
          <w:rFonts w:cs="Arial"/>
        </w:rPr>
        <w:t>.</w:t>
      </w:r>
      <w:r w:rsidRPr="00500ED8">
        <w:rPr>
          <w:rStyle w:val="EndnoteReference"/>
          <w:rFonts w:cs="Arial"/>
        </w:rPr>
        <w:t xml:space="preserve"> </w:t>
      </w:r>
      <w:r>
        <w:rPr>
          <w:rStyle w:val="EndnoteReference"/>
          <w:rFonts w:cs="Arial"/>
        </w:rPr>
        <w:endnoteReference w:id="741"/>
      </w:r>
    </w:p>
    <w:p w14:paraId="7D28AB70" w14:textId="7226CDDC" w:rsidR="00A90ED5" w:rsidRPr="00321BC1" w:rsidRDefault="00A90ED5" w:rsidP="00A90ED5">
      <w:pPr>
        <w:pStyle w:val="Heading3"/>
        <w:numPr>
          <w:ilvl w:val="0"/>
          <w:numId w:val="0"/>
        </w:numPr>
        <w:ind w:left="851" w:hanging="851"/>
      </w:pPr>
      <w:bookmarkStart w:id="281" w:name="_Toc432144079"/>
      <w:r>
        <w:t xml:space="preserve">11.3 </w:t>
      </w:r>
      <w:r w:rsidRPr="00321BC1">
        <w:t>Specific nature of contacts</w:t>
      </w:r>
      <w:bookmarkEnd w:id="281"/>
    </w:p>
    <w:p w14:paraId="1C45DC94" w14:textId="77777777" w:rsidR="00A90ED5" w:rsidRPr="00CB62C0" w:rsidRDefault="00A90ED5" w:rsidP="00A90ED5">
      <w:pPr>
        <w:jc w:val="both"/>
        <w:rPr>
          <w:szCs w:val="20"/>
        </w:rPr>
      </w:pPr>
      <w:r w:rsidRPr="00CB62C0">
        <w:rPr>
          <w:szCs w:val="20"/>
        </w:rPr>
        <w:t xml:space="preserve">The Kids Helpline </w:t>
      </w:r>
      <w:r>
        <w:rPr>
          <w:szCs w:val="20"/>
        </w:rPr>
        <w:t>indicated that in relation to the specific nature of contacts, the data showed no clear differences related to gender, age or cultural background.</w:t>
      </w:r>
      <w:r>
        <w:rPr>
          <w:rStyle w:val="EndnoteReference"/>
          <w:szCs w:val="20"/>
        </w:rPr>
        <w:endnoteReference w:id="742"/>
      </w:r>
    </w:p>
    <w:p w14:paraId="3F2BDB07" w14:textId="77777777" w:rsidR="00A90ED5" w:rsidRPr="00A90ED5" w:rsidRDefault="00A90ED5" w:rsidP="00A90ED5">
      <w:pPr>
        <w:rPr>
          <w:b/>
        </w:rPr>
      </w:pPr>
      <w:bookmarkStart w:id="282" w:name="_Toc432144080"/>
      <w:r w:rsidRPr="00A90ED5">
        <w:rPr>
          <w:b/>
        </w:rPr>
        <w:t>Exposure to violence by parents</w:t>
      </w:r>
      <w:bookmarkEnd w:id="282"/>
    </w:p>
    <w:p w14:paraId="107E7D67" w14:textId="77777777" w:rsidR="00A90ED5" w:rsidRDefault="00A90ED5" w:rsidP="00A90ED5">
      <w:pPr>
        <w:jc w:val="both"/>
        <w:rPr>
          <w:szCs w:val="20"/>
        </w:rPr>
      </w:pPr>
      <w:r>
        <w:rPr>
          <w:szCs w:val="20"/>
        </w:rPr>
        <w:t>The largest proportion of contacts (40%) was in relation to exposure to violence between parents, or between a parent and a partner or ex-partner.</w:t>
      </w:r>
      <w:r>
        <w:rPr>
          <w:rStyle w:val="EndnoteReference"/>
          <w:szCs w:val="20"/>
        </w:rPr>
        <w:endnoteReference w:id="743"/>
      </w:r>
      <w:r>
        <w:rPr>
          <w:szCs w:val="20"/>
        </w:rPr>
        <w:t xml:space="preserve"> </w:t>
      </w:r>
    </w:p>
    <w:p w14:paraId="5F9D946F" w14:textId="77777777" w:rsidR="00A90ED5" w:rsidRDefault="00A90ED5" w:rsidP="00A90ED5">
      <w:pPr>
        <w:jc w:val="both"/>
        <w:rPr>
          <w:szCs w:val="20"/>
        </w:rPr>
      </w:pPr>
      <w:r>
        <w:rPr>
          <w:szCs w:val="20"/>
        </w:rPr>
        <w:t>Family and domestic violence contacts were 88% more likely than other contacts</w:t>
      </w:r>
      <w:r w:rsidRPr="00ED3853">
        <w:rPr>
          <w:szCs w:val="20"/>
        </w:rPr>
        <w:t xml:space="preserve"> to be from a child living in a single parent, blended family, or shared custody arrangement.</w:t>
      </w:r>
      <w:r>
        <w:rPr>
          <w:rStyle w:val="EndnoteReference"/>
          <w:szCs w:val="20"/>
        </w:rPr>
        <w:endnoteReference w:id="744"/>
      </w:r>
    </w:p>
    <w:p w14:paraId="3B54531F" w14:textId="77777777" w:rsidR="00A90ED5" w:rsidRPr="00C75495" w:rsidRDefault="00A90ED5" w:rsidP="00A90ED5">
      <w:pPr>
        <w:jc w:val="both"/>
      </w:pPr>
      <w:r>
        <w:t>23</w:t>
      </w:r>
      <w:r w:rsidRPr="006F6C80">
        <w:t xml:space="preserve">% of </w:t>
      </w:r>
      <w:r>
        <w:t xml:space="preserve">these </w:t>
      </w:r>
      <w:r w:rsidRPr="006F6C80">
        <w:t>contacts also raised concerns abo</w:t>
      </w:r>
      <w:r>
        <w:t>ut physical child abuse and 12%</w:t>
      </w:r>
      <w:r w:rsidRPr="006F6C80">
        <w:t xml:space="preserve"> raised concerns about emotional child abuse.</w:t>
      </w:r>
      <w:r>
        <w:rPr>
          <w:rStyle w:val="EndnoteReference"/>
        </w:rPr>
        <w:endnoteReference w:id="745"/>
      </w:r>
    </w:p>
    <w:p w14:paraId="2D059C36" w14:textId="77777777" w:rsidR="00A90ED5" w:rsidRDefault="00A90ED5" w:rsidP="00A90ED5">
      <w:pPr>
        <w:jc w:val="both"/>
        <w:rPr>
          <w:szCs w:val="20"/>
        </w:rPr>
      </w:pPr>
      <w:r>
        <w:rPr>
          <w:szCs w:val="20"/>
        </w:rPr>
        <w:t>An examination of case notes by the Kids Helpline showed that approximately 60% of contacts from children living in a blended family involved violence between the child’s biological parents, rather than violence within the new family.</w:t>
      </w:r>
      <w:r>
        <w:rPr>
          <w:rStyle w:val="EndnoteReference"/>
          <w:szCs w:val="20"/>
        </w:rPr>
        <w:endnoteReference w:id="746"/>
      </w:r>
      <w:r>
        <w:rPr>
          <w:szCs w:val="20"/>
        </w:rPr>
        <w:t xml:space="preserve"> </w:t>
      </w:r>
    </w:p>
    <w:p w14:paraId="4B469630" w14:textId="77777777" w:rsidR="00A90ED5" w:rsidRDefault="00A90ED5" w:rsidP="00A90ED5">
      <w:pPr>
        <w:jc w:val="both"/>
        <w:rPr>
          <w:szCs w:val="20"/>
        </w:rPr>
      </w:pPr>
      <w:r>
        <w:rPr>
          <w:szCs w:val="20"/>
        </w:rPr>
        <w:t>For children living in a single parent family, approximately 85% of contacts related to violence between biological parents, rather than the single parent and a new partner.</w:t>
      </w:r>
      <w:r>
        <w:rPr>
          <w:rStyle w:val="EndnoteReference"/>
          <w:szCs w:val="20"/>
        </w:rPr>
        <w:endnoteReference w:id="747"/>
      </w:r>
    </w:p>
    <w:p w14:paraId="6DFC8FB8" w14:textId="77777777" w:rsidR="00A90ED5" w:rsidRPr="00A90ED5" w:rsidRDefault="00A90ED5" w:rsidP="00A90ED5">
      <w:pPr>
        <w:rPr>
          <w:b/>
        </w:rPr>
      </w:pPr>
      <w:bookmarkStart w:id="283" w:name="_Toc432144081"/>
      <w:r w:rsidRPr="00A90ED5">
        <w:rPr>
          <w:b/>
        </w:rPr>
        <w:t>Impact of past exposure to violence</w:t>
      </w:r>
      <w:bookmarkEnd w:id="283"/>
    </w:p>
    <w:p w14:paraId="0D226F59" w14:textId="77777777" w:rsidR="00A90ED5" w:rsidRDefault="00A90ED5" w:rsidP="00A90ED5">
      <w:pPr>
        <w:jc w:val="both"/>
        <w:rPr>
          <w:szCs w:val="20"/>
        </w:rPr>
      </w:pPr>
      <w:r>
        <w:rPr>
          <w:szCs w:val="20"/>
        </w:rPr>
        <w:t>16% of contacts were seeking support to deal with the impact of past exposure to violence was also a common concern. These contacts were most likely to have been made by children living in a single parent family, or other situation away from parents (e.g., with other carers, in an institutional setting).</w:t>
      </w:r>
      <w:r>
        <w:rPr>
          <w:rStyle w:val="EndnoteReference"/>
          <w:szCs w:val="20"/>
        </w:rPr>
        <w:endnoteReference w:id="748"/>
      </w:r>
      <w:r>
        <w:rPr>
          <w:szCs w:val="20"/>
        </w:rPr>
        <w:t xml:space="preserve"> </w:t>
      </w:r>
    </w:p>
    <w:p w14:paraId="7D165337" w14:textId="77777777" w:rsidR="00A90ED5" w:rsidRPr="009D55A4" w:rsidRDefault="00A90ED5" w:rsidP="00A90ED5">
      <w:pPr>
        <w:jc w:val="both"/>
        <w:rPr>
          <w:szCs w:val="20"/>
        </w:rPr>
      </w:pPr>
      <w:r>
        <w:rPr>
          <w:szCs w:val="20"/>
        </w:rPr>
        <w:t>The Kids Helpline suggests that this could indicate that children are aware that exposure to family violence has affected them and are seeking support even after the exposure has ceased.</w:t>
      </w:r>
      <w:r>
        <w:rPr>
          <w:rStyle w:val="EndnoteReference"/>
          <w:szCs w:val="20"/>
        </w:rPr>
        <w:endnoteReference w:id="749"/>
      </w:r>
    </w:p>
    <w:p w14:paraId="5C83536C" w14:textId="77777777" w:rsidR="00A90ED5" w:rsidRPr="00A90ED5" w:rsidRDefault="00A90ED5" w:rsidP="00A90ED5">
      <w:pPr>
        <w:rPr>
          <w:b/>
        </w:rPr>
      </w:pPr>
      <w:bookmarkStart w:id="284" w:name="_Toc432144082"/>
      <w:r w:rsidRPr="00A90ED5">
        <w:rPr>
          <w:b/>
        </w:rPr>
        <w:t>Violence by siblings</w:t>
      </w:r>
      <w:bookmarkEnd w:id="284"/>
    </w:p>
    <w:p w14:paraId="35244C8C" w14:textId="77777777" w:rsidR="00A90ED5" w:rsidRDefault="00A90ED5" w:rsidP="00A90ED5">
      <w:pPr>
        <w:jc w:val="both"/>
      </w:pPr>
      <w:r>
        <w:t xml:space="preserve">A total of 138 contacts relating to family and domestic violence involved violence by siblings. This was </w:t>
      </w:r>
      <w:r w:rsidRPr="00245528">
        <w:t>14%</w:t>
      </w:r>
      <w:r>
        <w:t xml:space="preserve"> of all family and domestic violence contacts with the Kids Helpline. Approximately 32% were made by children in a single parent family, while 36% were from children living with both parents.</w:t>
      </w:r>
      <w:r>
        <w:rPr>
          <w:rStyle w:val="EndnoteReference"/>
        </w:rPr>
        <w:endnoteReference w:id="750"/>
      </w:r>
      <w:r>
        <w:t xml:space="preserve"> </w:t>
      </w:r>
    </w:p>
    <w:p w14:paraId="4C99696E" w14:textId="77777777" w:rsidR="00A90ED5" w:rsidRDefault="00A90ED5" w:rsidP="00A90ED5">
      <w:pPr>
        <w:jc w:val="both"/>
      </w:pPr>
      <w:r>
        <w:t>Examination of case notes by the Kids Helpline showed that approximately 14% of contacts about sibling violence also involved family and domestic violence between parents. Approximately 17% of these contacts indicated that they were also currently experiencing abuse by a parent.</w:t>
      </w:r>
      <w:r>
        <w:rPr>
          <w:rStyle w:val="EndnoteReference"/>
        </w:rPr>
        <w:endnoteReference w:id="751"/>
      </w:r>
      <w:r>
        <w:t xml:space="preserve"> No case notes mentioned previous abuse of the sibling perpetrator.</w:t>
      </w:r>
      <w:r>
        <w:rPr>
          <w:rStyle w:val="EndnoteReference"/>
        </w:rPr>
        <w:endnoteReference w:id="752"/>
      </w:r>
    </w:p>
    <w:p w14:paraId="346E813F" w14:textId="77777777" w:rsidR="00A90ED5" w:rsidRDefault="00A90ED5" w:rsidP="00A90ED5">
      <w:pPr>
        <w:jc w:val="both"/>
      </w:pPr>
      <w:r w:rsidRPr="007C72ED">
        <w:t xml:space="preserve">In approximately half </w:t>
      </w:r>
      <w:r>
        <w:t xml:space="preserve">of </w:t>
      </w:r>
      <w:r w:rsidRPr="007C72ED">
        <w:t>the contacts that included detailed case notes, children reported that their parent was aware of the violence, but was either unw</w:t>
      </w:r>
      <w:r>
        <w:t xml:space="preserve">illing or unable to prevent it. In some contacts, it was clear that </w:t>
      </w:r>
      <w:r w:rsidRPr="007C72ED">
        <w:t>parents had attempted to intervene, but were either scared themselves or ineffectual and took no further action</w:t>
      </w:r>
      <w:r>
        <w:t>. Some</w:t>
      </w:r>
      <w:r w:rsidRPr="007C72ED">
        <w:t xml:space="preserve"> parents actively ignored or downplayed the severity of the issue.</w:t>
      </w:r>
      <w:r>
        <w:rPr>
          <w:rStyle w:val="EndnoteReference"/>
        </w:rPr>
        <w:endnoteReference w:id="753"/>
      </w:r>
    </w:p>
    <w:p w14:paraId="0E611107" w14:textId="77777777" w:rsidR="00A90ED5" w:rsidRDefault="00A90ED5" w:rsidP="00A90ED5">
      <w:pPr>
        <w:jc w:val="both"/>
      </w:pPr>
      <w:r>
        <w:t>Data from the Kids Helpline indicated that c</w:t>
      </w:r>
      <w:r w:rsidRPr="00094781">
        <w:t>hildren were more likely to call about sibli</w:t>
      </w:r>
      <w:r>
        <w:t xml:space="preserve">ng violence towards themselves </w:t>
      </w:r>
      <w:r w:rsidRPr="00094781">
        <w:t xml:space="preserve">rather than </w:t>
      </w:r>
      <w:r>
        <w:t>about sibling violence towards a</w:t>
      </w:r>
      <w:r w:rsidRPr="00094781">
        <w:t xml:space="preserve"> parent</w:t>
      </w:r>
      <w:r>
        <w:t>.</w:t>
      </w:r>
      <w:r w:rsidRPr="00A338E3">
        <w:rPr>
          <w:rStyle w:val="EndnoteReference"/>
        </w:rPr>
        <w:t xml:space="preserve"> </w:t>
      </w:r>
      <w:r>
        <w:rPr>
          <w:rStyle w:val="EndnoteReference"/>
        </w:rPr>
        <w:endnoteReference w:id="754"/>
      </w:r>
      <w:r>
        <w:t xml:space="preserve"> </w:t>
      </w:r>
    </w:p>
    <w:p w14:paraId="3CD6E36E" w14:textId="77777777" w:rsidR="00A90ED5" w:rsidRDefault="00A90ED5" w:rsidP="00A90ED5">
      <w:pPr>
        <w:jc w:val="both"/>
      </w:pPr>
      <w:r>
        <w:t>E</w:t>
      </w:r>
      <w:r w:rsidRPr="00094781">
        <w:t xml:space="preserve">xamination of </w:t>
      </w:r>
      <w:r>
        <w:t xml:space="preserve">Kids Helpline </w:t>
      </w:r>
      <w:r w:rsidRPr="00094781">
        <w:t>case notes indicated that violence towards siblings and towards</w:t>
      </w:r>
      <w:r>
        <w:t xml:space="preserve"> parents often co-occurred. </w:t>
      </w:r>
      <w:r w:rsidRPr="00094781">
        <w:t>Contacts were typi</w:t>
      </w:r>
      <w:r>
        <w:t xml:space="preserve">cally about physical violence. </w:t>
      </w:r>
      <w:r w:rsidRPr="00094781">
        <w:t>The severity of the violence varied, but many children reported bruising, and a small number had</w:t>
      </w:r>
      <w:r>
        <w:t xml:space="preserve"> been threatened with weapons such as knives. In many cases, children reported fearing for their safety.</w:t>
      </w:r>
      <w:r>
        <w:rPr>
          <w:rStyle w:val="EndnoteReference"/>
        </w:rPr>
        <w:endnoteReference w:id="755"/>
      </w:r>
    </w:p>
    <w:p w14:paraId="1ADFBB0B" w14:textId="77777777" w:rsidR="00A90ED5" w:rsidRPr="00A90ED5" w:rsidRDefault="00A90ED5" w:rsidP="00A90ED5">
      <w:pPr>
        <w:rPr>
          <w:b/>
        </w:rPr>
      </w:pPr>
      <w:bookmarkStart w:id="285" w:name="_Toc432144083"/>
      <w:r w:rsidRPr="00A90ED5">
        <w:rPr>
          <w:b/>
        </w:rPr>
        <w:t>Co-existence of family and domestic violence and other concerns</w:t>
      </w:r>
      <w:bookmarkEnd w:id="285"/>
    </w:p>
    <w:p w14:paraId="141764CC" w14:textId="77777777" w:rsidR="00A90ED5" w:rsidRDefault="00A90ED5" w:rsidP="00A90ED5">
      <w:pPr>
        <w:jc w:val="both"/>
      </w:pPr>
      <w:r>
        <w:rPr>
          <w:szCs w:val="20"/>
        </w:rPr>
        <w:t>At the</w:t>
      </w:r>
      <w:r w:rsidRPr="00CB62C0">
        <w:rPr>
          <w:szCs w:val="20"/>
        </w:rPr>
        <w:t xml:space="preserve"> Kids Helpline </w:t>
      </w:r>
      <w:r w:rsidRPr="006F6C80">
        <w:t xml:space="preserve">counsellors </w:t>
      </w:r>
      <w:r>
        <w:t xml:space="preserve">are able </w:t>
      </w:r>
      <w:r w:rsidRPr="006F6C80">
        <w:t xml:space="preserve">to record up to four different </w:t>
      </w:r>
      <w:r>
        <w:t>concerns raised in each contact. This provides the opportunity</w:t>
      </w:r>
      <w:r w:rsidRPr="006F6C80">
        <w:t xml:space="preserve"> to investigate patterns of co-existence among concern types.</w:t>
      </w:r>
      <w:r>
        <w:rPr>
          <w:rStyle w:val="EndnoteReference"/>
        </w:rPr>
        <w:endnoteReference w:id="756"/>
      </w:r>
    </w:p>
    <w:p w14:paraId="6082AABE" w14:textId="77777777" w:rsidR="00A90ED5" w:rsidRPr="006F6C80" w:rsidRDefault="00A90ED5" w:rsidP="00A90ED5">
      <w:pPr>
        <w:jc w:val="both"/>
      </w:pPr>
      <w:r>
        <w:t>Of all contacts where family and domestic violence was raised as a concern (n</w:t>
      </w:r>
      <w:r w:rsidRPr="006F6C80">
        <w:t>=999):</w:t>
      </w:r>
    </w:p>
    <w:p w14:paraId="0FDD238D" w14:textId="77777777" w:rsidR="00A90ED5" w:rsidRPr="006F6C80" w:rsidRDefault="00A90ED5" w:rsidP="000D1D92">
      <w:pPr>
        <w:numPr>
          <w:ilvl w:val="0"/>
          <w:numId w:val="44"/>
        </w:numPr>
        <w:spacing w:before="0" w:after="0"/>
        <w:ind w:left="720"/>
        <w:jc w:val="both"/>
      </w:pPr>
      <w:r w:rsidRPr="006F6C80">
        <w:t>72 (7.2%) also involved current thoughts of suicide</w:t>
      </w:r>
    </w:p>
    <w:p w14:paraId="31A99A9C" w14:textId="77777777" w:rsidR="00A90ED5" w:rsidRPr="006F6C80" w:rsidRDefault="00A90ED5" w:rsidP="000D1D92">
      <w:pPr>
        <w:numPr>
          <w:ilvl w:val="0"/>
          <w:numId w:val="44"/>
        </w:numPr>
        <w:spacing w:before="0" w:after="0"/>
        <w:ind w:left="720"/>
        <w:jc w:val="both"/>
      </w:pPr>
      <w:r w:rsidRPr="006F6C80">
        <w:t>119 (11.9%) also involved self-injury</w:t>
      </w:r>
    </w:p>
    <w:p w14:paraId="529D29F6" w14:textId="77777777" w:rsidR="00A90ED5" w:rsidRDefault="00A90ED5" w:rsidP="000D1D92">
      <w:pPr>
        <w:numPr>
          <w:ilvl w:val="0"/>
          <w:numId w:val="44"/>
        </w:numPr>
        <w:spacing w:before="0" w:after="0"/>
        <w:ind w:left="720"/>
        <w:jc w:val="both"/>
      </w:pPr>
      <w:r w:rsidRPr="006F6C80">
        <w:t>166 (16.6%) were by a child assessed as having a mental health disorder by the counsellor.</w:t>
      </w:r>
      <w:r>
        <w:rPr>
          <w:rStyle w:val="EndnoteReference"/>
        </w:rPr>
        <w:endnoteReference w:id="757"/>
      </w:r>
    </w:p>
    <w:p w14:paraId="725FB3A8" w14:textId="77777777" w:rsidR="00A90ED5" w:rsidRPr="006F6C80" w:rsidRDefault="00A90ED5" w:rsidP="00A90ED5">
      <w:pPr>
        <w:jc w:val="both"/>
      </w:pPr>
      <w:r>
        <w:t>In</w:t>
      </w:r>
      <w:r w:rsidRPr="006F6C80">
        <w:t xml:space="preserve"> 245 (24.5%) of the contacts about DFV, the child contacting the Helpline also reported experiencing abuse themselves.  This included:</w:t>
      </w:r>
    </w:p>
    <w:p w14:paraId="5C7C2672" w14:textId="77777777" w:rsidR="00A90ED5" w:rsidRPr="006F6C80" w:rsidRDefault="00A90ED5" w:rsidP="000D1D92">
      <w:pPr>
        <w:numPr>
          <w:ilvl w:val="0"/>
          <w:numId w:val="45"/>
        </w:numPr>
        <w:spacing w:before="0" w:after="0"/>
        <w:ind w:left="720"/>
        <w:jc w:val="both"/>
      </w:pPr>
      <w:r w:rsidRPr="006F6C80">
        <w:t>168 (16.8%) contacts raising concerns about physical abuse</w:t>
      </w:r>
    </w:p>
    <w:p w14:paraId="21DBCB57" w14:textId="77777777" w:rsidR="00A90ED5" w:rsidRPr="006F6C80" w:rsidRDefault="00A90ED5" w:rsidP="000D1D92">
      <w:pPr>
        <w:numPr>
          <w:ilvl w:val="0"/>
          <w:numId w:val="45"/>
        </w:numPr>
        <w:spacing w:before="0" w:after="0"/>
        <w:ind w:left="720"/>
        <w:jc w:val="both"/>
      </w:pPr>
      <w:r w:rsidRPr="006F6C80">
        <w:t>93 (9.3%) contacts raising concerns about emotional abuse</w:t>
      </w:r>
    </w:p>
    <w:p w14:paraId="08149FFA" w14:textId="77777777" w:rsidR="00A90ED5" w:rsidRPr="006F6C80" w:rsidRDefault="00A90ED5" w:rsidP="000D1D92">
      <w:pPr>
        <w:numPr>
          <w:ilvl w:val="0"/>
          <w:numId w:val="45"/>
        </w:numPr>
        <w:spacing w:before="0" w:after="0"/>
        <w:ind w:left="720"/>
        <w:jc w:val="both"/>
      </w:pPr>
      <w:r w:rsidRPr="006F6C80">
        <w:t>22 (2.2%) contacts raising concerns about neglect</w:t>
      </w:r>
    </w:p>
    <w:p w14:paraId="1A49E55B" w14:textId="77777777" w:rsidR="00A90ED5" w:rsidRDefault="00A90ED5" w:rsidP="000D1D92">
      <w:pPr>
        <w:numPr>
          <w:ilvl w:val="0"/>
          <w:numId w:val="45"/>
        </w:numPr>
        <w:autoSpaceDE w:val="0"/>
        <w:autoSpaceDN w:val="0"/>
        <w:adjustRightInd w:val="0"/>
        <w:spacing w:before="0" w:after="0"/>
        <w:ind w:left="720"/>
        <w:jc w:val="both"/>
      </w:pPr>
      <w:r w:rsidRPr="006F6C80">
        <w:t>17 (1.7%) contacts raising concerns about sexual abuse (by a family member).</w:t>
      </w:r>
      <w:r>
        <w:rPr>
          <w:rStyle w:val="EndnoteReference"/>
        </w:rPr>
        <w:endnoteReference w:id="758"/>
      </w:r>
    </w:p>
    <w:p w14:paraId="3F309352" w14:textId="77777777" w:rsidR="00215705" w:rsidRDefault="00215705" w:rsidP="00CB666E"/>
    <w:sectPr w:rsidR="00215705" w:rsidSect="00F008D2">
      <w:endnotePr>
        <w:numFmt w:val="decimal"/>
        <w:numRestart w:val="eachSect"/>
      </w:endnotePr>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29EDE9" w14:textId="77777777" w:rsidR="00F008D2" w:rsidRDefault="00F008D2" w:rsidP="00F14C6D">
      <w:r>
        <w:separator/>
      </w:r>
    </w:p>
  </w:endnote>
  <w:endnote w:type="continuationSeparator" w:id="0">
    <w:p w14:paraId="5D36C995" w14:textId="77777777" w:rsidR="00F008D2" w:rsidRDefault="00F008D2" w:rsidP="00F14C6D">
      <w:r>
        <w:continuationSeparator/>
      </w:r>
    </w:p>
  </w:endnote>
  <w:endnote w:id="1">
    <w:p w14:paraId="710B5003" w14:textId="795C4BCA" w:rsidR="00F008D2" w:rsidRDefault="00F008D2">
      <w:pPr>
        <w:pStyle w:val="EndnoteText"/>
      </w:pPr>
      <w:r>
        <w:rPr>
          <w:rStyle w:val="EndnoteReference"/>
        </w:rPr>
        <w:endnoteRef/>
      </w:r>
      <w:r>
        <w:t xml:space="preserve"> </w:t>
      </w:r>
      <w:r w:rsidRPr="00C43E7F">
        <w:t>A</w:t>
      </w:r>
      <w:r>
        <w:t>ustralian Institute of Health and Welfare,</w:t>
      </w:r>
      <w:r w:rsidRPr="00C43E7F">
        <w:t xml:space="preserve"> </w:t>
      </w:r>
      <w:r w:rsidRPr="008254A6">
        <w:rPr>
          <w:i/>
        </w:rPr>
        <w:t>Australia’s Welfare 2015 – In brief</w:t>
      </w:r>
      <w:r>
        <w:t xml:space="preserve"> (2015) 12 &lt;</w:t>
      </w:r>
      <w:hyperlink r:id="rId1" w:history="1">
        <w:r w:rsidRPr="006C5E42">
          <w:rPr>
            <w:rStyle w:val="Hyperlink"/>
          </w:rPr>
          <w:t>http://www.aihw.gov.au/publication-detail/?id=60129552016</w:t>
        </w:r>
      </w:hyperlink>
      <w:r>
        <w:t xml:space="preserve">&gt;. </w:t>
      </w:r>
    </w:p>
  </w:endnote>
  <w:endnote w:id="2">
    <w:p w14:paraId="29071062" w14:textId="77777777" w:rsidR="00F008D2" w:rsidRDefault="00F008D2" w:rsidP="00E0649C">
      <w:pPr>
        <w:pStyle w:val="EndnoteText"/>
      </w:pPr>
      <w:r w:rsidRPr="00A311F7">
        <w:rPr>
          <w:vertAlign w:val="superscript"/>
        </w:rPr>
        <w:endnoteRef/>
      </w:r>
      <w:r>
        <w:rPr>
          <w:rFonts w:ascii="ArialUnicodeMS"/>
        </w:rPr>
        <w:t xml:space="preserve"> </w:t>
      </w:r>
      <w:r>
        <w:rPr>
          <w:i/>
          <w:iCs/>
        </w:rPr>
        <w:t>Convention on the Rights of the Child</w:t>
      </w:r>
      <w:r>
        <w:t>, opened for signature 20 November 1989,</w:t>
      </w:r>
      <w:r w:rsidRPr="00A311F7">
        <w:t xml:space="preserve"> 1577 UNTS 3</w:t>
      </w:r>
      <w:r>
        <w:t xml:space="preserve"> </w:t>
      </w:r>
      <w:r w:rsidRPr="000C7AD8">
        <w:t>(entered into force 2 September 1990)</w:t>
      </w:r>
      <w:r>
        <w:t xml:space="preserve"> Article 12.</w:t>
      </w:r>
    </w:p>
  </w:endnote>
  <w:endnote w:id="3">
    <w:p w14:paraId="0F0C3AE0" w14:textId="77777777" w:rsidR="00F008D2" w:rsidRDefault="00F008D2" w:rsidP="000A04FB">
      <w:pPr>
        <w:pStyle w:val="EndnoteText"/>
      </w:pPr>
      <w:r>
        <w:rPr>
          <w:rStyle w:val="EndnoteReference"/>
        </w:rPr>
        <w:endnoteRef/>
      </w:r>
      <w:r>
        <w:t xml:space="preserve"> </w:t>
      </w:r>
      <w:r>
        <w:rPr>
          <w:i/>
          <w:iCs/>
        </w:rPr>
        <w:t>Convention on the Rights of the Child</w:t>
      </w:r>
      <w:r>
        <w:t>, opened for signature 20 November 1989,</w:t>
      </w:r>
      <w:r w:rsidRPr="00A311F7">
        <w:t xml:space="preserve"> 1577 UNTS 3</w:t>
      </w:r>
      <w:r>
        <w:t xml:space="preserve"> </w:t>
      </w:r>
      <w:r w:rsidRPr="000C7AD8">
        <w:t>(entered into force 2 September 1990)</w:t>
      </w:r>
      <w:r>
        <w:t xml:space="preserve"> Article 12.</w:t>
      </w:r>
    </w:p>
  </w:endnote>
  <w:endnote w:id="4">
    <w:p w14:paraId="633B4A7C" w14:textId="77777777" w:rsidR="00F008D2" w:rsidRPr="00843F0E" w:rsidRDefault="00F008D2" w:rsidP="0093038B">
      <w:pPr>
        <w:pStyle w:val="EndnoteText"/>
        <w:rPr>
          <w:rStyle w:val="EndnoteReference"/>
        </w:rPr>
      </w:pPr>
      <w:r>
        <w:rPr>
          <w:rStyle w:val="EndnoteReference"/>
        </w:rPr>
        <w:endnoteRef/>
      </w:r>
      <w:r w:rsidRPr="00843F0E">
        <w:rPr>
          <w:rStyle w:val="EndnoteReference"/>
        </w:rPr>
        <w:t xml:space="preserve"> </w:t>
      </w:r>
      <w:r>
        <w:rPr>
          <w:i/>
          <w:iCs/>
        </w:rPr>
        <w:t>Convention on the Rights of the Child</w:t>
      </w:r>
      <w:r>
        <w:t>, opened for signature 20 November 1989,</w:t>
      </w:r>
      <w:r w:rsidRPr="00A311F7">
        <w:t xml:space="preserve"> 1577 UNTS 3</w:t>
      </w:r>
      <w:r>
        <w:t xml:space="preserve"> </w:t>
      </w:r>
      <w:r w:rsidRPr="000C7AD8">
        <w:t>(entered into force 2 September 1990)</w:t>
      </w:r>
      <w:r>
        <w:t xml:space="preserve"> Article 19.</w:t>
      </w:r>
    </w:p>
  </w:endnote>
  <w:endnote w:id="5">
    <w:p w14:paraId="03B13345" w14:textId="371A4FBA" w:rsidR="00F008D2" w:rsidRPr="007E6A6D" w:rsidRDefault="00F008D2" w:rsidP="00173F83">
      <w:pPr>
        <w:pStyle w:val="EndnoteText"/>
        <w:rPr>
          <w:rStyle w:val="EndnoteReference"/>
        </w:rPr>
      </w:pPr>
      <w:r>
        <w:rPr>
          <w:rStyle w:val="EndnoteReference"/>
        </w:rPr>
        <w:endnoteRef/>
      </w:r>
      <w:r w:rsidRPr="007E6A6D">
        <w:rPr>
          <w:rStyle w:val="EndnoteReference"/>
        </w:rPr>
        <w:t xml:space="preserve"> </w:t>
      </w:r>
      <w:r w:rsidRPr="007E6A6D">
        <w:t>Australia</w:t>
      </w:r>
      <w:r>
        <w:t xml:space="preserve">n Human Rights Commission, </w:t>
      </w:r>
      <w:r w:rsidRPr="0068767D">
        <w:rPr>
          <w:i/>
        </w:rPr>
        <w:t>Children’s Rights Report 2014</w:t>
      </w:r>
      <w:r>
        <w:t xml:space="preserve"> (2014) 61, 104–108, </w:t>
      </w:r>
      <w:r w:rsidRPr="007E6A6D">
        <w:t xml:space="preserve"> </w:t>
      </w:r>
      <w:r>
        <w:t>151 &lt;</w:t>
      </w:r>
      <w:hyperlink r:id="rId2" w:history="1">
        <w:r w:rsidRPr="001F4039">
          <w:rPr>
            <w:rStyle w:val="Hyperlink"/>
          </w:rPr>
          <w:t>https://www.humanrights.gov.au/our-work/childrens-rights/publications/childrens-rights-report-2014</w:t>
        </w:r>
      </w:hyperlink>
      <w:r>
        <w:t>&gt;.</w:t>
      </w:r>
    </w:p>
  </w:endnote>
  <w:endnote w:id="6">
    <w:p w14:paraId="74A57034" w14:textId="77777777" w:rsidR="00F008D2" w:rsidRPr="007E6A6D" w:rsidRDefault="00F008D2" w:rsidP="0093038B">
      <w:pPr>
        <w:pStyle w:val="EndnoteText"/>
        <w:rPr>
          <w:rStyle w:val="EndnoteReference"/>
        </w:rPr>
      </w:pPr>
      <w:r>
        <w:rPr>
          <w:rStyle w:val="EndnoteReference"/>
        </w:rPr>
        <w:endnoteRef/>
      </w:r>
      <w:r w:rsidRPr="007E6A6D">
        <w:rPr>
          <w:rStyle w:val="EndnoteReference"/>
        </w:rPr>
        <w:t xml:space="preserve"> </w:t>
      </w:r>
      <w:r w:rsidRPr="007E6A6D">
        <w:t>Australia</w:t>
      </w:r>
      <w:r>
        <w:t xml:space="preserve">n Human Rights Commission, </w:t>
      </w:r>
      <w:r w:rsidRPr="0068767D">
        <w:rPr>
          <w:i/>
        </w:rPr>
        <w:t>Children’s Rights Report 2014</w:t>
      </w:r>
      <w:r>
        <w:t xml:space="preserve"> (2014)</w:t>
      </w:r>
      <w:r w:rsidRPr="007E6A6D">
        <w:t xml:space="preserve"> </w:t>
      </w:r>
      <w:r>
        <w:t>151 &lt;</w:t>
      </w:r>
      <w:hyperlink r:id="rId3" w:history="1">
        <w:r w:rsidRPr="001F4039">
          <w:rPr>
            <w:rStyle w:val="Hyperlink"/>
          </w:rPr>
          <w:t>https://www.humanrights.gov.au/our-work/childrens-rights/publications/childrens-rights-report-2014</w:t>
        </w:r>
      </w:hyperlink>
      <w:r>
        <w:t>&gt;.</w:t>
      </w:r>
    </w:p>
  </w:endnote>
  <w:endnote w:id="7">
    <w:p w14:paraId="09CE7015" w14:textId="77777777" w:rsidR="00F008D2" w:rsidRDefault="00F008D2" w:rsidP="0093038B">
      <w:pPr>
        <w:pStyle w:val="EndnoteText"/>
      </w:pPr>
      <w:r>
        <w:rPr>
          <w:rStyle w:val="EndnoteReference"/>
        </w:rPr>
        <w:endnoteRef/>
      </w:r>
      <w:r>
        <w:t xml:space="preserve"> </w:t>
      </w:r>
      <w:r w:rsidRPr="007E6A6D">
        <w:t>Australia</w:t>
      </w:r>
      <w:r>
        <w:t xml:space="preserve">n Human Rights Commission, </w:t>
      </w:r>
      <w:r w:rsidRPr="0068767D">
        <w:rPr>
          <w:i/>
        </w:rPr>
        <w:t>Children’s Rights Report 2014</w:t>
      </w:r>
      <w:r>
        <w:t xml:space="preserve"> (2014)</w:t>
      </w:r>
      <w:r w:rsidRPr="007E6A6D">
        <w:t xml:space="preserve"> </w:t>
      </w:r>
      <w:r>
        <w:t>115, 151, 160 &lt;</w:t>
      </w:r>
      <w:hyperlink r:id="rId4" w:history="1">
        <w:r w:rsidRPr="001F4039">
          <w:rPr>
            <w:rStyle w:val="Hyperlink"/>
          </w:rPr>
          <w:t>https://www.humanrights.gov.au/our-work/childrens-rights/publications/childrens-rights-report-2014</w:t>
        </w:r>
      </w:hyperlink>
      <w:r>
        <w:t xml:space="preserve">&gt;. </w:t>
      </w:r>
    </w:p>
  </w:endnote>
  <w:endnote w:id="8">
    <w:p w14:paraId="4FAE8C67" w14:textId="77777777" w:rsidR="00F008D2" w:rsidRPr="00C347CE" w:rsidRDefault="00F008D2" w:rsidP="0093038B">
      <w:pPr>
        <w:pStyle w:val="EndnoteText"/>
        <w:rPr>
          <w:rStyle w:val="EndnoteReference"/>
        </w:rPr>
      </w:pPr>
      <w:r>
        <w:rPr>
          <w:rStyle w:val="EndnoteReference"/>
        </w:rPr>
        <w:endnoteRef/>
      </w:r>
      <w:r w:rsidRPr="00C347CE">
        <w:rPr>
          <w:rStyle w:val="EndnoteReference"/>
        </w:rPr>
        <w:t xml:space="preserve"> </w:t>
      </w:r>
      <w:r>
        <w:t xml:space="preserve"> Megan Mitchell and Mick Gooda, ‘Self-harm and help-seeking among Aboriginal and Torres Strait Children and Young People’ (2015) 8(</w:t>
      </w:r>
      <w:r w:rsidRPr="001B369E">
        <w:t>17</w:t>
      </w:r>
      <w:r>
        <w:t xml:space="preserve">) </w:t>
      </w:r>
      <w:r w:rsidRPr="00F15A72">
        <w:rPr>
          <w:i/>
        </w:rPr>
        <w:t>Indigenous Law Bulletin</w:t>
      </w:r>
      <w:r w:rsidRPr="009228A5">
        <w:t xml:space="preserve"> </w:t>
      </w:r>
      <w:r>
        <w:t>24.</w:t>
      </w:r>
    </w:p>
  </w:endnote>
  <w:endnote w:id="9">
    <w:p w14:paraId="764D1CC9" w14:textId="77777777" w:rsidR="00F008D2" w:rsidRDefault="00F008D2" w:rsidP="0093038B">
      <w:pPr>
        <w:pStyle w:val="EndnoteText"/>
      </w:pPr>
      <w:r>
        <w:rPr>
          <w:rStyle w:val="EndnoteReference"/>
        </w:rPr>
        <w:endnoteRef/>
      </w:r>
      <w:r>
        <w:t xml:space="preserve"> </w:t>
      </w:r>
      <w:r w:rsidRPr="008708A2">
        <w:t>National Mental Health Commission</w:t>
      </w:r>
      <w:r>
        <w:t>,</w:t>
      </w:r>
      <w:r w:rsidRPr="008708A2">
        <w:t xml:space="preserve"> </w:t>
      </w:r>
      <w:r w:rsidRPr="008708A2">
        <w:rPr>
          <w:i/>
        </w:rPr>
        <w:t xml:space="preserve">Report of the National Review of Mental Health Programmes and Services – </w:t>
      </w:r>
      <w:r>
        <w:rPr>
          <w:i/>
        </w:rPr>
        <w:t>Volume 1</w:t>
      </w:r>
      <w:r w:rsidRPr="008708A2">
        <w:t xml:space="preserve"> (201</w:t>
      </w:r>
      <w:r>
        <w:t>5</w:t>
      </w:r>
      <w:r w:rsidRPr="008708A2">
        <w:t>)</w:t>
      </w:r>
      <w:r>
        <w:t xml:space="preserve"> 35. </w:t>
      </w:r>
    </w:p>
  </w:endnote>
  <w:endnote w:id="10">
    <w:p w14:paraId="07565544" w14:textId="77777777" w:rsidR="00F008D2" w:rsidRDefault="00F008D2" w:rsidP="0093038B">
      <w:pPr>
        <w:pStyle w:val="EndnoteText"/>
      </w:pPr>
      <w:r>
        <w:rPr>
          <w:rStyle w:val="EndnoteReference"/>
        </w:rPr>
        <w:endnoteRef/>
      </w:r>
      <w:r>
        <w:t xml:space="preserve"> </w:t>
      </w:r>
      <w:r w:rsidRPr="008708A2">
        <w:t>National Mental Health Commission</w:t>
      </w:r>
      <w:r>
        <w:t>,</w:t>
      </w:r>
      <w:r w:rsidRPr="008708A2">
        <w:t xml:space="preserve"> </w:t>
      </w:r>
      <w:r w:rsidRPr="008708A2">
        <w:rPr>
          <w:i/>
        </w:rPr>
        <w:t xml:space="preserve">Report of the National Review of Mental Health Programmes and Services – </w:t>
      </w:r>
      <w:r>
        <w:rPr>
          <w:i/>
        </w:rPr>
        <w:t>Volume 1</w:t>
      </w:r>
      <w:r w:rsidRPr="008708A2">
        <w:t xml:space="preserve"> (201</w:t>
      </w:r>
      <w:r>
        <w:t>5</w:t>
      </w:r>
      <w:r w:rsidRPr="008708A2">
        <w:t>)</w:t>
      </w:r>
      <w:r>
        <w:t xml:space="preserve"> 68. </w:t>
      </w:r>
    </w:p>
  </w:endnote>
  <w:endnote w:id="11">
    <w:p w14:paraId="1611CA21" w14:textId="77777777" w:rsidR="00F008D2" w:rsidRDefault="00F008D2" w:rsidP="0093038B">
      <w:pPr>
        <w:pStyle w:val="EndnoteText"/>
      </w:pPr>
      <w:r>
        <w:rPr>
          <w:rStyle w:val="EndnoteReference"/>
        </w:rPr>
        <w:endnoteRef/>
      </w:r>
      <w:r>
        <w:t xml:space="preserve"> </w:t>
      </w:r>
      <w:r w:rsidRPr="008708A2">
        <w:t>National Mental Health Commission</w:t>
      </w:r>
      <w:r>
        <w:t>,</w:t>
      </w:r>
      <w:r w:rsidRPr="008708A2">
        <w:t xml:space="preserve"> </w:t>
      </w:r>
      <w:r w:rsidRPr="008708A2">
        <w:rPr>
          <w:i/>
        </w:rPr>
        <w:t xml:space="preserve">Report of the National Review of Mental Health Programmes and Services – </w:t>
      </w:r>
      <w:r>
        <w:rPr>
          <w:i/>
        </w:rPr>
        <w:t>Volume 1</w:t>
      </w:r>
      <w:r w:rsidRPr="008708A2">
        <w:t xml:space="preserve"> (201</w:t>
      </w:r>
      <w:r>
        <w:t>5</w:t>
      </w:r>
      <w:r w:rsidRPr="008708A2">
        <w:t>)</w:t>
      </w:r>
      <w:r>
        <w:t xml:space="preserve"> 112. </w:t>
      </w:r>
    </w:p>
  </w:endnote>
  <w:endnote w:id="12">
    <w:p w14:paraId="4383FED9" w14:textId="77777777" w:rsidR="00F008D2" w:rsidRDefault="00F008D2" w:rsidP="00247959">
      <w:pPr>
        <w:pStyle w:val="EndnoteText"/>
      </w:pPr>
      <w:r>
        <w:rPr>
          <w:rStyle w:val="EndnoteReference"/>
        </w:rPr>
        <w:endnoteRef/>
      </w:r>
      <w:r>
        <w:t xml:space="preserve"> </w:t>
      </w:r>
      <w:r w:rsidRPr="00C43E7F">
        <w:t>A</w:t>
      </w:r>
      <w:r>
        <w:t>ustralian Institute of Health and Welfare,</w:t>
      </w:r>
      <w:r w:rsidRPr="00C43E7F">
        <w:t xml:space="preserve"> </w:t>
      </w:r>
      <w:r w:rsidRPr="00176D56">
        <w:rPr>
          <w:i/>
        </w:rPr>
        <w:t>Child protection Australia 2013–14</w:t>
      </w:r>
      <w:r w:rsidRPr="00A873C0">
        <w:t xml:space="preserve"> </w:t>
      </w:r>
      <w:r>
        <w:t>(2015) 45 &lt;</w:t>
      </w:r>
      <w:hyperlink r:id="rId5" w:history="1">
        <w:r w:rsidRPr="001F4039">
          <w:rPr>
            <w:rStyle w:val="Hyperlink"/>
          </w:rPr>
          <w:t>http://www.aihw.gov.au/publication-detail/?id=60129550762</w:t>
        </w:r>
      </w:hyperlink>
      <w:r>
        <w:t xml:space="preserve">&gt;. </w:t>
      </w:r>
    </w:p>
  </w:endnote>
  <w:endnote w:id="13">
    <w:p w14:paraId="39D4A0C7" w14:textId="77777777" w:rsidR="00F008D2" w:rsidRDefault="00F008D2" w:rsidP="00247959">
      <w:pPr>
        <w:pStyle w:val="EndnoteText"/>
      </w:pPr>
      <w:r>
        <w:rPr>
          <w:rStyle w:val="EndnoteReference"/>
        </w:rPr>
        <w:endnoteRef/>
      </w:r>
      <w:r>
        <w:t xml:space="preserve"> </w:t>
      </w:r>
      <w:r w:rsidRPr="00C43E7F">
        <w:t>A</w:t>
      </w:r>
      <w:r>
        <w:t>ustralian Institute of Health and Welfare,</w:t>
      </w:r>
      <w:r w:rsidRPr="00C43E7F">
        <w:t xml:space="preserve"> </w:t>
      </w:r>
      <w:r w:rsidRPr="00176D56">
        <w:rPr>
          <w:i/>
        </w:rPr>
        <w:t>Child protection Australia 2013–14</w:t>
      </w:r>
      <w:r w:rsidRPr="00A873C0">
        <w:t xml:space="preserve"> </w:t>
      </w:r>
      <w:r>
        <w:t>(2015) 54 &lt;</w:t>
      </w:r>
      <w:hyperlink r:id="rId6" w:history="1">
        <w:r w:rsidRPr="001F4039">
          <w:rPr>
            <w:rStyle w:val="Hyperlink"/>
          </w:rPr>
          <w:t>http://www.aihw.gov.au/publication-detail/?id=60129550762</w:t>
        </w:r>
      </w:hyperlink>
      <w:r>
        <w:t xml:space="preserve">&gt;. </w:t>
      </w:r>
    </w:p>
  </w:endnote>
  <w:endnote w:id="14">
    <w:p w14:paraId="2D28B2E2" w14:textId="77777777" w:rsidR="00F008D2" w:rsidRDefault="00F008D2" w:rsidP="00247959">
      <w:pPr>
        <w:pStyle w:val="EndnoteText"/>
      </w:pPr>
      <w:r>
        <w:rPr>
          <w:rStyle w:val="EndnoteReference"/>
        </w:rPr>
        <w:endnoteRef/>
      </w:r>
      <w:r>
        <w:t xml:space="preserve"> </w:t>
      </w:r>
      <w:r w:rsidRPr="00A92394">
        <w:t xml:space="preserve">Australian Institute of Health and Welfare, </w:t>
      </w:r>
      <w:r w:rsidRPr="00A92394">
        <w:rPr>
          <w:i/>
        </w:rPr>
        <w:t>Child protection Australia 2013–14</w:t>
      </w:r>
      <w:r w:rsidRPr="00A92394">
        <w:t xml:space="preserve"> (2015) </w:t>
      </w:r>
      <w:r>
        <w:t>28</w:t>
      </w:r>
      <w:r w:rsidRPr="00A92394">
        <w:t xml:space="preserve"> &lt;</w:t>
      </w:r>
      <w:hyperlink r:id="rId7" w:history="1">
        <w:r w:rsidRPr="00A92394">
          <w:rPr>
            <w:rStyle w:val="Hyperlink"/>
          </w:rPr>
          <w:t>http://www.aihw.gov.au/publication-detail/?id=60129550762</w:t>
        </w:r>
      </w:hyperlink>
      <w:r w:rsidRPr="00A92394">
        <w:t>&gt;.</w:t>
      </w:r>
    </w:p>
  </w:endnote>
  <w:endnote w:id="15">
    <w:p w14:paraId="0D63519C" w14:textId="77777777" w:rsidR="00F008D2" w:rsidRDefault="00F008D2" w:rsidP="00247959">
      <w:pPr>
        <w:pStyle w:val="EndnoteText"/>
      </w:pPr>
      <w:r>
        <w:rPr>
          <w:rStyle w:val="EndnoteReference"/>
        </w:rPr>
        <w:endnoteRef/>
      </w:r>
      <w:r>
        <w:t xml:space="preserve"> </w:t>
      </w:r>
      <w:r w:rsidRPr="00CC0174">
        <w:t>Judy Cashmore and</w:t>
      </w:r>
      <w:r>
        <w:t xml:space="preserve"> </w:t>
      </w:r>
      <w:r w:rsidRPr="00CC0174">
        <w:t xml:space="preserve">Marina Paxman </w:t>
      </w:r>
      <w:r>
        <w:t>‘</w:t>
      </w:r>
      <w:r w:rsidRPr="00CC0174">
        <w:t>Predicting after-care outcomes: the importance of ‘felt’ security</w:t>
      </w:r>
      <w:r>
        <w:t xml:space="preserve">’ (2006) 11 (3) </w:t>
      </w:r>
      <w:r w:rsidRPr="00CC0174">
        <w:rPr>
          <w:i/>
        </w:rPr>
        <w:t>Child &amp; Family Social</w:t>
      </w:r>
      <w:r w:rsidRPr="00CC0174">
        <w:t xml:space="preserve"> Work</w:t>
      </w:r>
      <w:r>
        <w:t xml:space="preserve"> 232; Philip Mendes</w:t>
      </w:r>
      <w:r w:rsidRPr="00ED39CC">
        <w:t xml:space="preserve"> and</w:t>
      </w:r>
      <w:r>
        <w:t xml:space="preserve"> </w:t>
      </w:r>
      <w:r w:rsidRPr="00ED39CC">
        <w:t>Badal Moslehuddin</w:t>
      </w:r>
      <w:r>
        <w:t xml:space="preserve"> ‘</w:t>
      </w:r>
      <w:r w:rsidRPr="00ED39CC">
        <w:t>From dependence to interdependence: towards better outcomes for young people leaving state care</w:t>
      </w:r>
      <w:r>
        <w:t xml:space="preserve">’ (2006) 15 (2) </w:t>
      </w:r>
      <w:r w:rsidRPr="00ED39CC">
        <w:rPr>
          <w:i/>
        </w:rPr>
        <w:t>Child Abuse Review</w:t>
      </w:r>
      <w:r>
        <w:t xml:space="preserve"> 110.</w:t>
      </w:r>
    </w:p>
  </w:endnote>
  <w:endnote w:id="16">
    <w:p w14:paraId="363E886B" w14:textId="77777777" w:rsidR="00F008D2" w:rsidRDefault="00F008D2" w:rsidP="00247959">
      <w:pPr>
        <w:pStyle w:val="EndnoteText"/>
      </w:pPr>
      <w:r>
        <w:rPr>
          <w:rStyle w:val="EndnoteReference"/>
        </w:rPr>
        <w:endnoteRef/>
      </w:r>
      <w:r>
        <w:t xml:space="preserve"> </w:t>
      </w:r>
      <w:r w:rsidRPr="000C3E16">
        <w:t xml:space="preserve">Committee on the Rights of the Child, </w:t>
      </w:r>
      <w:r w:rsidRPr="000C3E16">
        <w:rPr>
          <w:i/>
        </w:rPr>
        <w:t>Concluding Observations of the Committee on the Rights of the Child: Australia</w:t>
      </w:r>
      <w:r w:rsidRPr="000C3E16">
        <w:t xml:space="preserve">, </w:t>
      </w:r>
      <w:r>
        <w:t>60</w:t>
      </w:r>
      <w:r w:rsidRPr="000C3E16">
        <w:rPr>
          <w:vertAlign w:val="superscript"/>
        </w:rPr>
        <w:t>th</w:t>
      </w:r>
      <w:r>
        <w:t xml:space="preserve"> sess, UN Doc </w:t>
      </w:r>
      <w:r w:rsidRPr="000C3E16">
        <w:t>CRC/C/AUS/CO/4</w:t>
      </w:r>
      <w:r>
        <w:t xml:space="preserve"> (28 August 2012) [51].</w:t>
      </w:r>
    </w:p>
  </w:endnote>
  <w:endnote w:id="17">
    <w:p w14:paraId="180433EF" w14:textId="77777777" w:rsidR="00F008D2" w:rsidRDefault="00F008D2" w:rsidP="00247959">
      <w:pPr>
        <w:pStyle w:val="EndnoteText"/>
      </w:pPr>
      <w:r>
        <w:rPr>
          <w:rStyle w:val="EndnoteReference"/>
        </w:rPr>
        <w:endnoteRef/>
      </w:r>
      <w:r>
        <w:t xml:space="preserve"> </w:t>
      </w:r>
      <w:r w:rsidRPr="000C3E16">
        <w:t xml:space="preserve">Committee on the Rights of the Child, </w:t>
      </w:r>
      <w:r w:rsidRPr="000C3E16">
        <w:rPr>
          <w:i/>
        </w:rPr>
        <w:t>Concluding Observations of the Committee on the Rights of the Child: Australia</w:t>
      </w:r>
      <w:r w:rsidRPr="000C3E16">
        <w:t xml:space="preserve">, </w:t>
      </w:r>
      <w:r>
        <w:t>60</w:t>
      </w:r>
      <w:r w:rsidRPr="000C3E16">
        <w:rPr>
          <w:vertAlign w:val="superscript"/>
        </w:rPr>
        <w:t>th</w:t>
      </w:r>
      <w:r>
        <w:t xml:space="preserve"> sess, UN Doc </w:t>
      </w:r>
      <w:r w:rsidRPr="000C3E16">
        <w:t>CRC/C/AUS/CO/4</w:t>
      </w:r>
      <w:r>
        <w:t xml:space="preserve"> (28 August 2012) [52].</w:t>
      </w:r>
    </w:p>
  </w:endnote>
  <w:endnote w:id="18">
    <w:p w14:paraId="7449211A" w14:textId="77777777" w:rsidR="00F008D2" w:rsidRDefault="00F008D2" w:rsidP="00247959">
      <w:pPr>
        <w:pStyle w:val="EndnoteText"/>
      </w:pPr>
      <w:r>
        <w:rPr>
          <w:rStyle w:val="EndnoteReference"/>
        </w:rPr>
        <w:endnoteRef/>
      </w:r>
      <w:r>
        <w:t xml:space="preserve"> </w:t>
      </w:r>
      <w:r w:rsidRPr="00FB514C">
        <w:t>Community Affairs References Committee</w:t>
      </w:r>
      <w:r>
        <w:t xml:space="preserve">, </w:t>
      </w:r>
      <w:r w:rsidRPr="00680739">
        <w:t>Parliament of Australia</w:t>
      </w:r>
      <w:r>
        <w:t xml:space="preserve">, </w:t>
      </w:r>
      <w:r w:rsidRPr="009D48E9">
        <w:rPr>
          <w:i/>
        </w:rPr>
        <w:t>Out of home care</w:t>
      </w:r>
      <w:r>
        <w:t xml:space="preserve"> (2015) &lt;</w:t>
      </w:r>
      <w:hyperlink r:id="rId8" w:history="1">
        <w:r w:rsidRPr="001F4039">
          <w:rPr>
            <w:rStyle w:val="Hyperlink"/>
          </w:rPr>
          <w:t>http://www.aph.gov.au/Parliamentary_Business/Committees/Senate/Community_Affairs/Out_of_home_care/Report</w:t>
        </w:r>
      </w:hyperlink>
      <w:r>
        <w:t>&gt;.</w:t>
      </w:r>
    </w:p>
  </w:endnote>
  <w:endnote w:id="19">
    <w:p w14:paraId="3487D503" w14:textId="77777777" w:rsidR="00F008D2" w:rsidRDefault="00F008D2" w:rsidP="00247959">
      <w:pPr>
        <w:pStyle w:val="EndnoteText"/>
      </w:pPr>
      <w:r>
        <w:rPr>
          <w:rStyle w:val="EndnoteReference"/>
        </w:rPr>
        <w:endnoteRef/>
      </w:r>
      <w:r>
        <w:t xml:space="preserve"> Productivity Commission, </w:t>
      </w:r>
      <w:r w:rsidRPr="009D48E9">
        <w:rPr>
          <w:i/>
        </w:rPr>
        <w:t>Report on Government Services 2015</w:t>
      </w:r>
      <w:r>
        <w:t xml:space="preserve"> (2015) 15.28</w:t>
      </w:r>
      <w:r w:rsidRPr="00176D56">
        <w:rPr>
          <w:i/>
        </w:rPr>
        <w:t>–</w:t>
      </w:r>
      <w:r>
        <w:t>15.30. &lt;</w:t>
      </w:r>
      <w:hyperlink r:id="rId9" w:history="1">
        <w:r w:rsidRPr="00FC4849">
          <w:rPr>
            <w:rStyle w:val="Hyperlink"/>
          </w:rPr>
          <w:t>http://www.pc.gov.au/research/recurring/report-on-government-services/2015/community-services/child-protection</w:t>
        </w:r>
      </w:hyperlink>
      <w:r>
        <w:t>&gt;.</w:t>
      </w:r>
    </w:p>
  </w:endnote>
  <w:endnote w:id="20">
    <w:p w14:paraId="5A03A396" w14:textId="77777777" w:rsidR="00F008D2" w:rsidRDefault="00F008D2" w:rsidP="00247959">
      <w:pPr>
        <w:pStyle w:val="EndnoteText"/>
      </w:pPr>
      <w:r>
        <w:rPr>
          <w:rStyle w:val="EndnoteReference"/>
        </w:rPr>
        <w:endnoteRef/>
      </w:r>
      <w:r>
        <w:t xml:space="preserve"> </w:t>
      </w:r>
      <w:r w:rsidRPr="00194E08">
        <w:t>Royal Commission into Institutional Responses to Child Sexual Abuse</w:t>
      </w:r>
      <w:r>
        <w:t xml:space="preserve">, </w:t>
      </w:r>
      <w:r w:rsidRPr="00F20C7F">
        <w:rPr>
          <w:i/>
        </w:rPr>
        <w:t>Working with Children Checks</w:t>
      </w:r>
      <w:r>
        <w:t xml:space="preserve"> (2015) &lt;</w:t>
      </w:r>
      <w:hyperlink r:id="rId10" w:history="1">
        <w:r w:rsidRPr="001F4039">
          <w:rPr>
            <w:rStyle w:val="Hyperlink"/>
          </w:rPr>
          <w:t>http://www.childabuseroyalcommission.gov.au/policy-and-research/working-with-children-checks.aspx</w:t>
        </w:r>
      </w:hyperlink>
      <w:r>
        <w:t>&gt;.</w:t>
      </w:r>
    </w:p>
  </w:endnote>
  <w:endnote w:id="21">
    <w:p w14:paraId="58A7A6FB" w14:textId="77777777" w:rsidR="00F008D2" w:rsidRDefault="00F008D2" w:rsidP="00247959">
      <w:pPr>
        <w:pStyle w:val="EndnoteText"/>
      </w:pPr>
      <w:r>
        <w:rPr>
          <w:rStyle w:val="EndnoteReference"/>
        </w:rPr>
        <w:endnoteRef/>
      </w:r>
      <w:r>
        <w:t xml:space="preserve"> </w:t>
      </w:r>
      <w:r>
        <w:rPr>
          <w:i/>
          <w:iCs/>
        </w:rPr>
        <w:t>Convention on the Rights of the Child</w:t>
      </w:r>
      <w:r>
        <w:t>, opened for signature 20 November 1989,</w:t>
      </w:r>
      <w:r w:rsidRPr="00A311F7">
        <w:t xml:space="preserve"> 1577 UNTS 3</w:t>
      </w:r>
      <w:r>
        <w:t xml:space="preserve"> </w:t>
      </w:r>
      <w:r w:rsidRPr="000C7AD8">
        <w:t>(entered into force 2 September 1990)</w:t>
      </w:r>
      <w:r>
        <w:t xml:space="preserve"> Article 8.</w:t>
      </w:r>
    </w:p>
  </w:endnote>
  <w:endnote w:id="22">
    <w:p w14:paraId="32BDBDD5" w14:textId="77777777" w:rsidR="00F008D2" w:rsidRDefault="00F008D2" w:rsidP="00247959">
      <w:pPr>
        <w:pStyle w:val="EndnoteText"/>
      </w:pPr>
      <w:r>
        <w:rPr>
          <w:rStyle w:val="EndnoteReference"/>
        </w:rPr>
        <w:endnoteRef/>
      </w:r>
      <w:r>
        <w:t xml:space="preserve"> </w:t>
      </w:r>
      <w:r w:rsidRPr="00562302">
        <w:t>Australian Human Rights Commission</w:t>
      </w:r>
      <w:r>
        <w:t xml:space="preserve">, </w:t>
      </w:r>
      <w:r w:rsidRPr="00F20C7F">
        <w:rPr>
          <w:i/>
        </w:rPr>
        <w:t>A model charter of rights for children and young people detained in youth justice facilities</w:t>
      </w:r>
      <w:r>
        <w:t>, (12 August 2014) &lt;</w:t>
      </w:r>
      <w:hyperlink r:id="rId11" w:history="1">
        <w:r w:rsidRPr="004F705B">
          <w:rPr>
            <w:rStyle w:val="Hyperlink"/>
          </w:rPr>
          <w:t>https://www.humanrights.gov.au/our-work/childrens-rights/projects/model-charter-rights-children-and-young-people-detained-youth</w:t>
        </w:r>
      </w:hyperlink>
      <w:r>
        <w:t>&gt;.</w:t>
      </w:r>
    </w:p>
  </w:endnote>
  <w:endnote w:id="23">
    <w:p w14:paraId="34285545" w14:textId="77777777" w:rsidR="00F008D2" w:rsidRPr="00C50189" w:rsidRDefault="00F008D2" w:rsidP="00442634">
      <w:pPr>
        <w:pStyle w:val="EndnoteText"/>
        <w:rPr>
          <w:rStyle w:val="EndnoteReference"/>
          <w:vertAlign w:val="baseline"/>
        </w:rPr>
      </w:pPr>
      <w:r w:rsidRPr="000C3E16">
        <w:rPr>
          <w:vertAlign w:val="superscript"/>
        </w:rPr>
        <w:endnoteRef/>
      </w:r>
      <w:r w:rsidRPr="000C3E16">
        <w:t xml:space="preserve"> Committee on the Rights of the Child, </w:t>
      </w:r>
      <w:r w:rsidRPr="000C3E16">
        <w:rPr>
          <w:i/>
        </w:rPr>
        <w:t>Concluding Observations of the Committee on the Rights of the Child: Australia</w:t>
      </w:r>
      <w:r w:rsidRPr="000C3E16">
        <w:t xml:space="preserve">, </w:t>
      </w:r>
      <w:r>
        <w:t>60</w:t>
      </w:r>
      <w:r w:rsidRPr="000C3E16">
        <w:rPr>
          <w:vertAlign w:val="superscript"/>
        </w:rPr>
        <w:t>th</w:t>
      </w:r>
      <w:r>
        <w:t xml:space="preserve"> sess, UN Doc </w:t>
      </w:r>
      <w:r w:rsidRPr="000C3E16">
        <w:t>CRC/C/AUS/CO/4</w:t>
      </w:r>
      <w:r>
        <w:t xml:space="preserve"> (28 August 2012) [</w:t>
      </w:r>
      <w:r w:rsidRPr="000C3E16">
        <w:t>29</w:t>
      </w:r>
      <w:r>
        <w:t>].</w:t>
      </w:r>
    </w:p>
  </w:endnote>
  <w:endnote w:id="24">
    <w:p w14:paraId="0A5BF716" w14:textId="77777777" w:rsidR="00F008D2" w:rsidRDefault="00F008D2" w:rsidP="00442634">
      <w:pPr>
        <w:pStyle w:val="EndnoteText"/>
      </w:pPr>
      <w:r>
        <w:rPr>
          <w:rStyle w:val="EndnoteReference"/>
        </w:rPr>
        <w:endnoteRef/>
      </w:r>
      <w:r>
        <w:t xml:space="preserve"> </w:t>
      </w:r>
      <w:r w:rsidRPr="00C43E7F">
        <w:t>A</w:t>
      </w:r>
      <w:r>
        <w:t>ustralian Institute of Health and Welfare,</w:t>
      </w:r>
      <w:r w:rsidRPr="00C43E7F">
        <w:t xml:space="preserve"> </w:t>
      </w:r>
      <w:r w:rsidRPr="00176D56">
        <w:rPr>
          <w:i/>
        </w:rPr>
        <w:t>Youth justice in Australia 2013–14</w:t>
      </w:r>
      <w:r>
        <w:t xml:space="preserve"> (2015) 18 &lt;</w:t>
      </w:r>
      <w:hyperlink r:id="rId12" w:history="1">
        <w:r w:rsidRPr="001F4039">
          <w:rPr>
            <w:rStyle w:val="Hyperlink"/>
          </w:rPr>
          <w:t>http://www.aihw.gov.au/publication-detail/?id=60129550638</w:t>
        </w:r>
      </w:hyperlink>
      <w:r>
        <w:t>&gt;</w:t>
      </w:r>
      <w:r w:rsidRPr="00C43E7F">
        <w:t>.</w:t>
      </w:r>
    </w:p>
  </w:endnote>
  <w:endnote w:id="25">
    <w:p w14:paraId="0522B141" w14:textId="77777777" w:rsidR="00F008D2" w:rsidRDefault="00F008D2" w:rsidP="00442634">
      <w:pPr>
        <w:pStyle w:val="EndnoteText"/>
      </w:pPr>
      <w:r>
        <w:rPr>
          <w:rStyle w:val="EndnoteReference"/>
        </w:rPr>
        <w:endnoteRef/>
      </w:r>
      <w:r>
        <w:t xml:space="preserve"> </w:t>
      </w:r>
      <w:r w:rsidRPr="00C43E7F">
        <w:t>A</w:t>
      </w:r>
      <w:r>
        <w:t>ustralian Institute of Health and Welfare,</w:t>
      </w:r>
      <w:r w:rsidRPr="00C43E7F">
        <w:t xml:space="preserve"> </w:t>
      </w:r>
      <w:r w:rsidRPr="00176D56">
        <w:rPr>
          <w:i/>
        </w:rPr>
        <w:t>Child protection Australia 2013–14</w:t>
      </w:r>
      <w:r w:rsidRPr="00A873C0">
        <w:t xml:space="preserve"> </w:t>
      </w:r>
      <w:r>
        <w:t>(2015) 50 &lt;</w:t>
      </w:r>
      <w:hyperlink r:id="rId13" w:history="1">
        <w:r w:rsidRPr="001F4039">
          <w:rPr>
            <w:rStyle w:val="Hyperlink"/>
          </w:rPr>
          <w:t>http://www.aihw.gov.au/publication-detail/?id=60129550762</w:t>
        </w:r>
      </w:hyperlink>
      <w:r>
        <w:t>&gt;.</w:t>
      </w:r>
    </w:p>
  </w:endnote>
  <w:endnote w:id="26">
    <w:p w14:paraId="1EF6CF2D" w14:textId="77777777" w:rsidR="00F008D2" w:rsidRDefault="00F008D2" w:rsidP="00442634">
      <w:pPr>
        <w:pStyle w:val="EndnoteText"/>
      </w:pPr>
      <w:r>
        <w:rPr>
          <w:rStyle w:val="EndnoteReference"/>
        </w:rPr>
        <w:endnoteRef/>
      </w:r>
      <w:r>
        <w:t xml:space="preserve"> </w:t>
      </w:r>
      <w:r w:rsidRPr="00562302">
        <w:t xml:space="preserve">Australian Human Rights Commission, Submission No 7 to Parliamentary Joint Committee on Intelligence and Security, </w:t>
      </w:r>
      <w:r w:rsidRPr="00562302">
        <w:rPr>
          <w:i/>
        </w:rPr>
        <w:t>Inquiry into the Counter-Terrorism Legislation Amendment (Foreign Fighters) Bill 2014</w:t>
      </w:r>
      <w:r>
        <w:t xml:space="preserve">, 2 October 2014 </w:t>
      </w:r>
      <w:r w:rsidRPr="00562302">
        <w:t>&lt;</w:t>
      </w:r>
      <w:hyperlink r:id="rId14" w:history="1">
        <w:r w:rsidRPr="00562302">
          <w:rPr>
            <w:rStyle w:val="Hyperlink"/>
          </w:rPr>
          <w:t>http://www.aph.gov.au/Parliamentary_Business/Committees/Joint/Intelligence_and_Security/Counter-Terrorism_Legislation_Amendment_Foreign_Fighters_Bill_2014/Submissions</w:t>
        </w:r>
      </w:hyperlink>
      <w:r w:rsidRPr="00562302">
        <w:t>&gt;.</w:t>
      </w:r>
    </w:p>
  </w:endnote>
  <w:endnote w:id="27">
    <w:p w14:paraId="7D76AC8A" w14:textId="77777777" w:rsidR="00F008D2" w:rsidRDefault="00F008D2" w:rsidP="00442634">
      <w:pPr>
        <w:pStyle w:val="EndnoteText"/>
      </w:pPr>
      <w:r>
        <w:rPr>
          <w:rStyle w:val="EndnoteReference"/>
        </w:rPr>
        <w:endnoteRef/>
      </w:r>
      <w:r>
        <w:t xml:space="preserve"> </w:t>
      </w:r>
      <w:r w:rsidRPr="00562302">
        <w:t xml:space="preserve">Australian Human Rights Commission, Submission No 10 to </w:t>
      </w:r>
      <w:r w:rsidRPr="00214E10">
        <w:t>Senate Legal and Constitutional Affairs</w:t>
      </w:r>
      <w:r>
        <w:t xml:space="preserve"> Legislation Committee</w:t>
      </w:r>
      <w:r w:rsidRPr="00562302">
        <w:t xml:space="preserve">, </w:t>
      </w:r>
      <w:r w:rsidRPr="00562302">
        <w:rPr>
          <w:i/>
        </w:rPr>
        <w:t xml:space="preserve">Inquiry into Guardian for Unaccompanied Children Bill 2014, </w:t>
      </w:r>
      <w:r w:rsidRPr="00562302">
        <w:t xml:space="preserve">23 October </w:t>
      </w:r>
      <w:r>
        <w:t xml:space="preserve">2014 </w:t>
      </w:r>
      <w:r w:rsidRPr="00562302">
        <w:t>&lt;</w:t>
      </w:r>
      <w:hyperlink r:id="rId15" w:history="1">
        <w:r w:rsidRPr="00562302">
          <w:rPr>
            <w:rStyle w:val="Hyperlink"/>
          </w:rPr>
          <w:t>http://www.aph.gov.au/Parliamentary_Business/Committees/Senate/Legal_and_Constitutional_Affairs/Guardian_for_children/Submissions</w:t>
        </w:r>
      </w:hyperlink>
      <w:r w:rsidRPr="00562302">
        <w:t>&gt;.</w:t>
      </w:r>
    </w:p>
  </w:endnote>
  <w:endnote w:id="28">
    <w:p w14:paraId="4CC61701" w14:textId="77777777" w:rsidR="00F008D2" w:rsidRDefault="00F008D2" w:rsidP="00442634">
      <w:pPr>
        <w:pStyle w:val="EndnoteText"/>
      </w:pPr>
      <w:r>
        <w:rPr>
          <w:rStyle w:val="EndnoteReference"/>
        </w:rPr>
        <w:endnoteRef/>
      </w:r>
      <w:r>
        <w:t xml:space="preserve"> </w:t>
      </w:r>
      <w:r w:rsidRPr="00562302">
        <w:t xml:space="preserve">Australian Human Rights Commission, Submission No 08 to </w:t>
      </w:r>
      <w:r w:rsidRPr="00214E10">
        <w:t>Senate Legal and Constitutional Affairs</w:t>
      </w:r>
      <w:r>
        <w:t xml:space="preserve"> Legislation Committee</w:t>
      </w:r>
      <w:r w:rsidRPr="00562302">
        <w:t xml:space="preserve">, </w:t>
      </w:r>
      <w:r w:rsidRPr="00562302">
        <w:rPr>
          <w:i/>
        </w:rPr>
        <w:t>Inquiry into the</w:t>
      </w:r>
      <w:r w:rsidRPr="00562302">
        <w:t xml:space="preserve"> </w:t>
      </w:r>
      <w:r w:rsidRPr="00562302">
        <w:rPr>
          <w:i/>
        </w:rPr>
        <w:t xml:space="preserve">Migration Amendment (Character and General Visa Cancellation) Bill 2014, </w:t>
      </w:r>
      <w:r w:rsidRPr="00562302">
        <w:t>28 Octobe</w:t>
      </w:r>
      <w:r>
        <w:t xml:space="preserve">r 2014 </w:t>
      </w:r>
      <w:r w:rsidRPr="00562302">
        <w:t>&lt;</w:t>
      </w:r>
      <w:hyperlink r:id="rId16" w:history="1">
        <w:r w:rsidRPr="00562302">
          <w:rPr>
            <w:rStyle w:val="Hyperlink"/>
          </w:rPr>
          <w:t>http://www.aph.gov.au/Parliamentary_Business/Committees/Senate/Legal_and_Constitutional_Affairs/Character_and_Visa_Cancellation_Bill_2014/Submissions</w:t>
        </w:r>
      </w:hyperlink>
      <w:r>
        <w:t>&gt;.</w:t>
      </w:r>
    </w:p>
  </w:endnote>
  <w:endnote w:id="29">
    <w:p w14:paraId="666D585A" w14:textId="77777777" w:rsidR="00F008D2" w:rsidRDefault="00F008D2" w:rsidP="00442634">
      <w:pPr>
        <w:pStyle w:val="EndnoteText"/>
      </w:pPr>
      <w:r>
        <w:rPr>
          <w:rStyle w:val="EndnoteReference"/>
        </w:rPr>
        <w:endnoteRef/>
      </w:r>
      <w:r>
        <w:t xml:space="preserve"> </w:t>
      </w:r>
      <w:r w:rsidRPr="00F515F3">
        <w:t xml:space="preserve">Australian Human Rights Commission, Submission No 163 to </w:t>
      </w:r>
      <w:r w:rsidRPr="00214E10">
        <w:t>Senate Legal and Constitutional Affairs</w:t>
      </w:r>
      <w:r>
        <w:t xml:space="preserve"> Legislation Committee</w:t>
      </w:r>
      <w:r w:rsidRPr="00F515F3">
        <w:t xml:space="preserve">, </w:t>
      </w:r>
      <w:r w:rsidRPr="00F515F3">
        <w:rPr>
          <w:i/>
        </w:rPr>
        <w:t>Inquiry into the</w:t>
      </w:r>
      <w:r w:rsidRPr="00F515F3">
        <w:t xml:space="preserve"> </w:t>
      </w:r>
      <w:r w:rsidRPr="00F515F3">
        <w:rPr>
          <w:i/>
        </w:rPr>
        <w:t>Migration and Maritime Powers Legislation Amendment (Resolving the Asylum Legacy Caseload) Bill 2014</w:t>
      </w:r>
      <w:r w:rsidRPr="00F515F3">
        <w:t>, 31 October 2014 &lt;</w:t>
      </w:r>
      <w:hyperlink r:id="rId17" w:history="1">
        <w:r w:rsidRPr="00F515F3">
          <w:rPr>
            <w:rStyle w:val="Hyperlink"/>
          </w:rPr>
          <w:t>http://www.aph.gov.au/Parliamentary_Business/Committees/Senate/Legal_and_Constitutional_Affairs/Asylum_Legacy_Caseload_Bill_2014/Submissions</w:t>
        </w:r>
      </w:hyperlink>
      <w:r>
        <w:t>&gt;.</w:t>
      </w:r>
    </w:p>
  </w:endnote>
  <w:endnote w:id="30">
    <w:p w14:paraId="0BE3707B" w14:textId="77777777" w:rsidR="00F008D2" w:rsidRDefault="00F008D2" w:rsidP="00442634">
      <w:pPr>
        <w:pStyle w:val="EndnoteText"/>
      </w:pPr>
      <w:r>
        <w:rPr>
          <w:rStyle w:val="EndnoteReference"/>
        </w:rPr>
        <w:endnoteRef/>
      </w:r>
      <w:r>
        <w:t xml:space="preserve"> </w:t>
      </w:r>
      <w:r w:rsidRPr="00F515F3">
        <w:t xml:space="preserve">Australian Human Rights Commission, Submission No 4 to </w:t>
      </w:r>
      <w:r>
        <w:t>Senate Legal and Constitutional Affairs Legislation Committee</w:t>
      </w:r>
      <w:r w:rsidRPr="00F515F3">
        <w:t xml:space="preserve">, </w:t>
      </w:r>
      <w:r w:rsidRPr="00F515F3">
        <w:rPr>
          <w:i/>
        </w:rPr>
        <w:t>Inquiry into the Australian Citizenship and Other Legislation Amendment Bill 2014</w:t>
      </w:r>
      <w:r w:rsidRPr="00F515F3">
        <w:t>, 6 November 2014</w:t>
      </w:r>
      <w:r>
        <w:t xml:space="preserve"> </w:t>
      </w:r>
      <w:r w:rsidRPr="00F515F3">
        <w:t>&lt;</w:t>
      </w:r>
      <w:hyperlink r:id="rId18" w:history="1">
        <w:r w:rsidRPr="00F515F3">
          <w:rPr>
            <w:rStyle w:val="Hyperlink"/>
          </w:rPr>
          <w:t>http://www.aph.gov.au/Parliamentary_Business/Committees/Senate/Legal_and_Constitutional_Affairs/Australian_Citizenship/Submissions</w:t>
        </w:r>
      </w:hyperlink>
      <w:r w:rsidRPr="00F515F3">
        <w:t>&gt;.</w:t>
      </w:r>
    </w:p>
  </w:endnote>
  <w:endnote w:id="31">
    <w:p w14:paraId="2F5ED4DC" w14:textId="77777777" w:rsidR="00F008D2" w:rsidRDefault="00F008D2" w:rsidP="00442634">
      <w:pPr>
        <w:pStyle w:val="EndnoteText"/>
      </w:pPr>
      <w:r>
        <w:rPr>
          <w:rStyle w:val="EndnoteReference"/>
        </w:rPr>
        <w:endnoteRef/>
      </w:r>
      <w:r>
        <w:t xml:space="preserve"> </w:t>
      </w:r>
      <w:r w:rsidRPr="00F515F3">
        <w:t>Australian Human Rights Commission, Submission No</w:t>
      </w:r>
      <w:r>
        <w:t xml:space="preserve"> 67 to Senate </w:t>
      </w:r>
      <w:r w:rsidRPr="00FB514C">
        <w:t>Community Affairs References Committee</w:t>
      </w:r>
      <w:r>
        <w:t xml:space="preserve">, </w:t>
      </w:r>
      <w:r w:rsidRPr="00AB133C">
        <w:rPr>
          <w:i/>
        </w:rPr>
        <w:t>Inquiry into the adequacy of existing residential care arrangements for young people with severe physical, mental or intellectual disabilities in Australia</w:t>
      </w:r>
      <w:r>
        <w:t>, 6 February 2015 &lt;</w:t>
      </w:r>
      <w:hyperlink r:id="rId19" w:history="1">
        <w:r w:rsidRPr="001F4039">
          <w:rPr>
            <w:rStyle w:val="Hyperlink"/>
          </w:rPr>
          <w:t>http://www.aph.gov.au/Parliamentary_Business/Committees/Senate/Community_Affairs/Young_people_in_aged_care/Submissions</w:t>
        </w:r>
      </w:hyperlink>
      <w:r>
        <w:t>&gt;</w:t>
      </w:r>
    </w:p>
  </w:endnote>
  <w:endnote w:id="32">
    <w:p w14:paraId="6418BBE9" w14:textId="77777777" w:rsidR="00F008D2" w:rsidRDefault="00F008D2" w:rsidP="00442634">
      <w:pPr>
        <w:pStyle w:val="EndnoteText"/>
      </w:pPr>
      <w:r>
        <w:rPr>
          <w:rStyle w:val="EndnoteReference"/>
        </w:rPr>
        <w:endnoteRef/>
      </w:r>
      <w:r>
        <w:t xml:space="preserve"> Australian Human Rights Commission, </w:t>
      </w:r>
      <w:r w:rsidRPr="00CA6A91">
        <w:rPr>
          <w:i/>
        </w:rPr>
        <w:t>Australia’s Second Universal Periodic Review: Submission by the Australian Human Rights Commission under the Universal Periodic Review Process</w:t>
      </w:r>
      <w:r>
        <w:t xml:space="preserve"> (2015) &lt;</w:t>
      </w:r>
      <w:hyperlink r:id="rId20" w:history="1">
        <w:r w:rsidRPr="00286F89">
          <w:rPr>
            <w:rStyle w:val="Hyperlink"/>
          </w:rPr>
          <w:t>https://www.humanrights.gov.au/submissions/australia-s-second-universal-periodic-review</w:t>
        </w:r>
      </w:hyperlink>
      <w:r>
        <w:rPr>
          <w:rStyle w:val="Hyperlink"/>
        </w:rPr>
        <w:t>&gt;</w:t>
      </w:r>
    </w:p>
  </w:endnote>
  <w:endnote w:id="33">
    <w:p w14:paraId="23EDB822" w14:textId="77777777" w:rsidR="00F008D2" w:rsidRDefault="00F008D2" w:rsidP="00442634">
      <w:pPr>
        <w:pStyle w:val="CommentText"/>
        <w:spacing w:before="0" w:after="0"/>
      </w:pPr>
      <w:r>
        <w:rPr>
          <w:rStyle w:val="EndnoteReference"/>
        </w:rPr>
        <w:endnoteRef/>
      </w:r>
      <w:r>
        <w:t xml:space="preserve"> </w:t>
      </w:r>
      <w:r w:rsidRPr="00D65E1F">
        <w:t>Australian Human Rights Commission,</w:t>
      </w:r>
      <w:r>
        <w:t xml:space="preserve"> Submission No 4 to Senate Legal and Constitutional Affairs Legislation Committee, </w:t>
      </w:r>
      <w:r w:rsidRPr="00343FC9">
        <w:rPr>
          <w:i/>
        </w:rPr>
        <w:t>Inquiry into Crimes Legislation Amendment (Powers, Offences and Other Measures) Bill 2015</w:t>
      </w:r>
      <w:r>
        <w:t>, 16 April 2015 &lt;</w:t>
      </w:r>
      <w:hyperlink r:id="rId21" w:history="1">
        <w:r w:rsidRPr="00D46964">
          <w:rPr>
            <w:rStyle w:val="Hyperlink"/>
          </w:rPr>
          <w:t>http://www.aph.gov.au/Parliamentary_Business/Committees/Senate/Legal_and_Constitutional_Affairs/Power_and_Offences_Bill/Submissions</w:t>
        </w:r>
      </w:hyperlink>
      <w:r>
        <w:t>&gt;.</w:t>
      </w:r>
    </w:p>
  </w:endnote>
  <w:endnote w:id="34">
    <w:p w14:paraId="71BDA5B3" w14:textId="77777777" w:rsidR="00F008D2" w:rsidRDefault="00F008D2" w:rsidP="00442634">
      <w:pPr>
        <w:pStyle w:val="EndnoteText"/>
      </w:pPr>
      <w:r>
        <w:rPr>
          <w:rStyle w:val="EndnoteReference"/>
        </w:rPr>
        <w:endnoteRef/>
      </w:r>
      <w:r>
        <w:t xml:space="preserve"> </w:t>
      </w:r>
      <w:r w:rsidRPr="00D65E1F">
        <w:t>Australian Human Rights Commission,</w:t>
      </w:r>
      <w:r>
        <w:t xml:space="preserve"> Submission No 5 to </w:t>
      </w:r>
      <w:r w:rsidRPr="00CA6A91">
        <w:t xml:space="preserve">Senate </w:t>
      </w:r>
      <w:r w:rsidRPr="00FB514C">
        <w:t>Finance and Public Administration References Committee</w:t>
      </w:r>
      <w:r>
        <w:t xml:space="preserve">, </w:t>
      </w:r>
      <w:r w:rsidRPr="00AB133C">
        <w:rPr>
          <w:i/>
        </w:rPr>
        <w:t xml:space="preserve">Inquiry into the </w:t>
      </w:r>
      <w:r w:rsidRPr="00CA6A91">
        <w:rPr>
          <w:i/>
        </w:rPr>
        <w:t>Aboriginal and Torres Strait Islander experience of law enforcement and justice services</w:t>
      </w:r>
      <w:r>
        <w:rPr>
          <w:i/>
        </w:rPr>
        <w:t xml:space="preserve">, </w:t>
      </w:r>
      <w:r>
        <w:t>27 April 2015 &lt;</w:t>
      </w:r>
      <w:hyperlink r:id="rId22" w:history="1">
        <w:r w:rsidRPr="00CA6A91">
          <w:rPr>
            <w:rStyle w:val="Hyperlink"/>
          </w:rPr>
          <w:t>http://www.aph.gov.au/Parliamentary_Business/Committees/Senate/Finance_and_Public_Administration/Legal_assistance_services/Submissions</w:t>
        </w:r>
      </w:hyperlink>
      <w:r>
        <w:t xml:space="preserve">&gt;. </w:t>
      </w:r>
    </w:p>
  </w:endnote>
  <w:endnote w:id="35">
    <w:p w14:paraId="4E35242C" w14:textId="77777777" w:rsidR="00F008D2" w:rsidRDefault="00F008D2" w:rsidP="009D1F82">
      <w:pPr>
        <w:pStyle w:val="EndnoteText"/>
      </w:pPr>
      <w:r>
        <w:rPr>
          <w:rStyle w:val="EndnoteReference"/>
        </w:rPr>
        <w:endnoteRef/>
      </w:r>
      <w:r>
        <w:t xml:space="preserve"> </w:t>
      </w:r>
      <w:r w:rsidRPr="008708A2">
        <w:t>National Mental Health Commission</w:t>
      </w:r>
      <w:r>
        <w:t>,</w:t>
      </w:r>
      <w:r w:rsidRPr="008708A2">
        <w:t xml:space="preserve"> </w:t>
      </w:r>
      <w:r w:rsidRPr="008708A2">
        <w:rPr>
          <w:i/>
        </w:rPr>
        <w:t xml:space="preserve">Report of the National Review of Mental Health Programmes and Services – </w:t>
      </w:r>
      <w:r>
        <w:rPr>
          <w:i/>
        </w:rPr>
        <w:t>Volume 1</w:t>
      </w:r>
      <w:r w:rsidRPr="008708A2">
        <w:t xml:space="preserve"> (201</w:t>
      </w:r>
      <w:r>
        <w:t>5</w:t>
      </w:r>
      <w:r w:rsidRPr="008708A2">
        <w:t>)</w:t>
      </w:r>
      <w:r>
        <w:t xml:space="preserve"> 45, 122.</w:t>
      </w:r>
    </w:p>
  </w:endnote>
  <w:endnote w:id="36">
    <w:p w14:paraId="67B97D21" w14:textId="77777777" w:rsidR="00F008D2" w:rsidRDefault="00F008D2" w:rsidP="009D1F82">
      <w:pPr>
        <w:pStyle w:val="EndnoteText"/>
      </w:pPr>
      <w:r>
        <w:rPr>
          <w:rStyle w:val="EndnoteReference"/>
        </w:rPr>
        <w:endnoteRef/>
      </w:r>
      <w:r>
        <w:t xml:space="preserve"> Suicide Prevention Australia, ‘Living hand to mouth is not saving lives: National Coalition for Suicide Prevention calls for Government to kick start research fund (Media Release, 10 September 2015) 1 &lt;</w:t>
      </w:r>
      <w:hyperlink r:id="rId23" w:history="1">
        <w:r w:rsidRPr="004F705B">
          <w:rPr>
            <w:rStyle w:val="Hyperlink"/>
          </w:rPr>
          <w:t>http://suicidepreventionaust.org/statement/national-research-action-plan-for-suicide-prevention/</w:t>
        </w:r>
      </w:hyperlink>
      <w:r>
        <w:t>&gt;.</w:t>
      </w:r>
    </w:p>
  </w:endnote>
  <w:endnote w:id="37">
    <w:p w14:paraId="2D129DA8" w14:textId="77777777" w:rsidR="00F008D2" w:rsidRDefault="00F008D2" w:rsidP="00E329FB">
      <w:pPr>
        <w:pStyle w:val="EndnoteText"/>
      </w:pPr>
      <w:r>
        <w:rPr>
          <w:rStyle w:val="EndnoteReference"/>
        </w:rPr>
        <w:endnoteRef/>
      </w:r>
      <w:r>
        <w:t xml:space="preserve"> </w:t>
      </w:r>
      <w:r w:rsidRPr="00A45DF8">
        <w:t>Australian Bureau of Statistics, ‘</w:t>
      </w:r>
      <w:r w:rsidRPr="006A2AF4">
        <w:t>Causes of Death, Australia, 2013</w:t>
      </w:r>
      <w:r w:rsidRPr="00A45DF8">
        <w:t>’, (</w:t>
      </w:r>
      <w:r>
        <w:t>3303.0</w:t>
      </w:r>
      <w:r w:rsidRPr="00A45DF8">
        <w:t xml:space="preserve">, 31 </w:t>
      </w:r>
      <w:r>
        <w:t>March</w:t>
      </w:r>
      <w:r w:rsidRPr="00A45DF8">
        <w:t xml:space="preserve"> 201</w:t>
      </w:r>
      <w:r>
        <w:t>5) &lt;</w:t>
      </w:r>
      <w:hyperlink r:id="rId24" w:history="1">
        <w:r w:rsidRPr="00C76F3E">
          <w:rPr>
            <w:rStyle w:val="Hyperlink"/>
          </w:rPr>
          <w:t>http://www.abs.gov.au/ausstats/abs@.nsf/mf/3303.0</w:t>
        </w:r>
      </w:hyperlink>
      <w:r>
        <w:t>&gt;.</w:t>
      </w:r>
    </w:p>
  </w:endnote>
  <w:endnote w:id="38">
    <w:p w14:paraId="3E36F499" w14:textId="77777777" w:rsidR="00F008D2" w:rsidRPr="00FA227E" w:rsidRDefault="00F008D2" w:rsidP="00E329FB">
      <w:pPr>
        <w:pStyle w:val="EndnoteText"/>
        <w:rPr>
          <w:vertAlign w:val="superscript"/>
        </w:rPr>
      </w:pPr>
      <w:r>
        <w:rPr>
          <w:rStyle w:val="EndnoteReference"/>
        </w:rPr>
        <w:endnoteRef/>
      </w:r>
      <w:r>
        <w:t xml:space="preserve"> </w:t>
      </w:r>
      <w:r w:rsidRPr="007E6A6D">
        <w:t>Australia</w:t>
      </w:r>
      <w:r>
        <w:t xml:space="preserve">n Human Rights Commission, </w:t>
      </w:r>
      <w:r w:rsidRPr="0068767D">
        <w:rPr>
          <w:i/>
        </w:rPr>
        <w:t>Children’s Rights Report 2014</w:t>
      </w:r>
      <w:r>
        <w:t xml:space="preserve"> (2014)</w:t>
      </w:r>
      <w:r w:rsidRPr="007E6A6D">
        <w:t xml:space="preserve"> </w:t>
      </w:r>
      <w:r>
        <w:t>62 &lt;</w:t>
      </w:r>
      <w:hyperlink r:id="rId25" w:history="1">
        <w:r w:rsidRPr="001F4039">
          <w:rPr>
            <w:rStyle w:val="Hyperlink"/>
          </w:rPr>
          <w:t>https://www.humanrights.gov.au/our-work/childrens-rights/publications/childrens-rights-report-2014</w:t>
        </w:r>
      </w:hyperlink>
      <w:r>
        <w:t>&gt;.</w:t>
      </w:r>
    </w:p>
  </w:endnote>
  <w:endnote w:id="39">
    <w:p w14:paraId="3294D062" w14:textId="77777777" w:rsidR="00F008D2" w:rsidRDefault="00F008D2" w:rsidP="00E329FB">
      <w:pPr>
        <w:pStyle w:val="EndnoteText"/>
      </w:pPr>
      <w:r>
        <w:rPr>
          <w:rStyle w:val="EndnoteReference"/>
        </w:rPr>
        <w:endnoteRef/>
      </w:r>
      <w:r>
        <w:t xml:space="preserve"> </w:t>
      </w:r>
      <w:r w:rsidRPr="00C43E7F">
        <w:t>A</w:t>
      </w:r>
      <w:r>
        <w:t xml:space="preserve">ustralian Institute of Health and Welfare, </w:t>
      </w:r>
      <w:r w:rsidRPr="00C469A6">
        <w:rPr>
          <w:i/>
        </w:rPr>
        <w:t>Trends in hospitalised injury, Australia: 1999–00 to 2012–13</w:t>
      </w:r>
      <w:r>
        <w:t xml:space="preserve"> (2015) &lt;</w:t>
      </w:r>
      <w:hyperlink r:id="rId26" w:history="1">
        <w:r w:rsidRPr="001F4039">
          <w:rPr>
            <w:rStyle w:val="Hyperlink"/>
          </w:rPr>
          <w:t>http://www.aihw.gov.au/publication-detail/?id=60129552564</w:t>
        </w:r>
      </w:hyperlink>
      <w:r>
        <w:t>&gt;.</w:t>
      </w:r>
    </w:p>
  </w:endnote>
  <w:endnote w:id="40">
    <w:p w14:paraId="7D294D6B" w14:textId="77777777" w:rsidR="00F008D2" w:rsidRDefault="00F008D2" w:rsidP="0000365A">
      <w:pPr>
        <w:pStyle w:val="EndnoteText"/>
      </w:pPr>
      <w:r>
        <w:rPr>
          <w:rStyle w:val="EndnoteReference"/>
        </w:rPr>
        <w:endnoteRef/>
      </w:r>
      <w:r>
        <w:t xml:space="preserve"> Australian Institute of Health and Wellbeing, </w:t>
      </w:r>
      <w:r w:rsidRPr="009B5268">
        <w:rPr>
          <w:i/>
        </w:rPr>
        <w:t xml:space="preserve">National Youth Information Framework (NYIF) </w:t>
      </w:r>
      <w:r>
        <w:t>(8 September 2015) &lt;</w:t>
      </w:r>
      <w:r w:rsidRPr="00CB4CEA">
        <w:t xml:space="preserve"> </w:t>
      </w:r>
      <w:hyperlink r:id="rId27" w:history="1">
        <w:r w:rsidRPr="004F705B">
          <w:rPr>
            <w:rStyle w:val="Hyperlink"/>
          </w:rPr>
          <w:t>http://www.aihw.gov.au/nyif/</w:t>
        </w:r>
      </w:hyperlink>
      <w:r>
        <w:t>&gt;.</w:t>
      </w:r>
    </w:p>
  </w:endnote>
  <w:endnote w:id="41">
    <w:p w14:paraId="30B46BEE" w14:textId="77777777" w:rsidR="00F008D2" w:rsidRDefault="00F008D2" w:rsidP="00442634">
      <w:pPr>
        <w:pStyle w:val="EndnoteText"/>
      </w:pPr>
      <w:r w:rsidRPr="00AF18C8">
        <w:rPr>
          <w:rStyle w:val="EndnoteReference"/>
        </w:rPr>
        <w:endnoteRef/>
      </w:r>
      <w:r w:rsidRPr="00AF18C8">
        <w:t xml:space="preserve"> </w:t>
      </w:r>
      <w:r w:rsidRPr="00AF18C8">
        <w:rPr>
          <w:i/>
        </w:rPr>
        <w:t>Bateman &amp; Kavan</w:t>
      </w:r>
      <w:r w:rsidRPr="00AF18C8">
        <w:t xml:space="preserve"> [2014] FCCA 2521.</w:t>
      </w:r>
    </w:p>
  </w:endnote>
  <w:endnote w:id="42">
    <w:p w14:paraId="149D5C1C" w14:textId="77777777" w:rsidR="00F008D2" w:rsidRPr="00AF18C8" w:rsidRDefault="00F008D2" w:rsidP="00442634">
      <w:pPr>
        <w:pStyle w:val="EndnoteText"/>
      </w:pPr>
      <w:r w:rsidRPr="00AF18C8">
        <w:rPr>
          <w:rStyle w:val="EndnoteReference"/>
        </w:rPr>
        <w:endnoteRef/>
      </w:r>
      <w:r w:rsidRPr="00AF18C8">
        <w:t xml:space="preserve"> </w:t>
      </w:r>
      <w:r w:rsidRPr="00AF18C8">
        <w:rPr>
          <w:i/>
          <w:iCs/>
        </w:rPr>
        <w:t xml:space="preserve">Human Rights (Parliamentary Scrutiny) Act 2011 </w:t>
      </w:r>
      <w:r w:rsidRPr="00AF18C8">
        <w:rPr>
          <w:iCs/>
        </w:rPr>
        <w:t>(Cth) s 8 (1)–(5).</w:t>
      </w:r>
    </w:p>
  </w:endnote>
  <w:endnote w:id="43">
    <w:p w14:paraId="73E35F0F" w14:textId="77777777" w:rsidR="00F008D2" w:rsidRDefault="00F008D2" w:rsidP="00442634">
      <w:pPr>
        <w:pStyle w:val="EndnoteText"/>
      </w:pPr>
      <w:r w:rsidRPr="00AF18C8">
        <w:rPr>
          <w:rStyle w:val="EndnoteReference"/>
        </w:rPr>
        <w:endnoteRef/>
      </w:r>
      <w:r w:rsidRPr="00AF18C8">
        <w:t xml:space="preserve"> </w:t>
      </w:r>
      <w:r w:rsidRPr="00AF18C8">
        <w:rPr>
          <w:i/>
          <w:iCs/>
        </w:rPr>
        <w:t xml:space="preserve">Human Rights (Parliamentary Scrutiny) Act 2011 </w:t>
      </w:r>
      <w:r w:rsidRPr="00AF18C8">
        <w:rPr>
          <w:iCs/>
        </w:rPr>
        <w:t>(Cth) s 3 (1)(a)–(g).</w:t>
      </w:r>
    </w:p>
  </w:endnote>
  <w:endnote w:id="44">
    <w:p w14:paraId="74C2A7D3"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sidRPr="00DD1C18">
        <w:rPr>
          <w:i/>
        </w:rPr>
        <w:t>Guidance Note 1 - Drafting Statements of Compatibility</w:t>
      </w:r>
      <w:r>
        <w:t xml:space="preserve"> (2014); </w:t>
      </w:r>
      <w:r w:rsidRPr="00DD1C18">
        <w:t>Parliamentary Joint Committee on Human Rights</w:t>
      </w:r>
      <w:r>
        <w:t xml:space="preserve">, Parliament of Australia, </w:t>
      </w:r>
      <w:r w:rsidRPr="00DD1C18">
        <w:rPr>
          <w:i/>
        </w:rPr>
        <w:t xml:space="preserve">Guidance Note </w:t>
      </w:r>
      <w:r>
        <w:rPr>
          <w:i/>
        </w:rPr>
        <w:t>2</w:t>
      </w:r>
      <w:r w:rsidRPr="00DD1C18">
        <w:rPr>
          <w:i/>
        </w:rPr>
        <w:t xml:space="preserve"> - </w:t>
      </w:r>
      <w:r w:rsidRPr="00673E06">
        <w:rPr>
          <w:i/>
        </w:rPr>
        <w:t xml:space="preserve"> Offence provisions, civil penalties and human rights </w:t>
      </w:r>
      <w:r>
        <w:t>(2014) &lt;</w:t>
      </w:r>
      <w:hyperlink r:id="rId28" w:history="1">
        <w:r w:rsidRPr="007B6B4B">
          <w:rPr>
            <w:rStyle w:val="Hyperlink"/>
          </w:rPr>
          <w:t>http://www.aph.gov.au/Parliamentary_Business/Committees/Joint/Human_Rights/Guidance_Notes_and_Resources</w:t>
        </w:r>
      </w:hyperlink>
      <w:r>
        <w:t xml:space="preserve">&gt;. </w:t>
      </w:r>
    </w:p>
  </w:endnote>
  <w:endnote w:id="45">
    <w:p w14:paraId="6AAD40B6"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sidRPr="00673E06">
        <w:rPr>
          <w:i/>
        </w:rPr>
        <w:t>Guide to Human Rights</w:t>
      </w:r>
      <w:r w:rsidRPr="00673E06">
        <w:t xml:space="preserve"> </w:t>
      </w:r>
      <w:r>
        <w:t>(2014) &lt;</w:t>
      </w:r>
      <w:hyperlink r:id="rId29" w:history="1">
        <w:r w:rsidRPr="007B6B4B">
          <w:rPr>
            <w:rStyle w:val="Hyperlink"/>
          </w:rPr>
          <w:t>http://www.aph.gov.au/Parliamentary_Business/Committees/Joint/Human_Rights/Guidance_Notes_and_Resources</w:t>
        </w:r>
      </w:hyperlink>
      <w:r>
        <w:t xml:space="preserve">&gt;. </w:t>
      </w:r>
    </w:p>
  </w:endnote>
  <w:endnote w:id="46">
    <w:p w14:paraId="13987816" w14:textId="77777777" w:rsidR="00F008D2" w:rsidRDefault="00F008D2" w:rsidP="00442634">
      <w:pPr>
        <w:pStyle w:val="EndnoteText"/>
      </w:pPr>
      <w:r>
        <w:rPr>
          <w:rStyle w:val="EndnoteReference"/>
        </w:rPr>
        <w:endnoteRef/>
      </w:r>
      <w:r>
        <w:t xml:space="preserve"> Parliament of Australia, </w:t>
      </w:r>
      <w:r w:rsidRPr="00367DC4">
        <w:rPr>
          <w:i/>
        </w:rPr>
        <w:t>Parliamentary Joint Committee on Human Rights</w:t>
      </w:r>
      <w:r>
        <w:t xml:space="preserve"> </w:t>
      </w:r>
      <w:r w:rsidRPr="008D0482">
        <w:rPr>
          <w:i/>
        </w:rPr>
        <w:t>Committee Membership</w:t>
      </w:r>
      <w:r>
        <w:t xml:space="preserve"> &lt;</w:t>
      </w:r>
      <w:hyperlink r:id="rId30" w:history="1">
        <w:r w:rsidRPr="00A85E92">
          <w:rPr>
            <w:rStyle w:val="Hyperlink"/>
          </w:rPr>
          <w:t>http://www.aph.gov.au/Parliamentary_Business/Committees/Joint/Human_Rights/Committee_Membership</w:t>
        </w:r>
      </w:hyperlink>
      <w:r>
        <w:t>&gt;.</w:t>
      </w:r>
    </w:p>
  </w:endnote>
  <w:endnote w:id="47">
    <w:p w14:paraId="5B43A208"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sidRPr="00DD1C18">
        <w:rPr>
          <w:i/>
        </w:rPr>
        <w:t>Guidance Note 1 - Drafting Statements of Compatibility</w:t>
      </w:r>
      <w:r>
        <w:t xml:space="preserve"> (2014) 3 &lt;</w:t>
      </w:r>
      <w:hyperlink r:id="rId31" w:history="1">
        <w:r w:rsidRPr="007B6B4B">
          <w:rPr>
            <w:rStyle w:val="Hyperlink"/>
          </w:rPr>
          <w:t>http://www.aph.gov.au/Parliamentary_Business/Committees/Joint/Human_Rights/Guidance_Notes_and_Resources</w:t>
        </w:r>
      </w:hyperlink>
      <w:r>
        <w:t>&gt;.</w:t>
      </w:r>
    </w:p>
  </w:endnote>
  <w:endnote w:id="48">
    <w:p w14:paraId="4CABF608"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sidRPr="00DD1C18">
        <w:rPr>
          <w:i/>
        </w:rPr>
        <w:t>Guidance Note 1 - Drafting Statements of Compatibility</w:t>
      </w:r>
      <w:r>
        <w:t xml:space="preserve"> (2014) 3 &lt;</w:t>
      </w:r>
      <w:hyperlink r:id="rId32" w:history="1">
        <w:r w:rsidRPr="007B6B4B">
          <w:rPr>
            <w:rStyle w:val="Hyperlink"/>
          </w:rPr>
          <w:t>http://www.aph.gov.au/Parliamentary_Business/Committees/Joint/Human_Rights/Guidance_Notes_and_Resources</w:t>
        </w:r>
      </w:hyperlink>
      <w:r>
        <w:t>&gt;.</w:t>
      </w:r>
    </w:p>
  </w:endnote>
  <w:endnote w:id="49">
    <w:p w14:paraId="7C0A64AC"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sidRPr="00DD1C18">
        <w:rPr>
          <w:i/>
        </w:rPr>
        <w:t>Guidance Note 1 - Drafting Statements of Compatibility</w:t>
      </w:r>
      <w:r>
        <w:t xml:space="preserve"> (2014) 4 &lt;</w:t>
      </w:r>
      <w:hyperlink r:id="rId33" w:history="1">
        <w:r w:rsidRPr="007B6B4B">
          <w:rPr>
            <w:rStyle w:val="Hyperlink"/>
          </w:rPr>
          <w:t>http://www.aph.gov.au/Parliamentary_Business/Committees/Joint/Human_Rights/Guidance_Notes_and_Resources</w:t>
        </w:r>
      </w:hyperlink>
      <w:r>
        <w:t>&gt;.</w:t>
      </w:r>
    </w:p>
  </w:endnote>
  <w:endnote w:id="50">
    <w:p w14:paraId="35C51D89"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sidRPr="00DD1C18">
        <w:rPr>
          <w:i/>
        </w:rPr>
        <w:t>Guidance Note 1 - Drafting Statements of Compatibility</w:t>
      </w:r>
      <w:r>
        <w:t xml:space="preserve"> (2014) 4 &lt;</w:t>
      </w:r>
      <w:hyperlink r:id="rId34" w:history="1">
        <w:r w:rsidRPr="007B6B4B">
          <w:rPr>
            <w:rStyle w:val="Hyperlink"/>
          </w:rPr>
          <w:t>http://www.aph.gov.au/Parliamentary_Business/Committees/Joint/Human_Rights/Guidance_Notes_and_Resources</w:t>
        </w:r>
      </w:hyperlink>
      <w:r>
        <w:t>&gt;.</w:t>
      </w:r>
    </w:p>
  </w:endnote>
  <w:endnote w:id="51">
    <w:p w14:paraId="660ADEC5" w14:textId="77777777" w:rsidR="00F008D2" w:rsidRDefault="00F008D2" w:rsidP="00442634">
      <w:pPr>
        <w:pStyle w:val="EndnoteText"/>
      </w:pPr>
      <w:r>
        <w:rPr>
          <w:rStyle w:val="EndnoteReference"/>
        </w:rPr>
        <w:endnoteRef/>
      </w:r>
      <w:r>
        <w:t xml:space="preserve"> Parliament of Australia, </w:t>
      </w:r>
      <w:r w:rsidRPr="00367DC4">
        <w:rPr>
          <w:i/>
        </w:rPr>
        <w:t xml:space="preserve">Parliamentary Joint Committee on Human Rights </w:t>
      </w:r>
      <w:r w:rsidRPr="008D0482">
        <w:rPr>
          <w:i/>
        </w:rPr>
        <w:t xml:space="preserve">Committee </w:t>
      </w:r>
      <w:r>
        <w:rPr>
          <w:i/>
        </w:rPr>
        <w:t>Reports</w:t>
      </w:r>
      <w:r>
        <w:t xml:space="preserve"> &lt;</w:t>
      </w:r>
      <w:hyperlink r:id="rId35" w:history="1">
        <w:r w:rsidRPr="00D46964">
          <w:rPr>
            <w:rStyle w:val="Hyperlink"/>
          </w:rPr>
          <w:t>http://www.aph.gov.au/Parliamentary_Business/Committees/Joint/Human_Rights/Completed_inquiries</w:t>
        </w:r>
      </w:hyperlink>
      <w:r>
        <w:t>&gt;.</w:t>
      </w:r>
    </w:p>
  </w:endnote>
  <w:endnote w:id="52">
    <w:p w14:paraId="4A1108C7" w14:textId="77777777" w:rsidR="00F008D2" w:rsidRDefault="00F008D2" w:rsidP="00442634">
      <w:pPr>
        <w:pStyle w:val="EndnoteText"/>
      </w:pPr>
      <w:r>
        <w:rPr>
          <w:rStyle w:val="EndnoteReference"/>
        </w:rPr>
        <w:endnoteRef/>
      </w:r>
      <w:r>
        <w:t xml:space="preserve"> Attorney-General’s Department, </w:t>
      </w:r>
      <w:r w:rsidRPr="00AE5098">
        <w:rPr>
          <w:i/>
        </w:rPr>
        <w:t>Tool for assessing human rights compatibility</w:t>
      </w:r>
      <w:r>
        <w:t xml:space="preserve"> &lt;</w:t>
      </w:r>
      <w:hyperlink r:id="rId36" w:history="1">
        <w:r w:rsidRPr="00A85E92">
          <w:rPr>
            <w:rStyle w:val="Hyperlink"/>
          </w:rPr>
          <w:t>https://www.ag.gov.au/RightsAndProtections/HumanRights/PublicSector/Pages/Toolforassessinghumanrightscompatibility.aspx</w:t>
        </w:r>
      </w:hyperlink>
      <w:r>
        <w:t>&gt;.</w:t>
      </w:r>
    </w:p>
  </w:endnote>
  <w:endnote w:id="53">
    <w:p w14:paraId="0A8A92A3"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sidRPr="00246A31">
        <w:rPr>
          <w:i/>
        </w:rPr>
        <w:t>Tenth Report of the 44th Parliament</w:t>
      </w:r>
      <w:r>
        <w:t xml:space="preserve"> (2014) 34.</w:t>
      </w:r>
    </w:p>
  </w:endnote>
  <w:endnote w:id="54">
    <w:p w14:paraId="0128309D"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sidRPr="00246A31">
        <w:rPr>
          <w:i/>
        </w:rPr>
        <w:t>Tenth Report of the 44th Parliament</w:t>
      </w:r>
      <w:r>
        <w:t xml:space="preserve"> (2014) 34.</w:t>
      </w:r>
    </w:p>
  </w:endnote>
  <w:endnote w:id="55">
    <w:p w14:paraId="7DDDAFC1"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sidRPr="00246A31">
        <w:rPr>
          <w:i/>
        </w:rPr>
        <w:t>Tenth Report of the 44th Parliament</w:t>
      </w:r>
      <w:r>
        <w:t xml:space="preserve"> (2014) 34.</w:t>
      </w:r>
    </w:p>
  </w:endnote>
  <w:endnote w:id="56">
    <w:p w14:paraId="3CAC6C36"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sidRPr="00246A31">
        <w:rPr>
          <w:i/>
        </w:rPr>
        <w:t>Tenth Report of the 44th Parliament</w:t>
      </w:r>
      <w:r>
        <w:t xml:space="preserve"> (2014) 34.</w:t>
      </w:r>
    </w:p>
  </w:endnote>
  <w:endnote w:id="57">
    <w:p w14:paraId="3DC0249D" w14:textId="77777777" w:rsidR="00F008D2" w:rsidRPr="0012484B" w:rsidRDefault="00F008D2" w:rsidP="00442634">
      <w:pPr>
        <w:pStyle w:val="EndnoteText"/>
      </w:pPr>
      <w:r w:rsidRPr="0012484B">
        <w:rPr>
          <w:rStyle w:val="EndnoteReference"/>
        </w:rPr>
        <w:endnoteRef/>
      </w:r>
      <w:r w:rsidRPr="0012484B">
        <w:t xml:space="preserve"> Parliament of Australia, </w:t>
      </w:r>
      <w:r>
        <w:rPr>
          <w:i/>
        </w:rPr>
        <w:t xml:space="preserve">Inquiry into </w:t>
      </w:r>
      <w:r w:rsidRPr="0012484B">
        <w:rPr>
          <w:i/>
        </w:rPr>
        <w:t xml:space="preserve">Guardian for Unaccompanied Children Bill </w:t>
      </w:r>
      <w:r w:rsidRPr="003463BC">
        <w:rPr>
          <w:i/>
        </w:rPr>
        <w:t xml:space="preserve">2014 </w:t>
      </w:r>
      <w:r w:rsidRPr="0012484B">
        <w:t>(2014) &lt;</w:t>
      </w:r>
      <w:hyperlink r:id="rId37" w:history="1">
        <w:r w:rsidRPr="0012484B">
          <w:rPr>
            <w:rStyle w:val="Hyperlink"/>
          </w:rPr>
          <w:t>http://www.aph.gov.au/Parliamentary_Business/Committees/Senate/Legal_and_Constitutional_Affairs/Guardian_for_children</w:t>
        </w:r>
      </w:hyperlink>
      <w:r w:rsidRPr="0012484B">
        <w:t>&gt;</w:t>
      </w:r>
      <w:r>
        <w:t>.</w:t>
      </w:r>
    </w:p>
  </w:endnote>
  <w:endnote w:id="58">
    <w:p w14:paraId="0F498271" w14:textId="77777777" w:rsidR="00F008D2" w:rsidRDefault="00F008D2" w:rsidP="00442634">
      <w:pPr>
        <w:pStyle w:val="EndnoteText"/>
      </w:pPr>
      <w:r w:rsidRPr="0012484B">
        <w:rPr>
          <w:rStyle w:val="EndnoteReference"/>
        </w:rPr>
        <w:endnoteRef/>
      </w:r>
      <w:r w:rsidRPr="0012484B">
        <w:t xml:space="preserve"> Australian Human Rights</w:t>
      </w:r>
      <w:r>
        <w:t xml:space="preserve"> Commission, Submission No 10 to </w:t>
      </w:r>
      <w:r w:rsidRPr="00214E10">
        <w:t>Senate Legal and Constitutional Affairs</w:t>
      </w:r>
      <w:r>
        <w:t xml:space="preserve"> Legislation Committee, </w:t>
      </w:r>
      <w:r w:rsidRPr="00CA2920">
        <w:rPr>
          <w:i/>
        </w:rPr>
        <w:t>Inquiry into Guardian for Unaccompanied Children Bill 2014</w:t>
      </w:r>
      <w:r w:rsidRPr="000E430C">
        <w:t>,</w:t>
      </w:r>
      <w:r w:rsidRPr="003463BC">
        <w:rPr>
          <w:i/>
        </w:rPr>
        <w:t xml:space="preserve"> </w:t>
      </w:r>
      <w:r w:rsidRPr="00214E10">
        <w:t xml:space="preserve">23 October </w:t>
      </w:r>
      <w:r w:rsidRPr="0012484B">
        <w:t>2014, 3 &lt;</w:t>
      </w:r>
      <w:hyperlink r:id="rId38" w:history="1">
        <w:r w:rsidRPr="0012484B">
          <w:rPr>
            <w:rStyle w:val="Hyperlink"/>
          </w:rPr>
          <w:t>http://www.aph.gov.au/Parliamentary_Business/Committees/Senate/Legal_and_Constitutional_Affairs/Guardian_for_children/Submissions</w:t>
        </w:r>
      </w:hyperlink>
      <w:r w:rsidRPr="0012484B">
        <w:t>&gt;.</w:t>
      </w:r>
    </w:p>
  </w:endnote>
  <w:endnote w:id="59">
    <w:p w14:paraId="121DCFA4" w14:textId="77777777" w:rsidR="00F008D2" w:rsidRDefault="00F008D2" w:rsidP="00442634">
      <w:pPr>
        <w:pStyle w:val="EndnoteText"/>
      </w:pPr>
      <w:r>
        <w:rPr>
          <w:rStyle w:val="EndnoteReference"/>
        </w:rPr>
        <w:endnoteRef/>
      </w:r>
      <w:r>
        <w:t xml:space="preserve"> Australian Human Rights Commission, </w:t>
      </w:r>
      <w:r w:rsidRPr="00BE6BD0">
        <w:rPr>
          <w:i/>
        </w:rPr>
        <w:t>Children’s Rights Report 2013</w:t>
      </w:r>
      <w:r>
        <w:t xml:space="preserve"> (2013) 32 &lt;</w:t>
      </w:r>
      <w:hyperlink r:id="rId39" w:history="1">
        <w:r w:rsidRPr="00D46964">
          <w:rPr>
            <w:rStyle w:val="Hyperlink"/>
          </w:rPr>
          <w:t>https://www.humanrights.gov.au/our-work/childrens-rights/publications/childrens-rights-report-2013</w:t>
        </w:r>
      </w:hyperlink>
      <w:r>
        <w:t>&gt;.</w:t>
      </w:r>
    </w:p>
  </w:endnote>
  <w:endnote w:id="60">
    <w:p w14:paraId="1CB38EF6" w14:textId="77777777" w:rsidR="00F008D2" w:rsidRDefault="00F008D2" w:rsidP="00442634">
      <w:pPr>
        <w:pStyle w:val="EndnoteText"/>
      </w:pPr>
      <w:r>
        <w:rPr>
          <w:rStyle w:val="EndnoteReference"/>
        </w:rPr>
        <w:endnoteRef/>
      </w:r>
      <w:r>
        <w:t xml:space="preserve"> Australian Human Rights Commission, </w:t>
      </w:r>
      <w:r w:rsidRPr="006D4724">
        <w:rPr>
          <w:i/>
        </w:rPr>
        <w:t>The Forgotten Children: National Inquiry into Children in Immigration Detention</w:t>
      </w:r>
      <w:r w:rsidRPr="00BE6BD0">
        <w:rPr>
          <w:i/>
        </w:rPr>
        <w:t xml:space="preserve"> </w:t>
      </w:r>
      <w:r>
        <w:t>(2014</w:t>
      </w:r>
      <w:r w:rsidRPr="006D4724">
        <w:t>) 38</w:t>
      </w:r>
      <w:r>
        <w:t xml:space="preserve"> &lt;</w:t>
      </w:r>
      <w:hyperlink r:id="rId40" w:history="1">
        <w:r w:rsidRPr="00D46964">
          <w:rPr>
            <w:rStyle w:val="Hyperlink"/>
          </w:rPr>
          <w:t>https://www.humanrights.gov.au/our-work/asylum-seekers-and-refugees/publications/forgotten-children-national-inquiry-children</w:t>
        </w:r>
      </w:hyperlink>
      <w:r>
        <w:t>&gt;</w:t>
      </w:r>
      <w:r w:rsidRPr="006D4724">
        <w:t>.</w:t>
      </w:r>
      <w:r>
        <w:t xml:space="preserve"> </w:t>
      </w:r>
    </w:p>
  </w:endnote>
  <w:endnote w:id="61">
    <w:p w14:paraId="2F8038AD" w14:textId="77777777" w:rsidR="00F008D2" w:rsidRDefault="00F008D2" w:rsidP="00442634">
      <w:pPr>
        <w:pStyle w:val="EndnoteText"/>
      </w:pPr>
      <w:r>
        <w:rPr>
          <w:rStyle w:val="EndnoteReference"/>
        </w:rPr>
        <w:endnoteRef/>
      </w:r>
      <w:r>
        <w:t xml:space="preserve"> </w:t>
      </w:r>
      <w:r w:rsidRPr="00FA6165">
        <w:t>Senate Legal and Constitutional Affairs</w:t>
      </w:r>
      <w:r>
        <w:t xml:space="preserve"> Legislation Committee</w:t>
      </w:r>
      <w:r w:rsidRPr="00FA6165">
        <w:t xml:space="preserve">, </w:t>
      </w:r>
      <w:r>
        <w:t xml:space="preserve">Parliament of Australia, </w:t>
      </w:r>
      <w:r w:rsidRPr="00FA6165">
        <w:rPr>
          <w:i/>
        </w:rPr>
        <w:t>Guardian for Unaccompanied Children Bill 2014</w:t>
      </w:r>
      <w:r>
        <w:rPr>
          <w:i/>
        </w:rPr>
        <w:t xml:space="preserve"> </w:t>
      </w:r>
      <w:r w:rsidRPr="00FA6165">
        <w:t>(2014)</w:t>
      </w:r>
      <w:r>
        <w:t xml:space="preserve"> 17 </w:t>
      </w:r>
      <w:r w:rsidRPr="00E221F1">
        <w:t>&lt;</w:t>
      </w:r>
      <w:hyperlink r:id="rId41" w:history="1">
        <w:r w:rsidRPr="00E221F1">
          <w:rPr>
            <w:rStyle w:val="Hyperlink"/>
          </w:rPr>
          <w:t>http://www.aph.gov.au/Parliamentary_Business/Committees/Senate/Legal_and_Constitutional_Affairs/Guardian_for_children/Report</w:t>
        </w:r>
      </w:hyperlink>
      <w:r w:rsidRPr="00E221F1">
        <w:t>&gt;.</w:t>
      </w:r>
    </w:p>
  </w:endnote>
  <w:endnote w:id="62">
    <w:p w14:paraId="650B1F5C" w14:textId="77777777" w:rsidR="00F008D2" w:rsidRDefault="00F008D2" w:rsidP="00442634">
      <w:pPr>
        <w:pStyle w:val="EndnoteText"/>
      </w:pPr>
      <w:r>
        <w:rPr>
          <w:rStyle w:val="EndnoteReference"/>
        </w:rPr>
        <w:endnoteRef/>
      </w:r>
      <w:r>
        <w:t xml:space="preserve"> </w:t>
      </w:r>
      <w:r w:rsidRPr="00FA6165">
        <w:t>Senate Legal and Constitutional Affairs</w:t>
      </w:r>
      <w:r>
        <w:t xml:space="preserve"> Legislation Committee</w:t>
      </w:r>
      <w:r w:rsidRPr="00FA6165">
        <w:t xml:space="preserve">, </w:t>
      </w:r>
      <w:r>
        <w:t xml:space="preserve">Parliament of Australia, </w:t>
      </w:r>
      <w:r w:rsidRPr="00FA6165">
        <w:rPr>
          <w:i/>
        </w:rPr>
        <w:t xml:space="preserve">Guardian for Unaccompanied Children Bill </w:t>
      </w:r>
      <w:r w:rsidRPr="003463BC">
        <w:rPr>
          <w:i/>
        </w:rPr>
        <w:t>2014</w:t>
      </w:r>
      <w:r w:rsidRPr="003463BC">
        <w:t xml:space="preserve"> </w:t>
      </w:r>
      <w:r w:rsidRPr="00FA6165">
        <w:t>(2014)</w:t>
      </w:r>
      <w:r>
        <w:t xml:space="preserve"> 19 </w:t>
      </w:r>
      <w:r w:rsidRPr="00E221F1">
        <w:t>&lt;</w:t>
      </w:r>
      <w:hyperlink r:id="rId42" w:history="1">
        <w:r w:rsidRPr="00E221F1">
          <w:rPr>
            <w:rStyle w:val="Hyperlink"/>
          </w:rPr>
          <w:t>http://www.aph.gov.au/Parliamentary_Business/Committees/Senate/Legal_and_Constitutional_Affairs/Guardian_for_children/Report</w:t>
        </w:r>
      </w:hyperlink>
      <w:r w:rsidRPr="00E221F1">
        <w:t>&gt;.</w:t>
      </w:r>
      <w:r>
        <w:t xml:space="preserve"> </w:t>
      </w:r>
    </w:p>
  </w:endnote>
  <w:endnote w:id="63">
    <w:p w14:paraId="76BEF671" w14:textId="77777777" w:rsidR="00F008D2" w:rsidRDefault="00F008D2" w:rsidP="00442634">
      <w:pPr>
        <w:pStyle w:val="EndnoteText"/>
      </w:pPr>
      <w:r>
        <w:rPr>
          <w:rStyle w:val="EndnoteReference"/>
        </w:rPr>
        <w:endnoteRef/>
      </w:r>
      <w:r>
        <w:t xml:space="preserve"> </w:t>
      </w:r>
      <w:r w:rsidRPr="00FA6165">
        <w:t>Senate Legal and Constitutional Affairs</w:t>
      </w:r>
      <w:r>
        <w:t xml:space="preserve"> Legislation Committee</w:t>
      </w:r>
      <w:r w:rsidRPr="00FA6165">
        <w:t xml:space="preserve">, </w:t>
      </w:r>
      <w:r>
        <w:t xml:space="preserve">Parliament of Australia, </w:t>
      </w:r>
      <w:r w:rsidRPr="00FA6165">
        <w:rPr>
          <w:i/>
        </w:rPr>
        <w:t>Guardian for Unaccompanied Children Bill 2014</w:t>
      </w:r>
      <w:r>
        <w:rPr>
          <w:i/>
        </w:rPr>
        <w:t xml:space="preserve"> </w:t>
      </w:r>
      <w:r w:rsidRPr="00FA6165">
        <w:t>(2014)</w:t>
      </w:r>
      <w:r>
        <w:t xml:space="preserve"> 22 </w:t>
      </w:r>
      <w:r w:rsidRPr="00E221F1">
        <w:t>&lt;</w:t>
      </w:r>
      <w:hyperlink r:id="rId43" w:history="1">
        <w:r w:rsidRPr="00E221F1">
          <w:rPr>
            <w:rStyle w:val="Hyperlink"/>
          </w:rPr>
          <w:t>http://www.aph.gov.au/Parliamentary_Business/Committees/Senate/Legal_and_Constitutional_Affairs/Guardian_for_children/Report</w:t>
        </w:r>
      </w:hyperlink>
      <w:r w:rsidRPr="00E221F1">
        <w:t>&gt;.</w:t>
      </w:r>
      <w:r>
        <w:t xml:space="preserve"> </w:t>
      </w:r>
    </w:p>
  </w:endnote>
  <w:endnote w:id="64">
    <w:p w14:paraId="17014E15" w14:textId="77777777" w:rsidR="00F008D2" w:rsidRDefault="00F008D2" w:rsidP="00442634">
      <w:pPr>
        <w:pStyle w:val="EndnoteText"/>
      </w:pPr>
      <w:r>
        <w:rPr>
          <w:rStyle w:val="EndnoteReference"/>
        </w:rPr>
        <w:endnoteRef/>
      </w:r>
      <w:r>
        <w:t xml:space="preserve"> Parliament of Australia, </w:t>
      </w:r>
      <w:r w:rsidRPr="0012484B">
        <w:rPr>
          <w:i/>
        </w:rPr>
        <w:t>Guardian for Unaccompanied Children Bill 2014</w:t>
      </w:r>
      <w:r>
        <w:rPr>
          <w:i/>
        </w:rPr>
        <w:t>: Bill</w:t>
      </w:r>
      <w:r w:rsidRPr="0012484B">
        <w:t xml:space="preserve"> </w:t>
      </w:r>
      <w:r>
        <w:rPr>
          <w:i/>
        </w:rPr>
        <w:t xml:space="preserve">Progress </w:t>
      </w:r>
      <w:r w:rsidRPr="0012484B">
        <w:t xml:space="preserve">(2014) </w:t>
      </w:r>
      <w:r w:rsidRPr="00E221F1">
        <w:t>&lt;</w:t>
      </w:r>
      <w:hyperlink r:id="rId44" w:history="1">
        <w:r w:rsidRPr="00E221F1">
          <w:rPr>
            <w:rStyle w:val="Hyperlink"/>
          </w:rPr>
          <w:t>http://www.aph.gov.au/Parliamentary_Business/Bills_LEGislation/Bills_Search_Results/Result?bId=s968</w:t>
        </w:r>
      </w:hyperlink>
      <w:r>
        <w:t>&gt;.</w:t>
      </w:r>
    </w:p>
  </w:endnote>
  <w:endnote w:id="65">
    <w:p w14:paraId="281D2704"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sidRPr="00906058">
        <w:rPr>
          <w:i/>
        </w:rPr>
        <w:t>Thir</w:t>
      </w:r>
      <w:r>
        <w:rPr>
          <w:i/>
        </w:rPr>
        <w:t>teenth</w:t>
      </w:r>
      <w:r w:rsidRPr="00246A31">
        <w:rPr>
          <w:i/>
        </w:rPr>
        <w:t xml:space="preserve"> Report of the 44th Parliament</w:t>
      </w:r>
      <w:r>
        <w:t xml:space="preserve"> (2014) 2.</w:t>
      </w:r>
    </w:p>
  </w:endnote>
  <w:endnote w:id="66">
    <w:p w14:paraId="016E7E74"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sidRPr="00906058">
        <w:rPr>
          <w:i/>
        </w:rPr>
        <w:t>Thir</w:t>
      </w:r>
      <w:r>
        <w:rPr>
          <w:i/>
        </w:rPr>
        <w:t>teenth</w:t>
      </w:r>
      <w:r w:rsidRPr="00246A31">
        <w:rPr>
          <w:i/>
        </w:rPr>
        <w:t xml:space="preserve"> Report of the 44th Parliament</w:t>
      </w:r>
      <w:r>
        <w:t xml:space="preserve"> (2014) 2 [1.4].</w:t>
      </w:r>
    </w:p>
  </w:endnote>
  <w:endnote w:id="67">
    <w:p w14:paraId="06F5CBE3"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sidRPr="00906058">
        <w:rPr>
          <w:i/>
        </w:rPr>
        <w:t>Thir</w:t>
      </w:r>
      <w:r>
        <w:rPr>
          <w:i/>
        </w:rPr>
        <w:t>teenth</w:t>
      </w:r>
      <w:r w:rsidRPr="00246A31">
        <w:rPr>
          <w:i/>
        </w:rPr>
        <w:t xml:space="preserve"> Report of the 44th Parliament</w:t>
      </w:r>
      <w:r>
        <w:t xml:space="preserve"> (2014) 2 [1.4].</w:t>
      </w:r>
    </w:p>
  </w:endnote>
  <w:endnote w:id="68">
    <w:p w14:paraId="1E9B693B"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sidRPr="00906058">
        <w:rPr>
          <w:i/>
        </w:rPr>
        <w:t>Thir</w:t>
      </w:r>
      <w:r>
        <w:rPr>
          <w:i/>
        </w:rPr>
        <w:t>teenth</w:t>
      </w:r>
      <w:r w:rsidRPr="00246A31">
        <w:rPr>
          <w:i/>
        </w:rPr>
        <w:t xml:space="preserve"> Report of the 44th Parliament</w:t>
      </w:r>
      <w:r>
        <w:t xml:space="preserve"> (2014) 2 [1.5].</w:t>
      </w:r>
    </w:p>
  </w:endnote>
  <w:endnote w:id="69">
    <w:p w14:paraId="4B20D064" w14:textId="77777777" w:rsidR="00F008D2" w:rsidRDefault="00F008D2" w:rsidP="00442634">
      <w:pPr>
        <w:pStyle w:val="EndnoteText"/>
      </w:pPr>
      <w:r>
        <w:rPr>
          <w:rStyle w:val="EndnoteReference"/>
        </w:rPr>
        <w:endnoteRef/>
      </w:r>
      <w:r>
        <w:t xml:space="preserve"> Parliament of Australia, </w:t>
      </w:r>
      <w:r w:rsidRPr="00821FF4">
        <w:rPr>
          <w:i/>
        </w:rPr>
        <w:t>Australian Education Amendment Bill</w:t>
      </w:r>
      <w:r>
        <w:rPr>
          <w:i/>
        </w:rPr>
        <w:t xml:space="preserve"> 2014</w:t>
      </w:r>
      <w:r w:rsidRPr="00821FF4">
        <w:rPr>
          <w:i/>
        </w:rPr>
        <w:t xml:space="preserve">: </w:t>
      </w:r>
      <w:r>
        <w:rPr>
          <w:i/>
        </w:rPr>
        <w:t>Bill</w:t>
      </w:r>
      <w:r w:rsidRPr="0012484B">
        <w:t xml:space="preserve"> </w:t>
      </w:r>
      <w:r>
        <w:rPr>
          <w:i/>
        </w:rPr>
        <w:t xml:space="preserve">Progress </w:t>
      </w:r>
      <w:r>
        <w:t>(</w:t>
      </w:r>
      <w:r w:rsidRPr="00821FF4">
        <w:t>2014</w:t>
      </w:r>
      <w:r>
        <w:t>) &lt;</w:t>
      </w:r>
      <w:hyperlink r:id="rId45" w:history="1">
        <w:r w:rsidRPr="00D46964">
          <w:rPr>
            <w:rStyle w:val="Hyperlink"/>
          </w:rPr>
          <w:t>http://www.aph.gov.au/Parliamentary_Business/Bills_Legislation/Bills_Search_Results/Result?bId=r5335</w:t>
        </w:r>
      </w:hyperlink>
      <w:r>
        <w:t>&gt;</w:t>
      </w:r>
    </w:p>
  </w:endnote>
  <w:endnote w:id="70">
    <w:p w14:paraId="44E76741"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Pr>
          <w:i/>
        </w:rPr>
        <w:t>Seventeenth</w:t>
      </w:r>
      <w:r w:rsidRPr="00246A31">
        <w:rPr>
          <w:i/>
        </w:rPr>
        <w:t xml:space="preserve"> Report of the 44th Parliament</w:t>
      </w:r>
      <w:r>
        <w:t xml:space="preserve"> (2014) 7.</w:t>
      </w:r>
    </w:p>
  </w:endnote>
  <w:endnote w:id="71">
    <w:p w14:paraId="7C70FF60"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Pr>
          <w:i/>
        </w:rPr>
        <w:t>Seventeenth</w:t>
      </w:r>
      <w:r w:rsidRPr="00246A31">
        <w:rPr>
          <w:i/>
        </w:rPr>
        <w:t xml:space="preserve"> Report of the 44th Parliament</w:t>
      </w:r>
      <w:r>
        <w:t xml:space="preserve"> (2014) 7.</w:t>
      </w:r>
    </w:p>
  </w:endnote>
  <w:endnote w:id="72">
    <w:p w14:paraId="1602131E"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Pr>
          <w:i/>
        </w:rPr>
        <w:t>Seventeenth</w:t>
      </w:r>
      <w:r w:rsidRPr="00246A31">
        <w:rPr>
          <w:i/>
        </w:rPr>
        <w:t xml:space="preserve"> Report of the 44th Parliament</w:t>
      </w:r>
      <w:r>
        <w:t xml:space="preserve"> (2014) 7 [1.19]–[1.20].</w:t>
      </w:r>
    </w:p>
  </w:endnote>
  <w:endnote w:id="73">
    <w:p w14:paraId="68A42882" w14:textId="77777777" w:rsidR="00F008D2" w:rsidRDefault="00F008D2" w:rsidP="00442634">
      <w:pPr>
        <w:pStyle w:val="EndnoteText"/>
      </w:pPr>
      <w:r>
        <w:rPr>
          <w:rStyle w:val="EndnoteReference"/>
        </w:rPr>
        <w:endnoteRef/>
      </w:r>
      <w:r>
        <w:t xml:space="preserve"> Parliament of Australia, </w:t>
      </w:r>
      <w:r w:rsidRPr="00821FF4">
        <w:rPr>
          <w:i/>
        </w:rPr>
        <w:t xml:space="preserve">Social Security and Other Legislation Amendment (Caring for Single Parents) Bill 2014: </w:t>
      </w:r>
      <w:r>
        <w:rPr>
          <w:i/>
        </w:rPr>
        <w:t>Bill</w:t>
      </w:r>
      <w:r w:rsidRPr="0012484B">
        <w:t xml:space="preserve"> </w:t>
      </w:r>
      <w:r>
        <w:rPr>
          <w:i/>
        </w:rPr>
        <w:t xml:space="preserve">Progress </w:t>
      </w:r>
      <w:r>
        <w:t>(2014) &lt;</w:t>
      </w:r>
      <w:hyperlink r:id="rId46" w:history="1">
        <w:r w:rsidRPr="00D46964">
          <w:rPr>
            <w:rStyle w:val="Hyperlink"/>
          </w:rPr>
          <w:t>http://www.aph.gov.au/Parliamentary_Business/Bills_Legislation/Bills_Search_Results/Result?bId=s979</w:t>
        </w:r>
      </w:hyperlink>
      <w:r>
        <w:t>&gt;.</w:t>
      </w:r>
    </w:p>
  </w:endnote>
  <w:endnote w:id="74">
    <w:p w14:paraId="7CB2EF6B" w14:textId="77777777" w:rsidR="00F008D2" w:rsidRPr="00AF18C8" w:rsidRDefault="00F008D2" w:rsidP="00442634">
      <w:pPr>
        <w:pStyle w:val="EndnoteText"/>
      </w:pPr>
      <w:r w:rsidRPr="00AF18C8">
        <w:rPr>
          <w:rStyle w:val="EndnoteReference"/>
        </w:rPr>
        <w:endnoteRef/>
      </w:r>
      <w:r w:rsidRPr="00AF18C8">
        <w:t xml:space="preserve"> </w:t>
      </w:r>
      <w:r w:rsidRPr="00AF18C8">
        <w:rPr>
          <w:rFonts w:cs="Helvetica 55 Roman"/>
          <w:color w:val="000000"/>
        </w:rPr>
        <w:t xml:space="preserve">The Liberal Party and The Nationals, </w:t>
      </w:r>
      <w:r w:rsidRPr="00AF18C8">
        <w:rPr>
          <w:rFonts w:cs="Helvetica 55 Roman"/>
          <w:i/>
          <w:color w:val="000000"/>
        </w:rPr>
        <w:t>The Coalition’s Policy to Enhance Online Safety for Children</w:t>
      </w:r>
      <w:r w:rsidRPr="00AF18C8">
        <w:rPr>
          <w:rFonts w:cs="Helvetica 55 Roman"/>
          <w:color w:val="000000"/>
        </w:rPr>
        <w:t xml:space="preserve"> (2013) &lt;</w:t>
      </w:r>
      <w:hyperlink r:id="rId47" w:history="1">
        <w:r w:rsidRPr="00AF18C8">
          <w:rPr>
            <w:rStyle w:val="Hyperlink"/>
            <w:rFonts w:cs="Helvetica 55 Roman"/>
          </w:rPr>
          <w:t>http://www.liberal.org.au/our-policies</w:t>
        </w:r>
      </w:hyperlink>
      <w:r w:rsidRPr="00AF18C8">
        <w:rPr>
          <w:rFonts w:cs="Helvetica 55 Roman"/>
          <w:color w:val="000000"/>
        </w:rPr>
        <w:t>&gt;.</w:t>
      </w:r>
    </w:p>
  </w:endnote>
  <w:endnote w:id="75">
    <w:p w14:paraId="7797E729" w14:textId="77777777" w:rsidR="00F008D2" w:rsidRDefault="00F008D2" w:rsidP="00442634">
      <w:pPr>
        <w:pStyle w:val="EndnoteText"/>
      </w:pPr>
      <w:r>
        <w:rPr>
          <w:rStyle w:val="EndnoteReference"/>
        </w:rPr>
        <w:endnoteRef/>
      </w:r>
      <w:r>
        <w:t xml:space="preserve"> Parliament of Australia, </w:t>
      </w:r>
      <w:r w:rsidRPr="00821FF4">
        <w:rPr>
          <w:i/>
        </w:rPr>
        <w:t>Enhancing Online Safety for Children Bill 2014</w:t>
      </w:r>
      <w:r>
        <w:rPr>
          <w:i/>
        </w:rPr>
        <w:t>: Bill</w:t>
      </w:r>
      <w:r w:rsidRPr="0012484B">
        <w:t xml:space="preserve"> </w:t>
      </w:r>
      <w:r>
        <w:rPr>
          <w:i/>
        </w:rPr>
        <w:t>Progress</w:t>
      </w:r>
      <w:r w:rsidRPr="00821FF4">
        <w:t xml:space="preserve"> </w:t>
      </w:r>
      <w:r>
        <w:t>(</w:t>
      </w:r>
      <w:r w:rsidRPr="00821FF4">
        <w:t>2014</w:t>
      </w:r>
      <w:r>
        <w:t>) &lt;</w:t>
      </w:r>
      <w:hyperlink r:id="rId48" w:history="1">
        <w:r w:rsidRPr="005D6EC4">
          <w:rPr>
            <w:rStyle w:val="Hyperlink"/>
          </w:rPr>
          <w:t>http://www.aph.gov.au/Parliamentary_Business/Bills_Legislation/Bills_Search_Results/Result?bId=r5387</w:t>
        </w:r>
      </w:hyperlink>
      <w:r>
        <w:t xml:space="preserve">&gt;; </w:t>
      </w:r>
      <w:r w:rsidRPr="00821FF4">
        <w:t>Parliament of Australia,</w:t>
      </w:r>
      <w:r w:rsidRPr="00821FF4">
        <w:rPr>
          <w:i/>
        </w:rPr>
        <w:t xml:space="preserve"> Enhancing Online Safety for Children (Consequential Amendments) Bill</w:t>
      </w:r>
      <w:r w:rsidRPr="00821FF4">
        <w:t xml:space="preserve"> </w:t>
      </w:r>
      <w:r w:rsidRPr="00821FF4">
        <w:rPr>
          <w:i/>
        </w:rPr>
        <w:t>2014</w:t>
      </w:r>
      <w:r>
        <w:rPr>
          <w:i/>
        </w:rPr>
        <w:t>: Bill</w:t>
      </w:r>
      <w:r w:rsidRPr="0012484B">
        <w:t xml:space="preserve"> </w:t>
      </w:r>
      <w:r>
        <w:rPr>
          <w:i/>
        </w:rPr>
        <w:t>Progress</w:t>
      </w:r>
      <w:r>
        <w:t xml:space="preserve"> (2014) &lt;</w:t>
      </w:r>
      <w:hyperlink r:id="rId49" w:history="1">
        <w:r w:rsidRPr="00D46964">
          <w:rPr>
            <w:rStyle w:val="Hyperlink"/>
          </w:rPr>
          <w:t>http://www.aph.gov.au/Parliamentary_Business/Bills_Legislation/Bills_Search_Results/Result?bId=r5388</w:t>
        </w:r>
      </w:hyperlink>
      <w:r>
        <w:t>&gt;.</w:t>
      </w:r>
    </w:p>
  </w:endnote>
  <w:endnote w:id="76">
    <w:p w14:paraId="198C0383" w14:textId="77777777" w:rsidR="00F008D2" w:rsidRPr="00AF18C8" w:rsidRDefault="00F008D2" w:rsidP="00442634">
      <w:pPr>
        <w:pStyle w:val="EndnoteText"/>
      </w:pPr>
      <w:r>
        <w:rPr>
          <w:rStyle w:val="EndnoteReference"/>
        </w:rPr>
        <w:endnoteRef/>
      </w:r>
      <w:r>
        <w:t xml:space="preserve"> Parliament of Australia, </w:t>
      </w:r>
      <w:r w:rsidRPr="00821FF4">
        <w:rPr>
          <w:i/>
        </w:rPr>
        <w:t>Enhancing Online Safety for Children Bill 2014</w:t>
      </w:r>
      <w:r>
        <w:rPr>
          <w:i/>
        </w:rPr>
        <w:t>: Bill</w:t>
      </w:r>
      <w:r w:rsidRPr="0012484B">
        <w:t xml:space="preserve"> </w:t>
      </w:r>
      <w:r>
        <w:rPr>
          <w:i/>
        </w:rPr>
        <w:t>Progress</w:t>
      </w:r>
      <w:r w:rsidRPr="00821FF4">
        <w:t xml:space="preserve"> </w:t>
      </w:r>
      <w:r>
        <w:t>(</w:t>
      </w:r>
      <w:r w:rsidRPr="00821FF4">
        <w:t>2014</w:t>
      </w:r>
      <w:r>
        <w:t>) &lt;</w:t>
      </w:r>
      <w:hyperlink r:id="rId50" w:history="1">
        <w:r w:rsidRPr="00AF18C8">
          <w:rPr>
            <w:rStyle w:val="Hyperlink"/>
          </w:rPr>
          <w:t>http://www.aph.gov.au/Parliamentary_Business/Bills_Legislation/Bills_Search_Results/Result?bId=r5387</w:t>
        </w:r>
      </w:hyperlink>
      <w:r w:rsidRPr="00AF18C8">
        <w:t>&gt;.</w:t>
      </w:r>
    </w:p>
  </w:endnote>
  <w:endnote w:id="77">
    <w:p w14:paraId="2B6F768F" w14:textId="77777777" w:rsidR="00F008D2" w:rsidRDefault="00F008D2" w:rsidP="00442634">
      <w:pPr>
        <w:pStyle w:val="EndnoteText"/>
      </w:pPr>
      <w:r w:rsidRPr="00AF18C8">
        <w:rPr>
          <w:rStyle w:val="EndnoteReference"/>
        </w:rPr>
        <w:endnoteRef/>
      </w:r>
      <w:r w:rsidRPr="00AF18C8">
        <w:t xml:space="preserve"> Explanatory Memorandum, Enhancing Online Safety for Children Bill 2014</w:t>
      </w:r>
      <w:r>
        <w:t xml:space="preserve"> (Cth)</w:t>
      </w:r>
      <w:r w:rsidRPr="00AF18C8">
        <w:t>; Enhancing Online Safety for Children (Consequential Amendments) Bill 2014 (Cth) 11 &lt;</w:t>
      </w:r>
      <w:hyperlink r:id="rId51" w:history="1">
        <w:r w:rsidRPr="00AF18C8">
          <w:rPr>
            <w:rStyle w:val="Hyperlink"/>
          </w:rPr>
          <w:t>http://parlinfo.aph.gov.au/parlInfo/search/display/display.w3p;query=Id%3A%22legislation%2Fems%2Fr5387_ems_d2990172-46c7-4b35-9eff-364175a7fbef%22</w:t>
        </w:r>
      </w:hyperlink>
      <w:r w:rsidRPr="00AF18C8">
        <w:t>&gt;.</w:t>
      </w:r>
    </w:p>
  </w:endnote>
  <w:endnote w:id="78">
    <w:p w14:paraId="6E2407BD" w14:textId="77777777" w:rsidR="00F008D2" w:rsidRDefault="00F008D2" w:rsidP="00442634">
      <w:pPr>
        <w:pStyle w:val="EndnoteText"/>
      </w:pPr>
      <w:r>
        <w:rPr>
          <w:rStyle w:val="EndnoteReference"/>
        </w:rPr>
        <w:endnoteRef/>
      </w:r>
      <w:r>
        <w:t xml:space="preserve"> Parliament of Australia, </w:t>
      </w:r>
      <w:r>
        <w:rPr>
          <w:i/>
        </w:rPr>
        <w:t xml:space="preserve">Inquiry into </w:t>
      </w:r>
      <w:r w:rsidRPr="00E849C0">
        <w:rPr>
          <w:i/>
        </w:rPr>
        <w:t>Enhancing Online Safety for Children Bill 2014 [Provisions] and the Enhanci</w:t>
      </w:r>
      <w:r>
        <w:rPr>
          <w:i/>
        </w:rPr>
        <w:t>ng Online Safety for Children (</w:t>
      </w:r>
      <w:r w:rsidRPr="00E849C0">
        <w:rPr>
          <w:i/>
        </w:rPr>
        <w:t>Consequential Amendments) Bill 2014 [Provisions]</w:t>
      </w:r>
      <w:r>
        <w:t xml:space="preserve"> (2014) &lt;</w:t>
      </w:r>
      <w:hyperlink r:id="rId52" w:history="1">
        <w:r w:rsidRPr="00D46964">
          <w:rPr>
            <w:rStyle w:val="Hyperlink"/>
          </w:rPr>
          <w:t>http://www.aph.gov.au/Parliamentary_Business/Committees/Senate/Environment_and_Communications/Online_safety</w:t>
        </w:r>
      </w:hyperlink>
      <w:r>
        <w:t>&gt;.</w:t>
      </w:r>
    </w:p>
  </w:endnote>
  <w:endnote w:id="79">
    <w:p w14:paraId="7749DBE9" w14:textId="77777777" w:rsidR="00F008D2" w:rsidRDefault="00F008D2" w:rsidP="00442634">
      <w:pPr>
        <w:pStyle w:val="EndnoteText"/>
      </w:pPr>
      <w:r>
        <w:rPr>
          <w:rStyle w:val="EndnoteReference"/>
        </w:rPr>
        <w:endnoteRef/>
      </w:r>
      <w:r>
        <w:t xml:space="preserve"> </w:t>
      </w:r>
      <w:r w:rsidRPr="00E849C0">
        <w:t>Senate Standing Committees on Environment and Communications</w:t>
      </w:r>
      <w:r>
        <w:t>,</w:t>
      </w:r>
      <w:r w:rsidRPr="00E849C0">
        <w:t xml:space="preserve"> </w:t>
      </w:r>
      <w:r>
        <w:t xml:space="preserve">Parliament of Australia, </w:t>
      </w:r>
      <w:r w:rsidRPr="00E849C0">
        <w:rPr>
          <w:i/>
        </w:rPr>
        <w:t>Enhancing Online Safety for Children Bill 2014 [Provisions], Enhanci</w:t>
      </w:r>
      <w:r>
        <w:rPr>
          <w:i/>
        </w:rPr>
        <w:t>ng Online Safety for Children (</w:t>
      </w:r>
      <w:r w:rsidRPr="00E849C0">
        <w:rPr>
          <w:i/>
        </w:rPr>
        <w:t>Consequential Amendments) Bill 2014 [Provisions]</w:t>
      </w:r>
      <w:r>
        <w:rPr>
          <w:i/>
        </w:rPr>
        <w:t xml:space="preserve"> </w:t>
      </w:r>
      <w:r>
        <w:t>(2015) 28 [2.70]-[2.71]</w:t>
      </w:r>
      <w:r w:rsidRPr="00C9746B">
        <w:t xml:space="preserve"> </w:t>
      </w:r>
      <w:r>
        <w:t>&lt;</w:t>
      </w:r>
      <w:hyperlink r:id="rId53" w:history="1">
        <w:r w:rsidRPr="00D46964">
          <w:rPr>
            <w:rStyle w:val="Hyperlink"/>
          </w:rPr>
          <w:t>http://www.aph.gov.au/Parliamentary_Business/Committees/Senate/Environment_and_Communications/Online_safety/Report</w:t>
        </w:r>
      </w:hyperlink>
      <w:r>
        <w:t>&gt;.</w:t>
      </w:r>
    </w:p>
  </w:endnote>
  <w:endnote w:id="80">
    <w:p w14:paraId="67867C64" w14:textId="77777777" w:rsidR="00F008D2" w:rsidRDefault="00F008D2" w:rsidP="00442634">
      <w:pPr>
        <w:pStyle w:val="EndnoteText"/>
      </w:pPr>
      <w:r>
        <w:rPr>
          <w:rStyle w:val="EndnoteReference"/>
        </w:rPr>
        <w:endnoteRef/>
      </w:r>
      <w:r>
        <w:t xml:space="preserve"> </w:t>
      </w:r>
      <w:r w:rsidRPr="00E849C0">
        <w:t xml:space="preserve">Parliamentary Joint Committee on Human Rights, Parliament of Australia, </w:t>
      </w:r>
      <w:r w:rsidRPr="000E430C">
        <w:rPr>
          <w:i/>
        </w:rPr>
        <w:t>Eighteenth Report of the 44th Parliament</w:t>
      </w:r>
      <w:r w:rsidRPr="00E849C0">
        <w:t xml:space="preserve"> (201</w:t>
      </w:r>
      <w:r>
        <w:t>5</w:t>
      </w:r>
      <w:r w:rsidRPr="00E849C0">
        <w:t xml:space="preserve">) </w:t>
      </w:r>
      <w:r>
        <w:t>1 [1.7].</w:t>
      </w:r>
    </w:p>
  </w:endnote>
  <w:endnote w:id="81">
    <w:p w14:paraId="2D5F072F" w14:textId="77777777" w:rsidR="00F008D2" w:rsidRDefault="00F008D2" w:rsidP="00442634">
      <w:pPr>
        <w:pStyle w:val="EndnoteText"/>
      </w:pPr>
      <w:r>
        <w:rPr>
          <w:rStyle w:val="EndnoteReference"/>
        </w:rPr>
        <w:endnoteRef/>
      </w:r>
      <w:r>
        <w:t xml:space="preserve"> Parliament of Australia, </w:t>
      </w:r>
      <w:r w:rsidRPr="00821FF4">
        <w:rPr>
          <w:i/>
        </w:rPr>
        <w:t>Enhancing Online Safety for Children Bill 2014</w:t>
      </w:r>
      <w:r>
        <w:rPr>
          <w:i/>
        </w:rPr>
        <w:t>: Bill</w:t>
      </w:r>
      <w:r w:rsidRPr="0012484B">
        <w:t xml:space="preserve"> </w:t>
      </w:r>
      <w:r>
        <w:rPr>
          <w:i/>
        </w:rPr>
        <w:t>Progress</w:t>
      </w:r>
      <w:r w:rsidRPr="00821FF4">
        <w:t xml:space="preserve"> </w:t>
      </w:r>
      <w:r>
        <w:t>(</w:t>
      </w:r>
      <w:r w:rsidRPr="00821FF4">
        <w:t>2014</w:t>
      </w:r>
      <w:r>
        <w:t>) &lt;</w:t>
      </w:r>
      <w:hyperlink r:id="rId54" w:history="1">
        <w:r w:rsidRPr="005D6EC4">
          <w:rPr>
            <w:rStyle w:val="Hyperlink"/>
          </w:rPr>
          <w:t>http://www.aph.gov.au/Parliamentary_Business/Bills_Legislation/Bills_Search_Results/Result?bId=r5387</w:t>
        </w:r>
      </w:hyperlink>
      <w:r>
        <w:t xml:space="preserve">&gt;; </w:t>
      </w:r>
      <w:r w:rsidRPr="00821FF4">
        <w:t>Parliament of Australia,</w:t>
      </w:r>
      <w:r w:rsidRPr="00821FF4">
        <w:rPr>
          <w:i/>
        </w:rPr>
        <w:t xml:space="preserve"> Enhancing Online Safety for Children (Consequential Amendments) Bill</w:t>
      </w:r>
      <w:r w:rsidRPr="00821FF4">
        <w:t xml:space="preserve"> </w:t>
      </w:r>
      <w:r w:rsidRPr="00821FF4">
        <w:rPr>
          <w:i/>
        </w:rPr>
        <w:t>2014</w:t>
      </w:r>
      <w:r>
        <w:rPr>
          <w:i/>
        </w:rPr>
        <w:t>: Bill</w:t>
      </w:r>
      <w:r w:rsidRPr="0012484B">
        <w:t xml:space="preserve"> </w:t>
      </w:r>
      <w:r>
        <w:rPr>
          <w:i/>
        </w:rPr>
        <w:t>Progress</w:t>
      </w:r>
      <w:r>
        <w:t xml:space="preserve"> (2014) &lt;</w:t>
      </w:r>
      <w:hyperlink r:id="rId55" w:history="1">
        <w:r w:rsidRPr="00D46964">
          <w:rPr>
            <w:rStyle w:val="Hyperlink"/>
          </w:rPr>
          <w:t>http://www.aph.gov.au/Parliamentary_Business/Bills_Legislation/Bills_Search_Results/Result?bId=r5388</w:t>
        </w:r>
      </w:hyperlink>
      <w:r>
        <w:t>&gt;.</w:t>
      </w:r>
    </w:p>
  </w:endnote>
  <w:endnote w:id="82">
    <w:p w14:paraId="31A35D68"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Pr>
          <w:i/>
        </w:rPr>
        <w:t>Twenty-fourth</w:t>
      </w:r>
      <w:r w:rsidRPr="00246A31">
        <w:rPr>
          <w:i/>
        </w:rPr>
        <w:t xml:space="preserve"> Report of the 44th Parliament</w:t>
      </w:r>
      <w:r>
        <w:t xml:space="preserve"> (2015) 74.</w:t>
      </w:r>
    </w:p>
  </w:endnote>
  <w:endnote w:id="83">
    <w:p w14:paraId="6343359F"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Pr>
          <w:i/>
        </w:rPr>
        <w:t>Twenty-second</w:t>
      </w:r>
      <w:r w:rsidRPr="00246A31">
        <w:rPr>
          <w:i/>
        </w:rPr>
        <w:t xml:space="preserve"> Report of the 44th Parliament</w:t>
      </w:r>
      <w:r>
        <w:t xml:space="preserve"> (2015) 35 [1.146].</w:t>
      </w:r>
    </w:p>
  </w:endnote>
  <w:endnote w:id="84">
    <w:p w14:paraId="246D029C" w14:textId="77777777" w:rsidR="00F008D2" w:rsidRDefault="00F008D2" w:rsidP="00442634">
      <w:pPr>
        <w:pStyle w:val="EndnoteText"/>
      </w:pPr>
      <w:r>
        <w:rPr>
          <w:rStyle w:val="EndnoteReference"/>
        </w:rPr>
        <w:endnoteRef/>
      </w:r>
      <w:r>
        <w:t xml:space="preserve"> Explanatory </w:t>
      </w:r>
      <w:r w:rsidRPr="00D65E1F">
        <w:t>Memorandum</w:t>
      </w:r>
      <w:r>
        <w:t xml:space="preserve">, </w:t>
      </w:r>
      <w:r w:rsidRPr="00D65E1F">
        <w:t>Crimes Legislation Amendment (Powers, Offences and Other Measures) Bill 2015 (Cth)</w:t>
      </w:r>
      <w:r>
        <w:t xml:space="preserve"> [88] &lt;</w:t>
      </w:r>
      <w:hyperlink r:id="rId56" w:history="1">
        <w:r w:rsidRPr="00D46964">
          <w:rPr>
            <w:rStyle w:val="Hyperlink"/>
          </w:rPr>
          <w:t>http://parlinfo.aph.gov.au/parlInfo/search/display/display.w3p;query=Id%3A%22legislation%2Fems%2Fr5430_ems_eb308543-0f14-43e8-aef5-ccdc42fa0d63%22</w:t>
        </w:r>
      </w:hyperlink>
      <w:r>
        <w:t>&gt;.</w:t>
      </w:r>
    </w:p>
  </w:endnote>
  <w:endnote w:id="85">
    <w:p w14:paraId="0509D917" w14:textId="77777777" w:rsidR="00F008D2" w:rsidRDefault="00F008D2" w:rsidP="00442634">
      <w:pPr>
        <w:pStyle w:val="EndnoteText"/>
      </w:pPr>
      <w:r>
        <w:rPr>
          <w:rStyle w:val="EndnoteReference"/>
        </w:rPr>
        <w:endnoteRef/>
      </w:r>
      <w:r>
        <w:t xml:space="preserve"> Parliament of Australia, </w:t>
      </w:r>
      <w:r>
        <w:rPr>
          <w:i/>
        </w:rPr>
        <w:t xml:space="preserve">Inquiry into </w:t>
      </w:r>
      <w:r w:rsidRPr="00D65E1F">
        <w:rPr>
          <w:i/>
        </w:rPr>
        <w:t xml:space="preserve">Crimes Legislation Amendment (Powers, Offences and Other Measures) Bill 2015 </w:t>
      </w:r>
      <w:r>
        <w:t>(2015) &lt;</w:t>
      </w:r>
      <w:hyperlink r:id="rId57" w:history="1">
        <w:r w:rsidRPr="00D46964">
          <w:rPr>
            <w:rStyle w:val="Hyperlink"/>
          </w:rPr>
          <w:t>http://www.aph.gov.au/Parliamentary_Business/Committees/Senate/Legal_and_Constitutional_Affairs/Power_and_Offences_Bill</w:t>
        </w:r>
      </w:hyperlink>
      <w:r>
        <w:t>&gt;.</w:t>
      </w:r>
    </w:p>
  </w:endnote>
  <w:endnote w:id="86">
    <w:p w14:paraId="65DA0698" w14:textId="77777777" w:rsidR="00F008D2" w:rsidRDefault="00F008D2" w:rsidP="00442634">
      <w:pPr>
        <w:pStyle w:val="EndnoteText"/>
      </w:pPr>
      <w:r>
        <w:rPr>
          <w:rStyle w:val="EndnoteReference"/>
        </w:rPr>
        <w:endnoteRef/>
      </w:r>
      <w:r>
        <w:t xml:space="preserve"> </w:t>
      </w:r>
      <w:r w:rsidRPr="00D65E1F">
        <w:t>Australian Human Rights Commission,</w:t>
      </w:r>
      <w:r>
        <w:t xml:space="preserve"> Submission No 4 to </w:t>
      </w:r>
      <w:r w:rsidRPr="00D65E1F">
        <w:t>Senate Legal and Constitutional Affairs</w:t>
      </w:r>
      <w:r>
        <w:t xml:space="preserve"> Legislation Committee, </w:t>
      </w:r>
      <w:r w:rsidRPr="00343FC9">
        <w:rPr>
          <w:i/>
        </w:rPr>
        <w:t>Inquiry into Crimes Legislation Amendment (Powers, Offences and Other Measures) Bill 2015</w:t>
      </w:r>
      <w:r>
        <w:t>, 16 April 2015, 6 [28] &lt;</w:t>
      </w:r>
      <w:hyperlink r:id="rId58" w:history="1">
        <w:r w:rsidRPr="00D46964">
          <w:rPr>
            <w:rStyle w:val="Hyperlink"/>
          </w:rPr>
          <w:t>http://www.aph.gov.au/Parliamentary_Business/Committees/Senate/Legal_and_Constitutional_Affairs/Power_and_Offences_Bill/Submissions</w:t>
        </w:r>
      </w:hyperlink>
      <w:r>
        <w:t>&gt;.</w:t>
      </w:r>
    </w:p>
  </w:endnote>
  <w:endnote w:id="87">
    <w:p w14:paraId="783BDABE" w14:textId="77777777" w:rsidR="00F008D2" w:rsidRPr="00FE641E" w:rsidRDefault="00F008D2" w:rsidP="00442634">
      <w:pPr>
        <w:pStyle w:val="EndnoteText"/>
      </w:pPr>
      <w:r>
        <w:rPr>
          <w:rStyle w:val="EndnoteReference"/>
        </w:rPr>
        <w:endnoteRef/>
      </w:r>
      <w:r>
        <w:t xml:space="preserve"> </w:t>
      </w:r>
      <w:r w:rsidRPr="00343FC9">
        <w:t>Senate Standing Committees on Legal and Constitutional Affairs</w:t>
      </w:r>
      <w:r>
        <w:t xml:space="preserve">, Parliament of Australia, </w:t>
      </w:r>
      <w:r w:rsidRPr="0063283C">
        <w:rPr>
          <w:i/>
        </w:rPr>
        <w:t>Crimes Legislation Amendment (Powers, Offences and Other Measures) Bill 2015 [Provisions]</w:t>
      </w:r>
      <w:r>
        <w:rPr>
          <w:i/>
        </w:rPr>
        <w:t xml:space="preserve"> </w:t>
      </w:r>
      <w:r>
        <w:t>(2015)</w:t>
      </w:r>
    </w:p>
    <w:p w14:paraId="2B43AFF3" w14:textId="77777777" w:rsidR="00F008D2" w:rsidRDefault="00F008D2" w:rsidP="00442634">
      <w:pPr>
        <w:pStyle w:val="EndnoteText"/>
      </w:pPr>
      <w:r>
        <w:t>30 [2.76], 31 [2.78] &lt;</w:t>
      </w:r>
      <w:hyperlink r:id="rId59" w:history="1">
        <w:r w:rsidRPr="00D46964">
          <w:rPr>
            <w:rStyle w:val="Hyperlink"/>
          </w:rPr>
          <w:t>http://www.aph.gov.au/Parliamentary_Business/Committees/Senate/Legal_and_Constitutional_Affairs/Power_and_Offences_Bill/Report</w:t>
        </w:r>
      </w:hyperlink>
      <w:r>
        <w:t>&gt;.</w:t>
      </w:r>
    </w:p>
  </w:endnote>
  <w:endnote w:id="88">
    <w:p w14:paraId="5EC1B9BE" w14:textId="77777777" w:rsidR="00F008D2" w:rsidRDefault="00F008D2" w:rsidP="00442634">
      <w:pPr>
        <w:pStyle w:val="EndnoteText"/>
      </w:pPr>
      <w:r>
        <w:rPr>
          <w:rStyle w:val="EndnoteReference"/>
        </w:rPr>
        <w:endnoteRef/>
      </w:r>
      <w:r>
        <w:t xml:space="preserve"> Parliament of Australia, </w:t>
      </w:r>
      <w:r w:rsidRPr="00FE641E">
        <w:rPr>
          <w:i/>
        </w:rPr>
        <w:t>Crimes Legislation Amendment (Powers, Offences and Other Measures) Bill 2015</w:t>
      </w:r>
      <w:r>
        <w:rPr>
          <w:i/>
        </w:rPr>
        <w:t>: Bill Progress</w:t>
      </w:r>
      <w:r w:rsidRPr="00FE641E">
        <w:t xml:space="preserve"> </w:t>
      </w:r>
      <w:r>
        <w:t>(2015) &lt;</w:t>
      </w:r>
      <w:hyperlink r:id="rId60" w:history="1">
        <w:r w:rsidRPr="00D46964">
          <w:rPr>
            <w:rStyle w:val="Hyperlink"/>
          </w:rPr>
          <w:t>http://www.aph.gov.au/Parliamentary_Business/Bills_Legislation/Bills_Search_Results/Result?bId=r5430</w:t>
        </w:r>
      </w:hyperlink>
      <w:r>
        <w:t>&gt;.</w:t>
      </w:r>
    </w:p>
  </w:endnote>
  <w:endnote w:id="89">
    <w:p w14:paraId="48FF9E44" w14:textId="77777777" w:rsidR="00F008D2" w:rsidRDefault="00F008D2" w:rsidP="00442634">
      <w:pPr>
        <w:pStyle w:val="EndnoteText"/>
      </w:pPr>
      <w:r>
        <w:rPr>
          <w:rStyle w:val="EndnoteReference"/>
        </w:rPr>
        <w:endnoteRef/>
      </w:r>
      <w:r>
        <w:t xml:space="preserve"> </w:t>
      </w:r>
      <w:r w:rsidRPr="00C94E80">
        <w:t xml:space="preserve">Parliamentary Joint Committee on Human Rights, Parliament of Australia, </w:t>
      </w:r>
      <w:r>
        <w:rPr>
          <w:i/>
        </w:rPr>
        <w:t>Nineteenth</w:t>
      </w:r>
      <w:r w:rsidRPr="00C94E80">
        <w:rPr>
          <w:i/>
        </w:rPr>
        <w:t xml:space="preserve"> Report of the 44th </w:t>
      </w:r>
      <w:r w:rsidRPr="00ED5BE6">
        <w:rPr>
          <w:i/>
        </w:rPr>
        <w:t>Parliament</w:t>
      </w:r>
      <w:r w:rsidRPr="00ED5BE6">
        <w:t xml:space="preserve"> (2015) 13.</w:t>
      </w:r>
    </w:p>
  </w:endnote>
  <w:endnote w:id="90">
    <w:p w14:paraId="1167744B" w14:textId="77777777" w:rsidR="00F008D2" w:rsidRDefault="00F008D2" w:rsidP="00442634">
      <w:pPr>
        <w:pStyle w:val="EndnoteText"/>
      </w:pPr>
      <w:r>
        <w:rPr>
          <w:rStyle w:val="EndnoteReference"/>
        </w:rPr>
        <w:endnoteRef/>
      </w:r>
      <w:r>
        <w:t xml:space="preserve"> </w:t>
      </w:r>
      <w:r w:rsidRPr="00ED5BE6">
        <w:t xml:space="preserve">Parliamentary Joint Committee on Human Rights, Parliament of Australia, </w:t>
      </w:r>
      <w:r w:rsidRPr="00ED5BE6">
        <w:rPr>
          <w:i/>
        </w:rPr>
        <w:t>Nineteenth Report of the 44th Parliament</w:t>
      </w:r>
      <w:r w:rsidRPr="00ED5BE6">
        <w:t xml:space="preserve"> (2015) </w:t>
      </w:r>
      <w:r>
        <w:t xml:space="preserve">14 [1.52]. </w:t>
      </w:r>
    </w:p>
  </w:endnote>
  <w:endnote w:id="91">
    <w:p w14:paraId="48E50FB4" w14:textId="77777777" w:rsidR="00F008D2" w:rsidRDefault="00F008D2" w:rsidP="00442634">
      <w:pPr>
        <w:pStyle w:val="EndnoteText"/>
      </w:pPr>
      <w:r>
        <w:rPr>
          <w:rStyle w:val="EndnoteReference"/>
        </w:rPr>
        <w:endnoteRef/>
      </w:r>
      <w:r>
        <w:t xml:space="preserve"> </w:t>
      </w:r>
      <w:r w:rsidRPr="004052D2">
        <w:t>Parliament of Australia,</w:t>
      </w:r>
      <w:r>
        <w:t xml:space="preserve"> </w:t>
      </w:r>
      <w:r>
        <w:rPr>
          <w:i/>
        </w:rPr>
        <w:t xml:space="preserve">Inquiry into </w:t>
      </w:r>
      <w:r w:rsidRPr="00ED5BE6">
        <w:rPr>
          <w:i/>
        </w:rPr>
        <w:t>Migration Amendment (Character and General Visa Cancellation) Bill 2014</w:t>
      </w:r>
      <w:r>
        <w:rPr>
          <w:i/>
        </w:rPr>
        <w:t xml:space="preserve"> </w:t>
      </w:r>
      <w:r>
        <w:t>(2014) &lt;</w:t>
      </w:r>
      <w:hyperlink r:id="rId61" w:history="1">
        <w:r w:rsidRPr="007B6B4B">
          <w:rPr>
            <w:rStyle w:val="Hyperlink"/>
          </w:rPr>
          <w:t>http://www.aph.gov.au/Parliamentary_Business/Committees/Senate/Legal_and_Constitutional_Affairs/Character_and_Visa_Cancellation_Bill_2014</w:t>
        </w:r>
      </w:hyperlink>
      <w:r>
        <w:t>&gt;.</w:t>
      </w:r>
    </w:p>
  </w:endnote>
  <w:endnote w:id="92">
    <w:p w14:paraId="1698378C" w14:textId="77777777" w:rsidR="00F008D2" w:rsidRDefault="00F008D2" w:rsidP="00442634">
      <w:pPr>
        <w:pStyle w:val="EndnoteText"/>
      </w:pPr>
      <w:r>
        <w:rPr>
          <w:rStyle w:val="EndnoteReference"/>
        </w:rPr>
        <w:endnoteRef/>
      </w:r>
      <w:r>
        <w:t xml:space="preserve"> </w:t>
      </w:r>
      <w:r w:rsidRPr="00ED5BE6">
        <w:t xml:space="preserve">Australian Human Rights Commission, Submission No </w:t>
      </w:r>
      <w:r>
        <w:t xml:space="preserve">8 to </w:t>
      </w:r>
      <w:r w:rsidRPr="00ED5BE6">
        <w:t>Senate Legal and Constitutional Affairs</w:t>
      </w:r>
      <w:r>
        <w:t xml:space="preserve"> Legislation Committee, </w:t>
      </w:r>
      <w:r w:rsidRPr="00ED5BE6">
        <w:rPr>
          <w:i/>
        </w:rPr>
        <w:t>Inquiry into the</w:t>
      </w:r>
      <w:r w:rsidRPr="00ED5BE6">
        <w:t xml:space="preserve"> </w:t>
      </w:r>
      <w:r w:rsidRPr="00ED5BE6">
        <w:rPr>
          <w:i/>
        </w:rPr>
        <w:t>Migration Amendment (Character and General Visa Cancellation) Bill 2014</w:t>
      </w:r>
      <w:r>
        <w:rPr>
          <w:i/>
        </w:rPr>
        <w:t xml:space="preserve">, </w:t>
      </w:r>
      <w:r>
        <w:t>28 October 2014, 3, [4] &lt;</w:t>
      </w:r>
      <w:hyperlink r:id="rId62" w:history="1">
        <w:r w:rsidRPr="007B6B4B">
          <w:rPr>
            <w:rStyle w:val="Hyperlink"/>
          </w:rPr>
          <w:t>http://www.aph.gov.au/Parliamentary_Business/Committees/Senate/Legal_and_Constitutional_Affairs/Character_and_Visa_Cancellation_Bill_2014/Submissions</w:t>
        </w:r>
      </w:hyperlink>
      <w:r>
        <w:t>&gt;.</w:t>
      </w:r>
    </w:p>
  </w:endnote>
  <w:endnote w:id="93">
    <w:p w14:paraId="6897B073" w14:textId="77777777" w:rsidR="00F008D2" w:rsidRDefault="00F008D2" w:rsidP="00442634">
      <w:pPr>
        <w:pStyle w:val="EndnoteText"/>
      </w:pPr>
      <w:r>
        <w:rPr>
          <w:rStyle w:val="EndnoteReference"/>
        </w:rPr>
        <w:endnoteRef/>
      </w:r>
      <w:r>
        <w:t xml:space="preserve"> </w:t>
      </w:r>
      <w:r w:rsidRPr="00ED5BE6">
        <w:t xml:space="preserve">Australian Human Rights Commission, Submission No </w:t>
      </w:r>
      <w:r>
        <w:t xml:space="preserve">8 to </w:t>
      </w:r>
      <w:r w:rsidRPr="00ED5BE6">
        <w:t>Senate Legal and Constitutional Affairs</w:t>
      </w:r>
      <w:r>
        <w:t xml:space="preserve"> Legislation Committee, </w:t>
      </w:r>
      <w:r w:rsidRPr="00ED5BE6">
        <w:rPr>
          <w:i/>
        </w:rPr>
        <w:t>Inquiry into the</w:t>
      </w:r>
      <w:r w:rsidRPr="00ED5BE6">
        <w:t xml:space="preserve"> </w:t>
      </w:r>
      <w:r w:rsidRPr="00ED5BE6">
        <w:rPr>
          <w:i/>
        </w:rPr>
        <w:t>Migration Amendment (Character and General Visa Cancellation) Bill 2014</w:t>
      </w:r>
      <w:r>
        <w:rPr>
          <w:i/>
        </w:rPr>
        <w:t xml:space="preserve">, </w:t>
      </w:r>
      <w:r>
        <w:t>28 October 2014, 5 [14] &lt;</w:t>
      </w:r>
      <w:hyperlink r:id="rId63" w:history="1">
        <w:r w:rsidRPr="007B6B4B">
          <w:rPr>
            <w:rStyle w:val="Hyperlink"/>
          </w:rPr>
          <w:t>http://www.aph.gov.au/Parliamentary_Business/Committees/Senate/Legal_and_Constitutional_Affairs/Character_and_Visa_Cancellation_Bill_2014/Submissions</w:t>
        </w:r>
      </w:hyperlink>
      <w:r>
        <w:t>&gt;.</w:t>
      </w:r>
    </w:p>
  </w:endnote>
  <w:endnote w:id="94">
    <w:p w14:paraId="1E592DA1" w14:textId="77777777" w:rsidR="00F008D2" w:rsidRDefault="00F008D2" w:rsidP="00442634">
      <w:pPr>
        <w:pStyle w:val="EndnoteText"/>
      </w:pPr>
      <w:r>
        <w:rPr>
          <w:rStyle w:val="EndnoteReference"/>
        </w:rPr>
        <w:endnoteRef/>
      </w:r>
      <w:r>
        <w:t xml:space="preserve"> </w:t>
      </w:r>
      <w:r w:rsidRPr="00ED5BE6">
        <w:t xml:space="preserve">Australian Human Rights Commission, Submission No </w:t>
      </w:r>
      <w:r>
        <w:t xml:space="preserve">8 to </w:t>
      </w:r>
      <w:r w:rsidRPr="00ED5BE6">
        <w:t>Senate Legal and Constitutional Affairs</w:t>
      </w:r>
      <w:r>
        <w:t xml:space="preserve"> Legislation Committee, </w:t>
      </w:r>
      <w:r w:rsidRPr="00ED5BE6">
        <w:rPr>
          <w:i/>
        </w:rPr>
        <w:t>Inquiry into the</w:t>
      </w:r>
      <w:r w:rsidRPr="00ED5BE6">
        <w:t xml:space="preserve"> </w:t>
      </w:r>
      <w:r w:rsidRPr="00ED5BE6">
        <w:rPr>
          <w:i/>
        </w:rPr>
        <w:t>Migration Amendment (Character and General Visa Cancellation) Bill 2014</w:t>
      </w:r>
      <w:r>
        <w:rPr>
          <w:i/>
        </w:rPr>
        <w:t xml:space="preserve">, </w:t>
      </w:r>
      <w:r>
        <w:t>28 October 2014, 3, [5] &lt;</w:t>
      </w:r>
      <w:hyperlink r:id="rId64" w:history="1">
        <w:r w:rsidRPr="007B6B4B">
          <w:rPr>
            <w:rStyle w:val="Hyperlink"/>
          </w:rPr>
          <w:t>http://www.aph.gov.au/Parliamentary_Business/Committees/Senate/Legal_and_Constitutional_Affairs/Character_and_Visa_Cancellation_Bill_2014/Submissions</w:t>
        </w:r>
      </w:hyperlink>
      <w:r>
        <w:t>&gt;.</w:t>
      </w:r>
    </w:p>
  </w:endnote>
  <w:endnote w:id="95">
    <w:p w14:paraId="5E384B02" w14:textId="77777777" w:rsidR="00F008D2" w:rsidRDefault="00F008D2" w:rsidP="00442634">
      <w:pPr>
        <w:pStyle w:val="EndnoteText"/>
      </w:pPr>
      <w:r>
        <w:rPr>
          <w:rStyle w:val="EndnoteReference"/>
        </w:rPr>
        <w:endnoteRef/>
      </w:r>
      <w:r>
        <w:t xml:space="preserve"> </w:t>
      </w:r>
      <w:r w:rsidRPr="00680739">
        <w:t>Senate Legal and Constitutional Affairs</w:t>
      </w:r>
      <w:r>
        <w:t xml:space="preserve"> Legislation Committee</w:t>
      </w:r>
      <w:r w:rsidRPr="00680739">
        <w:t>, Parliament of Australia,</w:t>
      </w:r>
      <w:r w:rsidRPr="00680739">
        <w:rPr>
          <w:i/>
          <w:sz w:val="24"/>
          <w:szCs w:val="24"/>
        </w:rPr>
        <w:t xml:space="preserve"> </w:t>
      </w:r>
      <w:r w:rsidRPr="00680739">
        <w:rPr>
          <w:i/>
        </w:rPr>
        <w:t>Migration Amendment (Character and General Visa Cancellation) Bill 2014</w:t>
      </w:r>
      <w:r>
        <w:rPr>
          <w:i/>
        </w:rPr>
        <w:t xml:space="preserve"> </w:t>
      </w:r>
      <w:r>
        <w:t>(2014) 28 [3.9] &lt;</w:t>
      </w:r>
      <w:hyperlink r:id="rId65" w:history="1">
        <w:r w:rsidRPr="007B6B4B">
          <w:rPr>
            <w:rStyle w:val="Hyperlink"/>
          </w:rPr>
          <w:t>http://www.aph.gov.au/Parliamentary_Business/Committees/Senate/Legal_and_Constitutional_Affairs/Australian_Citizenship/Report</w:t>
        </w:r>
      </w:hyperlink>
      <w:r>
        <w:t>&gt;.</w:t>
      </w:r>
    </w:p>
  </w:endnote>
  <w:endnote w:id="96">
    <w:p w14:paraId="30A27D8B" w14:textId="77777777" w:rsidR="00F008D2" w:rsidRDefault="00F008D2" w:rsidP="00442634">
      <w:pPr>
        <w:pStyle w:val="EndnoteText"/>
      </w:pPr>
      <w:r>
        <w:rPr>
          <w:rStyle w:val="EndnoteReference"/>
        </w:rPr>
        <w:endnoteRef/>
      </w:r>
      <w:r>
        <w:t xml:space="preserve"> </w:t>
      </w:r>
      <w:r w:rsidRPr="00680739">
        <w:t>Senate Legal and Constitutional Affairs</w:t>
      </w:r>
      <w:r>
        <w:t xml:space="preserve"> Legislation Committee</w:t>
      </w:r>
      <w:r w:rsidRPr="00680739">
        <w:t>, Parliament of Australia,</w:t>
      </w:r>
      <w:r w:rsidRPr="00680739">
        <w:rPr>
          <w:i/>
          <w:sz w:val="24"/>
          <w:szCs w:val="24"/>
        </w:rPr>
        <w:t xml:space="preserve"> </w:t>
      </w:r>
      <w:r w:rsidRPr="00680739">
        <w:rPr>
          <w:i/>
        </w:rPr>
        <w:t>Migration Amendment (Character and General Visa Cancellation) Bill 2014</w:t>
      </w:r>
      <w:r>
        <w:rPr>
          <w:i/>
        </w:rPr>
        <w:t xml:space="preserve"> </w:t>
      </w:r>
      <w:r>
        <w:t>(2014) 31 &lt;</w:t>
      </w:r>
      <w:hyperlink r:id="rId66" w:history="1">
        <w:r w:rsidRPr="007B6B4B">
          <w:rPr>
            <w:rStyle w:val="Hyperlink"/>
          </w:rPr>
          <w:t>http://www.aph.gov.au/Parliamentary_Business/Committees/Senate/Legal_and_Constitutional_Affairs/Australian_Citizenship/Report</w:t>
        </w:r>
      </w:hyperlink>
      <w:r>
        <w:t>&gt;.</w:t>
      </w:r>
    </w:p>
  </w:endnote>
  <w:endnote w:id="97">
    <w:p w14:paraId="64B713F6" w14:textId="77777777" w:rsidR="00F008D2" w:rsidRDefault="00F008D2" w:rsidP="00442634">
      <w:pPr>
        <w:pStyle w:val="EndnoteText"/>
      </w:pPr>
      <w:r>
        <w:rPr>
          <w:rStyle w:val="EndnoteReference"/>
        </w:rPr>
        <w:endnoteRef/>
      </w:r>
      <w:r>
        <w:t xml:space="preserve"> </w:t>
      </w:r>
      <w:r w:rsidRPr="00680739">
        <w:t>Senate Legal and Constitutional Affairs</w:t>
      </w:r>
      <w:r>
        <w:t xml:space="preserve"> Legislation Committee</w:t>
      </w:r>
      <w:r w:rsidRPr="00680739">
        <w:t>, Parliament of Australia,</w:t>
      </w:r>
      <w:r w:rsidRPr="00680739">
        <w:rPr>
          <w:i/>
          <w:sz w:val="24"/>
          <w:szCs w:val="24"/>
        </w:rPr>
        <w:t xml:space="preserve"> </w:t>
      </w:r>
      <w:r w:rsidRPr="00680739">
        <w:rPr>
          <w:i/>
        </w:rPr>
        <w:t>Migration Amendment (Character and General Visa Cancellation) Bill 2014</w:t>
      </w:r>
      <w:r>
        <w:rPr>
          <w:i/>
        </w:rPr>
        <w:t xml:space="preserve"> </w:t>
      </w:r>
      <w:r>
        <w:t>(2014) 30–31 &lt;</w:t>
      </w:r>
      <w:hyperlink r:id="rId67" w:history="1">
        <w:r w:rsidRPr="007B6B4B">
          <w:rPr>
            <w:rStyle w:val="Hyperlink"/>
          </w:rPr>
          <w:t>http://www.aph.gov.au/Parliamentary_Business/Committees/Senate/Legal_and_Constitutional_Affairs/Australian_Citizenship/Report</w:t>
        </w:r>
      </w:hyperlink>
      <w:r>
        <w:t xml:space="preserve">&gt;. </w:t>
      </w:r>
    </w:p>
  </w:endnote>
  <w:endnote w:id="98">
    <w:p w14:paraId="5E85B5BB" w14:textId="77777777" w:rsidR="00F008D2" w:rsidRDefault="00F008D2" w:rsidP="00442634">
      <w:pPr>
        <w:pStyle w:val="EndnoteText"/>
      </w:pPr>
      <w:r>
        <w:rPr>
          <w:rStyle w:val="EndnoteReference"/>
        </w:rPr>
        <w:endnoteRef/>
      </w:r>
      <w:r>
        <w:t xml:space="preserve"> </w:t>
      </w:r>
      <w:r w:rsidRPr="004052D2">
        <w:t>Parliament of Australia,</w:t>
      </w:r>
      <w:r>
        <w:t xml:space="preserve"> </w:t>
      </w:r>
      <w:r w:rsidRPr="00680739">
        <w:rPr>
          <w:i/>
        </w:rPr>
        <w:t>Inquiry into Migration Amendment (Character and General Visa Cancellation) Bill 2014</w:t>
      </w:r>
      <w:r w:rsidRPr="00F87AE5">
        <w:rPr>
          <w:i/>
        </w:rPr>
        <w:t>: Bill Progress</w:t>
      </w:r>
      <w:r>
        <w:rPr>
          <w:i/>
        </w:rPr>
        <w:t xml:space="preserve"> </w:t>
      </w:r>
      <w:r>
        <w:t>(2014) &lt;</w:t>
      </w:r>
      <w:hyperlink r:id="rId68" w:history="1">
        <w:r w:rsidRPr="007B6B4B">
          <w:rPr>
            <w:rStyle w:val="Hyperlink"/>
          </w:rPr>
          <w:t>http://www.aph.gov.au/Parliamentary_Business/Bills_Legislation/Bills_Search_Results/Result?bId=r5345</w:t>
        </w:r>
      </w:hyperlink>
      <w:r>
        <w:t>&gt;</w:t>
      </w:r>
    </w:p>
  </w:endnote>
  <w:endnote w:id="99">
    <w:p w14:paraId="4A99C051" w14:textId="77777777" w:rsidR="00F008D2" w:rsidRDefault="00F008D2" w:rsidP="00442634">
      <w:pPr>
        <w:pStyle w:val="EndnoteText"/>
      </w:pPr>
      <w:r>
        <w:rPr>
          <w:rStyle w:val="EndnoteReference"/>
        </w:rPr>
        <w:endnoteRef/>
      </w:r>
      <w:r>
        <w:t xml:space="preserve"> </w:t>
      </w:r>
      <w:r w:rsidRPr="00F87AE5">
        <w:t xml:space="preserve">Parliamentary Joint Committee on Human Rights, Parliament of Australia, </w:t>
      </w:r>
      <w:r w:rsidRPr="00F87AE5">
        <w:rPr>
          <w:i/>
        </w:rPr>
        <w:t>Nineteenth Report of the 44th Parliament</w:t>
      </w:r>
      <w:r w:rsidRPr="00F87AE5">
        <w:t xml:space="preserve"> (2015) 1</w:t>
      </w:r>
      <w:r>
        <w:t>9</w:t>
      </w:r>
      <w:r w:rsidRPr="00F87AE5">
        <w:t xml:space="preserve"> [1.</w:t>
      </w:r>
      <w:r>
        <w:t>77</w:t>
      </w:r>
      <w:r w:rsidRPr="00F87AE5">
        <w:t>].</w:t>
      </w:r>
    </w:p>
  </w:endnote>
  <w:endnote w:id="100">
    <w:p w14:paraId="0773C729" w14:textId="77777777" w:rsidR="00F008D2" w:rsidRDefault="00F008D2" w:rsidP="00442634">
      <w:pPr>
        <w:pStyle w:val="EndnoteText"/>
      </w:pPr>
      <w:r>
        <w:rPr>
          <w:rStyle w:val="EndnoteReference"/>
        </w:rPr>
        <w:endnoteRef/>
      </w:r>
      <w:r>
        <w:t xml:space="preserve"> </w:t>
      </w:r>
      <w:r w:rsidRPr="00F87AE5">
        <w:t xml:space="preserve">Parliamentary Joint Committee on Human Rights, Parliament of Australia, </w:t>
      </w:r>
      <w:r w:rsidRPr="00F87AE5">
        <w:rPr>
          <w:i/>
        </w:rPr>
        <w:t>Nineteenth Report of the 44th Parliament</w:t>
      </w:r>
      <w:r w:rsidRPr="00F87AE5">
        <w:t xml:space="preserve"> (2015) 1</w:t>
      </w:r>
      <w:r>
        <w:t>9</w:t>
      </w:r>
      <w:r w:rsidRPr="00F87AE5">
        <w:t xml:space="preserve"> [1.</w:t>
      </w:r>
      <w:r>
        <w:t>77</w:t>
      </w:r>
      <w:r w:rsidRPr="00F87AE5">
        <w:t>].</w:t>
      </w:r>
    </w:p>
  </w:endnote>
  <w:endnote w:id="101">
    <w:p w14:paraId="7FAC1A4D" w14:textId="77777777" w:rsidR="00F008D2" w:rsidRDefault="00F008D2" w:rsidP="00442634">
      <w:pPr>
        <w:pStyle w:val="EndnoteText"/>
      </w:pPr>
      <w:r>
        <w:rPr>
          <w:rStyle w:val="EndnoteReference"/>
        </w:rPr>
        <w:endnoteRef/>
      </w:r>
      <w:r>
        <w:t xml:space="preserve"> </w:t>
      </w:r>
      <w:r w:rsidRPr="00F87AE5">
        <w:t xml:space="preserve">Parliamentary Joint Committee on Human Rights, Parliament of Australia, </w:t>
      </w:r>
      <w:r>
        <w:rPr>
          <w:i/>
        </w:rPr>
        <w:t>Fourteenth</w:t>
      </w:r>
      <w:r w:rsidRPr="00F87AE5">
        <w:rPr>
          <w:i/>
        </w:rPr>
        <w:t xml:space="preserve"> Report of the 44th Parliament</w:t>
      </w:r>
      <w:r w:rsidRPr="00F87AE5">
        <w:t xml:space="preserve"> (201</w:t>
      </w:r>
      <w:r>
        <w:t>4</w:t>
      </w:r>
      <w:r w:rsidRPr="00F87AE5">
        <w:t>)</w:t>
      </w:r>
      <w:r>
        <w:t xml:space="preserve"> 70.</w:t>
      </w:r>
    </w:p>
  </w:endnote>
  <w:endnote w:id="102">
    <w:p w14:paraId="0879F4D6" w14:textId="77777777" w:rsidR="00F008D2" w:rsidRDefault="00F008D2" w:rsidP="00442634">
      <w:pPr>
        <w:pStyle w:val="EndnoteText"/>
      </w:pPr>
      <w:r>
        <w:rPr>
          <w:rStyle w:val="EndnoteReference"/>
        </w:rPr>
        <w:endnoteRef/>
      </w:r>
      <w:r>
        <w:t xml:space="preserve"> </w:t>
      </w:r>
      <w:r w:rsidRPr="00F87AE5">
        <w:t xml:space="preserve">Parliamentary Joint Committee on Human Rights, Parliament of Australia, </w:t>
      </w:r>
      <w:r>
        <w:rPr>
          <w:i/>
        </w:rPr>
        <w:t>Fourteenth</w:t>
      </w:r>
      <w:r w:rsidRPr="00F87AE5">
        <w:rPr>
          <w:i/>
        </w:rPr>
        <w:t xml:space="preserve"> Report of the 44th Parliament</w:t>
      </w:r>
      <w:r w:rsidRPr="00F87AE5">
        <w:t xml:space="preserve"> (201</w:t>
      </w:r>
      <w:r>
        <w:t>4</w:t>
      </w:r>
      <w:r w:rsidRPr="00F87AE5">
        <w:t>)</w:t>
      </w:r>
      <w:r>
        <w:t xml:space="preserve"> 89 [1.416].</w:t>
      </w:r>
    </w:p>
  </w:endnote>
  <w:endnote w:id="103">
    <w:p w14:paraId="49B268C5" w14:textId="77777777" w:rsidR="00F008D2" w:rsidRDefault="00F008D2" w:rsidP="00442634">
      <w:pPr>
        <w:pStyle w:val="EndnoteText"/>
      </w:pPr>
      <w:r>
        <w:rPr>
          <w:rStyle w:val="EndnoteReference"/>
        </w:rPr>
        <w:endnoteRef/>
      </w:r>
      <w:r>
        <w:t xml:space="preserve"> </w:t>
      </w:r>
      <w:r w:rsidRPr="004052D2">
        <w:t>Parliament of Australia,</w:t>
      </w:r>
      <w:r>
        <w:t xml:space="preserve"> </w:t>
      </w:r>
      <w:r w:rsidRPr="00F87AE5">
        <w:rPr>
          <w:i/>
        </w:rPr>
        <w:t>Inquiry into Migration and Maritime Powers Legislation Amendment (Resolving the Asylum Legacy Caseload) Bill 2014</w:t>
      </w:r>
      <w:r>
        <w:t xml:space="preserve"> (2014) &lt;</w:t>
      </w:r>
      <w:hyperlink r:id="rId69" w:history="1">
        <w:r w:rsidRPr="007B6B4B">
          <w:rPr>
            <w:rStyle w:val="Hyperlink"/>
          </w:rPr>
          <w:t>http://www.aph.gov.au/Parliamentary_Business/Committees/Senate/Legal_and_Constitutional_Affairs/Asylum_Legacy_Caseload_Bill_2014</w:t>
        </w:r>
      </w:hyperlink>
      <w:r>
        <w:t>&gt;.</w:t>
      </w:r>
    </w:p>
  </w:endnote>
  <w:endnote w:id="104">
    <w:p w14:paraId="5C6A1BCA" w14:textId="77777777" w:rsidR="00F008D2" w:rsidRDefault="00F008D2" w:rsidP="00442634">
      <w:pPr>
        <w:pStyle w:val="EndnoteText"/>
      </w:pPr>
      <w:r>
        <w:rPr>
          <w:rStyle w:val="EndnoteReference"/>
        </w:rPr>
        <w:endnoteRef/>
      </w:r>
      <w:r>
        <w:t xml:space="preserve"> </w:t>
      </w:r>
      <w:r w:rsidRPr="00ED5BE6">
        <w:t xml:space="preserve">Australian Human Rights Commission, Submission No </w:t>
      </w:r>
      <w:r>
        <w:t xml:space="preserve">163 to </w:t>
      </w:r>
      <w:r w:rsidRPr="00ED5BE6">
        <w:t>Senate Standing Committees on Legal and Constitutional Affairs</w:t>
      </w:r>
      <w:r>
        <w:t xml:space="preserve">, </w:t>
      </w:r>
      <w:r w:rsidRPr="00ED5BE6">
        <w:rPr>
          <w:i/>
        </w:rPr>
        <w:t>Inquiry into the</w:t>
      </w:r>
      <w:r w:rsidRPr="00ED5BE6">
        <w:t xml:space="preserve"> </w:t>
      </w:r>
      <w:r w:rsidRPr="00F87AE5">
        <w:rPr>
          <w:i/>
        </w:rPr>
        <w:t>Migration and Maritime Powers Legislation Amendment (Resolving the Asylum Legacy Caseload) Bill 2014</w:t>
      </w:r>
      <w:r>
        <w:t>, 31 October 2014, 5 [9] &lt;</w:t>
      </w:r>
      <w:hyperlink r:id="rId70" w:history="1">
        <w:r w:rsidRPr="007B6B4B">
          <w:rPr>
            <w:rStyle w:val="Hyperlink"/>
          </w:rPr>
          <w:t>http://www.aph.gov.au/Parliamentary_Business/Committees/Senate/Legal_and_Constitutional_Affairs/Asylum_Legacy_Caseload_Bill_2014/Submissions</w:t>
        </w:r>
      </w:hyperlink>
      <w:r>
        <w:t>&gt;.</w:t>
      </w:r>
    </w:p>
  </w:endnote>
  <w:endnote w:id="105">
    <w:p w14:paraId="6DB9067F" w14:textId="77777777" w:rsidR="00F008D2" w:rsidRDefault="00F008D2" w:rsidP="00442634">
      <w:pPr>
        <w:pStyle w:val="EndnoteText"/>
      </w:pPr>
      <w:r>
        <w:rPr>
          <w:rStyle w:val="EndnoteReference"/>
        </w:rPr>
        <w:endnoteRef/>
      </w:r>
      <w:r>
        <w:t xml:space="preserve"> </w:t>
      </w:r>
      <w:r w:rsidRPr="00ED5BE6">
        <w:t xml:space="preserve">Australian Human Rights Commission, Submission No </w:t>
      </w:r>
      <w:r>
        <w:t xml:space="preserve">163 to </w:t>
      </w:r>
      <w:r w:rsidRPr="00ED5BE6">
        <w:t>Senate Standing Committees on Legal and Constitutional Affairs</w:t>
      </w:r>
      <w:r>
        <w:t xml:space="preserve">, </w:t>
      </w:r>
      <w:r w:rsidRPr="00ED5BE6">
        <w:rPr>
          <w:i/>
        </w:rPr>
        <w:t>Inquiry into the</w:t>
      </w:r>
      <w:r w:rsidRPr="00ED5BE6">
        <w:t xml:space="preserve"> </w:t>
      </w:r>
      <w:r w:rsidRPr="00F87AE5">
        <w:rPr>
          <w:i/>
        </w:rPr>
        <w:t>Migration and Maritime Powers Legislation Amendment (Resolving the Asylum Legacy Caseload) Bill 2014</w:t>
      </w:r>
      <w:r>
        <w:t>, 31 October 2014, 4 [3(e)] &lt;</w:t>
      </w:r>
      <w:hyperlink r:id="rId71" w:history="1">
        <w:r w:rsidRPr="007B6B4B">
          <w:rPr>
            <w:rStyle w:val="Hyperlink"/>
          </w:rPr>
          <w:t>http://www.aph.gov.au/Parliamentary_Business/Committees/Senate/Legal_and_Constitutional_Affairs/Asylum_Legacy_Caseload_Bill_2014/Submissions</w:t>
        </w:r>
      </w:hyperlink>
      <w:r>
        <w:t>&gt;.</w:t>
      </w:r>
    </w:p>
  </w:endnote>
  <w:endnote w:id="106">
    <w:p w14:paraId="6E3B287A" w14:textId="77777777" w:rsidR="00F008D2" w:rsidRDefault="00F008D2" w:rsidP="00442634">
      <w:pPr>
        <w:pStyle w:val="EndnoteText"/>
      </w:pPr>
      <w:r>
        <w:rPr>
          <w:rStyle w:val="EndnoteReference"/>
        </w:rPr>
        <w:endnoteRef/>
      </w:r>
      <w:r>
        <w:t xml:space="preserve"> </w:t>
      </w:r>
      <w:r w:rsidRPr="00680739">
        <w:t>Senate Standing Committees on Legal and Constitutional Affairs, Parliament of Australia</w:t>
      </w:r>
      <w:r w:rsidRPr="00537C25">
        <w:rPr>
          <w:i/>
        </w:rPr>
        <w:t>, Migration and Maritime Powers Legislation Amendment (Resolving the Asylum Legacy Caseload) Bill 2014 [Provisions]</w:t>
      </w:r>
      <w:r>
        <w:rPr>
          <w:i/>
        </w:rPr>
        <w:t xml:space="preserve"> </w:t>
      </w:r>
      <w:r>
        <w:t>(2014) 40-41, [3.74], [3.76]–[3.77] &lt;</w:t>
      </w:r>
      <w:hyperlink r:id="rId72" w:history="1">
        <w:r w:rsidRPr="007B6B4B">
          <w:rPr>
            <w:rStyle w:val="Hyperlink"/>
          </w:rPr>
          <w:t>http://www.aph.gov.au/Parliamentary_Business/Committees/Senate/Legal_and_Constitutional_Affairs/Asylum_Legacy_Caseload_Bill_2014/Report</w:t>
        </w:r>
      </w:hyperlink>
      <w:r>
        <w:t xml:space="preserve">&gt;. </w:t>
      </w:r>
    </w:p>
  </w:endnote>
  <w:endnote w:id="107">
    <w:p w14:paraId="6E8CB15A" w14:textId="77777777" w:rsidR="00F008D2" w:rsidRDefault="00F008D2" w:rsidP="00442634">
      <w:pPr>
        <w:pStyle w:val="EndnoteText"/>
      </w:pPr>
      <w:r>
        <w:rPr>
          <w:rStyle w:val="EndnoteReference"/>
        </w:rPr>
        <w:endnoteRef/>
      </w:r>
      <w:r>
        <w:t xml:space="preserve"> </w:t>
      </w:r>
      <w:r w:rsidRPr="00680739">
        <w:t>Senate Standing Committees on Legal and Constitutional Affairs, Parliament of Australia</w:t>
      </w:r>
      <w:r w:rsidRPr="00537C25">
        <w:rPr>
          <w:i/>
        </w:rPr>
        <w:t>, Migration and Maritime Powers Legislation Amendment (Resolving the Asylum Legacy Caseload) Bill 2014 [Provisions]</w:t>
      </w:r>
      <w:r>
        <w:rPr>
          <w:i/>
        </w:rPr>
        <w:t xml:space="preserve"> </w:t>
      </w:r>
      <w:r>
        <w:t>(2014) 43 &lt;</w:t>
      </w:r>
      <w:hyperlink r:id="rId73" w:history="1">
        <w:r w:rsidRPr="007B6B4B">
          <w:rPr>
            <w:rStyle w:val="Hyperlink"/>
          </w:rPr>
          <w:t>http://www.aph.gov.au/Parliamentary_Business/Committees/Senate/Legal_and_Constitutional_Affairs/Asylum_Legacy_Caseload_Bill_2014/Report</w:t>
        </w:r>
      </w:hyperlink>
      <w:r>
        <w:t xml:space="preserve">&gt;. </w:t>
      </w:r>
    </w:p>
  </w:endnote>
  <w:endnote w:id="108">
    <w:p w14:paraId="267CAC3A" w14:textId="77777777" w:rsidR="00F008D2" w:rsidRDefault="00F008D2" w:rsidP="00442634">
      <w:pPr>
        <w:pStyle w:val="EndnoteText"/>
      </w:pPr>
      <w:r>
        <w:rPr>
          <w:rStyle w:val="EndnoteReference"/>
        </w:rPr>
        <w:endnoteRef/>
      </w:r>
      <w:r>
        <w:t xml:space="preserve"> </w:t>
      </w:r>
      <w:r w:rsidRPr="00680739">
        <w:t>Senate Standing Committees on Legal and Constitutional Affairs, Parliament of Australia</w:t>
      </w:r>
      <w:r w:rsidRPr="00537C25">
        <w:rPr>
          <w:i/>
        </w:rPr>
        <w:t>, Migration and Maritime Powers Legislation Amendment (Resolving the Asylum Legacy Caseload) Bill 2014 [Provisions]</w:t>
      </w:r>
      <w:r>
        <w:rPr>
          <w:i/>
        </w:rPr>
        <w:t xml:space="preserve"> </w:t>
      </w:r>
      <w:r>
        <w:t>(2014) 53 &lt;</w:t>
      </w:r>
      <w:hyperlink r:id="rId74" w:history="1">
        <w:r w:rsidRPr="007B6B4B">
          <w:rPr>
            <w:rStyle w:val="Hyperlink"/>
          </w:rPr>
          <w:t>http://www.aph.gov.au/Parliamentary_Business/Committees/Senate/Legal_and_Constitutional_Affairs/Asylum_Legacy_Caseload_Bill_2014/Report</w:t>
        </w:r>
      </w:hyperlink>
      <w:r>
        <w:t xml:space="preserve">&gt;. </w:t>
      </w:r>
    </w:p>
  </w:endnote>
  <w:endnote w:id="109">
    <w:p w14:paraId="17E80184" w14:textId="77777777" w:rsidR="00F008D2" w:rsidRDefault="00F008D2" w:rsidP="00442634">
      <w:pPr>
        <w:pStyle w:val="EndnoteText"/>
      </w:pPr>
      <w:r>
        <w:rPr>
          <w:rStyle w:val="EndnoteReference"/>
        </w:rPr>
        <w:endnoteRef/>
      </w:r>
      <w:r>
        <w:t xml:space="preserve"> </w:t>
      </w:r>
      <w:r w:rsidRPr="00680739">
        <w:t>Senate Standing Committees on Legal and Constitutional Affairs, Parliament of Australia</w:t>
      </w:r>
      <w:r w:rsidRPr="00537C25">
        <w:rPr>
          <w:i/>
        </w:rPr>
        <w:t>, Migration and Maritime Powers Legislation Amendment (Resolving the Asylum Legacy Caseload) Bill 2014 [Provisions]</w:t>
      </w:r>
      <w:r>
        <w:rPr>
          <w:i/>
        </w:rPr>
        <w:t xml:space="preserve"> </w:t>
      </w:r>
      <w:r>
        <w:t>(2014) 59 [1.39] &lt;</w:t>
      </w:r>
      <w:hyperlink r:id="rId75" w:history="1">
        <w:r w:rsidRPr="007B6B4B">
          <w:rPr>
            <w:rStyle w:val="Hyperlink"/>
          </w:rPr>
          <w:t>http://www.aph.gov.au/Parliamentary_Business/Committees/Senate/Legal_and_Constitutional_Affairs/Asylum_Legacy_Caseload_Bill_2014/Report</w:t>
        </w:r>
      </w:hyperlink>
      <w:r>
        <w:t xml:space="preserve">&gt;. </w:t>
      </w:r>
    </w:p>
  </w:endnote>
  <w:endnote w:id="110">
    <w:p w14:paraId="3A8EF3A1" w14:textId="77777777" w:rsidR="00F008D2" w:rsidRDefault="00F008D2" w:rsidP="00442634">
      <w:pPr>
        <w:pStyle w:val="EndnoteText"/>
      </w:pPr>
      <w:r>
        <w:rPr>
          <w:rStyle w:val="EndnoteReference"/>
        </w:rPr>
        <w:endnoteRef/>
      </w:r>
      <w:r>
        <w:t xml:space="preserve"> </w:t>
      </w:r>
      <w:r w:rsidRPr="00F87AE5">
        <w:t xml:space="preserve">Parliamentary Joint Committee on Human Rights, Parliament of Australia, </w:t>
      </w:r>
      <w:r>
        <w:rPr>
          <w:i/>
        </w:rPr>
        <w:t>Fourteenth</w:t>
      </w:r>
      <w:r w:rsidRPr="00F87AE5">
        <w:rPr>
          <w:i/>
        </w:rPr>
        <w:t xml:space="preserve"> Report of the 44th Parliament</w:t>
      </w:r>
      <w:r w:rsidRPr="00F87AE5">
        <w:t xml:space="preserve"> (201</w:t>
      </w:r>
      <w:r>
        <w:t>4</w:t>
      </w:r>
      <w:r w:rsidRPr="00F87AE5">
        <w:t>)</w:t>
      </w:r>
      <w:r>
        <w:t xml:space="preserve"> 89 [1.417].</w:t>
      </w:r>
    </w:p>
  </w:endnote>
  <w:endnote w:id="111">
    <w:p w14:paraId="192536B1" w14:textId="77777777" w:rsidR="00F008D2" w:rsidRDefault="00F008D2" w:rsidP="00442634">
      <w:pPr>
        <w:pStyle w:val="EndnoteText"/>
      </w:pPr>
      <w:r>
        <w:rPr>
          <w:rStyle w:val="EndnoteReference"/>
        </w:rPr>
        <w:endnoteRef/>
      </w:r>
      <w:r>
        <w:t xml:space="preserve"> </w:t>
      </w:r>
      <w:r w:rsidRPr="00F87AE5">
        <w:t xml:space="preserve">Parliamentary Joint Committee on Human Rights, Parliament of Australia, </w:t>
      </w:r>
      <w:r>
        <w:rPr>
          <w:i/>
        </w:rPr>
        <w:t>Fourteenth</w:t>
      </w:r>
      <w:r w:rsidRPr="00F87AE5">
        <w:rPr>
          <w:i/>
        </w:rPr>
        <w:t xml:space="preserve"> Report of the 44th Parliament</w:t>
      </w:r>
      <w:r w:rsidRPr="00F87AE5">
        <w:t xml:space="preserve"> (201</w:t>
      </w:r>
      <w:r>
        <w:t>4</w:t>
      </w:r>
      <w:r w:rsidRPr="00F87AE5">
        <w:t>)</w:t>
      </w:r>
      <w:r>
        <w:t xml:space="preserve"> 90 [1.421].</w:t>
      </w:r>
    </w:p>
  </w:endnote>
  <w:endnote w:id="112">
    <w:p w14:paraId="43AFD78D" w14:textId="77777777" w:rsidR="00F008D2" w:rsidRDefault="00F008D2" w:rsidP="00442634">
      <w:pPr>
        <w:pStyle w:val="EndnoteText"/>
      </w:pPr>
      <w:r>
        <w:rPr>
          <w:rStyle w:val="EndnoteReference"/>
        </w:rPr>
        <w:endnoteRef/>
      </w:r>
      <w:r>
        <w:t xml:space="preserve"> Parliament of Australia, </w:t>
      </w:r>
      <w:r w:rsidRPr="00941EA7">
        <w:rPr>
          <w:i/>
        </w:rPr>
        <w:t>Migration and Maritime Powers Legislation Amendment (Resolving the Asylum Legacy Caseload) Bill 2014: Bill Progress</w:t>
      </w:r>
      <w:r>
        <w:t xml:space="preserve"> (2014) &lt;</w:t>
      </w:r>
      <w:hyperlink r:id="rId76" w:history="1">
        <w:r w:rsidRPr="007B6B4B">
          <w:rPr>
            <w:rStyle w:val="Hyperlink"/>
          </w:rPr>
          <w:t>http://www.aph.gov.au/Parliamentary_Business/Bills_Legislation/Bills_Search_Results/Result?bId=r5346</w:t>
        </w:r>
      </w:hyperlink>
      <w:r>
        <w:t>&gt;.</w:t>
      </w:r>
    </w:p>
  </w:endnote>
  <w:endnote w:id="113">
    <w:p w14:paraId="4BED1F5A"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Pr>
          <w:i/>
        </w:rPr>
        <w:t>Twenty-fourth</w:t>
      </w:r>
      <w:r w:rsidRPr="00246A31">
        <w:rPr>
          <w:i/>
        </w:rPr>
        <w:t xml:space="preserve"> Report of the 44th Parliament</w:t>
      </w:r>
      <w:r>
        <w:t xml:space="preserve"> (2015) 25.</w:t>
      </w:r>
    </w:p>
  </w:endnote>
  <w:endnote w:id="114">
    <w:p w14:paraId="62D8A572"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Pr>
          <w:i/>
        </w:rPr>
        <w:t>Twenty-fourth</w:t>
      </w:r>
      <w:r w:rsidRPr="00246A31">
        <w:rPr>
          <w:i/>
        </w:rPr>
        <w:t xml:space="preserve"> Report of the 44th Parliament</w:t>
      </w:r>
      <w:r>
        <w:t xml:space="preserve"> (2015) 26 [2.7]–[2.8].</w:t>
      </w:r>
    </w:p>
  </w:endnote>
  <w:endnote w:id="115">
    <w:p w14:paraId="2C4FF9E1"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Pr>
          <w:i/>
        </w:rPr>
        <w:t>Twenty-fourth</w:t>
      </w:r>
      <w:r w:rsidRPr="00246A31">
        <w:rPr>
          <w:i/>
        </w:rPr>
        <w:t xml:space="preserve"> Report of the 44th Parliament</w:t>
      </w:r>
      <w:r>
        <w:t xml:space="preserve"> (2015) 26 [2.7]–[2.8].</w:t>
      </w:r>
    </w:p>
  </w:endnote>
  <w:endnote w:id="116">
    <w:p w14:paraId="1332030F"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Pr>
          <w:i/>
        </w:rPr>
        <w:t>Twenty-fourth</w:t>
      </w:r>
      <w:r w:rsidRPr="00246A31">
        <w:rPr>
          <w:i/>
        </w:rPr>
        <w:t xml:space="preserve"> Report of the 44th Parliament</w:t>
      </w:r>
      <w:r>
        <w:t xml:space="preserve"> (2015) 26 [2.8].</w:t>
      </w:r>
    </w:p>
  </w:endnote>
  <w:endnote w:id="117">
    <w:p w14:paraId="00AC1385" w14:textId="77777777" w:rsidR="00F008D2" w:rsidRDefault="00F008D2" w:rsidP="00442634">
      <w:pPr>
        <w:pStyle w:val="EndnoteText"/>
      </w:pPr>
      <w:r>
        <w:rPr>
          <w:rStyle w:val="EndnoteReference"/>
        </w:rPr>
        <w:endnoteRef/>
      </w:r>
      <w:r>
        <w:t xml:space="preserve"> Parliament of Australia, </w:t>
      </w:r>
      <w:r>
        <w:rPr>
          <w:i/>
        </w:rPr>
        <w:t xml:space="preserve">Inquiry into </w:t>
      </w:r>
      <w:r w:rsidRPr="001C7A0D">
        <w:rPr>
          <w:i/>
        </w:rPr>
        <w:t>Australian Citizenship and Other Legislation Amendment Bill 2014</w:t>
      </w:r>
      <w:r>
        <w:t xml:space="preserve"> (2014) &lt;</w:t>
      </w:r>
      <w:hyperlink r:id="rId77" w:history="1">
        <w:r w:rsidRPr="00D46964">
          <w:rPr>
            <w:rStyle w:val="Hyperlink"/>
          </w:rPr>
          <w:t>http://www.aph.gov.au/Parliamentary_Business/Committees/Senate/Legal_and_Constitutional_Affairs/Australian_Citizenship</w:t>
        </w:r>
      </w:hyperlink>
      <w:r>
        <w:t>&gt;.</w:t>
      </w:r>
    </w:p>
  </w:endnote>
  <w:endnote w:id="118">
    <w:p w14:paraId="64758A37" w14:textId="77777777" w:rsidR="00F008D2" w:rsidRDefault="00F008D2" w:rsidP="00442634">
      <w:pPr>
        <w:pStyle w:val="EndnoteText"/>
      </w:pPr>
      <w:r>
        <w:rPr>
          <w:rStyle w:val="EndnoteReference"/>
        </w:rPr>
        <w:endnoteRef/>
      </w:r>
      <w:r>
        <w:t xml:space="preserve"> </w:t>
      </w:r>
      <w:r w:rsidRPr="001C7A0D">
        <w:t xml:space="preserve">Australian Human Rights Commission, </w:t>
      </w:r>
      <w:r>
        <w:t xml:space="preserve">Submission No 4 to </w:t>
      </w:r>
      <w:r w:rsidRPr="001C7A0D">
        <w:t>Senate Legal and Constitutional Affairs</w:t>
      </w:r>
      <w:r>
        <w:t xml:space="preserve"> Legislation Committee, </w:t>
      </w:r>
      <w:r w:rsidRPr="001C7A0D">
        <w:rPr>
          <w:i/>
        </w:rPr>
        <w:t>Inquiry into the Australian Citizenship and Other Legislation Amendment Bill 2014</w:t>
      </w:r>
      <w:r>
        <w:t>, 6 November 2014, 5 [15] &lt;</w:t>
      </w:r>
      <w:hyperlink r:id="rId78" w:history="1">
        <w:r w:rsidRPr="007B6B4B">
          <w:rPr>
            <w:rStyle w:val="Hyperlink"/>
          </w:rPr>
          <w:t>http://www.aph.gov.au/Parliamentary_Business/Committees/Senate/Legal_and_Constitutional_Affairs/Australian_Citizenship/Submissions</w:t>
        </w:r>
      </w:hyperlink>
      <w:r>
        <w:t>&gt;.</w:t>
      </w:r>
    </w:p>
  </w:endnote>
  <w:endnote w:id="119">
    <w:p w14:paraId="0C4442F7" w14:textId="77777777" w:rsidR="00F008D2" w:rsidRDefault="00F008D2" w:rsidP="00442634">
      <w:pPr>
        <w:pStyle w:val="EndnoteText"/>
      </w:pPr>
      <w:r>
        <w:rPr>
          <w:rStyle w:val="EndnoteReference"/>
        </w:rPr>
        <w:endnoteRef/>
      </w:r>
      <w:r>
        <w:t xml:space="preserve"> </w:t>
      </w:r>
      <w:r w:rsidRPr="001C7A0D">
        <w:t xml:space="preserve">Australian Human Rights Commission, </w:t>
      </w:r>
      <w:r>
        <w:t xml:space="preserve">Submission No 4 to </w:t>
      </w:r>
      <w:r w:rsidRPr="001C7A0D">
        <w:t>Senate Legal and Constitutional Affairs</w:t>
      </w:r>
      <w:r>
        <w:t xml:space="preserve"> Legislation Committee, </w:t>
      </w:r>
      <w:r w:rsidRPr="001C7A0D">
        <w:rPr>
          <w:i/>
        </w:rPr>
        <w:t>Inquiry into the Australian Citizenship and Other Legislation Amendment Bill 2014</w:t>
      </w:r>
      <w:r>
        <w:t>, 6 November 2014, 5 [15] &lt;</w:t>
      </w:r>
      <w:hyperlink r:id="rId79" w:history="1">
        <w:r w:rsidRPr="007B6B4B">
          <w:rPr>
            <w:rStyle w:val="Hyperlink"/>
          </w:rPr>
          <w:t>http://www.aph.gov.au/Parliamentary_Business/Committees/Senate/Legal_and_Constitutional_Affairs/Australian_Citizenship/Submissions</w:t>
        </w:r>
      </w:hyperlink>
      <w:r>
        <w:t>&gt;.</w:t>
      </w:r>
    </w:p>
  </w:endnote>
  <w:endnote w:id="120">
    <w:p w14:paraId="31C9BAA6" w14:textId="77777777" w:rsidR="00F008D2" w:rsidRDefault="00F008D2" w:rsidP="00442634">
      <w:pPr>
        <w:pStyle w:val="EndnoteText"/>
      </w:pPr>
      <w:r>
        <w:rPr>
          <w:rStyle w:val="EndnoteReference"/>
        </w:rPr>
        <w:endnoteRef/>
      </w:r>
      <w:r>
        <w:t xml:space="preserve"> </w:t>
      </w:r>
      <w:r w:rsidRPr="001C7A0D">
        <w:t>Senate Legal and Constitutional Affairs</w:t>
      </w:r>
      <w:r>
        <w:t xml:space="preserve"> Legislation Committee, </w:t>
      </w:r>
      <w:r w:rsidRPr="0029419A">
        <w:t xml:space="preserve">Parliament of Australia, </w:t>
      </w:r>
      <w:r w:rsidRPr="001C7A0D">
        <w:rPr>
          <w:i/>
        </w:rPr>
        <w:t xml:space="preserve">Australian Citizenship and Other Legislation Amendment </w:t>
      </w:r>
      <w:r w:rsidRPr="00680739">
        <w:rPr>
          <w:i/>
        </w:rPr>
        <w:t>Bill 2014 [Provisions]</w:t>
      </w:r>
      <w:r w:rsidRPr="00C94E80">
        <w:t xml:space="preserve"> </w:t>
      </w:r>
      <w:r>
        <w:t>(2015) 42 &lt;</w:t>
      </w:r>
      <w:hyperlink r:id="rId80" w:history="1">
        <w:r w:rsidRPr="00D46964">
          <w:rPr>
            <w:rStyle w:val="Hyperlink"/>
          </w:rPr>
          <w:t>http://www.aph.gov.au/Parliamentary_Business/Committees/Senate/Legal_and_Constitutional_Affairs/Australian_Citizenship/Report</w:t>
        </w:r>
      </w:hyperlink>
      <w:r>
        <w:t>&gt;.</w:t>
      </w:r>
    </w:p>
  </w:endnote>
  <w:endnote w:id="121">
    <w:p w14:paraId="230A3FA2" w14:textId="77777777" w:rsidR="00F008D2" w:rsidRDefault="00F008D2" w:rsidP="00442634">
      <w:pPr>
        <w:pStyle w:val="EndnoteText"/>
      </w:pPr>
      <w:r>
        <w:rPr>
          <w:rStyle w:val="EndnoteReference"/>
        </w:rPr>
        <w:endnoteRef/>
      </w:r>
      <w:r>
        <w:t xml:space="preserve"> </w:t>
      </w:r>
      <w:r w:rsidRPr="001C7A0D">
        <w:t>Senate Legal and Constitutional Affairs</w:t>
      </w:r>
      <w:r>
        <w:t xml:space="preserve"> Legislation Committee, </w:t>
      </w:r>
      <w:r w:rsidRPr="0029419A">
        <w:t xml:space="preserve">Parliament of Australia, </w:t>
      </w:r>
      <w:r w:rsidRPr="001C7A0D">
        <w:rPr>
          <w:i/>
        </w:rPr>
        <w:t xml:space="preserve">Australian Citizenship and Other Legislation Amendment Bill </w:t>
      </w:r>
      <w:r w:rsidRPr="00680739">
        <w:rPr>
          <w:i/>
        </w:rPr>
        <w:t>2014 [Provisions]</w:t>
      </w:r>
      <w:r w:rsidRPr="00C94E80">
        <w:t xml:space="preserve"> </w:t>
      </w:r>
      <w:r>
        <w:t>(2015) 42 [3.70] &lt;</w:t>
      </w:r>
      <w:hyperlink r:id="rId81" w:history="1">
        <w:r w:rsidRPr="00D46964">
          <w:rPr>
            <w:rStyle w:val="Hyperlink"/>
          </w:rPr>
          <w:t>http://www.aph.gov.au/Parliamentary_Business/Committees/Senate/Legal_and_Constitutional_Affairs/Australian_Citizenship/Report</w:t>
        </w:r>
      </w:hyperlink>
      <w:r>
        <w:t>&gt;.</w:t>
      </w:r>
    </w:p>
  </w:endnote>
  <w:endnote w:id="122">
    <w:p w14:paraId="5B37EEB6" w14:textId="77777777" w:rsidR="00F008D2" w:rsidRDefault="00F008D2" w:rsidP="00442634">
      <w:pPr>
        <w:pStyle w:val="EndnoteText"/>
      </w:pPr>
      <w:r>
        <w:rPr>
          <w:rStyle w:val="EndnoteReference"/>
        </w:rPr>
        <w:endnoteRef/>
      </w:r>
      <w:r>
        <w:t xml:space="preserve"> </w:t>
      </w:r>
      <w:r w:rsidRPr="00C94E80">
        <w:t xml:space="preserve">Parliamentary Joint Committee on Human Rights, Parliament of Australia, </w:t>
      </w:r>
      <w:r w:rsidRPr="00C94E80">
        <w:rPr>
          <w:i/>
        </w:rPr>
        <w:t>Twenty-fourth Report of the 44th Parliament</w:t>
      </w:r>
      <w:r w:rsidRPr="00C94E80">
        <w:t xml:space="preserve"> (2015) 2</w:t>
      </w:r>
      <w:r>
        <w:t>7 [2.7].</w:t>
      </w:r>
    </w:p>
  </w:endnote>
  <w:endnote w:id="123">
    <w:p w14:paraId="0BCD9330" w14:textId="77777777" w:rsidR="00F008D2" w:rsidRDefault="00F008D2" w:rsidP="00442634">
      <w:pPr>
        <w:pStyle w:val="EndnoteText"/>
      </w:pPr>
      <w:r>
        <w:rPr>
          <w:rStyle w:val="EndnoteReference"/>
        </w:rPr>
        <w:endnoteRef/>
      </w:r>
      <w:r>
        <w:t xml:space="preserve"> </w:t>
      </w:r>
      <w:r w:rsidRPr="00C94E80">
        <w:t xml:space="preserve">Parliamentary Joint Committee on Human Rights, Parliament of Australia, </w:t>
      </w:r>
      <w:r w:rsidRPr="00C94E80">
        <w:rPr>
          <w:i/>
        </w:rPr>
        <w:t>Twenty-fourth Report of the 44th Parliament</w:t>
      </w:r>
      <w:r w:rsidRPr="00C94E80">
        <w:t xml:space="preserve"> (2015) </w:t>
      </w:r>
      <w:r>
        <w:t xml:space="preserve">30 [2.28]–[2.29]. </w:t>
      </w:r>
    </w:p>
  </w:endnote>
  <w:endnote w:id="124">
    <w:p w14:paraId="68944E75" w14:textId="77777777" w:rsidR="00F008D2" w:rsidRDefault="00F008D2" w:rsidP="00442634">
      <w:pPr>
        <w:pStyle w:val="EndnoteText"/>
      </w:pPr>
      <w:r>
        <w:rPr>
          <w:rStyle w:val="EndnoteReference"/>
        </w:rPr>
        <w:endnoteRef/>
      </w:r>
      <w:r>
        <w:t xml:space="preserve"> </w:t>
      </w:r>
      <w:r w:rsidRPr="004052D2">
        <w:t>Parliament of Australia,</w:t>
      </w:r>
      <w:r>
        <w:t xml:space="preserve"> </w:t>
      </w:r>
      <w:r w:rsidRPr="004052D2">
        <w:rPr>
          <w:i/>
        </w:rPr>
        <w:t>Australian Citizenship and Other Legislation Amendment Bill 2014</w:t>
      </w:r>
      <w:r w:rsidRPr="00F87AE5">
        <w:rPr>
          <w:i/>
        </w:rPr>
        <w:t>: Bill Progress</w:t>
      </w:r>
      <w:r>
        <w:t xml:space="preserve"> (2014) &lt;</w:t>
      </w:r>
      <w:hyperlink r:id="rId82" w:history="1">
        <w:r w:rsidRPr="00D46964">
          <w:rPr>
            <w:rStyle w:val="Hyperlink"/>
          </w:rPr>
          <w:t>http://www.aph.gov.au/Parliamentary_Business/Bills_LEGislation/Bills_Search_Results/Result?bId=r5181</w:t>
        </w:r>
      </w:hyperlink>
      <w:r>
        <w:t>&gt;.</w:t>
      </w:r>
    </w:p>
  </w:endnote>
  <w:endnote w:id="125">
    <w:p w14:paraId="49E51774" w14:textId="77777777" w:rsidR="00F008D2" w:rsidRDefault="00F008D2" w:rsidP="000C7937">
      <w:pPr>
        <w:pStyle w:val="EndnoteText"/>
      </w:pPr>
      <w:r>
        <w:rPr>
          <w:rStyle w:val="EndnoteReference"/>
        </w:rPr>
        <w:endnoteRef/>
      </w:r>
      <w:r>
        <w:t xml:space="preserve"> </w:t>
      </w:r>
      <w:r w:rsidRPr="00941EA7">
        <w:t xml:space="preserve">Parliamentary Joint Committee on Human Rights, Parliament of Australia, </w:t>
      </w:r>
      <w:r>
        <w:rPr>
          <w:i/>
        </w:rPr>
        <w:t>Twenty-third</w:t>
      </w:r>
      <w:r w:rsidRPr="00941EA7">
        <w:rPr>
          <w:i/>
        </w:rPr>
        <w:t xml:space="preserve"> Report of the 44th Parliament</w:t>
      </w:r>
      <w:r w:rsidRPr="00941EA7">
        <w:t xml:space="preserve"> (2015) </w:t>
      </w:r>
      <w:r>
        <w:t xml:space="preserve">44. </w:t>
      </w:r>
    </w:p>
  </w:endnote>
  <w:endnote w:id="126">
    <w:p w14:paraId="74C1927B" w14:textId="77777777" w:rsidR="00F008D2" w:rsidRDefault="00F008D2" w:rsidP="000C7937">
      <w:pPr>
        <w:pStyle w:val="EndnoteText"/>
      </w:pPr>
      <w:r>
        <w:rPr>
          <w:rStyle w:val="EndnoteReference"/>
        </w:rPr>
        <w:endnoteRef/>
      </w:r>
      <w:r>
        <w:t xml:space="preserve"> </w:t>
      </w:r>
      <w:r w:rsidRPr="00941EA7">
        <w:t xml:space="preserve">Parliamentary Joint Committee on Human Rights, Parliament of Australia, </w:t>
      </w:r>
      <w:r>
        <w:rPr>
          <w:i/>
        </w:rPr>
        <w:t>Twenty-third</w:t>
      </w:r>
      <w:r w:rsidRPr="00941EA7">
        <w:rPr>
          <w:i/>
        </w:rPr>
        <w:t xml:space="preserve"> Report of the 44th Parliament</w:t>
      </w:r>
      <w:r w:rsidRPr="00941EA7">
        <w:t xml:space="preserve"> (2015) </w:t>
      </w:r>
      <w:r>
        <w:t>45 [2.151].</w:t>
      </w:r>
    </w:p>
  </w:endnote>
  <w:endnote w:id="127">
    <w:p w14:paraId="411D749E" w14:textId="77777777" w:rsidR="00F008D2" w:rsidRDefault="00F008D2" w:rsidP="000C7937">
      <w:pPr>
        <w:pStyle w:val="EndnoteText"/>
      </w:pPr>
      <w:r>
        <w:rPr>
          <w:rStyle w:val="EndnoteReference"/>
        </w:rPr>
        <w:endnoteRef/>
      </w:r>
      <w:r>
        <w:t xml:space="preserve"> </w:t>
      </w:r>
      <w:r w:rsidRPr="00F87AE5">
        <w:t xml:space="preserve">Parliamentary Joint Committee on Human Rights, Parliament of Australia, </w:t>
      </w:r>
      <w:r>
        <w:rPr>
          <w:i/>
        </w:rPr>
        <w:t>Sixteenth</w:t>
      </w:r>
      <w:r w:rsidRPr="00F87AE5">
        <w:rPr>
          <w:i/>
        </w:rPr>
        <w:t xml:space="preserve"> Report of the 44th Parliament</w:t>
      </w:r>
      <w:r w:rsidRPr="00F87AE5">
        <w:t xml:space="preserve"> (201</w:t>
      </w:r>
      <w:r>
        <w:t>4</w:t>
      </w:r>
      <w:r w:rsidRPr="00F87AE5">
        <w:t>)</w:t>
      </w:r>
      <w:r>
        <w:t xml:space="preserve"> 24 [1.97].</w:t>
      </w:r>
    </w:p>
  </w:endnote>
  <w:endnote w:id="128">
    <w:p w14:paraId="220F95A9" w14:textId="77777777" w:rsidR="00F008D2" w:rsidRDefault="00F008D2" w:rsidP="000C7937">
      <w:pPr>
        <w:pStyle w:val="EndnoteText"/>
      </w:pPr>
      <w:r>
        <w:rPr>
          <w:rStyle w:val="EndnoteReference"/>
        </w:rPr>
        <w:endnoteRef/>
      </w:r>
      <w:r>
        <w:t xml:space="preserve"> </w:t>
      </w:r>
      <w:r w:rsidRPr="004052D2">
        <w:t>Parliament of Australia,</w:t>
      </w:r>
      <w:r>
        <w:t xml:space="preserve"> </w:t>
      </w:r>
      <w:r w:rsidRPr="00E23F36">
        <w:rPr>
          <w:i/>
        </w:rPr>
        <w:t xml:space="preserve">Telecommunications Legislation Amendment (Deregulation) Bill 2014: Bill Progress </w:t>
      </w:r>
      <w:r>
        <w:t>(2014) &lt;</w:t>
      </w:r>
      <w:hyperlink r:id="rId83" w:history="1">
        <w:r w:rsidRPr="007B6B4B">
          <w:rPr>
            <w:rStyle w:val="Hyperlink"/>
          </w:rPr>
          <w:t>http://www.aph.gov.au/Parliamentary_Business/Bills_LEGislation/Bills_Search_Results/Result?bId=r5367</w:t>
        </w:r>
      </w:hyperlink>
      <w:r>
        <w:t>&gt;.</w:t>
      </w:r>
    </w:p>
  </w:endnote>
  <w:endnote w:id="129">
    <w:p w14:paraId="4AED3A14" w14:textId="77777777" w:rsidR="00F008D2" w:rsidRDefault="00F008D2" w:rsidP="000C7937">
      <w:pPr>
        <w:pStyle w:val="EndnoteText"/>
      </w:pPr>
      <w:r>
        <w:rPr>
          <w:rStyle w:val="EndnoteReference"/>
        </w:rPr>
        <w:endnoteRef/>
      </w:r>
      <w:r>
        <w:t xml:space="preserve"> </w:t>
      </w:r>
      <w:r w:rsidRPr="00941EA7">
        <w:t xml:space="preserve">Parliamentary Joint Committee on Human Rights, Parliament of Australia, </w:t>
      </w:r>
      <w:r>
        <w:rPr>
          <w:i/>
        </w:rPr>
        <w:t>Twenty-third</w:t>
      </w:r>
      <w:r w:rsidRPr="00941EA7">
        <w:rPr>
          <w:i/>
        </w:rPr>
        <w:t xml:space="preserve"> Report of the 44th Parliament</w:t>
      </w:r>
      <w:r w:rsidRPr="00941EA7">
        <w:t xml:space="preserve"> (2015) </w:t>
      </w:r>
      <w:r>
        <w:t>48 [2.163].</w:t>
      </w:r>
    </w:p>
  </w:endnote>
  <w:endnote w:id="130">
    <w:p w14:paraId="09D9E843" w14:textId="77777777" w:rsidR="00F008D2" w:rsidRDefault="00F008D2" w:rsidP="000C7937">
      <w:pPr>
        <w:pStyle w:val="EndnoteText"/>
      </w:pPr>
      <w:r>
        <w:rPr>
          <w:rStyle w:val="EndnoteReference"/>
        </w:rPr>
        <w:endnoteRef/>
      </w:r>
      <w:r>
        <w:t xml:space="preserve"> </w:t>
      </w:r>
      <w:r w:rsidRPr="00941EA7">
        <w:t xml:space="preserve">Parliamentary Joint Committee on Human Rights, Parliament of Australia, </w:t>
      </w:r>
      <w:r>
        <w:rPr>
          <w:i/>
        </w:rPr>
        <w:t>Twenty-third</w:t>
      </w:r>
      <w:r w:rsidRPr="00941EA7">
        <w:rPr>
          <w:i/>
        </w:rPr>
        <w:t xml:space="preserve"> Report of the 44th Parliament</w:t>
      </w:r>
      <w:r w:rsidRPr="00941EA7">
        <w:t xml:space="preserve"> (2015) </w:t>
      </w:r>
      <w:r>
        <w:t>48 [2.163].</w:t>
      </w:r>
    </w:p>
  </w:endnote>
  <w:endnote w:id="131">
    <w:p w14:paraId="1C92DD49" w14:textId="77777777" w:rsidR="00F008D2" w:rsidRDefault="00F008D2" w:rsidP="00442634">
      <w:pPr>
        <w:pStyle w:val="EndnoteText"/>
      </w:pPr>
      <w:r>
        <w:rPr>
          <w:rStyle w:val="EndnoteReference"/>
        </w:rPr>
        <w:endnoteRef/>
      </w:r>
      <w:r>
        <w:t xml:space="preserve"> Parliament of Australia, </w:t>
      </w:r>
      <w:r w:rsidRPr="0029419A">
        <w:rPr>
          <w:i/>
        </w:rPr>
        <w:t xml:space="preserve">Migration Amendment (Strengthening Biometrics Integrity) Bill </w:t>
      </w:r>
      <w:r w:rsidRPr="000E430C">
        <w:rPr>
          <w:i/>
        </w:rPr>
        <w:t>2015: Bill Progress</w:t>
      </w:r>
      <w:r>
        <w:t xml:space="preserve"> (2015) &lt;</w:t>
      </w:r>
      <w:hyperlink r:id="rId84" w:history="1">
        <w:r w:rsidRPr="00D46964">
          <w:rPr>
            <w:rStyle w:val="Hyperlink"/>
          </w:rPr>
          <w:t>http://www.aph.gov.au/Parliamentary_Business/Bills_LEGislation/Bills_Search_Results/Result?bId=r5421</w:t>
        </w:r>
      </w:hyperlink>
      <w:r>
        <w:t>&gt;.</w:t>
      </w:r>
    </w:p>
  </w:endnote>
  <w:endnote w:id="132">
    <w:p w14:paraId="493FF9E2"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Pr>
          <w:i/>
        </w:rPr>
        <w:t>Twenty-fifth</w:t>
      </w:r>
      <w:r w:rsidRPr="00246A31">
        <w:rPr>
          <w:i/>
        </w:rPr>
        <w:t xml:space="preserve"> Report of the 44th Parliament</w:t>
      </w:r>
      <w:r>
        <w:t xml:space="preserve"> (2015) 90 [2.78].</w:t>
      </w:r>
    </w:p>
  </w:endnote>
  <w:endnote w:id="133">
    <w:p w14:paraId="36622E11"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Pr>
          <w:i/>
        </w:rPr>
        <w:t>Twenty-fifth</w:t>
      </w:r>
      <w:r w:rsidRPr="00246A31">
        <w:rPr>
          <w:i/>
        </w:rPr>
        <w:t xml:space="preserve"> Report of the 44th Parliament</w:t>
      </w:r>
      <w:r>
        <w:t xml:space="preserve"> (2015) 82 [2.44]. </w:t>
      </w:r>
    </w:p>
  </w:endnote>
  <w:endnote w:id="134">
    <w:p w14:paraId="6F8E0948" w14:textId="77777777" w:rsidR="00F008D2" w:rsidRDefault="00F008D2" w:rsidP="00442634">
      <w:pPr>
        <w:pStyle w:val="EndnoteText"/>
      </w:pPr>
      <w:r>
        <w:rPr>
          <w:rStyle w:val="EndnoteReference"/>
        </w:rPr>
        <w:endnoteRef/>
      </w:r>
      <w:r>
        <w:t xml:space="preserve"> </w:t>
      </w:r>
      <w:r w:rsidRPr="00343FC9">
        <w:t>Senate Legal and Constitutional Affairs</w:t>
      </w:r>
      <w:r>
        <w:t xml:space="preserve"> Legislation Committee, Parliament of Australia, </w:t>
      </w:r>
      <w:r w:rsidRPr="0029419A">
        <w:rPr>
          <w:i/>
        </w:rPr>
        <w:t>Migration Amendment (Strengthening Biometrics Integrity) Bill 2015 [Provisions]</w:t>
      </w:r>
      <w:r>
        <w:t xml:space="preserve"> (2015) 1, [1.1] &lt;</w:t>
      </w:r>
      <w:hyperlink r:id="rId85" w:history="1">
        <w:r w:rsidRPr="00D46964">
          <w:rPr>
            <w:rStyle w:val="Hyperlink"/>
          </w:rPr>
          <w:t>http://www.aph.gov.au/Parliamentary_Business/Committees/Senate/Legal_and_Constitutional_Affairs/Biometrics/Report</w:t>
        </w:r>
      </w:hyperlink>
      <w:r>
        <w:t>&gt;.</w:t>
      </w:r>
    </w:p>
  </w:endnote>
  <w:endnote w:id="135">
    <w:p w14:paraId="3706F775" w14:textId="77777777" w:rsidR="00F008D2" w:rsidRDefault="00F008D2" w:rsidP="00442634">
      <w:pPr>
        <w:pStyle w:val="EndnoteText"/>
      </w:pPr>
      <w:r>
        <w:rPr>
          <w:rStyle w:val="EndnoteReference"/>
        </w:rPr>
        <w:endnoteRef/>
      </w:r>
      <w:r>
        <w:t xml:space="preserve"> </w:t>
      </w:r>
      <w:r w:rsidRPr="0029419A">
        <w:t>Senate Legal and Constitutional Affairs</w:t>
      </w:r>
      <w:r>
        <w:t xml:space="preserve"> Legislation Committee</w:t>
      </w:r>
      <w:r w:rsidRPr="0029419A">
        <w:t xml:space="preserve">, Parliament of Australia, </w:t>
      </w:r>
      <w:r w:rsidRPr="0029419A">
        <w:rPr>
          <w:i/>
        </w:rPr>
        <w:t>Migration Amendment (Strengthening Biometrics Integrity) Bill 2015 [Provisions]</w:t>
      </w:r>
      <w:r w:rsidRPr="0029419A">
        <w:t xml:space="preserve"> (2015) </w:t>
      </w:r>
      <w:r>
        <w:t>24</w:t>
      </w:r>
      <w:r w:rsidRPr="0029419A">
        <w:t>, [</w:t>
      </w:r>
      <w:r>
        <w:t>2.60</w:t>
      </w:r>
      <w:r w:rsidRPr="0029419A">
        <w:t>] &lt;</w:t>
      </w:r>
      <w:hyperlink r:id="rId86" w:history="1">
        <w:r w:rsidRPr="0029419A">
          <w:rPr>
            <w:rStyle w:val="Hyperlink"/>
          </w:rPr>
          <w:t>http://www.aph.gov.au/Parliamentary_Business/Committees/Senate/Legal_and_Constitutional_Affairs/Biometrics/Report</w:t>
        </w:r>
      </w:hyperlink>
      <w:r w:rsidRPr="0029419A">
        <w:t>&gt;.</w:t>
      </w:r>
    </w:p>
  </w:endnote>
  <w:endnote w:id="136">
    <w:p w14:paraId="2150175A" w14:textId="77777777" w:rsidR="00F008D2" w:rsidRDefault="00F008D2" w:rsidP="00442634">
      <w:pPr>
        <w:pStyle w:val="EndnoteText"/>
      </w:pPr>
      <w:r>
        <w:rPr>
          <w:rStyle w:val="EndnoteReference"/>
        </w:rPr>
        <w:endnoteRef/>
      </w:r>
      <w:r>
        <w:t xml:space="preserve"> </w:t>
      </w:r>
      <w:r w:rsidRPr="0029419A">
        <w:t>Senate Legal and Constitutional Affairs</w:t>
      </w:r>
      <w:r>
        <w:t xml:space="preserve"> Legislation Committee</w:t>
      </w:r>
      <w:r w:rsidRPr="0029419A">
        <w:t xml:space="preserve">, Parliament of Australia, </w:t>
      </w:r>
      <w:r w:rsidRPr="0029419A">
        <w:rPr>
          <w:i/>
        </w:rPr>
        <w:t>Migration Amendment (Strengthening Biometrics Integrity) Bill 2015 [Provisions]</w:t>
      </w:r>
      <w:r w:rsidRPr="0029419A">
        <w:t xml:space="preserve"> (2015) </w:t>
      </w:r>
      <w:r>
        <w:t>23</w:t>
      </w:r>
      <w:r w:rsidRPr="0029419A">
        <w:t>, [</w:t>
      </w:r>
      <w:r>
        <w:t xml:space="preserve">2.55]–[2.56]. </w:t>
      </w:r>
      <w:r w:rsidRPr="0029419A">
        <w:t>&lt;</w:t>
      </w:r>
      <w:hyperlink r:id="rId87" w:history="1">
        <w:r w:rsidRPr="0029419A">
          <w:rPr>
            <w:rStyle w:val="Hyperlink"/>
          </w:rPr>
          <w:t>http://www.aph.gov.au/Parliamentary_Business/Committees/Senate/Legal_and_Constitutional_Affairs/Biometrics/Report</w:t>
        </w:r>
      </w:hyperlink>
      <w:r w:rsidRPr="0029419A">
        <w:t>&gt;.</w:t>
      </w:r>
      <w:r>
        <w:t xml:space="preserve"> </w:t>
      </w:r>
    </w:p>
  </w:endnote>
  <w:endnote w:id="137">
    <w:p w14:paraId="189C94FD" w14:textId="77777777" w:rsidR="00F008D2" w:rsidRDefault="00F008D2" w:rsidP="00442634">
      <w:pPr>
        <w:pStyle w:val="EndnoteText"/>
      </w:pPr>
      <w:r>
        <w:rPr>
          <w:rStyle w:val="EndnoteReference"/>
        </w:rPr>
        <w:endnoteRef/>
      </w:r>
      <w:r>
        <w:t xml:space="preserve"> </w:t>
      </w:r>
      <w:r w:rsidRPr="00771215">
        <w:t>Senate Legal and Constitutional Affairs</w:t>
      </w:r>
      <w:r>
        <w:t xml:space="preserve"> Legislation Committee</w:t>
      </w:r>
      <w:r w:rsidRPr="00771215">
        <w:t xml:space="preserve">, Parliament of Australia, </w:t>
      </w:r>
      <w:r w:rsidRPr="00771215">
        <w:rPr>
          <w:i/>
        </w:rPr>
        <w:t>Migration Amendment (Strengthening Biometrics Integrity) Bill 2015 [Provisions]</w:t>
      </w:r>
      <w:r w:rsidRPr="00771215">
        <w:t xml:space="preserve"> (2015) 2</w:t>
      </w:r>
      <w:r>
        <w:t>7</w:t>
      </w:r>
      <w:r w:rsidRPr="00771215">
        <w:t>, [</w:t>
      </w:r>
      <w:r>
        <w:t>1.14</w:t>
      </w:r>
      <w:r w:rsidRPr="00771215">
        <w:t>]. &lt;</w:t>
      </w:r>
      <w:hyperlink r:id="rId88" w:history="1">
        <w:r w:rsidRPr="00771215">
          <w:rPr>
            <w:rStyle w:val="Hyperlink"/>
          </w:rPr>
          <w:t>http://www.aph.gov.au/Parliamentary_Business/Committees/Senate/Legal_and_Constitutional_Affairs/Biometrics/Report</w:t>
        </w:r>
      </w:hyperlink>
      <w:r w:rsidRPr="00771215">
        <w:t xml:space="preserve">&gt;. </w:t>
      </w:r>
    </w:p>
  </w:endnote>
  <w:endnote w:id="138">
    <w:p w14:paraId="4A0C77B7"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Pr>
          <w:i/>
        </w:rPr>
        <w:t>Twenty-fifth</w:t>
      </w:r>
      <w:r w:rsidRPr="00246A31">
        <w:rPr>
          <w:i/>
        </w:rPr>
        <w:t xml:space="preserve"> Report of the 44th Parliament</w:t>
      </w:r>
      <w:r>
        <w:t xml:space="preserve"> (2015) 93 [2.89]. </w:t>
      </w:r>
    </w:p>
  </w:endnote>
  <w:endnote w:id="139">
    <w:p w14:paraId="5B597E19" w14:textId="77777777" w:rsidR="00F008D2" w:rsidRDefault="00F008D2" w:rsidP="00442634">
      <w:pPr>
        <w:pStyle w:val="EndnoteText"/>
      </w:pPr>
      <w:r>
        <w:rPr>
          <w:rStyle w:val="EndnoteReference"/>
        </w:rPr>
        <w:endnoteRef/>
      </w:r>
      <w:r>
        <w:t xml:space="preserve"> </w:t>
      </w:r>
      <w:r w:rsidRPr="00DD1C18">
        <w:t>Parliamentary Joint Committee on Human Rights</w:t>
      </w:r>
      <w:r>
        <w:t xml:space="preserve">, Parliament of Australia, </w:t>
      </w:r>
      <w:r>
        <w:rPr>
          <w:i/>
        </w:rPr>
        <w:t>Twenty-fifth</w:t>
      </w:r>
      <w:r w:rsidRPr="00246A31">
        <w:rPr>
          <w:i/>
        </w:rPr>
        <w:t xml:space="preserve"> Report of the 44th Parliament</w:t>
      </w:r>
      <w:r>
        <w:t xml:space="preserve"> (2015) 93 [2.88]. </w:t>
      </w:r>
    </w:p>
  </w:endnote>
  <w:endnote w:id="140">
    <w:p w14:paraId="13475E06" w14:textId="77777777" w:rsidR="00F008D2" w:rsidRDefault="00F008D2" w:rsidP="00442634">
      <w:pPr>
        <w:pStyle w:val="EndnoteText"/>
      </w:pPr>
      <w:r>
        <w:rPr>
          <w:rStyle w:val="EndnoteReference"/>
        </w:rPr>
        <w:endnoteRef/>
      </w:r>
      <w:r>
        <w:t xml:space="preserve"> Parliament of Australia, </w:t>
      </w:r>
      <w:r w:rsidRPr="0029419A">
        <w:rPr>
          <w:i/>
        </w:rPr>
        <w:t>Migration Amendment (Strengthening Biometrics Integrity) Bill 2015</w:t>
      </w:r>
      <w:r w:rsidRPr="00F87AE5">
        <w:rPr>
          <w:i/>
        </w:rPr>
        <w:t>: Bill Progress</w:t>
      </w:r>
      <w:r w:rsidRPr="00FE641E">
        <w:t xml:space="preserve"> </w:t>
      </w:r>
      <w:r>
        <w:t>(2015) &lt;</w:t>
      </w:r>
      <w:hyperlink r:id="rId89" w:history="1">
        <w:r w:rsidRPr="00D46964">
          <w:rPr>
            <w:rStyle w:val="Hyperlink"/>
          </w:rPr>
          <w:t>http://www.aph.gov.au/Parliamentary_Business/Bills_LEGislation/Bills_Search_Results/Result?bId=r5421</w:t>
        </w:r>
      </w:hyperlink>
      <w:r>
        <w:t>&gt;.</w:t>
      </w:r>
    </w:p>
  </w:endnote>
  <w:endnote w:id="141">
    <w:p w14:paraId="3259AFB0" w14:textId="77777777" w:rsidR="00F008D2" w:rsidRDefault="00F008D2" w:rsidP="00442634">
      <w:pPr>
        <w:pStyle w:val="EndnoteText"/>
      </w:pPr>
      <w:r>
        <w:rPr>
          <w:rStyle w:val="EndnoteReference"/>
        </w:rPr>
        <w:endnoteRef/>
      </w:r>
      <w:r w:rsidRPr="00E23F36">
        <w:t xml:space="preserve"> </w:t>
      </w:r>
      <w:r w:rsidRPr="00F87AE5">
        <w:t xml:space="preserve">Parliamentary Joint Committee on Human Rights, Parliament of Australia, </w:t>
      </w:r>
      <w:r w:rsidRPr="00F87AE5">
        <w:rPr>
          <w:i/>
        </w:rPr>
        <w:t>Nineteenth Report of the 44th Parliament</w:t>
      </w:r>
      <w:r w:rsidRPr="00F87AE5">
        <w:t xml:space="preserve"> (2015) </w:t>
      </w:r>
      <w:r>
        <w:t xml:space="preserve">56. </w:t>
      </w:r>
    </w:p>
  </w:endnote>
  <w:endnote w:id="142">
    <w:p w14:paraId="35B5D146" w14:textId="77777777" w:rsidR="00F008D2" w:rsidRDefault="00F008D2" w:rsidP="00442634">
      <w:pPr>
        <w:pStyle w:val="EndnoteText"/>
      </w:pPr>
      <w:r>
        <w:rPr>
          <w:rStyle w:val="EndnoteReference"/>
        </w:rPr>
        <w:endnoteRef/>
      </w:r>
      <w:r>
        <w:t xml:space="preserve"> </w:t>
      </w:r>
      <w:r w:rsidRPr="00F87AE5">
        <w:t xml:space="preserve">Parliamentary Joint Committee on Human Rights, Parliament of Australia, </w:t>
      </w:r>
      <w:r w:rsidRPr="00F87AE5">
        <w:rPr>
          <w:i/>
        </w:rPr>
        <w:t>Nineteenth Report of the 44th Parliament</w:t>
      </w:r>
      <w:r w:rsidRPr="00F87AE5">
        <w:t xml:space="preserve"> (2015</w:t>
      </w:r>
      <w:r>
        <w:t>) 57 [1.248].</w:t>
      </w:r>
    </w:p>
  </w:endnote>
  <w:endnote w:id="143">
    <w:p w14:paraId="1B2A3835" w14:textId="77777777" w:rsidR="00F008D2" w:rsidRDefault="00F008D2" w:rsidP="00442634">
      <w:pPr>
        <w:pStyle w:val="EndnoteText"/>
      </w:pPr>
      <w:r>
        <w:rPr>
          <w:rStyle w:val="EndnoteReference"/>
        </w:rPr>
        <w:endnoteRef/>
      </w:r>
      <w:r>
        <w:t xml:space="preserve"> </w:t>
      </w:r>
      <w:r w:rsidRPr="004052D2">
        <w:t>Parliament of</w:t>
      </w:r>
      <w:r>
        <w:t xml:space="preserve"> </w:t>
      </w:r>
      <w:r w:rsidRPr="004052D2">
        <w:t>Australia,</w:t>
      </w:r>
      <w:r>
        <w:t xml:space="preserve"> </w:t>
      </w:r>
      <w:r w:rsidRPr="00E23F36">
        <w:rPr>
          <w:i/>
        </w:rPr>
        <w:t>Inquiry into Counter-Terrorism Legislation Amendment (Foreign Fighters) Bill 2014</w:t>
      </w:r>
      <w:r>
        <w:t xml:space="preserve"> (2014), &lt;</w:t>
      </w:r>
      <w:hyperlink r:id="rId90" w:history="1">
        <w:r w:rsidRPr="007B6B4B">
          <w:rPr>
            <w:rStyle w:val="Hyperlink"/>
          </w:rPr>
          <w:t>http://www.aph.gov.au/Parliamentary_Business/Committees/Joint/Intelligence_and_Security/Counter-Terrorism_Legislation_Amendment_Foreign_Fighters_Bill_2014</w:t>
        </w:r>
      </w:hyperlink>
      <w:r>
        <w:t xml:space="preserve">&gt;. </w:t>
      </w:r>
    </w:p>
  </w:endnote>
  <w:endnote w:id="144">
    <w:p w14:paraId="3DBB118F" w14:textId="77777777" w:rsidR="00F008D2" w:rsidRDefault="00F008D2" w:rsidP="00442634">
      <w:pPr>
        <w:pStyle w:val="EndnoteText"/>
      </w:pPr>
      <w:r>
        <w:rPr>
          <w:rStyle w:val="EndnoteReference"/>
        </w:rPr>
        <w:endnoteRef/>
      </w:r>
      <w:r>
        <w:t xml:space="preserve"> </w:t>
      </w:r>
      <w:r w:rsidRPr="00ED5BE6">
        <w:t xml:space="preserve">Australian Human Rights Commission, Submission No </w:t>
      </w:r>
      <w:r>
        <w:t xml:space="preserve">7 to </w:t>
      </w:r>
      <w:r w:rsidRPr="00E23F36">
        <w:t>Parliamentary Joint Committee on Intelligence and Security</w:t>
      </w:r>
      <w:r>
        <w:t xml:space="preserve">, </w:t>
      </w:r>
      <w:r w:rsidRPr="00E23F36">
        <w:rPr>
          <w:i/>
        </w:rPr>
        <w:t>Inquiry into the Counter-Terrorism Legislation Amendment (Foreign Fighters) Bill 2014</w:t>
      </w:r>
      <w:r>
        <w:t>,</w:t>
      </w:r>
      <w:r w:rsidRPr="00E23F36">
        <w:t xml:space="preserve"> </w:t>
      </w:r>
      <w:r>
        <w:t>2 October 2014, 19 [94] &lt;</w:t>
      </w:r>
      <w:hyperlink r:id="rId91" w:history="1">
        <w:r w:rsidRPr="007B6B4B">
          <w:rPr>
            <w:rStyle w:val="Hyperlink"/>
          </w:rPr>
          <w:t>http://www.aph.gov.au/Parliamentary_Business/Committees/Joint/Intelligence_and_Security/Counter-Terrorism_Legislation_Amendment_Foreign_Fighters_Bill_2014/Submissions</w:t>
        </w:r>
      </w:hyperlink>
      <w:r>
        <w:t>&gt;.</w:t>
      </w:r>
    </w:p>
  </w:endnote>
  <w:endnote w:id="145">
    <w:p w14:paraId="4C9D7FA7" w14:textId="77777777" w:rsidR="00F008D2" w:rsidRDefault="00F008D2" w:rsidP="00442634">
      <w:pPr>
        <w:pStyle w:val="EndnoteText"/>
      </w:pPr>
      <w:r>
        <w:rPr>
          <w:rStyle w:val="EndnoteReference"/>
        </w:rPr>
        <w:endnoteRef/>
      </w:r>
      <w:r>
        <w:t xml:space="preserve"> </w:t>
      </w:r>
      <w:r w:rsidRPr="00ED5BE6">
        <w:t xml:space="preserve">Australian Human Rights Commission, Submission No </w:t>
      </w:r>
      <w:r>
        <w:t xml:space="preserve">7 to </w:t>
      </w:r>
      <w:r w:rsidRPr="00E23F36">
        <w:t>Parliamentary Joint Committee on Intelligence and Security</w:t>
      </w:r>
      <w:r>
        <w:t xml:space="preserve">, </w:t>
      </w:r>
      <w:r w:rsidRPr="00E23F36">
        <w:rPr>
          <w:i/>
        </w:rPr>
        <w:t>Inquiry into the Counter-Terrorism Legislation Amendment (Foreign Fighters) Bill 2014</w:t>
      </w:r>
      <w:r>
        <w:t>,</w:t>
      </w:r>
      <w:r w:rsidRPr="00E23F36">
        <w:t xml:space="preserve"> </w:t>
      </w:r>
      <w:r>
        <w:t>2 October 2014, 19 [94] &lt;</w:t>
      </w:r>
      <w:hyperlink r:id="rId92" w:history="1">
        <w:r w:rsidRPr="007B6B4B">
          <w:rPr>
            <w:rStyle w:val="Hyperlink"/>
          </w:rPr>
          <w:t>http://www.aph.gov.au/Parliamentary_Business/Committees/Joint/Intelligence_and_Security/Counter-Terrorism_Legislation_Amendment_Foreign_Fighters_Bill_2014/Submissions</w:t>
        </w:r>
      </w:hyperlink>
      <w:r>
        <w:t>&gt;.</w:t>
      </w:r>
    </w:p>
  </w:endnote>
  <w:endnote w:id="146">
    <w:p w14:paraId="5137084D" w14:textId="77777777" w:rsidR="00F008D2" w:rsidRDefault="00F008D2" w:rsidP="00442634">
      <w:pPr>
        <w:pStyle w:val="EndnoteText"/>
      </w:pPr>
      <w:r>
        <w:rPr>
          <w:rStyle w:val="EndnoteReference"/>
        </w:rPr>
        <w:endnoteRef/>
      </w:r>
      <w:r>
        <w:t xml:space="preserve"> </w:t>
      </w:r>
      <w:r w:rsidRPr="00673E06">
        <w:t>Parliamentary Joint Committee on Intelligence and Security</w:t>
      </w:r>
      <w:r>
        <w:t xml:space="preserve">, </w:t>
      </w:r>
      <w:r w:rsidRPr="00F87AE5">
        <w:t xml:space="preserve">Parliament of Australia, </w:t>
      </w:r>
      <w:r w:rsidRPr="000E430C">
        <w:rPr>
          <w:i/>
        </w:rPr>
        <w:t>Advisory Report on the Counter-Terrorism Legislation Amendment (Foreign Fighters) Bill 2014</w:t>
      </w:r>
      <w:r w:rsidRPr="00673E06">
        <w:t xml:space="preserve"> </w:t>
      </w:r>
      <w:r>
        <w:t>(2014) 153 &lt;</w:t>
      </w:r>
      <w:hyperlink r:id="rId93" w:history="1">
        <w:r w:rsidRPr="007B6B4B">
          <w:rPr>
            <w:rStyle w:val="Hyperlink"/>
          </w:rPr>
          <w:t>http://www.aph.gov.au/Parliamentary_Business/Committees/Joint/Intelligence_and_Security/Counter-Terrorism_Legislation_Amendment_Foreign_Fighters_Bill_2014/Report1</w:t>
        </w:r>
      </w:hyperlink>
      <w:r>
        <w:t xml:space="preserve">&gt;. </w:t>
      </w:r>
    </w:p>
  </w:endnote>
  <w:endnote w:id="147">
    <w:p w14:paraId="47465B9F" w14:textId="77777777" w:rsidR="00F008D2" w:rsidRDefault="00F008D2" w:rsidP="00442634">
      <w:pPr>
        <w:pStyle w:val="EndnoteText"/>
      </w:pPr>
      <w:r>
        <w:rPr>
          <w:rStyle w:val="EndnoteReference"/>
        </w:rPr>
        <w:endnoteRef/>
      </w:r>
      <w:r>
        <w:t xml:space="preserve"> </w:t>
      </w:r>
      <w:r w:rsidRPr="004052D2">
        <w:t>Parliament of Australia,</w:t>
      </w:r>
      <w:r>
        <w:t xml:space="preserve"> </w:t>
      </w:r>
      <w:r w:rsidRPr="00673E06">
        <w:rPr>
          <w:i/>
        </w:rPr>
        <w:t>Counter-Terrorism Legislation Amendment (Foreign Fighters) Bill 2014: Bill Progress</w:t>
      </w:r>
      <w:r>
        <w:t xml:space="preserve"> (2014) &lt;</w:t>
      </w:r>
      <w:hyperlink r:id="rId94" w:history="1">
        <w:r w:rsidRPr="007B6B4B">
          <w:rPr>
            <w:rStyle w:val="Hyperlink"/>
          </w:rPr>
          <w:t>http://www.aph.gov.au/Parliamentary_Business/Bills_LEGislation/Bills_Search_Results/Result?bId=s976</w:t>
        </w:r>
      </w:hyperlink>
      <w:r>
        <w:t>&gt;.</w:t>
      </w:r>
    </w:p>
  </w:endnote>
  <w:endnote w:id="148">
    <w:p w14:paraId="7135C0F2" w14:textId="77777777" w:rsidR="00F008D2" w:rsidRDefault="00F008D2" w:rsidP="00442634">
      <w:pPr>
        <w:pStyle w:val="EndnoteText"/>
      </w:pPr>
      <w:r>
        <w:rPr>
          <w:rStyle w:val="EndnoteReference"/>
        </w:rPr>
        <w:endnoteRef/>
      </w:r>
      <w:r>
        <w:t xml:space="preserve"> </w:t>
      </w:r>
      <w:r w:rsidRPr="00F87AE5">
        <w:t xml:space="preserve">Parliamentary Joint Committee on Human Rights, Parliament of Australia, </w:t>
      </w:r>
      <w:r w:rsidRPr="00F87AE5">
        <w:rPr>
          <w:i/>
        </w:rPr>
        <w:t>Nineteenth Report of the 44th Parliament</w:t>
      </w:r>
      <w:r w:rsidRPr="00F87AE5">
        <w:t xml:space="preserve"> (2015</w:t>
      </w:r>
      <w:r>
        <w:t>) 94 [1.375].</w:t>
      </w:r>
    </w:p>
  </w:endnote>
  <w:endnote w:id="149">
    <w:p w14:paraId="3637EA1E" w14:textId="77777777" w:rsidR="00F008D2" w:rsidRDefault="00F008D2" w:rsidP="00442634">
      <w:pPr>
        <w:pStyle w:val="EndnoteText"/>
      </w:pPr>
      <w:r>
        <w:rPr>
          <w:rStyle w:val="EndnoteReference"/>
        </w:rPr>
        <w:endnoteRef/>
      </w:r>
      <w:r>
        <w:t xml:space="preserve"> </w:t>
      </w:r>
      <w:r w:rsidRPr="00F87AE5">
        <w:t xml:space="preserve">Parliamentary Joint Committee on Human Rights, Parliament of Australia, </w:t>
      </w:r>
      <w:r w:rsidRPr="00F87AE5">
        <w:rPr>
          <w:i/>
        </w:rPr>
        <w:t>Nineteenth Report of the 44th Parliament</w:t>
      </w:r>
      <w:r w:rsidRPr="00F87AE5">
        <w:t xml:space="preserve"> (2015</w:t>
      </w:r>
      <w:r>
        <w:t>) 94 [1.375].</w:t>
      </w:r>
    </w:p>
  </w:endnote>
  <w:endnote w:id="150">
    <w:p w14:paraId="1A1D5173" w14:textId="77777777" w:rsidR="00F008D2" w:rsidRPr="00927AEE" w:rsidRDefault="00F008D2" w:rsidP="00442634">
      <w:pPr>
        <w:pStyle w:val="EndnoteText"/>
      </w:pPr>
      <w:r>
        <w:rPr>
          <w:rStyle w:val="EndnoteReference"/>
        </w:rPr>
        <w:endnoteRef/>
      </w:r>
      <w:r>
        <w:t xml:space="preserve"> </w:t>
      </w:r>
      <w:r w:rsidRPr="00F87AE5">
        <w:t xml:space="preserve">Parliamentary Joint Committee on Human Rights, Parliament of Australia, </w:t>
      </w:r>
      <w:r w:rsidRPr="00F87AE5">
        <w:rPr>
          <w:i/>
        </w:rPr>
        <w:t xml:space="preserve">Nineteenth Report of the </w:t>
      </w:r>
      <w:r w:rsidRPr="00927AEE">
        <w:rPr>
          <w:i/>
        </w:rPr>
        <w:t>44th Parliament</w:t>
      </w:r>
      <w:r w:rsidRPr="00927AEE">
        <w:t xml:space="preserve"> (2015) 92. </w:t>
      </w:r>
    </w:p>
  </w:endnote>
  <w:endnote w:id="151">
    <w:p w14:paraId="71CA665E" w14:textId="77777777" w:rsidR="00F008D2" w:rsidRPr="00927AEE" w:rsidRDefault="00F008D2" w:rsidP="00442634">
      <w:pPr>
        <w:pStyle w:val="EndnoteText"/>
      </w:pPr>
      <w:r w:rsidRPr="00927AEE">
        <w:rPr>
          <w:rStyle w:val="EndnoteReference"/>
        </w:rPr>
        <w:endnoteRef/>
      </w:r>
      <w:r w:rsidRPr="00927AEE">
        <w:t xml:space="preserve"> </w:t>
      </w:r>
      <w:r w:rsidRPr="00927AEE">
        <w:rPr>
          <w:i/>
          <w:iCs/>
        </w:rPr>
        <w:t>Australian Human Rights Commission Act 1986</w:t>
      </w:r>
      <w:r w:rsidRPr="00927AEE">
        <w:t xml:space="preserve"> (Cth) s 31(j).</w:t>
      </w:r>
    </w:p>
  </w:endnote>
  <w:endnote w:id="152">
    <w:p w14:paraId="7CC609D3" w14:textId="77777777" w:rsidR="00F008D2" w:rsidRPr="00927AEE" w:rsidRDefault="00F008D2" w:rsidP="00442634">
      <w:pPr>
        <w:pStyle w:val="EndnoteText"/>
      </w:pPr>
      <w:r w:rsidRPr="00927AEE">
        <w:rPr>
          <w:rStyle w:val="EndnoteReference"/>
        </w:rPr>
        <w:endnoteRef/>
      </w:r>
      <w:r w:rsidRPr="00927AEE">
        <w:t xml:space="preserve"> </w:t>
      </w:r>
      <w:r w:rsidRPr="00927AEE">
        <w:rPr>
          <w:i/>
          <w:iCs/>
        </w:rPr>
        <w:t>Australian Human Rights Commission Act 1986</w:t>
      </w:r>
      <w:r w:rsidRPr="00927AEE">
        <w:t xml:space="preserve"> (Cth) s 11(1)(o).</w:t>
      </w:r>
    </w:p>
  </w:endnote>
  <w:endnote w:id="153">
    <w:p w14:paraId="5473D039" w14:textId="77777777" w:rsidR="00F008D2" w:rsidRPr="00927AEE" w:rsidRDefault="00F008D2" w:rsidP="00442634">
      <w:pPr>
        <w:pStyle w:val="EndnoteText"/>
      </w:pPr>
      <w:r w:rsidRPr="00927AEE">
        <w:rPr>
          <w:rStyle w:val="EndnoteReference"/>
        </w:rPr>
        <w:endnoteRef/>
      </w:r>
      <w:r w:rsidRPr="00927AEE">
        <w:t xml:space="preserve"> Australian Human Rights Commission, </w:t>
      </w:r>
      <w:r w:rsidRPr="00927AEE">
        <w:rPr>
          <w:i/>
        </w:rPr>
        <w:t>Intervention in court proceedings: The Australian Human Rights Commission Guidelines</w:t>
      </w:r>
      <w:r w:rsidRPr="00927AEE">
        <w:t xml:space="preserve"> (2009)</w:t>
      </w:r>
    </w:p>
    <w:p w14:paraId="7A07FC2F" w14:textId="77777777" w:rsidR="00F008D2" w:rsidRPr="00927AEE" w:rsidRDefault="00F008D2" w:rsidP="00442634">
      <w:pPr>
        <w:pStyle w:val="EndnoteText"/>
      </w:pPr>
      <w:r w:rsidRPr="00927AEE">
        <w:t>&lt;</w:t>
      </w:r>
      <w:hyperlink r:id="rId95" w:history="1">
        <w:r w:rsidRPr="00927AEE">
          <w:rPr>
            <w:rStyle w:val="Hyperlink"/>
          </w:rPr>
          <w:t>https://www.humanrights.gov.au/intervention-court-proceedings-australian-human-rights-commission-guidelines</w:t>
        </w:r>
      </w:hyperlink>
      <w:r w:rsidRPr="00927AEE">
        <w:t>&gt;.</w:t>
      </w:r>
    </w:p>
  </w:endnote>
  <w:endnote w:id="154">
    <w:p w14:paraId="1F62A358" w14:textId="77777777" w:rsidR="00F008D2" w:rsidRPr="00927AEE" w:rsidRDefault="00F008D2" w:rsidP="00442634">
      <w:pPr>
        <w:pStyle w:val="EndnoteText"/>
      </w:pPr>
      <w:r w:rsidRPr="00927AEE">
        <w:rPr>
          <w:rStyle w:val="EndnoteReference"/>
        </w:rPr>
        <w:endnoteRef/>
      </w:r>
      <w:r w:rsidRPr="00927AEE">
        <w:t xml:space="preserve"> </w:t>
      </w:r>
      <w:r w:rsidRPr="00927AEE">
        <w:rPr>
          <w:i/>
        </w:rPr>
        <w:t>Bateman &amp; Kavan</w:t>
      </w:r>
      <w:r w:rsidRPr="00927AEE">
        <w:t xml:space="preserve"> [2014] FCCA 2521, [9].</w:t>
      </w:r>
    </w:p>
  </w:endnote>
  <w:endnote w:id="155">
    <w:p w14:paraId="26211BA5" w14:textId="77777777" w:rsidR="00F008D2" w:rsidRPr="00927AEE" w:rsidRDefault="00F008D2" w:rsidP="00442634">
      <w:pPr>
        <w:pStyle w:val="EndnoteText"/>
      </w:pPr>
      <w:r w:rsidRPr="00927AEE">
        <w:rPr>
          <w:rStyle w:val="EndnoteReference"/>
        </w:rPr>
        <w:endnoteRef/>
      </w:r>
      <w:r w:rsidRPr="00927AEE">
        <w:t xml:space="preserve"> </w:t>
      </w:r>
      <w:r w:rsidRPr="00927AEE">
        <w:rPr>
          <w:i/>
        </w:rPr>
        <w:t>Bateman &amp; Kavan</w:t>
      </w:r>
      <w:r w:rsidRPr="00927AEE">
        <w:t xml:space="preserve"> [2014] FCCA 2521, [9].</w:t>
      </w:r>
    </w:p>
  </w:endnote>
  <w:endnote w:id="156">
    <w:p w14:paraId="5F2E5704" w14:textId="77777777" w:rsidR="00F008D2" w:rsidRPr="00927AEE" w:rsidRDefault="00F008D2" w:rsidP="00442634">
      <w:pPr>
        <w:pStyle w:val="EndnoteText"/>
      </w:pPr>
      <w:r w:rsidRPr="00927AEE">
        <w:rPr>
          <w:rStyle w:val="EndnoteReference"/>
        </w:rPr>
        <w:endnoteRef/>
      </w:r>
      <w:r w:rsidRPr="00927AEE">
        <w:t xml:space="preserve"> </w:t>
      </w:r>
      <w:r w:rsidRPr="00927AEE">
        <w:rPr>
          <w:i/>
        </w:rPr>
        <w:t>Bateman &amp; Kavan</w:t>
      </w:r>
      <w:r w:rsidRPr="00927AEE">
        <w:t xml:space="preserve"> [2014] FCCA 2521, [12].</w:t>
      </w:r>
    </w:p>
  </w:endnote>
  <w:endnote w:id="157">
    <w:p w14:paraId="0FCD18A3" w14:textId="77777777" w:rsidR="00F008D2" w:rsidRPr="00927AEE" w:rsidRDefault="00F008D2" w:rsidP="00442634">
      <w:pPr>
        <w:pStyle w:val="EndnoteText"/>
      </w:pPr>
      <w:r w:rsidRPr="00927AEE">
        <w:rPr>
          <w:rStyle w:val="EndnoteReference"/>
        </w:rPr>
        <w:endnoteRef/>
      </w:r>
      <w:r w:rsidRPr="00927AEE">
        <w:t xml:space="preserve"> </w:t>
      </w:r>
      <w:r w:rsidRPr="00927AEE">
        <w:rPr>
          <w:i/>
        </w:rPr>
        <w:t>Bateman &amp; Kavan</w:t>
      </w:r>
      <w:r w:rsidRPr="00927AEE">
        <w:t xml:space="preserve"> [2014] FCCA 2521, [81]–[92].</w:t>
      </w:r>
    </w:p>
  </w:endnote>
  <w:endnote w:id="158">
    <w:p w14:paraId="4A36D312" w14:textId="77777777" w:rsidR="00F008D2" w:rsidRDefault="00F008D2" w:rsidP="00442634">
      <w:pPr>
        <w:pStyle w:val="EndnoteText"/>
      </w:pPr>
      <w:r w:rsidRPr="00927AEE">
        <w:rPr>
          <w:rStyle w:val="EndnoteReference"/>
        </w:rPr>
        <w:endnoteRef/>
      </w:r>
      <w:r w:rsidRPr="00927AEE">
        <w:t xml:space="preserve"> Parliamentary Joint Committee on Human Rights, Parliament</w:t>
      </w:r>
      <w:r w:rsidRPr="00CB7BF8">
        <w:t xml:space="preserve"> of Australia, </w:t>
      </w:r>
      <w:r w:rsidRPr="00CB7BF8">
        <w:rPr>
          <w:i/>
        </w:rPr>
        <w:t>Guidance Note 1 - Drafting Statements of Compatibility</w:t>
      </w:r>
      <w:r w:rsidRPr="00CB7BF8">
        <w:t xml:space="preserve"> (2014) 3</w:t>
      </w:r>
      <w:r>
        <w:t xml:space="preserve"> &lt;</w:t>
      </w:r>
      <w:hyperlink r:id="rId96" w:history="1">
        <w:r w:rsidRPr="007B6B4B">
          <w:rPr>
            <w:rStyle w:val="Hyperlink"/>
          </w:rPr>
          <w:t>http://www.aph.gov.au/Parliamentary_Business/Committees/Joint/Human_Rights/Guidance_Notes_and_Resources</w:t>
        </w:r>
      </w:hyperlink>
      <w:r>
        <w:t>&gt;.</w:t>
      </w:r>
    </w:p>
  </w:endnote>
  <w:endnote w:id="159">
    <w:p w14:paraId="344C39AC" w14:textId="77777777" w:rsidR="00F008D2" w:rsidRDefault="00F008D2" w:rsidP="00442634">
      <w:pPr>
        <w:pStyle w:val="EndnoteText"/>
      </w:pPr>
      <w:r>
        <w:rPr>
          <w:rStyle w:val="EndnoteReference"/>
        </w:rPr>
        <w:endnoteRef/>
      </w:r>
      <w:r>
        <w:t xml:space="preserve"> </w:t>
      </w:r>
      <w:r w:rsidRPr="00CB7BF8">
        <w:t xml:space="preserve">Parliamentary Joint Committee on Human Rights, Parliament of Australia, </w:t>
      </w:r>
      <w:r w:rsidRPr="00CB7BF8">
        <w:rPr>
          <w:i/>
        </w:rPr>
        <w:t>Guidance Note 1 - Drafting Statements of Compatibility</w:t>
      </w:r>
      <w:r w:rsidRPr="00CB7BF8">
        <w:t xml:space="preserve"> (2014) 3</w:t>
      </w:r>
      <w:r>
        <w:t xml:space="preserve"> &lt;</w:t>
      </w:r>
      <w:hyperlink r:id="rId97" w:history="1">
        <w:r w:rsidRPr="007B6B4B">
          <w:rPr>
            <w:rStyle w:val="Hyperlink"/>
          </w:rPr>
          <w:t>http://www.aph.gov.au/Parliamentary_Business/Committees/Joint/Human_Rights/Guidance_Notes_and_Resources</w:t>
        </w:r>
      </w:hyperlink>
      <w:r>
        <w:t>&gt;.</w:t>
      </w:r>
    </w:p>
  </w:endnote>
  <w:endnote w:id="160">
    <w:p w14:paraId="6B4D570B" w14:textId="77777777" w:rsidR="00F008D2" w:rsidRPr="005B2362" w:rsidRDefault="00F008D2" w:rsidP="00AA3994">
      <w:pPr>
        <w:spacing w:before="0" w:after="0"/>
        <w:rPr>
          <w:rFonts w:cs="Arial"/>
          <w:sz w:val="20"/>
          <w:szCs w:val="20"/>
        </w:rPr>
      </w:pPr>
      <w:r w:rsidRPr="005B2362">
        <w:rPr>
          <w:rStyle w:val="EndnoteReference"/>
          <w:rFonts w:cs="Arial"/>
          <w:szCs w:val="20"/>
        </w:rPr>
        <w:endnoteRef/>
      </w:r>
      <w:r w:rsidRPr="005B2362">
        <w:rPr>
          <w:rFonts w:cs="Arial"/>
          <w:sz w:val="20"/>
          <w:szCs w:val="20"/>
        </w:rPr>
        <w:t xml:space="preserve"> Office of the Children’s Commissioner and Amplify,</w:t>
      </w:r>
      <w:r w:rsidRPr="005B2362">
        <w:rPr>
          <w:rFonts w:cs="Arial"/>
          <w:i/>
          <w:sz w:val="20"/>
          <w:szCs w:val="20"/>
        </w:rPr>
        <w:t xml:space="preserve"> Children, young people and the commercial world</w:t>
      </w:r>
      <w:r w:rsidRPr="005B2362">
        <w:rPr>
          <w:rFonts w:cs="Arial"/>
          <w:sz w:val="20"/>
          <w:szCs w:val="20"/>
        </w:rPr>
        <w:t xml:space="preserve"> (2011) 3.</w:t>
      </w:r>
    </w:p>
  </w:endnote>
  <w:endnote w:id="161">
    <w:p w14:paraId="11113FDA" w14:textId="77777777" w:rsidR="00F008D2" w:rsidRPr="005B2362" w:rsidRDefault="00F008D2" w:rsidP="00AA3994">
      <w:pPr>
        <w:pStyle w:val="EndnoteText"/>
        <w:rPr>
          <w:rFonts w:cs="Arial"/>
        </w:rPr>
      </w:pPr>
      <w:r w:rsidRPr="005B2362">
        <w:rPr>
          <w:rStyle w:val="EndnoteReference"/>
          <w:rFonts w:cs="Arial"/>
        </w:rPr>
        <w:endnoteRef/>
      </w:r>
      <w:r>
        <w:rPr>
          <w:rFonts w:cs="Arial"/>
        </w:rPr>
        <w:t xml:space="preserve"> 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CRC/C/GC/16 (</w:t>
      </w:r>
      <w:r>
        <w:rPr>
          <w:rFonts w:cs="Arial"/>
        </w:rPr>
        <w:t xml:space="preserve">17 </w:t>
      </w:r>
      <w:r w:rsidRPr="005B2362">
        <w:rPr>
          <w:rFonts w:cs="Arial"/>
        </w:rPr>
        <w:t xml:space="preserve">April 2013) </w:t>
      </w:r>
      <w:r>
        <w:rPr>
          <w:rFonts w:cs="Arial"/>
        </w:rPr>
        <w:t>[</w:t>
      </w:r>
      <w:r w:rsidRPr="005B2362">
        <w:rPr>
          <w:rFonts w:cs="Arial"/>
        </w:rPr>
        <w:t>1</w:t>
      </w:r>
      <w:r>
        <w:rPr>
          <w:rFonts w:cs="Arial"/>
        </w:rPr>
        <w:t>]</w:t>
      </w:r>
      <w:r w:rsidRPr="005B2362">
        <w:rPr>
          <w:rFonts w:cs="Arial"/>
        </w:rPr>
        <w:t>.</w:t>
      </w:r>
    </w:p>
  </w:endnote>
  <w:endnote w:id="162">
    <w:p w14:paraId="5DCB559A"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A45DF8">
        <w:rPr>
          <w:rFonts w:cs="Arial"/>
        </w:rPr>
        <w:t xml:space="preserve">Human Rights Council, </w:t>
      </w:r>
      <w:r w:rsidRPr="00A45DF8">
        <w:rPr>
          <w:rFonts w:cs="Arial"/>
          <w:i/>
        </w:rPr>
        <w:t>Guiding Principles on Business and Human Rights: Implementing the United Nations “Protect, Respect and Remedy” Framework,</w:t>
      </w:r>
      <w:r w:rsidRPr="00A45DF8">
        <w:rPr>
          <w:rFonts w:cs="Arial"/>
        </w:rPr>
        <w:t xml:space="preserve"> UN GAOR, 17</w:t>
      </w:r>
      <w:r w:rsidRPr="00A45DF8">
        <w:rPr>
          <w:rFonts w:cs="Arial"/>
          <w:vertAlign w:val="superscript"/>
        </w:rPr>
        <w:t>th</w:t>
      </w:r>
      <w:r w:rsidRPr="00A45DF8">
        <w:rPr>
          <w:rFonts w:cs="Arial"/>
        </w:rPr>
        <w:t xml:space="preserve"> sess, Agenda Item 3, UN Doc A/HRC/17/31 (21 March 2011) </w:t>
      </w:r>
      <w:r>
        <w:rPr>
          <w:rFonts w:cs="Arial"/>
        </w:rPr>
        <w:t>[</w:t>
      </w:r>
      <w:r w:rsidRPr="00A45DF8">
        <w:rPr>
          <w:rFonts w:cs="Arial"/>
        </w:rPr>
        <w:t>1</w:t>
      </w:r>
      <w:r>
        <w:rPr>
          <w:rFonts w:cs="Arial"/>
        </w:rPr>
        <w:t>]</w:t>
      </w:r>
      <w:r w:rsidRPr="00A45DF8">
        <w:rPr>
          <w:rFonts w:cs="Arial"/>
        </w:rPr>
        <w:t>.</w:t>
      </w:r>
    </w:p>
  </w:endnote>
  <w:endnote w:id="163">
    <w:p w14:paraId="7FA6B404" w14:textId="04308E81" w:rsidR="00F008D2" w:rsidRDefault="00F008D2">
      <w:pPr>
        <w:pStyle w:val="EndnoteText"/>
      </w:pPr>
      <w:r>
        <w:rPr>
          <w:rStyle w:val="EndnoteReference"/>
        </w:rPr>
        <w:endnoteRef/>
      </w:r>
      <w:r>
        <w:t xml:space="preserve"> Human Rights Council,</w:t>
      </w:r>
      <w:r>
        <w:rPr>
          <w:lang w:val="en-GB"/>
        </w:rPr>
        <w:t xml:space="preserve"> </w:t>
      </w:r>
      <w:r w:rsidRPr="00BE0641">
        <w:rPr>
          <w:i/>
          <w:lang w:val="en-GB"/>
        </w:rPr>
        <w:t>Guiding Principles on Business and Human Rights: Implementing the United Nations ‘Protect, Respect and Remedy’ Framework</w:t>
      </w:r>
      <w:r>
        <w:rPr>
          <w:lang w:val="en-GB"/>
        </w:rPr>
        <w:t xml:space="preserve">, </w:t>
      </w:r>
      <w:r w:rsidRPr="00A45DF8">
        <w:rPr>
          <w:rFonts w:cs="Arial"/>
        </w:rPr>
        <w:t>UN GAOR, 17</w:t>
      </w:r>
      <w:r w:rsidRPr="00A45DF8">
        <w:rPr>
          <w:rFonts w:cs="Arial"/>
          <w:vertAlign w:val="superscript"/>
        </w:rPr>
        <w:t>th</w:t>
      </w:r>
      <w:r w:rsidRPr="00A45DF8">
        <w:rPr>
          <w:rFonts w:cs="Arial"/>
        </w:rPr>
        <w:t xml:space="preserve"> sess, Agenda Item 3, UN Doc A/HRC/17/31 (21 March 2011</w:t>
      </w:r>
      <w:r>
        <w:rPr>
          <w:rFonts w:cs="Arial"/>
        </w:rPr>
        <w:t>)</w:t>
      </w:r>
      <w:r>
        <w:rPr>
          <w:lang w:val="en-GB"/>
        </w:rPr>
        <w:t>.</w:t>
      </w:r>
    </w:p>
  </w:endnote>
  <w:endnote w:id="164">
    <w:p w14:paraId="5C9FD2C1"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UNICEF, </w:t>
      </w:r>
      <w:r w:rsidRPr="00B860A4">
        <w:rPr>
          <w:rFonts w:cs="Arial"/>
        </w:rPr>
        <w:t>The Global Compact</w:t>
      </w:r>
      <w:r>
        <w:rPr>
          <w:rFonts w:cs="Arial"/>
        </w:rPr>
        <w:t>, Save the Children,</w:t>
      </w:r>
      <w:r w:rsidRPr="00B860A4" w:rsidDel="00116E10">
        <w:rPr>
          <w:rFonts w:cs="Arial"/>
          <w:i/>
        </w:rPr>
        <w:t xml:space="preserve"> </w:t>
      </w:r>
      <w:r w:rsidRPr="00B860A4">
        <w:rPr>
          <w:rFonts w:cs="Arial"/>
          <w:i/>
        </w:rPr>
        <w:t>Children’s Rights and Business Principles</w:t>
      </w:r>
      <w:r w:rsidRPr="005B2362">
        <w:rPr>
          <w:rFonts w:cs="Arial"/>
        </w:rPr>
        <w:t xml:space="preserve"> (2012)</w:t>
      </w:r>
      <w:r>
        <w:rPr>
          <w:rFonts w:cs="Arial"/>
        </w:rPr>
        <w:t xml:space="preserve"> </w:t>
      </w:r>
      <w:r w:rsidRPr="005B2362">
        <w:rPr>
          <w:rFonts w:cs="Arial"/>
        </w:rPr>
        <w:t>5.</w:t>
      </w:r>
    </w:p>
  </w:endnote>
  <w:endnote w:id="165">
    <w:p w14:paraId="7A651FD5" w14:textId="77777777" w:rsidR="00F008D2" w:rsidRDefault="00F008D2" w:rsidP="00AA3994">
      <w:pPr>
        <w:pStyle w:val="EndnoteText"/>
      </w:pPr>
      <w:r>
        <w:rPr>
          <w:rStyle w:val="EndnoteReference"/>
        </w:rPr>
        <w:endnoteRef/>
      </w:r>
      <w:r>
        <w:t xml:space="preserve"> </w:t>
      </w:r>
      <w:r w:rsidRPr="00A45DF8">
        <w:rPr>
          <w:rFonts w:cs="Arial"/>
        </w:rPr>
        <w:t>UNICEF, The Global Compact, Save the Children,</w:t>
      </w:r>
      <w:r w:rsidRPr="00A45DF8" w:rsidDel="00116E10">
        <w:rPr>
          <w:rFonts w:cs="Arial"/>
          <w:i/>
        </w:rPr>
        <w:t xml:space="preserve"> </w:t>
      </w:r>
      <w:r w:rsidRPr="00A45DF8">
        <w:rPr>
          <w:rFonts w:cs="Arial"/>
          <w:i/>
        </w:rPr>
        <w:t>Children’s Rights and Business Principles</w:t>
      </w:r>
      <w:r w:rsidRPr="00A45DF8">
        <w:rPr>
          <w:rFonts w:cs="Arial"/>
        </w:rPr>
        <w:t xml:space="preserve"> (2012) 5.</w:t>
      </w:r>
    </w:p>
  </w:endnote>
  <w:endnote w:id="166">
    <w:p w14:paraId="148339E6"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CRC/C/GC/16 (</w:t>
      </w:r>
      <w:r>
        <w:rPr>
          <w:rFonts w:cs="Arial"/>
        </w:rPr>
        <w:t xml:space="preserve">17 </w:t>
      </w:r>
      <w:r w:rsidRPr="005B2362">
        <w:rPr>
          <w:rFonts w:cs="Arial"/>
        </w:rPr>
        <w:t>Apr</w:t>
      </w:r>
      <w:r>
        <w:rPr>
          <w:rFonts w:cs="Arial"/>
        </w:rPr>
        <w:t>il 2013).</w:t>
      </w:r>
    </w:p>
  </w:endnote>
  <w:endnote w:id="167">
    <w:p w14:paraId="0950E86D"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CRC/C/GC/16 (</w:t>
      </w:r>
      <w:r>
        <w:rPr>
          <w:rFonts w:cs="Arial"/>
        </w:rPr>
        <w:t xml:space="preserve">17 </w:t>
      </w:r>
      <w:r w:rsidRPr="005B2362">
        <w:rPr>
          <w:rFonts w:cs="Arial"/>
        </w:rPr>
        <w:t>Apr</w:t>
      </w:r>
      <w:r>
        <w:rPr>
          <w:rFonts w:cs="Arial"/>
        </w:rPr>
        <w:t>il 2013) [45(c)–85].</w:t>
      </w:r>
    </w:p>
  </w:endnote>
  <w:endnote w:id="168">
    <w:p w14:paraId="7FF15617" w14:textId="77777777" w:rsidR="00F008D2" w:rsidRDefault="00F008D2" w:rsidP="00AA3994">
      <w:pPr>
        <w:pStyle w:val="EndnoteText"/>
      </w:pPr>
      <w:r>
        <w:rPr>
          <w:rStyle w:val="EndnoteReference"/>
        </w:rPr>
        <w:endnoteRef/>
      </w:r>
      <w:r>
        <w:t xml:space="preserve"> </w:t>
      </w:r>
      <w:r w:rsidRPr="00A45DF8">
        <w:rPr>
          <w:rFonts w:cs="Arial"/>
        </w:rPr>
        <w:t xml:space="preserve">A general comment is when a treaty body (here the Committee on the Rights of the Child) publishes its interpretation of the provisions of its human rights treaty (here the Convention on the Rights of the Child). It is of persuasive rather than binding status. See </w:t>
      </w:r>
      <w:r w:rsidRPr="00A45DF8">
        <w:rPr>
          <w:rStyle w:val="selectable"/>
          <w:rFonts w:cs="Arial"/>
          <w:color w:val="000000"/>
          <w:lang w:val="en"/>
        </w:rPr>
        <w:t xml:space="preserve">OHCHR, </w:t>
      </w:r>
      <w:r w:rsidRPr="00A45DF8">
        <w:rPr>
          <w:rStyle w:val="selectable"/>
          <w:rFonts w:cs="Arial"/>
          <w:i/>
          <w:iCs/>
          <w:color w:val="000000"/>
          <w:lang w:val="en"/>
        </w:rPr>
        <w:t>Human Rights Treaty Bodies - General Comments</w:t>
      </w:r>
      <w:r w:rsidRPr="00A45DF8">
        <w:rPr>
          <w:rStyle w:val="selectable"/>
          <w:rFonts w:cs="Arial"/>
          <w:color w:val="000000"/>
          <w:lang w:val="en"/>
        </w:rPr>
        <w:t xml:space="preserve"> (2015) &lt;</w:t>
      </w:r>
      <w:hyperlink r:id="rId98" w:history="1">
        <w:r w:rsidRPr="00C76F3E">
          <w:rPr>
            <w:rStyle w:val="Hyperlink"/>
            <w:rFonts w:cs="Arial"/>
            <w:lang w:val="en"/>
          </w:rPr>
          <w:t>http://www.ohchr.org/EN/HRBodies/Pages/TBGeneralComments.aspx</w:t>
        </w:r>
      </w:hyperlink>
      <w:r w:rsidRPr="00A45DF8">
        <w:rPr>
          <w:rStyle w:val="selectable"/>
          <w:rFonts w:cs="Arial"/>
          <w:color w:val="000000"/>
          <w:lang w:val="en"/>
        </w:rPr>
        <w:t>&gt;.</w:t>
      </w:r>
    </w:p>
  </w:endnote>
  <w:endnote w:id="169">
    <w:p w14:paraId="6880AEE8"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UNICEF, </w:t>
      </w:r>
      <w:r w:rsidRPr="00B860A4">
        <w:rPr>
          <w:rFonts w:cs="Arial"/>
        </w:rPr>
        <w:t>The Global Compact</w:t>
      </w:r>
      <w:r>
        <w:rPr>
          <w:rFonts w:cs="Arial"/>
        </w:rPr>
        <w:t>, Save the Children,</w:t>
      </w:r>
      <w:r w:rsidRPr="00B860A4" w:rsidDel="00116E10">
        <w:rPr>
          <w:rFonts w:cs="Arial"/>
          <w:i/>
        </w:rPr>
        <w:t xml:space="preserve"> </w:t>
      </w:r>
      <w:r w:rsidRPr="00B860A4">
        <w:rPr>
          <w:rFonts w:cs="Arial"/>
          <w:i/>
        </w:rPr>
        <w:t>Children’s Rights and Business Principles</w:t>
      </w:r>
      <w:r w:rsidRPr="005B2362">
        <w:rPr>
          <w:rFonts w:cs="Arial"/>
        </w:rPr>
        <w:t xml:space="preserve"> (2012)</w:t>
      </w:r>
      <w:r>
        <w:rPr>
          <w:rFonts w:cs="Arial"/>
        </w:rPr>
        <w:t xml:space="preserve"> </w:t>
      </w:r>
      <w:r w:rsidRPr="005B2362">
        <w:rPr>
          <w:rFonts w:cs="Arial"/>
        </w:rPr>
        <w:t>12.</w:t>
      </w:r>
    </w:p>
  </w:endnote>
  <w:endnote w:id="170">
    <w:p w14:paraId="2BC2F28B"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w:t>
      </w:r>
      <w:r>
        <w:rPr>
          <w:rFonts w:cs="Arial"/>
        </w:rPr>
        <w:t>RC/C/GC/16 (April 2013) [12].</w:t>
      </w:r>
    </w:p>
  </w:endnote>
  <w:endnote w:id="171">
    <w:p w14:paraId="70DF866D" w14:textId="77777777" w:rsidR="00F008D2" w:rsidRPr="005B2362" w:rsidRDefault="00F008D2" w:rsidP="00AA3994">
      <w:pPr>
        <w:pStyle w:val="EndnoteText"/>
        <w:rPr>
          <w:rFonts w:cs="Arial"/>
        </w:rPr>
      </w:pPr>
      <w:r w:rsidRPr="005B2362">
        <w:rPr>
          <w:rStyle w:val="EndnoteReference"/>
          <w:rFonts w:cs="Arial"/>
        </w:rPr>
        <w:endnoteRef/>
      </w:r>
      <w:r>
        <w:rPr>
          <w:rFonts w:cs="Arial"/>
        </w:rPr>
        <w:t xml:space="preserve"> </w:t>
      </w:r>
      <w:r w:rsidRPr="005B2362">
        <w:rPr>
          <w:rFonts w:cs="Arial"/>
        </w:rPr>
        <w:t xml:space="preserve">Tara Collins, </w:t>
      </w:r>
      <w:r>
        <w:rPr>
          <w:rFonts w:cs="Arial"/>
        </w:rPr>
        <w:t>‘</w:t>
      </w:r>
      <w:r w:rsidRPr="005B2362">
        <w:rPr>
          <w:rFonts w:cs="Arial"/>
        </w:rPr>
        <w:t xml:space="preserve">The relationship between children’s rights and business’ (2014) 18(6) </w:t>
      </w:r>
      <w:r w:rsidRPr="005B2362">
        <w:rPr>
          <w:rFonts w:cs="Arial"/>
          <w:i/>
        </w:rPr>
        <w:t>The International Journal of Human Rights</w:t>
      </w:r>
      <w:r>
        <w:rPr>
          <w:rFonts w:cs="Arial"/>
          <w:i/>
        </w:rPr>
        <w:t xml:space="preserve">, </w:t>
      </w:r>
      <w:r w:rsidRPr="005B2362">
        <w:rPr>
          <w:rFonts w:cs="Arial"/>
        </w:rPr>
        <w:t>583.</w:t>
      </w:r>
    </w:p>
  </w:endnote>
  <w:endnote w:id="172">
    <w:p w14:paraId="4A34EBD3" w14:textId="77777777" w:rsidR="00F008D2" w:rsidRPr="005468F3" w:rsidRDefault="00F008D2" w:rsidP="00AA3994">
      <w:pPr>
        <w:pStyle w:val="EndnoteText"/>
        <w:rPr>
          <w:rFonts w:cs="Arial"/>
        </w:rPr>
      </w:pPr>
      <w:r w:rsidRPr="005B2362">
        <w:rPr>
          <w:rStyle w:val="EndnoteReference"/>
          <w:rFonts w:cs="Arial"/>
        </w:rPr>
        <w:endnoteRef/>
      </w:r>
      <w:r w:rsidRPr="005B2362">
        <w:rPr>
          <w:rFonts w:cs="Arial"/>
        </w:rPr>
        <w:t xml:space="preserve"> Tara Collins, </w:t>
      </w:r>
      <w:r>
        <w:rPr>
          <w:rFonts w:cs="Arial"/>
        </w:rPr>
        <w:t>‘</w:t>
      </w:r>
      <w:r w:rsidRPr="005B2362">
        <w:rPr>
          <w:rFonts w:cs="Arial"/>
        </w:rPr>
        <w:t xml:space="preserve">The relationship between children’s rights and business’ (2014) 18(6) </w:t>
      </w:r>
      <w:r w:rsidRPr="005B2362">
        <w:rPr>
          <w:rFonts w:cs="Arial"/>
          <w:i/>
        </w:rPr>
        <w:t>The International Journal of Human Rights</w:t>
      </w:r>
      <w:r>
        <w:rPr>
          <w:rFonts w:cs="Arial"/>
          <w:i/>
        </w:rPr>
        <w:t xml:space="preserve">, </w:t>
      </w:r>
      <w:r w:rsidRPr="005B2362">
        <w:rPr>
          <w:rFonts w:cs="Arial"/>
        </w:rPr>
        <w:t>583.</w:t>
      </w:r>
    </w:p>
  </w:endnote>
  <w:endnote w:id="173">
    <w:p w14:paraId="6B47CA9A"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UNICEF, </w:t>
      </w:r>
      <w:r w:rsidRPr="00B860A4">
        <w:rPr>
          <w:rFonts w:cs="Arial"/>
        </w:rPr>
        <w:t>The Global Compact</w:t>
      </w:r>
      <w:r>
        <w:rPr>
          <w:rFonts w:cs="Arial"/>
        </w:rPr>
        <w:t>, Save the Children,</w:t>
      </w:r>
      <w:r w:rsidRPr="00B860A4" w:rsidDel="00116E10">
        <w:rPr>
          <w:rFonts w:cs="Arial"/>
          <w:i/>
        </w:rPr>
        <w:t xml:space="preserve"> </w:t>
      </w:r>
      <w:r w:rsidRPr="00B860A4">
        <w:rPr>
          <w:rFonts w:cs="Arial"/>
          <w:i/>
        </w:rPr>
        <w:t>Children’s Rights and Business Principles</w:t>
      </w:r>
      <w:r w:rsidRPr="005B2362">
        <w:rPr>
          <w:rFonts w:cs="Arial"/>
        </w:rPr>
        <w:t xml:space="preserve"> (2012)</w:t>
      </w:r>
      <w:r>
        <w:rPr>
          <w:rFonts w:cs="Arial"/>
        </w:rPr>
        <w:t xml:space="preserve"> </w:t>
      </w:r>
      <w:r w:rsidRPr="005B2362">
        <w:rPr>
          <w:rFonts w:cs="Arial"/>
        </w:rPr>
        <w:t>2.</w:t>
      </w:r>
    </w:p>
  </w:endnote>
  <w:endnote w:id="174">
    <w:p w14:paraId="3C3464B1" w14:textId="77777777" w:rsidR="00F008D2" w:rsidRPr="005B2362" w:rsidRDefault="00F008D2" w:rsidP="00AA3994">
      <w:pPr>
        <w:pStyle w:val="EndnoteText"/>
        <w:rPr>
          <w:rFonts w:cs="Arial"/>
        </w:rPr>
      </w:pPr>
      <w:r w:rsidRPr="005B2362">
        <w:rPr>
          <w:rStyle w:val="EndnoteReference"/>
          <w:rFonts w:cs="Arial"/>
        </w:rPr>
        <w:endnoteRef/>
      </w:r>
      <w:r>
        <w:rPr>
          <w:rFonts w:cs="Arial"/>
        </w:rPr>
        <w:t xml:space="preserve"> 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CRC/C/GC/16 (</w:t>
      </w:r>
      <w:r>
        <w:rPr>
          <w:rFonts w:cs="Arial"/>
        </w:rPr>
        <w:t>17 April 2013) [2]</w:t>
      </w:r>
      <w:r w:rsidRPr="005B2362">
        <w:rPr>
          <w:rFonts w:cs="Arial"/>
        </w:rPr>
        <w:t>.</w:t>
      </w:r>
    </w:p>
  </w:endnote>
  <w:endnote w:id="175">
    <w:p w14:paraId="41079FC2"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UNICEF, </w:t>
      </w:r>
      <w:r w:rsidRPr="00B860A4">
        <w:rPr>
          <w:rFonts w:cs="Arial"/>
        </w:rPr>
        <w:t>The Global Compact</w:t>
      </w:r>
      <w:r>
        <w:rPr>
          <w:rFonts w:cs="Arial"/>
        </w:rPr>
        <w:t>, Save the Children,</w:t>
      </w:r>
      <w:r w:rsidRPr="00B860A4" w:rsidDel="00116E10">
        <w:rPr>
          <w:rFonts w:cs="Arial"/>
          <w:i/>
        </w:rPr>
        <w:t xml:space="preserve"> </w:t>
      </w:r>
      <w:r w:rsidRPr="00B860A4">
        <w:rPr>
          <w:rFonts w:cs="Arial"/>
          <w:i/>
        </w:rPr>
        <w:t>Children’s Rights and Business Principles</w:t>
      </w:r>
      <w:r w:rsidRPr="005B2362">
        <w:rPr>
          <w:rFonts w:cs="Arial"/>
        </w:rPr>
        <w:t xml:space="preserve"> (2012)</w:t>
      </w:r>
      <w:r>
        <w:rPr>
          <w:rFonts w:cs="Arial"/>
        </w:rPr>
        <w:t xml:space="preserve"> </w:t>
      </w:r>
      <w:r w:rsidRPr="005B2362">
        <w:rPr>
          <w:rFonts w:cs="Arial"/>
        </w:rPr>
        <w:t>2.</w:t>
      </w:r>
    </w:p>
  </w:endnote>
  <w:endnote w:id="176">
    <w:p w14:paraId="5C88BDED"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UNICEF, </w:t>
      </w:r>
      <w:r w:rsidRPr="00B860A4">
        <w:rPr>
          <w:rFonts w:cs="Arial"/>
        </w:rPr>
        <w:t>The Global Compact</w:t>
      </w:r>
      <w:r>
        <w:rPr>
          <w:rFonts w:cs="Arial"/>
        </w:rPr>
        <w:t>, Save the Children,</w:t>
      </w:r>
      <w:r w:rsidRPr="00B860A4" w:rsidDel="00116E10">
        <w:rPr>
          <w:rFonts w:cs="Arial"/>
          <w:i/>
        </w:rPr>
        <w:t xml:space="preserve"> </w:t>
      </w:r>
      <w:r w:rsidRPr="00B860A4">
        <w:rPr>
          <w:rFonts w:cs="Arial"/>
          <w:i/>
        </w:rPr>
        <w:t>Children’s Rights and Business Principles</w:t>
      </w:r>
      <w:r w:rsidRPr="005B2362">
        <w:rPr>
          <w:rFonts w:cs="Arial"/>
        </w:rPr>
        <w:t xml:space="preserve"> (2012)</w:t>
      </w:r>
      <w:r>
        <w:rPr>
          <w:rFonts w:cs="Arial"/>
        </w:rPr>
        <w:t xml:space="preserve"> </w:t>
      </w:r>
      <w:r w:rsidRPr="005B2362">
        <w:rPr>
          <w:rFonts w:cs="Arial"/>
        </w:rPr>
        <w:t>2.</w:t>
      </w:r>
    </w:p>
  </w:endnote>
  <w:endnote w:id="177">
    <w:p w14:paraId="04EB0EE2" w14:textId="77777777" w:rsidR="00F008D2" w:rsidRDefault="00F008D2" w:rsidP="00AA3994">
      <w:pPr>
        <w:pStyle w:val="EndnoteText"/>
      </w:pPr>
      <w:r>
        <w:rPr>
          <w:rStyle w:val="EndnoteReference"/>
        </w:rPr>
        <w:endnoteRef/>
      </w:r>
      <w:r>
        <w:t xml:space="preserve"> </w:t>
      </w:r>
      <w:r w:rsidRPr="00A45DF8">
        <w:rPr>
          <w:rFonts w:cs="Arial"/>
        </w:rPr>
        <w:t xml:space="preserve">Committee on the Rights of the Child, </w:t>
      </w:r>
      <w:r w:rsidRPr="00A45DF8">
        <w:rPr>
          <w:rFonts w:cs="Arial"/>
          <w:i/>
        </w:rPr>
        <w:t>General Comment No.16 on State obligations regarding the impact of the business sector on children’s rights</w:t>
      </w:r>
      <w:r w:rsidRPr="00A45DF8">
        <w:rPr>
          <w:rFonts w:cs="Arial"/>
        </w:rPr>
        <w:t xml:space="preserve">, UN Doc CRC/C/GC/16 (April 2013) </w:t>
      </w:r>
      <w:r>
        <w:rPr>
          <w:rFonts w:cs="Arial"/>
        </w:rPr>
        <w:t>[</w:t>
      </w:r>
      <w:r w:rsidRPr="00A45DF8">
        <w:rPr>
          <w:rFonts w:cs="Arial"/>
        </w:rPr>
        <w:t>12</w:t>
      </w:r>
      <w:r>
        <w:rPr>
          <w:rFonts w:cs="Arial"/>
        </w:rPr>
        <w:t>]</w:t>
      </w:r>
      <w:r w:rsidRPr="00A45DF8">
        <w:rPr>
          <w:rFonts w:cs="Arial"/>
        </w:rPr>
        <w:t>.</w:t>
      </w:r>
    </w:p>
  </w:endnote>
  <w:endnote w:id="178">
    <w:p w14:paraId="48A6A927" w14:textId="77777777" w:rsidR="00F008D2" w:rsidRPr="00B227B1" w:rsidRDefault="00F008D2" w:rsidP="00AA3994">
      <w:pPr>
        <w:pStyle w:val="EndnoteText"/>
        <w:rPr>
          <w:rFonts w:cs="Arial"/>
        </w:rPr>
      </w:pPr>
      <w:r>
        <w:rPr>
          <w:rStyle w:val="EndnoteReference"/>
        </w:rPr>
        <w:endnoteRef/>
      </w:r>
      <w:r>
        <w:t xml:space="preserve"> </w:t>
      </w:r>
      <w:r w:rsidRPr="00A45DF8">
        <w:rPr>
          <w:rFonts w:cs="Arial"/>
        </w:rPr>
        <w:t>UNICEF, The Global Compact, Save the Children,</w:t>
      </w:r>
      <w:r w:rsidRPr="00A45DF8" w:rsidDel="00116E10">
        <w:rPr>
          <w:rFonts w:cs="Arial"/>
          <w:i/>
        </w:rPr>
        <w:t xml:space="preserve"> </w:t>
      </w:r>
      <w:r w:rsidRPr="00A45DF8">
        <w:rPr>
          <w:rFonts w:cs="Arial"/>
          <w:i/>
        </w:rPr>
        <w:t>Children’s Rights and Business Principles</w:t>
      </w:r>
      <w:r w:rsidRPr="00A45DF8">
        <w:rPr>
          <w:rFonts w:cs="Arial"/>
        </w:rPr>
        <w:t xml:space="preserve"> (2012) 14.</w:t>
      </w:r>
    </w:p>
  </w:endnote>
  <w:endnote w:id="179">
    <w:p w14:paraId="3CB407B9"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5B2362">
        <w:rPr>
          <w:rFonts w:cs="Arial"/>
          <w:i/>
        </w:rPr>
        <w:t>Convention on the Rights of the Child</w:t>
      </w:r>
      <w:r w:rsidRPr="005B2362">
        <w:rPr>
          <w:rFonts w:cs="Arial"/>
        </w:rPr>
        <w:t xml:space="preserve">, opened for signature 20 November 1989, </w:t>
      </w:r>
      <w:r>
        <w:rPr>
          <w:rFonts w:cs="Arial"/>
        </w:rPr>
        <w:t xml:space="preserve">1577 UNTS 3, </w:t>
      </w:r>
      <w:r w:rsidRPr="005B2362">
        <w:rPr>
          <w:rFonts w:cs="Arial"/>
        </w:rPr>
        <w:t xml:space="preserve">(entered into </w:t>
      </w:r>
      <w:r>
        <w:rPr>
          <w:rFonts w:cs="Arial"/>
        </w:rPr>
        <w:t>force 2 September 1990) art 2.</w:t>
      </w:r>
    </w:p>
  </w:endnote>
  <w:endnote w:id="180">
    <w:p w14:paraId="619913C7"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5B2362">
        <w:rPr>
          <w:rFonts w:cs="Arial"/>
          <w:i/>
        </w:rPr>
        <w:t>Convention on the Rights of the Child</w:t>
      </w:r>
      <w:r w:rsidRPr="005B2362">
        <w:rPr>
          <w:rFonts w:cs="Arial"/>
        </w:rPr>
        <w:t xml:space="preserve">, opened for signature 20 November 1989, </w:t>
      </w:r>
      <w:r>
        <w:rPr>
          <w:rFonts w:cs="Arial"/>
        </w:rPr>
        <w:t xml:space="preserve">1577 UNTS 3, </w:t>
      </w:r>
      <w:r w:rsidRPr="005B2362">
        <w:rPr>
          <w:rFonts w:cs="Arial"/>
        </w:rPr>
        <w:t>(entered into force 2 September 1990) art 3(1).</w:t>
      </w:r>
    </w:p>
  </w:endnote>
  <w:endnote w:id="181">
    <w:p w14:paraId="4898B5C0"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5B2362">
        <w:rPr>
          <w:rFonts w:cs="Arial"/>
          <w:i/>
        </w:rPr>
        <w:t>Convention on the Rights of the Child</w:t>
      </w:r>
      <w:r w:rsidRPr="005B2362">
        <w:rPr>
          <w:rFonts w:cs="Arial"/>
        </w:rPr>
        <w:t xml:space="preserve">, opened for signature 20 November 1989, </w:t>
      </w:r>
      <w:r>
        <w:rPr>
          <w:rFonts w:cs="Arial"/>
        </w:rPr>
        <w:t xml:space="preserve">1577 UNTS 3, </w:t>
      </w:r>
      <w:r w:rsidRPr="005B2362">
        <w:rPr>
          <w:rFonts w:cs="Arial"/>
        </w:rPr>
        <w:t>(entered into force 2 September 1990) art 6.</w:t>
      </w:r>
    </w:p>
  </w:endnote>
  <w:endnote w:id="182">
    <w:p w14:paraId="25815547"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5B2362">
        <w:rPr>
          <w:rFonts w:cs="Arial"/>
          <w:i/>
        </w:rPr>
        <w:t>Convention on the Rights of the Child</w:t>
      </w:r>
      <w:r w:rsidRPr="005B2362">
        <w:rPr>
          <w:rFonts w:cs="Arial"/>
        </w:rPr>
        <w:t xml:space="preserve">, opened for signature 20 November 1989, </w:t>
      </w:r>
      <w:r>
        <w:rPr>
          <w:rFonts w:cs="Arial"/>
        </w:rPr>
        <w:t xml:space="preserve">1577 UNTS 3, </w:t>
      </w:r>
      <w:r w:rsidRPr="005B2362">
        <w:rPr>
          <w:rFonts w:cs="Arial"/>
        </w:rPr>
        <w:t>(entered into force 2 September 1990) art 12.</w:t>
      </w:r>
    </w:p>
  </w:endnote>
  <w:endnote w:id="183">
    <w:p w14:paraId="6DB1460E"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UNICEF, </w:t>
      </w:r>
      <w:r w:rsidRPr="00B860A4">
        <w:rPr>
          <w:rFonts w:cs="Arial"/>
        </w:rPr>
        <w:t>The Global Compact</w:t>
      </w:r>
      <w:r>
        <w:rPr>
          <w:rFonts w:cs="Arial"/>
        </w:rPr>
        <w:t>, Save the Children,</w:t>
      </w:r>
      <w:r w:rsidRPr="00B860A4" w:rsidDel="00116E10">
        <w:rPr>
          <w:rFonts w:cs="Arial"/>
          <w:i/>
        </w:rPr>
        <w:t xml:space="preserve"> </w:t>
      </w:r>
      <w:r w:rsidRPr="00B860A4">
        <w:rPr>
          <w:rFonts w:cs="Arial"/>
          <w:i/>
        </w:rPr>
        <w:t>Children’s Rights and Business Principles</w:t>
      </w:r>
      <w:r w:rsidRPr="005B2362">
        <w:rPr>
          <w:rFonts w:cs="Arial"/>
        </w:rPr>
        <w:t xml:space="preserve"> (2012)</w:t>
      </w:r>
      <w:r>
        <w:rPr>
          <w:rFonts w:cs="Arial"/>
        </w:rPr>
        <w:t xml:space="preserve"> </w:t>
      </w:r>
      <w:r w:rsidRPr="005B2362">
        <w:rPr>
          <w:rFonts w:cs="Arial"/>
        </w:rPr>
        <w:t>18-19.</w:t>
      </w:r>
    </w:p>
  </w:endnote>
  <w:endnote w:id="184">
    <w:p w14:paraId="44D968F1"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UNICEF, </w:t>
      </w:r>
      <w:r w:rsidRPr="00B860A4">
        <w:rPr>
          <w:rFonts w:cs="Arial"/>
        </w:rPr>
        <w:t>The Global Compact</w:t>
      </w:r>
      <w:r>
        <w:rPr>
          <w:rFonts w:cs="Arial"/>
        </w:rPr>
        <w:t>, Save the Children,</w:t>
      </w:r>
      <w:r w:rsidRPr="00B860A4" w:rsidDel="00116E10">
        <w:rPr>
          <w:rFonts w:cs="Arial"/>
          <w:i/>
        </w:rPr>
        <w:t xml:space="preserve"> </w:t>
      </w:r>
      <w:r w:rsidRPr="00B860A4">
        <w:rPr>
          <w:rFonts w:cs="Arial"/>
          <w:i/>
        </w:rPr>
        <w:t>Children’s Rights and Business Principles</w:t>
      </w:r>
      <w:r w:rsidRPr="005B2362">
        <w:rPr>
          <w:rFonts w:cs="Arial"/>
        </w:rPr>
        <w:t xml:space="preserve"> (2012) 20-21.</w:t>
      </w:r>
    </w:p>
  </w:endnote>
  <w:endnote w:id="185">
    <w:p w14:paraId="639BC814"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UNICEF, </w:t>
      </w:r>
      <w:r w:rsidRPr="00B860A4">
        <w:rPr>
          <w:rFonts w:cs="Arial"/>
        </w:rPr>
        <w:t>The Global Compact</w:t>
      </w:r>
      <w:r>
        <w:rPr>
          <w:rFonts w:cs="Arial"/>
        </w:rPr>
        <w:t>, Save the Children,</w:t>
      </w:r>
      <w:r w:rsidRPr="00B860A4" w:rsidDel="00116E10">
        <w:rPr>
          <w:rFonts w:cs="Arial"/>
          <w:i/>
        </w:rPr>
        <w:t xml:space="preserve"> </w:t>
      </w:r>
      <w:r w:rsidRPr="00B860A4">
        <w:rPr>
          <w:rFonts w:cs="Arial"/>
          <w:i/>
        </w:rPr>
        <w:t>Children’s Rights and Business Principles</w:t>
      </w:r>
      <w:r w:rsidRPr="005B2362">
        <w:rPr>
          <w:rFonts w:cs="Arial"/>
        </w:rPr>
        <w:t xml:space="preserve"> (2012) 22-25.</w:t>
      </w:r>
    </w:p>
  </w:endnote>
  <w:endnote w:id="186">
    <w:p w14:paraId="6A57A1FF"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UNICEF, </w:t>
      </w:r>
      <w:r w:rsidRPr="00B860A4">
        <w:rPr>
          <w:rFonts w:cs="Arial"/>
        </w:rPr>
        <w:t>The Global Compact</w:t>
      </w:r>
      <w:r>
        <w:rPr>
          <w:rFonts w:cs="Arial"/>
        </w:rPr>
        <w:t>, Save the Children,</w:t>
      </w:r>
      <w:r w:rsidRPr="00B860A4" w:rsidDel="00116E10">
        <w:rPr>
          <w:rFonts w:cs="Arial"/>
          <w:i/>
        </w:rPr>
        <w:t xml:space="preserve"> </w:t>
      </w:r>
      <w:r w:rsidRPr="00B860A4">
        <w:rPr>
          <w:rFonts w:cs="Arial"/>
          <w:i/>
        </w:rPr>
        <w:t>Children’s Rights and Business Principles</w:t>
      </w:r>
      <w:r w:rsidRPr="005B2362">
        <w:rPr>
          <w:rFonts w:cs="Arial"/>
        </w:rPr>
        <w:t xml:space="preserve"> (2012)</w:t>
      </w:r>
      <w:r>
        <w:rPr>
          <w:rFonts w:cs="Arial"/>
        </w:rPr>
        <w:t xml:space="preserve"> </w:t>
      </w:r>
      <w:r w:rsidRPr="005B2362">
        <w:rPr>
          <w:rFonts w:cs="Arial"/>
        </w:rPr>
        <w:t>26-27.</w:t>
      </w:r>
    </w:p>
  </w:endnote>
  <w:endnote w:id="187">
    <w:p w14:paraId="3EEEA1B5"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UNICEF, </w:t>
      </w:r>
      <w:r w:rsidRPr="00B860A4">
        <w:rPr>
          <w:rFonts w:cs="Arial"/>
        </w:rPr>
        <w:t>The Global Compact</w:t>
      </w:r>
      <w:r>
        <w:rPr>
          <w:rFonts w:cs="Arial"/>
        </w:rPr>
        <w:t>, Save the Children,</w:t>
      </w:r>
      <w:r w:rsidRPr="00B860A4" w:rsidDel="00116E10">
        <w:rPr>
          <w:rFonts w:cs="Arial"/>
          <w:i/>
        </w:rPr>
        <w:t xml:space="preserve"> </w:t>
      </w:r>
      <w:r w:rsidRPr="00B860A4">
        <w:rPr>
          <w:rFonts w:cs="Arial"/>
          <w:i/>
        </w:rPr>
        <w:t>Children’s Rights and Business Principles</w:t>
      </w:r>
      <w:r w:rsidRPr="005B2362">
        <w:rPr>
          <w:rFonts w:cs="Arial"/>
        </w:rPr>
        <w:t xml:space="preserve"> (2012)</w:t>
      </w:r>
      <w:r>
        <w:rPr>
          <w:rFonts w:cs="Arial"/>
        </w:rPr>
        <w:t xml:space="preserve"> </w:t>
      </w:r>
      <w:r w:rsidRPr="005B2362">
        <w:rPr>
          <w:rFonts w:cs="Arial"/>
        </w:rPr>
        <w:t>32-33.</w:t>
      </w:r>
    </w:p>
  </w:endnote>
  <w:endnote w:id="188">
    <w:p w14:paraId="63BE7013" w14:textId="77777777" w:rsidR="00F008D2" w:rsidRDefault="00F008D2" w:rsidP="00AA3994">
      <w:pPr>
        <w:pStyle w:val="EndnoteText"/>
      </w:pPr>
      <w:r>
        <w:rPr>
          <w:rStyle w:val="EndnoteReference"/>
        </w:rPr>
        <w:endnoteRef/>
      </w:r>
      <w:r>
        <w:t xml:space="preserve"> </w:t>
      </w:r>
      <w:r w:rsidRPr="00AB5A77">
        <w:rPr>
          <w:rFonts w:cs="Arial"/>
        </w:rPr>
        <w:t xml:space="preserve">Deborah John, ‘Consumer Socialisation of Children: a Retrospective Look at Twenty Years of Research’ (1999) 26 (3) </w:t>
      </w:r>
      <w:r w:rsidRPr="00A30FBD">
        <w:rPr>
          <w:rFonts w:cs="Arial"/>
          <w:i/>
        </w:rPr>
        <w:t>Journal of Consumer Research</w:t>
      </w:r>
      <w:r>
        <w:rPr>
          <w:rFonts w:cs="Arial"/>
          <w:i/>
        </w:rPr>
        <w:t>,</w:t>
      </w:r>
      <w:r w:rsidRPr="00AB5A77">
        <w:rPr>
          <w:rFonts w:cs="Arial"/>
        </w:rPr>
        <w:t xml:space="preserve"> 183.</w:t>
      </w:r>
    </w:p>
  </w:endnote>
  <w:endnote w:id="189">
    <w:p w14:paraId="1BDE6225"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A45DF8">
        <w:rPr>
          <w:rFonts w:cs="Arial"/>
        </w:rPr>
        <w:t xml:space="preserve">Amandine Garde, ‘Advertising Regulation and Protection of Children-Consumers in the European Union: in the Best Interest of...Commercial Operators?’ (2011) 19 </w:t>
      </w:r>
      <w:r w:rsidRPr="00A45DF8">
        <w:rPr>
          <w:rFonts w:cs="Arial"/>
          <w:i/>
        </w:rPr>
        <w:t>International Journal of Children’s Rights</w:t>
      </w:r>
      <w:r>
        <w:rPr>
          <w:rFonts w:cs="Arial"/>
          <w:i/>
        </w:rPr>
        <w:t>,</w:t>
      </w:r>
      <w:r w:rsidRPr="00A45DF8">
        <w:rPr>
          <w:rFonts w:cs="Arial"/>
        </w:rPr>
        <w:t xml:space="preserve"> 527.</w:t>
      </w:r>
    </w:p>
  </w:endnote>
  <w:endnote w:id="190">
    <w:p w14:paraId="3D67E5BB"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A45DF8">
        <w:rPr>
          <w:rFonts w:cs="Arial"/>
        </w:rPr>
        <w:t xml:space="preserve">Amandine Garde, ‘Advertising Regulation and Protection of Children-Consumers in the European Union: in the Best Interest of...Commercial Operators?’ (2011) 19 </w:t>
      </w:r>
      <w:r w:rsidRPr="00A45DF8">
        <w:rPr>
          <w:rFonts w:cs="Arial"/>
          <w:i/>
        </w:rPr>
        <w:t>International Journal of Children’s Rights</w:t>
      </w:r>
      <w:r>
        <w:rPr>
          <w:rFonts w:cs="Arial"/>
          <w:i/>
        </w:rPr>
        <w:t>,</w:t>
      </w:r>
      <w:r w:rsidRPr="00A45DF8">
        <w:rPr>
          <w:rFonts w:cs="Arial"/>
        </w:rPr>
        <w:t xml:space="preserve"> 527.</w:t>
      </w:r>
    </w:p>
  </w:endnote>
  <w:endnote w:id="191">
    <w:p w14:paraId="55E50AED" w14:textId="77777777" w:rsidR="00F008D2" w:rsidRPr="005B2362" w:rsidRDefault="00F008D2" w:rsidP="00AA3994">
      <w:pPr>
        <w:pStyle w:val="EndnoteText"/>
        <w:rPr>
          <w:rFonts w:cs="Arial"/>
          <w:color w:val="FF0000"/>
        </w:rPr>
      </w:pPr>
      <w:r w:rsidRPr="005B2362">
        <w:rPr>
          <w:rStyle w:val="EndnoteReference"/>
          <w:rFonts w:cs="Arial"/>
        </w:rPr>
        <w:endnoteRef/>
      </w:r>
      <w:r w:rsidRPr="005B2362">
        <w:rPr>
          <w:rFonts w:cs="Arial"/>
        </w:rPr>
        <w:t xml:space="preserve"> </w:t>
      </w:r>
      <w:r w:rsidRPr="00AB5A77">
        <w:rPr>
          <w:rFonts w:cs="Arial"/>
        </w:rPr>
        <w:t xml:space="preserve">Deborah John, ‘Consumer Socialisation of Children: a Retrospective Look at Twenty Years of Research’ (1999) 26 (3) </w:t>
      </w:r>
      <w:r w:rsidRPr="00727EE6">
        <w:rPr>
          <w:rFonts w:cs="Arial"/>
          <w:i/>
        </w:rPr>
        <w:t>Journal of Consumer Research</w:t>
      </w:r>
      <w:r>
        <w:rPr>
          <w:rFonts w:cs="Arial"/>
          <w:i/>
        </w:rPr>
        <w:t>,</w:t>
      </w:r>
      <w:r w:rsidRPr="00AB5A77">
        <w:rPr>
          <w:rFonts w:cs="Arial"/>
        </w:rPr>
        <w:t xml:space="preserve"> 183. </w:t>
      </w:r>
    </w:p>
  </w:endnote>
  <w:endnote w:id="192">
    <w:p w14:paraId="4EE117B0" w14:textId="77777777" w:rsidR="00F008D2" w:rsidRPr="004B373A" w:rsidRDefault="00F008D2" w:rsidP="00AA3994">
      <w:pPr>
        <w:pStyle w:val="EndnoteText"/>
        <w:rPr>
          <w:rFonts w:cs="Arial"/>
          <w:color w:val="FF0000"/>
        </w:rPr>
      </w:pPr>
      <w:r w:rsidRPr="005B2362">
        <w:rPr>
          <w:rStyle w:val="EndnoteReference"/>
          <w:rFonts w:cs="Arial"/>
        </w:rPr>
        <w:endnoteRef/>
      </w:r>
      <w:r w:rsidRPr="005B2362">
        <w:rPr>
          <w:rFonts w:cs="Arial"/>
        </w:rPr>
        <w:t xml:space="preserve"> Anne Sutherland &amp; Beth Thompson, </w:t>
      </w:r>
      <w:r w:rsidRPr="005B2362">
        <w:rPr>
          <w:rFonts w:cs="Arial"/>
          <w:i/>
        </w:rPr>
        <w:t xml:space="preserve">Kidfluence </w:t>
      </w:r>
      <w:r w:rsidRPr="005B2362">
        <w:rPr>
          <w:rFonts w:cs="Arial"/>
        </w:rPr>
        <w:t xml:space="preserve">(McGraw-Hill E-book </w:t>
      </w:r>
      <w:r w:rsidRPr="004B373A">
        <w:rPr>
          <w:rFonts w:cs="Arial"/>
        </w:rPr>
        <w:t xml:space="preserve">collection, 2003) 79. </w:t>
      </w:r>
    </w:p>
  </w:endnote>
  <w:endnote w:id="193">
    <w:p w14:paraId="2C56A2DD" w14:textId="77777777" w:rsidR="00F008D2" w:rsidRPr="004B373A" w:rsidRDefault="00F008D2" w:rsidP="00AA3994">
      <w:pPr>
        <w:pStyle w:val="EndnoteText"/>
        <w:rPr>
          <w:rFonts w:cs="Arial"/>
        </w:rPr>
      </w:pPr>
      <w:r w:rsidRPr="004B373A">
        <w:rPr>
          <w:rStyle w:val="EndnoteReference"/>
          <w:rFonts w:cs="Arial"/>
        </w:rPr>
        <w:endnoteRef/>
      </w:r>
      <w:r w:rsidRPr="004B373A">
        <w:rPr>
          <w:rFonts w:cs="Arial"/>
        </w:rPr>
        <w:t xml:space="preserve"> Anne Sutherland &amp; Beth Thompson, </w:t>
      </w:r>
      <w:r w:rsidRPr="004B373A">
        <w:rPr>
          <w:rFonts w:cs="Arial"/>
          <w:i/>
        </w:rPr>
        <w:t xml:space="preserve">Kidfluence </w:t>
      </w:r>
      <w:r w:rsidRPr="004B373A">
        <w:rPr>
          <w:rFonts w:cs="Arial"/>
        </w:rPr>
        <w:t>(McGraw-Hill E-book collection, 2003) 79.</w:t>
      </w:r>
    </w:p>
  </w:endnote>
  <w:endnote w:id="194">
    <w:p w14:paraId="12B2CFA8" w14:textId="77777777" w:rsidR="00F008D2" w:rsidRPr="004B373A" w:rsidRDefault="00F008D2" w:rsidP="00AA3994">
      <w:pPr>
        <w:pStyle w:val="EndnoteText"/>
        <w:rPr>
          <w:rFonts w:cs="Arial"/>
        </w:rPr>
      </w:pPr>
      <w:r w:rsidRPr="00F71500">
        <w:rPr>
          <w:rStyle w:val="EndnoteReference"/>
          <w:rFonts w:cs="Arial"/>
        </w:rPr>
        <w:endnoteRef/>
      </w:r>
      <w:r w:rsidRPr="00F71500">
        <w:rPr>
          <w:rFonts w:cs="Arial"/>
        </w:rPr>
        <w:t xml:space="preserve"> Australian Law Reform Commission, </w:t>
      </w:r>
      <w:r w:rsidRPr="00F71500">
        <w:rPr>
          <w:rFonts w:cs="Arial"/>
          <w:i/>
        </w:rPr>
        <w:t xml:space="preserve">Speaking for Ourselves: Children and the Legal Process </w:t>
      </w:r>
      <w:r w:rsidRPr="00AB5A77">
        <w:rPr>
          <w:rFonts w:cs="Arial"/>
          <w:i/>
        </w:rPr>
        <w:t>Kids Issues Paper (IP 17)</w:t>
      </w:r>
      <w:r w:rsidRPr="00F71500">
        <w:rPr>
          <w:rFonts w:cs="Arial"/>
        </w:rPr>
        <w:t xml:space="preserve"> (</w:t>
      </w:r>
      <w:r w:rsidRPr="00AB5A77">
        <w:rPr>
          <w:rFonts w:cs="Arial"/>
        </w:rPr>
        <w:t xml:space="preserve">15 July </w:t>
      </w:r>
      <w:r w:rsidRPr="00F71500">
        <w:rPr>
          <w:rFonts w:cs="Arial"/>
        </w:rPr>
        <w:t>1996) 2.1</w:t>
      </w:r>
      <w:r w:rsidRPr="00AB5A77">
        <w:rPr>
          <w:rFonts w:cs="Arial"/>
        </w:rPr>
        <w:t xml:space="preserve"> &lt;</w:t>
      </w:r>
      <w:hyperlink r:id="rId99" w:history="1">
        <w:r w:rsidRPr="00C76F3E">
          <w:rPr>
            <w:rStyle w:val="Hyperlink"/>
            <w:rFonts w:cs="Arial"/>
          </w:rPr>
          <w:t>http://www.alrc.gov.au/publications/ip-17</w:t>
        </w:r>
      </w:hyperlink>
      <w:r w:rsidRPr="00F71500">
        <w:rPr>
          <w:rFonts w:cs="Arial"/>
        </w:rPr>
        <w:t>&gt;</w:t>
      </w:r>
      <w:r>
        <w:rPr>
          <w:rFonts w:cs="Arial"/>
        </w:rPr>
        <w:t>.</w:t>
      </w:r>
    </w:p>
  </w:endnote>
  <w:endnote w:id="195">
    <w:p w14:paraId="70D50B90" w14:textId="77777777" w:rsidR="00F008D2" w:rsidRPr="004B373A" w:rsidRDefault="00F008D2" w:rsidP="00AA3994">
      <w:pPr>
        <w:pStyle w:val="EndnoteText"/>
        <w:rPr>
          <w:rFonts w:cs="Arial"/>
        </w:rPr>
      </w:pPr>
      <w:r w:rsidRPr="004B373A">
        <w:rPr>
          <w:rStyle w:val="EndnoteReference"/>
          <w:rFonts w:cs="Arial"/>
        </w:rPr>
        <w:endnoteRef/>
      </w:r>
      <w:r w:rsidRPr="004B373A">
        <w:rPr>
          <w:rFonts w:cs="Arial"/>
        </w:rPr>
        <w:t xml:space="preserve"> Australian Bureau of Statistics, ‘Household use of Inf</w:t>
      </w:r>
      <w:r>
        <w:rPr>
          <w:rFonts w:cs="Arial"/>
        </w:rPr>
        <w:t>ormation Technology, Australia’</w:t>
      </w:r>
      <w:r w:rsidRPr="004B373A">
        <w:rPr>
          <w:rFonts w:cs="Arial"/>
        </w:rPr>
        <w:t xml:space="preserve"> (Media Release, 8146.0, 25 February 2014). </w:t>
      </w:r>
    </w:p>
  </w:endnote>
  <w:endnote w:id="196">
    <w:p w14:paraId="3829819C" w14:textId="77777777" w:rsidR="00F008D2" w:rsidRPr="004B373A" w:rsidRDefault="00F008D2" w:rsidP="00AA3994">
      <w:pPr>
        <w:pStyle w:val="EndnoteText"/>
        <w:rPr>
          <w:rFonts w:cs="Arial"/>
        </w:rPr>
      </w:pPr>
      <w:r w:rsidRPr="004B373A">
        <w:rPr>
          <w:rStyle w:val="EndnoteReference"/>
          <w:rFonts w:cs="Arial"/>
        </w:rPr>
        <w:endnoteRef/>
      </w:r>
      <w:r w:rsidRPr="004B373A">
        <w:rPr>
          <w:rFonts w:cs="Arial"/>
        </w:rPr>
        <w:t xml:space="preserve"> Australian Bureau of Statistics, ‘Children’s Participation in Cultural and Leisure Activities – Internet and Mobile Phones’, (4901.0, 31 October 2012)</w:t>
      </w:r>
      <w:r>
        <w:rPr>
          <w:rFonts w:cs="Arial"/>
        </w:rPr>
        <w:t xml:space="preserve"> &lt;</w:t>
      </w:r>
      <w:hyperlink r:id="rId100" w:history="1">
        <w:r w:rsidRPr="00C76F3E">
          <w:rPr>
            <w:rStyle w:val="Hyperlink"/>
            <w:rFonts w:cs="Arial"/>
          </w:rPr>
          <w:t>http://www.abs.gov.au/ausstats/abs@.nsf/Products/4901.0~Apr+2012~Main+Features~Internet+and+mobile+phones?OpenDocument</w:t>
        </w:r>
      </w:hyperlink>
      <w:r>
        <w:rPr>
          <w:rFonts w:cs="Arial"/>
        </w:rPr>
        <w:t>&gt;</w:t>
      </w:r>
      <w:r w:rsidRPr="004B373A">
        <w:rPr>
          <w:rFonts w:cs="Arial"/>
        </w:rPr>
        <w:t>.</w:t>
      </w:r>
    </w:p>
  </w:endnote>
  <w:endnote w:id="197">
    <w:p w14:paraId="2B5DFF89" w14:textId="77777777" w:rsidR="00F008D2" w:rsidRPr="004B373A" w:rsidRDefault="00F008D2" w:rsidP="00AA3994">
      <w:pPr>
        <w:pStyle w:val="EndnoteText"/>
        <w:rPr>
          <w:rFonts w:cs="Arial"/>
        </w:rPr>
      </w:pPr>
      <w:r w:rsidRPr="004B373A">
        <w:rPr>
          <w:rStyle w:val="EndnoteReference"/>
          <w:rFonts w:cs="Arial"/>
        </w:rPr>
        <w:endnoteRef/>
      </w:r>
      <w:r w:rsidRPr="004B373A">
        <w:rPr>
          <w:rFonts w:cs="Arial"/>
        </w:rPr>
        <w:t xml:space="preserve"> Australian Bureau of Statistics, ‘Children’s Participation in Cultural and Leisure Activities – Internet and Mobile Phones’, (4901.0, 31 October 2012)</w:t>
      </w:r>
      <w:r w:rsidRPr="009C5889">
        <w:rPr>
          <w:rFonts w:cs="Arial"/>
        </w:rPr>
        <w:t xml:space="preserve"> </w:t>
      </w:r>
      <w:r>
        <w:rPr>
          <w:rFonts w:cs="Arial"/>
        </w:rPr>
        <w:t>&lt;</w:t>
      </w:r>
      <w:hyperlink r:id="rId101" w:history="1">
        <w:r w:rsidRPr="00C76F3E">
          <w:rPr>
            <w:rStyle w:val="Hyperlink"/>
            <w:rFonts w:cs="Arial"/>
          </w:rPr>
          <w:t>http://www.abs.gov.au/ausstats/abs@.nsf/Products/4901.0~Apr+2012~Main+Features~Internet+and+mobile+phones?OpenDocument</w:t>
        </w:r>
      </w:hyperlink>
      <w:r>
        <w:rPr>
          <w:rFonts w:cs="Arial"/>
        </w:rPr>
        <w:t>&gt;</w:t>
      </w:r>
      <w:r w:rsidRPr="004B373A">
        <w:rPr>
          <w:rFonts w:cs="Arial"/>
        </w:rPr>
        <w:t>.</w:t>
      </w:r>
    </w:p>
  </w:endnote>
  <w:endnote w:id="198">
    <w:p w14:paraId="5020F7A5" w14:textId="77777777" w:rsidR="00F008D2" w:rsidRPr="004B373A" w:rsidRDefault="00F008D2" w:rsidP="00AA3994">
      <w:pPr>
        <w:pStyle w:val="EndnoteText"/>
        <w:rPr>
          <w:rFonts w:cs="Arial"/>
        </w:rPr>
      </w:pPr>
      <w:r w:rsidRPr="004B373A">
        <w:rPr>
          <w:rStyle w:val="EndnoteReference"/>
          <w:rFonts w:cs="Arial"/>
        </w:rPr>
        <w:endnoteRef/>
      </w:r>
      <w:r w:rsidRPr="004B373A">
        <w:rPr>
          <w:rFonts w:cs="Arial"/>
        </w:rPr>
        <w:t xml:space="preserve"> Australian Bureau of Statistics, ‘Children’s Participation in Cultural and Leisure Activities – Internet and Mobile Phones’, (4901.0, 31 October 2012)</w:t>
      </w:r>
      <w:r w:rsidRPr="009C5889">
        <w:rPr>
          <w:rFonts w:cs="Arial"/>
        </w:rPr>
        <w:t xml:space="preserve"> </w:t>
      </w:r>
      <w:r>
        <w:rPr>
          <w:rFonts w:cs="Arial"/>
        </w:rPr>
        <w:t>&lt;</w:t>
      </w:r>
      <w:hyperlink r:id="rId102" w:history="1">
        <w:r w:rsidRPr="00C76F3E">
          <w:rPr>
            <w:rStyle w:val="Hyperlink"/>
            <w:rFonts w:cs="Arial"/>
          </w:rPr>
          <w:t>http://www.abs.gov.au/ausstats/abs@.nsf/Products/4901.0~Apr+2012~Main+Features~Internet+and+mobile+phones?OpenDocument</w:t>
        </w:r>
      </w:hyperlink>
      <w:r>
        <w:rPr>
          <w:rFonts w:cs="Arial"/>
        </w:rPr>
        <w:t>&gt;</w:t>
      </w:r>
      <w:r w:rsidRPr="004B373A">
        <w:rPr>
          <w:rFonts w:cs="Arial"/>
        </w:rPr>
        <w:t>.</w:t>
      </w:r>
    </w:p>
  </w:endnote>
  <w:endnote w:id="199">
    <w:p w14:paraId="1BC95CB8" w14:textId="77777777" w:rsidR="00F008D2" w:rsidRDefault="00F008D2" w:rsidP="00AA3994">
      <w:pPr>
        <w:pStyle w:val="EndnoteText"/>
      </w:pPr>
      <w:r>
        <w:rPr>
          <w:rStyle w:val="EndnoteReference"/>
        </w:rPr>
        <w:endnoteRef/>
      </w:r>
      <w:r>
        <w:t xml:space="preserve"> </w:t>
      </w:r>
      <w:r w:rsidRPr="00CF0E5E">
        <w:t xml:space="preserve">Leo </w:t>
      </w:r>
      <w:r w:rsidRPr="00CF0E5E">
        <w:rPr>
          <w:rFonts w:cs="Arial"/>
        </w:rPr>
        <w:t xml:space="preserve">Fieldgrass, Brotherhood of St Laurence and Australian Communications Consumer Action Network, </w:t>
      </w:r>
      <w:r w:rsidRPr="00CF0E5E">
        <w:rPr>
          <w:rFonts w:cs="Arial"/>
          <w:i/>
        </w:rPr>
        <w:t>Mobile Matters: The Youth Advocates Project. D</w:t>
      </w:r>
      <w:r w:rsidRPr="00CF0E5E">
        <w:rPr>
          <w:rFonts w:cs="Arial"/>
          <w:bCs/>
          <w:i/>
        </w:rPr>
        <w:t>eveloping a youth participatory action research and advocacy program</w:t>
      </w:r>
      <w:r w:rsidRPr="00CF0E5E">
        <w:rPr>
          <w:rFonts w:cs="Arial"/>
          <w:bCs/>
        </w:rPr>
        <w:t xml:space="preserve"> (2011)</w:t>
      </w:r>
      <w:r w:rsidRPr="00CF0E5E">
        <w:rPr>
          <w:rFonts w:cs="Arial"/>
        </w:rPr>
        <w:t>.</w:t>
      </w:r>
    </w:p>
  </w:endnote>
  <w:endnote w:id="200">
    <w:p w14:paraId="16F6C847" w14:textId="77777777" w:rsidR="00F008D2" w:rsidRPr="004B373A" w:rsidRDefault="00F008D2" w:rsidP="00AA3994">
      <w:pPr>
        <w:pStyle w:val="EndnoteText"/>
        <w:rPr>
          <w:rFonts w:cs="Arial"/>
        </w:rPr>
      </w:pPr>
      <w:r w:rsidRPr="004B373A">
        <w:rPr>
          <w:rStyle w:val="EndnoteReference"/>
          <w:rFonts w:cs="Arial"/>
        </w:rPr>
        <w:endnoteRef/>
      </w:r>
      <w:r w:rsidRPr="004B373A">
        <w:rPr>
          <w:rFonts w:cs="Arial"/>
        </w:rPr>
        <w:t xml:space="preserve"> Australian Communications &amp; Media Authority,</w:t>
      </w:r>
      <w:r>
        <w:rPr>
          <w:rFonts w:cs="Arial"/>
        </w:rPr>
        <w:t xml:space="preserve"> Newspoll,</w:t>
      </w:r>
      <w:r w:rsidRPr="004B373A">
        <w:rPr>
          <w:rFonts w:cs="Arial"/>
        </w:rPr>
        <w:t xml:space="preserve"> </w:t>
      </w:r>
      <w:r w:rsidRPr="004B373A">
        <w:rPr>
          <w:rFonts w:cs="Arial"/>
          <w:i/>
        </w:rPr>
        <w:t>Like, post, share: Young Australian’s experience of social media’</w:t>
      </w:r>
      <w:r w:rsidRPr="004B373A">
        <w:rPr>
          <w:rFonts w:cs="Arial"/>
        </w:rPr>
        <w:t xml:space="preserve"> (2012) 7.</w:t>
      </w:r>
    </w:p>
  </w:endnote>
  <w:endnote w:id="201">
    <w:p w14:paraId="146DFF92" w14:textId="77777777" w:rsidR="00F008D2" w:rsidRPr="005B2362" w:rsidRDefault="00F008D2" w:rsidP="00AA3994">
      <w:pPr>
        <w:pStyle w:val="EndnoteText"/>
        <w:rPr>
          <w:rFonts w:cs="Arial"/>
        </w:rPr>
      </w:pPr>
      <w:r w:rsidRPr="004B373A">
        <w:rPr>
          <w:rStyle w:val="EndnoteReference"/>
          <w:rFonts w:cs="Arial"/>
        </w:rPr>
        <w:endnoteRef/>
      </w:r>
      <w:r w:rsidRPr="004B373A">
        <w:rPr>
          <w:rFonts w:cs="Arial"/>
        </w:rPr>
        <w:t xml:space="preserve"> Australian</w:t>
      </w:r>
      <w:r w:rsidRPr="005B2362">
        <w:rPr>
          <w:rFonts w:cs="Arial"/>
        </w:rPr>
        <w:t xml:space="preserve"> Communications &amp; Media Authority,</w:t>
      </w:r>
      <w:r>
        <w:rPr>
          <w:rFonts w:cs="Arial"/>
        </w:rPr>
        <w:t xml:space="preserve"> Newspoll,</w:t>
      </w:r>
      <w:r w:rsidRPr="005B2362">
        <w:rPr>
          <w:rFonts w:cs="Arial"/>
        </w:rPr>
        <w:t xml:space="preserve"> </w:t>
      </w:r>
      <w:r w:rsidRPr="005B2362">
        <w:rPr>
          <w:rFonts w:cs="Arial"/>
          <w:i/>
        </w:rPr>
        <w:t>Like, post, share: Young Australians</w:t>
      </w:r>
      <w:r>
        <w:rPr>
          <w:rFonts w:cs="Arial"/>
          <w:i/>
        </w:rPr>
        <w:t>’</w:t>
      </w:r>
      <w:r w:rsidRPr="005B2362">
        <w:rPr>
          <w:rFonts w:cs="Arial"/>
          <w:i/>
        </w:rPr>
        <w:t xml:space="preserve"> experience of social media</w:t>
      </w:r>
      <w:r w:rsidRPr="005B2362">
        <w:rPr>
          <w:rFonts w:cs="Arial"/>
        </w:rPr>
        <w:t xml:space="preserve"> (2012) 7.</w:t>
      </w:r>
    </w:p>
  </w:endnote>
  <w:endnote w:id="202">
    <w:p w14:paraId="5AF24B38"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4B373A">
        <w:rPr>
          <w:rFonts w:cs="Arial"/>
        </w:rPr>
        <w:t>Australian</w:t>
      </w:r>
      <w:r w:rsidRPr="005B2362">
        <w:rPr>
          <w:rFonts w:cs="Arial"/>
        </w:rPr>
        <w:t xml:space="preserve"> Communications &amp; Media Authority,</w:t>
      </w:r>
      <w:r>
        <w:rPr>
          <w:rFonts w:cs="Arial"/>
        </w:rPr>
        <w:t xml:space="preserve"> Newspoll,</w:t>
      </w:r>
      <w:r w:rsidRPr="005B2362">
        <w:rPr>
          <w:rFonts w:cs="Arial"/>
        </w:rPr>
        <w:t xml:space="preserve"> </w:t>
      </w:r>
      <w:r w:rsidRPr="005B2362">
        <w:rPr>
          <w:rFonts w:cs="Arial"/>
          <w:i/>
        </w:rPr>
        <w:t>Like, post, share: Young Australians</w:t>
      </w:r>
      <w:r>
        <w:rPr>
          <w:rFonts w:cs="Arial"/>
          <w:i/>
        </w:rPr>
        <w:t>’</w:t>
      </w:r>
      <w:r w:rsidRPr="005B2362">
        <w:rPr>
          <w:rFonts w:cs="Arial"/>
          <w:i/>
        </w:rPr>
        <w:t xml:space="preserve"> experience of social media</w:t>
      </w:r>
      <w:r w:rsidRPr="005B2362">
        <w:rPr>
          <w:rFonts w:cs="Arial"/>
        </w:rPr>
        <w:t xml:space="preserve"> (2012) 6-7.</w:t>
      </w:r>
    </w:p>
  </w:endnote>
  <w:endnote w:id="203">
    <w:p w14:paraId="1C3C929D" w14:textId="77777777" w:rsidR="00F008D2" w:rsidRDefault="00F008D2" w:rsidP="00AA3994">
      <w:pPr>
        <w:pStyle w:val="EndnoteText"/>
      </w:pPr>
      <w:r>
        <w:rPr>
          <w:rStyle w:val="EndnoteReference"/>
        </w:rPr>
        <w:endnoteRef/>
      </w:r>
      <w:r>
        <w:t xml:space="preserve"> </w:t>
      </w:r>
      <w:r w:rsidRPr="00A45DF8">
        <w:rPr>
          <w:rFonts w:cs="Arial"/>
        </w:rPr>
        <w:t>Elizabeth Thomson and Angus Laing, ‘</w:t>
      </w:r>
      <w:r>
        <w:rPr>
          <w:rFonts w:cs="Arial"/>
        </w:rPr>
        <w:t>“</w:t>
      </w:r>
      <w:r w:rsidRPr="00A45DF8">
        <w:rPr>
          <w:rFonts w:cs="Arial"/>
        </w:rPr>
        <w:t xml:space="preserve">The Net Generation”: Children and Young People, the Internet and Online Shopping’ (2003) 19 </w:t>
      </w:r>
      <w:r w:rsidRPr="00A45DF8">
        <w:rPr>
          <w:rFonts w:cs="Arial"/>
          <w:i/>
        </w:rPr>
        <w:t>Journal of Marketing Management</w:t>
      </w:r>
      <w:r>
        <w:rPr>
          <w:rFonts w:cs="Arial"/>
          <w:i/>
        </w:rPr>
        <w:t>,</w:t>
      </w:r>
      <w:r w:rsidRPr="00A45DF8">
        <w:rPr>
          <w:rFonts w:cs="Arial"/>
          <w:i/>
        </w:rPr>
        <w:t xml:space="preserve"> </w:t>
      </w:r>
      <w:r w:rsidRPr="00A45DF8">
        <w:rPr>
          <w:rFonts w:cs="Arial"/>
        </w:rPr>
        <w:t>499-503.</w:t>
      </w:r>
    </w:p>
  </w:endnote>
  <w:endnote w:id="204">
    <w:p w14:paraId="5AD160C2" w14:textId="77777777" w:rsidR="00F008D2" w:rsidRPr="005B2362" w:rsidRDefault="00F008D2" w:rsidP="00AA3994">
      <w:pPr>
        <w:spacing w:before="0" w:after="0"/>
        <w:rPr>
          <w:rFonts w:cs="Arial"/>
          <w:sz w:val="20"/>
          <w:szCs w:val="20"/>
        </w:rPr>
      </w:pPr>
      <w:r w:rsidRPr="005B2362">
        <w:rPr>
          <w:rStyle w:val="EndnoteReference"/>
          <w:rFonts w:cs="Arial"/>
          <w:szCs w:val="20"/>
        </w:rPr>
        <w:endnoteRef/>
      </w:r>
      <w:r w:rsidRPr="005B2362">
        <w:rPr>
          <w:rFonts w:cs="Arial"/>
          <w:sz w:val="20"/>
          <w:szCs w:val="20"/>
        </w:rPr>
        <w:t xml:space="preserve"> </w:t>
      </w:r>
      <w:r w:rsidRPr="00A45DF8">
        <w:rPr>
          <w:rFonts w:cs="Arial"/>
          <w:sz w:val="20"/>
          <w:szCs w:val="20"/>
        </w:rPr>
        <w:t>Elizabeth Thomson and Angus Laing, ‘</w:t>
      </w:r>
      <w:r>
        <w:rPr>
          <w:rFonts w:cs="Arial"/>
          <w:sz w:val="20"/>
          <w:szCs w:val="20"/>
        </w:rPr>
        <w:t>“</w:t>
      </w:r>
      <w:r w:rsidRPr="00A45DF8">
        <w:rPr>
          <w:rFonts w:cs="Arial"/>
          <w:sz w:val="20"/>
          <w:szCs w:val="20"/>
        </w:rPr>
        <w:t xml:space="preserve">The Net Generation”: Children and Young People, the Internet and Online Shopping’ (2003) 19 </w:t>
      </w:r>
      <w:r w:rsidRPr="00A45DF8">
        <w:rPr>
          <w:rFonts w:cs="Arial"/>
          <w:i/>
          <w:sz w:val="20"/>
          <w:szCs w:val="20"/>
        </w:rPr>
        <w:t>Journal of Marketing Management</w:t>
      </w:r>
      <w:r w:rsidRPr="00A45DF8">
        <w:rPr>
          <w:rFonts w:cs="Arial"/>
          <w:sz w:val="20"/>
          <w:szCs w:val="20"/>
        </w:rPr>
        <w:t xml:space="preserve">, 500. </w:t>
      </w:r>
    </w:p>
  </w:endnote>
  <w:endnote w:id="205">
    <w:p w14:paraId="2D79D682"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Shelly Freierman, ‘One Million Mobile Apps, and Counting at a Fast Pace’, </w:t>
      </w:r>
      <w:r w:rsidRPr="005B2362">
        <w:rPr>
          <w:rFonts w:cs="Arial"/>
          <w:i/>
        </w:rPr>
        <w:t>The New York</w:t>
      </w:r>
      <w:r w:rsidRPr="005468F3">
        <w:rPr>
          <w:rFonts w:cs="Arial"/>
          <w:i/>
        </w:rPr>
        <w:t xml:space="preserve"> Times</w:t>
      </w:r>
      <w:r w:rsidRPr="005B2362">
        <w:rPr>
          <w:rFonts w:cs="Arial"/>
        </w:rPr>
        <w:t xml:space="preserve"> (online), 11 December 2011 &lt;</w:t>
      </w:r>
      <w:hyperlink r:id="rId103" w:history="1">
        <w:r w:rsidRPr="00420D5E">
          <w:rPr>
            <w:rStyle w:val="Hyperlink"/>
            <w:rFonts w:cs="Arial"/>
            <w:color w:val="000000" w:themeColor="text1"/>
            <w:u w:val="none"/>
          </w:rPr>
          <w:t>http://www.nytimes.com/2011/12/12/technology/one-million-apps-and-counting.html?_r=0</w:t>
        </w:r>
      </w:hyperlink>
      <w:r w:rsidRPr="00420D5E">
        <w:rPr>
          <w:rFonts w:cs="Arial"/>
          <w:color w:val="000000" w:themeColor="text1"/>
        </w:rPr>
        <w:t>&gt;.</w:t>
      </w:r>
    </w:p>
  </w:endnote>
  <w:endnote w:id="206">
    <w:p w14:paraId="3626FF83"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A45DF8">
        <w:rPr>
          <w:rFonts w:cs="Arial"/>
        </w:rPr>
        <w:t xml:space="preserve">Commonwealth Consumer Affairs Advisory Council, </w:t>
      </w:r>
      <w:r w:rsidRPr="00A45DF8">
        <w:rPr>
          <w:rFonts w:cs="Arial"/>
          <w:i/>
        </w:rPr>
        <w:t>App purchases by Australian consumers on mobile and handheld devices</w:t>
      </w:r>
      <w:r w:rsidRPr="00A45DF8">
        <w:rPr>
          <w:rFonts w:cs="Arial"/>
        </w:rPr>
        <w:t xml:space="preserve">: </w:t>
      </w:r>
      <w:r w:rsidRPr="00A45DF8">
        <w:rPr>
          <w:rFonts w:cs="Arial"/>
          <w:i/>
        </w:rPr>
        <w:t>Inquiry report</w:t>
      </w:r>
      <w:r w:rsidRPr="00A45DF8">
        <w:rPr>
          <w:rFonts w:cs="Arial"/>
        </w:rPr>
        <w:t xml:space="preserve"> (2013) vii.</w:t>
      </w:r>
    </w:p>
  </w:endnote>
  <w:endnote w:id="207">
    <w:p w14:paraId="1125069B"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A45DF8">
        <w:rPr>
          <w:rFonts w:cs="Arial"/>
        </w:rPr>
        <w:t xml:space="preserve">Committee on the Rights of the Child, </w:t>
      </w:r>
      <w:r w:rsidRPr="00A45DF8">
        <w:rPr>
          <w:rFonts w:cs="Arial"/>
          <w:i/>
        </w:rPr>
        <w:t>General Comment No.16 on State obligations regarding the impact of the business sector on children’s rights</w:t>
      </w:r>
      <w:r w:rsidRPr="00A45DF8">
        <w:rPr>
          <w:rFonts w:cs="Arial"/>
        </w:rPr>
        <w:t xml:space="preserve">, </w:t>
      </w:r>
      <w:r>
        <w:rPr>
          <w:rFonts w:cs="Arial"/>
        </w:rPr>
        <w:t>UN Doc CRC/C/GC/16 (April 2013);</w:t>
      </w:r>
      <w:r w:rsidRPr="00A45DF8">
        <w:rPr>
          <w:rFonts w:cs="Arial"/>
        </w:rPr>
        <w:t xml:space="preserve"> UNICEF, The Global Compact, Save the Children,</w:t>
      </w:r>
      <w:r w:rsidRPr="00A45DF8" w:rsidDel="00116E10">
        <w:rPr>
          <w:rFonts w:cs="Arial"/>
          <w:i/>
        </w:rPr>
        <w:t xml:space="preserve"> </w:t>
      </w:r>
      <w:r w:rsidRPr="00A45DF8">
        <w:rPr>
          <w:rFonts w:cs="Arial"/>
          <w:i/>
        </w:rPr>
        <w:t>Children’s Rights and Business Principles</w:t>
      </w:r>
      <w:r>
        <w:rPr>
          <w:rFonts w:cs="Arial"/>
        </w:rPr>
        <w:t xml:space="preserve"> (2012);</w:t>
      </w:r>
      <w:r w:rsidRPr="00A45DF8">
        <w:rPr>
          <w:rFonts w:cs="Arial"/>
        </w:rPr>
        <w:t xml:space="preserve"> Australian Human Rights Commission, </w:t>
      </w:r>
      <w:r w:rsidRPr="00A45DF8">
        <w:rPr>
          <w:rFonts w:cs="Arial"/>
          <w:i/>
        </w:rPr>
        <w:t>Strategic Plan 2014-201</w:t>
      </w:r>
      <w:r w:rsidRPr="00A45DF8">
        <w:rPr>
          <w:rFonts w:cs="Arial"/>
        </w:rPr>
        <w:t>8 (2014) 7.</w:t>
      </w:r>
    </w:p>
  </w:endnote>
  <w:endnote w:id="208">
    <w:p w14:paraId="547B1CC2" w14:textId="77777777" w:rsidR="00F008D2" w:rsidRPr="005B2362" w:rsidRDefault="00F008D2" w:rsidP="00AA3994">
      <w:pPr>
        <w:pStyle w:val="EndnoteText"/>
        <w:rPr>
          <w:rFonts w:cs="Arial"/>
        </w:rPr>
      </w:pPr>
      <w:r w:rsidRPr="005B2362">
        <w:rPr>
          <w:rStyle w:val="EndnoteReference"/>
          <w:rFonts w:cs="Arial"/>
        </w:rPr>
        <w:endnoteRef/>
      </w:r>
      <w:r>
        <w:rPr>
          <w:rFonts w:cs="Arial"/>
        </w:rPr>
        <w:t xml:space="preserve"> 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CRC/C/GC/16 (</w:t>
      </w:r>
      <w:r>
        <w:rPr>
          <w:rFonts w:cs="Arial"/>
        </w:rPr>
        <w:t>17 April 2013)</w:t>
      </w:r>
      <w:r w:rsidRPr="005B2362">
        <w:rPr>
          <w:rFonts w:cs="Arial"/>
        </w:rPr>
        <w:t xml:space="preserve"> </w:t>
      </w:r>
      <w:r>
        <w:rPr>
          <w:rFonts w:cs="Arial"/>
        </w:rPr>
        <w:t>[</w:t>
      </w:r>
      <w:r w:rsidRPr="005B2362">
        <w:rPr>
          <w:rFonts w:cs="Arial"/>
        </w:rPr>
        <w:t>83</w:t>
      </w:r>
      <w:r>
        <w:rPr>
          <w:rFonts w:cs="Arial"/>
        </w:rPr>
        <w:t>]</w:t>
      </w:r>
      <w:r w:rsidRPr="005B2362">
        <w:rPr>
          <w:rFonts w:cs="Arial"/>
        </w:rPr>
        <w:t>.</w:t>
      </w:r>
    </w:p>
  </w:endnote>
  <w:endnote w:id="209">
    <w:p w14:paraId="120B1E03"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w:t>
      </w:r>
      <w:r>
        <w:rPr>
          <w:rFonts w:cs="Arial"/>
        </w:rPr>
        <w:t>RC/C/GC/16 (April 2013) [12]; Committee o</w:t>
      </w:r>
      <w:r w:rsidRPr="005B2362">
        <w:rPr>
          <w:rFonts w:cs="Arial"/>
        </w:rPr>
        <w:t xml:space="preserve">n the Rights of the Child, </w:t>
      </w:r>
      <w:r w:rsidRPr="005B2362">
        <w:rPr>
          <w:rFonts w:cs="Arial"/>
          <w:i/>
        </w:rPr>
        <w:t xml:space="preserve">General Comment </w:t>
      </w:r>
      <w:r>
        <w:rPr>
          <w:rFonts w:cs="Arial"/>
          <w:i/>
        </w:rPr>
        <w:t>No.13 The right of the child to freedom from all forms of violence</w:t>
      </w:r>
      <w:r>
        <w:rPr>
          <w:rFonts w:cs="Arial"/>
        </w:rPr>
        <w:t>, UN Doc CRC/C/GC/13 (April 2011) [59]</w:t>
      </w:r>
      <w:r w:rsidRPr="005B2362">
        <w:rPr>
          <w:rFonts w:cs="Arial"/>
        </w:rPr>
        <w:t>.</w:t>
      </w:r>
    </w:p>
  </w:endnote>
  <w:endnote w:id="210">
    <w:p w14:paraId="4F8B2345" w14:textId="77777777" w:rsidR="00F008D2" w:rsidRDefault="00F008D2" w:rsidP="00AA3994">
      <w:pPr>
        <w:pStyle w:val="EndnoteText"/>
      </w:pPr>
      <w:r>
        <w:rPr>
          <w:rStyle w:val="EndnoteReference"/>
        </w:rPr>
        <w:endnoteRef/>
      </w:r>
      <w:r>
        <w:t xml:space="preserve"> </w:t>
      </w:r>
      <w:r w:rsidRPr="005B2362">
        <w:rPr>
          <w:rFonts w:cs="Arial"/>
        </w:rPr>
        <w:t xml:space="preserve">Australian Human Rights Commission, </w:t>
      </w:r>
      <w:r w:rsidRPr="0094062F">
        <w:rPr>
          <w:rFonts w:cs="Arial"/>
          <w:i/>
        </w:rPr>
        <w:t>Corporate Plan 2015-2016</w:t>
      </w:r>
      <w:r>
        <w:rPr>
          <w:rFonts w:cs="Arial"/>
        </w:rPr>
        <w:t xml:space="preserve"> (2015) 6.</w:t>
      </w:r>
    </w:p>
  </w:endnote>
  <w:endnote w:id="211">
    <w:p w14:paraId="27D4E12A"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 xml:space="preserve">General Comment </w:t>
      </w:r>
      <w:r>
        <w:rPr>
          <w:rFonts w:cs="Arial"/>
          <w:i/>
        </w:rPr>
        <w:t>No.13 The right of the child to freedom from all forms of violence</w:t>
      </w:r>
      <w:r>
        <w:rPr>
          <w:rFonts w:cs="Arial"/>
        </w:rPr>
        <w:t>, UN Doc CRC/C/GC/13 (April 2011) [59]</w:t>
      </w:r>
      <w:r w:rsidRPr="005B2362">
        <w:rPr>
          <w:rFonts w:cs="Arial"/>
        </w:rPr>
        <w:t>.</w:t>
      </w:r>
    </w:p>
  </w:endnote>
  <w:endnote w:id="212">
    <w:p w14:paraId="2CCECC98"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 xml:space="preserve">General Comment </w:t>
      </w:r>
      <w:r>
        <w:rPr>
          <w:rFonts w:cs="Arial"/>
          <w:i/>
        </w:rPr>
        <w:t>No.13 The right of the child to freedom from all forms of violence</w:t>
      </w:r>
      <w:r>
        <w:rPr>
          <w:rFonts w:cs="Arial"/>
        </w:rPr>
        <w:t>, UN Doc CRC/C/GC/13 (April 2011) [59]</w:t>
      </w:r>
      <w:r w:rsidRPr="005B2362">
        <w:rPr>
          <w:rFonts w:cs="Arial"/>
        </w:rPr>
        <w:t>.</w:t>
      </w:r>
    </w:p>
  </w:endnote>
  <w:endnote w:id="213">
    <w:p w14:paraId="148BAFE0"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 xml:space="preserve">General Comment </w:t>
      </w:r>
      <w:r>
        <w:rPr>
          <w:rFonts w:cs="Arial"/>
          <w:i/>
        </w:rPr>
        <w:t>No.13 The right of the child to freedom from all forms of violence</w:t>
      </w:r>
      <w:r>
        <w:rPr>
          <w:rFonts w:cs="Arial"/>
        </w:rPr>
        <w:t>, UN Doc CRC/C/GC/13 (April 2011) [59]</w:t>
      </w:r>
      <w:r w:rsidRPr="005B2362">
        <w:rPr>
          <w:rFonts w:cs="Arial"/>
        </w:rPr>
        <w:t>.</w:t>
      </w:r>
    </w:p>
  </w:endnote>
  <w:endnote w:id="214">
    <w:p w14:paraId="4DE6D0E2"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w:t>
      </w:r>
      <w:r>
        <w:rPr>
          <w:rFonts w:cs="Arial"/>
          <w:i/>
        </w:rPr>
        <w:t>5 on General measures of implementation of the Convention on the Rights of the Child (arts. 4, 42 and 44)</w:t>
      </w:r>
      <w:r w:rsidRPr="005B2362">
        <w:rPr>
          <w:rFonts w:cs="Arial"/>
        </w:rPr>
        <w:t>, UN Doc C</w:t>
      </w:r>
      <w:r>
        <w:rPr>
          <w:rFonts w:cs="Arial"/>
        </w:rPr>
        <w:t>RC/C/GC/2003/5 (November 2003) [12].</w:t>
      </w:r>
    </w:p>
  </w:endnote>
  <w:endnote w:id="215">
    <w:p w14:paraId="2AE843E5"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w:t>
      </w:r>
      <w:r>
        <w:rPr>
          <w:rFonts w:cs="Arial"/>
        </w:rPr>
        <w:t>RC/C/GC/16 (April 2013) [13].</w:t>
      </w:r>
    </w:p>
  </w:endnote>
  <w:endnote w:id="216">
    <w:p w14:paraId="2B818135"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w:t>
      </w:r>
      <w:r>
        <w:rPr>
          <w:rFonts w:cs="Arial"/>
        </w:rPr>
        <w:t>RC/C/GC/16 (April 2013) [14].</w:t>
      </w:r>
    </w:p>
  </w:endnote>
  <w:endnote w:id="217">
    <w:p w14:paraId="2246A001"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No.14</w:t>
      </w:r>
      <w:r w:rsidRPr="005B2362">
        <w:rPr>
          <w:rFonts w:cs="Arial"/>
          <w:i/>
        </w:rPr>
        <w:t xml:space="preserve"> on </w:t>
      </w:r>
      <w:r>
        <w:rPr>
          <w:rFonts w:cs="Arial"/>
          <w:i/>
        </w:rPr>
        <w:t>the right of the child to have his or her best interests taken as a primary consideration</w:t>
      </w:r>
      <w:r w:rsidRPr="005B2362">
        <w:rPr>
          <w:rFonts w:cs="Arial"/>
        </w:rPr>
        <w:t>, UN Doc C</w:t>
      </w:r>
      <w:r>
        <w:rPr>
          <w:rFonts w:cs="Arial"/>
        </w:rPr>
        <w:t>RC/C/GC/14 (May 2013) [14].</w:t>
      </w:r>
    </w:p>
  </w:endnote>
  <w:endnote w:id="218">
    <w:p w14:paraId="0A75005D"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w:t>
      </w:r>
      <w:r>
        <w:rPr>
          <w:rFonts w:cs="Arial"/>
        </w:rPr>
        <w:t>RC/C/GC/16 (April 2013) [15].</w:t>
      </w:r>
    </w:p>
  </w:endnote>
  <w:endnote w:id="219">
    <w:p w14:paraId="459B9387"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w:t>
      </w:r>
      <w:r>
        <w:rPr>
          <w:rFonts w:cs="Arial"/>
        </w:rPr>
        <w:t>RC/C/GC/16 (April 2013) [17].</w:t>
      </w:r>
    </w:p>
  </w:endnote>
  <w:endnote w:id="220">
    <w:p w14:paraId="7C776E2B"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w:t>
      </w:r>
      <w:r>
        <w:rPr>
          <w:rFonts w:cs="Arial"/>
          <w:i/>
        </w:rPr>
        <w:t>5 on General measures of implementation of the Convention on the Rights of the Child (arts. 4, 42 and 44)</w:t>
      </w:r>
      <w:r w:rsidRPr="005B2362">
        <w:rPr>
          <w:rFonts w:cs="Arial"/>
        </w:rPr>
        <w:t>, UN Doc C</w:t>
      </w:r>
      <w:r>
        <w:rPr>
          <w:rFonts w:cs="Arial"/>
        </w:rPr>
        <w:t>RC/C/GC/2003/5 (November 2003) [12].</w:t>
      </w:r>
    </w:p>
  </w:endnote>
  <w:endnote w:id="221">
    <w:p w14:paraId="0CCA5672"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w:t>
      </w:r>
      <w:r>
        <w:rPr>
          <w:rFonts w:cs="Arial"/>
        </w:rPr>
        <w:t>RC/C/GC/16 (April 2013) [19].</w:t>
      </w:r>
    </w:p>
  </w:endnote>
  <w:endnote w:id="222">
    <w:p w14:paraId="4962F967"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w:t>
      </w:r>
      <w:r>
        <w:rPr>
          <w:rFonts w:cs="Arial"/>
        </w:rPr>
        <w:t>RC/C/GC/16 (April 2013) [20].</w:t>
      </w:r>
    </w:p>
  </w:endnote>
  <w:endnote w:id="223">
    <w:p w14:paraId="7506C1C7"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w:t>
      </w:r>
      <w:r>
        <w:rPr>
          <w:rFonts w:cs="Arial"/>
        </w:rPr>
        <w:t>RC/C/GC/16 (April 2013) [22].</w:t>
      </w:r>
    </w:p>
  </w:endnote>
  <w:endnote w:id="224">
    <w:p w14:paraId="1F44D593"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w:t>
      </w:r>
      <w:r>
        <w:rPr>
          <w:rFonts w:cs="Arial"/>
        </w:rPr>
        <w:t>RC/C/GC/16 (April 2013) [21].</w:t>
      </w:r>
    </w:p>
  </w:endnote>
  <w:endnote w:id="225">
    <w:p w14:paraId="2EC219A2" w14:textId="77777777" w:rsidR="00F008D2" w:rsidRDefault="00F008D2" w:rsidP="00AA3994">
      <w:pPr>
        <w:pStyle w:val="EndnoteText"/>
      </w:pPr>
      <w:r>
        <w:rPr>
          <w:rStyle w:val="EndnoteReference"/>
        </w:rPr>
        <w:endnoteRef/>
      </w:r>
      <w:r>
        <w:t xml:space="preserve"> </w:t>
      </w:r>
      <w:r w:rsidRPr="005B2362">
        <w:rPr>
          <w:rFonts w:cs="Arial"/>
        </w:rPr>
        <w:t>C</w:t>
      </w:r>
      <w:r>
        <w:rPr>
          <w:rFonts w:cs="Arial"/>
        </w:rPr>
        <w:t>ommittee o</w:t>
      </w:r>
      <w:r w:rsidRPr="005B2362">
        <w:rPr>
          <w:rFonts w:cs="Arial"/>
        </w:rPr>
        <w:t xml:space="preserve">n the Rights of the Child, </w:t>
      </w:r>
      <w:r>
        <w:rPr>
          <w:rFonts w:cs="Arial"/>
          <w:i/>
        </w:rPr>
        <w:t>General Comment No.12</w:t>
      </w:r>
      <w:r w:rsidRPr="005B2362">
        <w:rPr>
          <w:rFonts w:cs="Arial"/>
          <w:i/>
        </w:rPr>
        <w:t xml:space="preserve"> on </w:t>
      </w:r>
      <w:r>
        <w:rPr>
          <w:rFonts w:cs="Arial"/>
          <w:i/>
        </w:rPr>
        <w:t>the right of the child to be heard</w:t>
      </w:r>
      <w:r w:rsidRPr="005B2362">
        <w:rPr>
          <w:rFonts w:cs="Arial"/>
        </w:rPr>
        <w:t>, UN Doc C</w:t>
      </w:r>
      <w:r>
        <w:rPr>
          <w:rFonts w:cs="Arial"/>
        </w:rPr>
        <w:t>RC/C/GC/12 (July 2009) [11].</w:t>
      </w:r>
    </w:p>
  </w:endnote>
  <w:endnote w:id="226">
    <w:p w14:paraId="675E1C4A"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No.12</w:t>
      </w:r>
      <w:r w:rsidRPr="005B2362">
        <w:rPr>
          <w:rFonts w:cs="Arial"/>
          <w:i/>
        </w:rPr>
        <w:t xml:space="preserve"> on </w:t>
      </w:r>
      <w:r>
        <w:rPr>
          <w:rFonts w:cs="Arial"/>
          <w:i/>
        </w:rPr>
        <w:t>the right of the child to be heard</w:t>
      </w:r>
      <w:r w:rsidRPr="005B2362">
        <w:rPr>
          <w:rFonts w:cs="Arial"/>
        </w:rPr>
        <w:t>, UN Doc C</w:t>
      </w:r>
      <w:r>
        <w:rPr>
          <w:rFonts w:cs="Arial"/>
        </w:rPr>
        <w:t>RC/C/GC/12 (July 2009) [27].</w:t>
      </w:r>
    </w:p>
  </w:endnote>
  <w:endnote w:id="227">
    <w:p w14:paraId="207024D1"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No.12</w:t>
      </w:r>
      <w:r w:rsidRPr="005B2362">
        <w:rPr>
          <w:rFonts w:cs="Arial"/>
          <w:i/>
        </w:rPr>
        <w:t xml:space="preserve"> on </w:t>
      </w:r>
      <w:r>
        <w:rPr>
          <w:rFonts w:cs="Arial"/>
          <w:i/>
        </w:rPr>
        <w:t>the right of the child to be heard</w:t>
      </w:r>
      <w:r w:rsidRPr="005B2362">
        <w:rPr>
          <w:rFonts w:cs="Arial"/>
        </w:rPr>
        <w:t>, UN Doc C</w:t>
      </w:r>
      <w:r>
        <w:rPr>
          <w:rFonts w:cs="Arial"/>
        </w:rPr>
        <w:t>RC/C/GC/12 (July 2009) [48].</w:t>
      </w:r>
    </w:p>
  </w:endnote>
  <w:endnote w:id="228">
    <w:p w14:paraId="094128EA" w14:textId="77777777" w:rsidR="00F008D2" w:rsidRPr="00C76526" w:rsidRDefault="00F008D2" w:rsidP="00AA3994">
      <w:pPr>
        <w:pStyle w:val="EndnoteText"/>
        <w:rPr>
          <w:lang w:val="en-US"/>
        </w:rPr>
      </w:pPr>
      <w:r>
        <w:rPr>
          <w:rStyle w:val="EndnoteReference"/>
        </w:rPr>
        <w:endnoteRef/>
      </w:r>
      <w:r>
        <w:t xml:space="preserve"> </w:t>
      </w:r>
      <w:r w:rsidRPr="0094062F">
        <w:t xml:space="preserve">P. B </w:t>
      </w:r>
      <w:r w:rsidRPr="0094062F">
        <w:rPr>
          <w:lang w:val="en-US"/>
        </w:rPr>
        <w:t xml:space="preserve">Seybold, </w:t>
      </w:r>
      <w:r w:rsidRPr="0094062F">
        <w:rPr>
          <w:i/>
          <w:lang w:val="en-US"/>
        </w:rPr>
        <w:t>Outside Innovation: how your customers will co-design your company’s future</w:t>
      </w:r>
      <w:r>
        <w:rPr>
          <w:lang w:val="en-US"/>
        </w:rPr>
        <w:t xml:space="preserve"> (Collins, 2006).</w:t>
      </w:r>
    </w:p>
  </w:endnote>
  <w:endnote w:id="229">
    <w:p w14:paraId="23CB5B52"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No.12</w:t>
      </w:r>
      <w:r w:rsidRPr="005B2362">
        <w:rPr>
          <w:rFonts w:cs="Arial"/>
          <w:i/>
        </w:rPr>
        <w:t xml:space="preserve"> on </w:t>
      </w:r>
      <w:r>
        <w:rPr>
          <w:rFonts w:cs="Arial"/>
          <w:i/>
        </w:rPr>
        <w:t>the right of the child to be heard</w:t>
      </w:r>
      <w:r w:rsidRPr="005B2362">
        <w:rPr>
          <w:rFonts w:cs="Arial"/>
        </w:rPr>
        <w:t>, UN Doc C</w:t>
      </w:r>
      <w:r>
        <w:rPr>
          <w:rFonts w:cs="Arial"/>
        </w:rPr>
        <w:t>RC/C/GC/12 (July 2009) [82].</w:t>
      </w:r>
    </w:p>
  </w:endnote>
  <w:endnote w:id="230">
    <w:p w14:paraId="4B7B291D"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No.14</w:t>
      </w:r>
      <w:r w:rsidRPr="005B2362">
        <w:rPr>
          <w:rFonts w:cs="Arial"/>
          <w:i/>
        </w:rPr>
        <w:t xml:space="preserve"> on </w:t>
      </w:r>
      <w:r>
        <w:rPr>
          <w:rFonts w:cs="Arial"/>
          <w:i/>
        </w:rPr>
        <w:t>the right of the child to have his or her best interests taken as a primary consideration</w:t>
      </w:r>
      <w:r w:rsidRPr="005B2362">
        <w:rPr>
          <w:rFonts w:cs="Arial"/>
        </w:rPr>
        <w:t>, UN Doc C</w:t>
      </w:r>
      <w:r>
        <w:rPr>
          <w:rFonts w:cs="Arial"/>
        </w:rPr>
        <w:t>RC/C/GC/14 (May 2013) [55].</w:t>
      </w:r>
    </w:p>
  </w:endnote>
  <w:endnote w:id="231">
    <w:p w14:paraId="4EE50C95"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No.14</w:t>
      </w:r>
      <w:r w:rsidRPr="005B2362">
        <w:rPr>
          <w:rFonts w:cs="Arial"/>
          <w:i/>
        </w:rPr>
        <w:t xml:space="preserve"> on </w:t>
      </w:r>
      <w:r>
        <w:rPr>
          <w:rFonts w:cs="Arial"/>
          <w:i/>
        </w:rPr>
        <w:t>the right of the child to have his or her best interests taken as a primary consideration</w:t>
      </w:r>
      <w:r w:rsidRPr="005B2362">
        <w:rPr>
          <w:rFonts w:cs="Arial"/>
        </w:rPr>
        <w:t>, UN Doc C</w:t>
      </w:r>
      <w:r>
        <w:rPr>
          <w:rFonts w:cs="Arial"/>
        </w:rPr>
        <w:t>RC/C/GC/14 (May 2013) [55].</w:t>
      </w:r>
    </w:p>
  </w:endnote>
  <w:endnote w:id="232">
    <w:p w14:paraId="4420A22B" w14:textId="4F383AF7" w:rsidR="00F008D2" w:rsidRDefault="00F008D2" w:rsidP="00AA3994">
      <w:pPr>
        <w:pStyle w:val="EndnoteText"/>
      </w:pPr>
      <w:r>
        <w:rPr>
          <w:rStyle w:val="EndnoteReference"/>
        </w:rPr>
        <w:endnoteRef/>
      </w:r>
      <w:r>
        <w:t xml:space="preserve"> </w:t>
      </w:r>
      <w:r w:rsidRPr="003F1810">
        <w:rPr>
          <w:rStyle w:val="selectable"/>
          <w:rFonts w:cs="Arial"/>
          <w:color w:val="000000"/>
          <w:lang w:val="en"/>
        </w:rPr>
        <w:t>Aus</w:t>
      </w:r>
      <w:r>
        <w:rPr>
          <w:rStyle w:val="selectable"/>
          <w:rFonts w:cs="Arial"/>
          <w:color w:val="000000"/>
          <w:lang w:val="en"/>
        </w:rPr>
        <w:t xml:space="preserve">tralian Law Reform Commission, </w:t>
      </w:r>
      <w:r w:rsidRPr="00AC25D5">
        <w:rPr>
          <w:rStyle w:val="selectable"/>
          <w:rFonts w:cs="Arial"/>
          <w:i/>
          <w:color w:val="000000"/>
          <w:lang w:val="en"/>
        </w:rPr>
        <w:t>Speaking For Ourselves: Children And The Leg</w:t>
      </w:r>
      <w:r>
        <w:rPr>
          <w:rStyle w:val="selectable"/>
          <w:rFonts w:cs="Arial"/>
          <w:i/>
          <w:color w:val="000000"/>
          <w:lang w:val="en"/>
        </w:rPr>
        <w:t>al Process - Kids Issues Paper</w:t>
      </w:r>
      <w:r w:rsidRPr="00AC25D5">
        <w:rPr>
          <w:rStyle w:val="selectable"/>
          <w:rFonts w:cs="Arial"/>
          <w:color w:val="000000"/>
          <w:lang w:val="en"/>
        </w:rPr>
        <w:t>, IP Report No 17</w:t>
      </w:r>
      <w:r>
        <w:rPr>
          <w:rStyle w:val="selectable"/>
          <w:rFonts w:cs="Arial"/>
          <w:color w:val="000000"/>
          <w:lang w:val="en"/>
        </w:rPr>
        <w:t xml:space="preserve"> (1996)</w:t>
      </w:r>
      <w:r w:rsidRPr="00AC25D5">
        <w:rPr>
          <w:rStyle w:val="selectable"/>
          <w:rFonts w:cs="Arial"/>
          <w:color w:val="000000"/>
          <w:lang w:val="en"/>
        </w:rPr>
        <w:t xml:space="preserve"> </w:t>
      </w:r>
      <w:r>
        <w:rPr>
          <w:rStyle w:val="selectable"/>
          <w:rFonts w:cs="Arial"/>
          <w:color w:val="000000"/>
          <w:lang w:val="en"/>
        </w:rPr>
        <w:t>&lt;</w:t>
      </w:r>
      <w:hyperlink r:id="rId104" w:history="1">
        <w:r w:rsidRPr="00C76F3E">
          <w:rPr>
            <w:rStyle w:val="Hyperlink"/>
            <w:rFonts w:cs="Arial"/>
            <w:lang w:val="en"/>
          </w:rPr>
          <w:t>http://www.alrc.gov.au/publications/ip-17</w:t>
        </w:r>
      </w:hyperlink>
      <w:r>
        <w:rPr>
          <w:rStyle w:val="selectable"/>
          <w:rFonts w:cs="Arial"/>
          <w:color w:val="000000"/>
          <w:lang w:val="en"/>
        </w:rPr>
        <w:t>&gt;.</w:t>
      </w:r>
    </w:p>
  </w:endnote>
  <w:endnote w:id="233">
    <w:p w14:paraId="32FA36FF"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Sheena Horgan, ‘Kids as sta</w:t>
      </w:r>
      <w:r>
        <w:rPr>
          <w:rFonts w:cs="Arial"/>
        </w:rPr>
        <w:t>keholders in business’ (2005) 6(</w:t>
      </w:r>
      <w:r w:rsidRPr="005B2362">
        <w:rPr>
          <w:rFonts w:cs="Arial"/>
        </w:rPr>
        <w:t>4</w:t>
      </w:r>
      <w:r>
        <w:rPr>
          <w:rFonts w:cs="Arial"/>
        </w:rPr>
        <w:t>)</w:t>
      </w:r>
      <w:r w:rsidRPr="005B2362">
        <w:rPr>
          <w:rFonts w:cs="Arial"/>
        </w:rPr>
        <w:t xml:space="preserve"> </w:t>
      </w:r>
      <w:r w:rsidRPr="005B2362">
        <w:rPr>
          <w:rFonts w:cs="Arial"/>
          <w:i/>
        </w:rPr>
        <w:t>Young Consumers</w:t>
      </w:r>
      <w:r w:rsidRPr="005B2362">
        <w:rPr>
          <w:rFonts w:cs="Arial"/>
        </w:rPr>
        <w:t>.</w:t>
      </w:r>
    </w:p>
  </w:endnote>
  <w:endnote w:id="234">
    <w:p w14:paraId="441C9347"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Sheena Horgan, ‘Kids as stakeholders in b</w:t>
      </w:r>
      <w:r>
        <w:rPr>
          <w:rFonts w:cs="Arial"/>
        </w:rPr>
        <w:t>usiness’ (2005) 6(</w:t>
      </w:r>
      <w:r w:rsidRPr="005B2362">
        <w:rPr>
          <w:rFonts w:cs="Arial"/>
        </w:rPr>
        <w:t>4</w:t>
      </w:r>
      <w:r>
        <w:rPr>
          <w:rFonts w:cs="Arial"/>
        </w:rPr>
        <w:t>)</w:t>
      </w:r>
      <w:r w:rsidRPr="005B2362">
        <w:rPr>
          <w:rFonts w:cs="Arial"/>
        </w:rPr>
        <w:t xml:space="preserve"> </w:t>
      </w:r>
      <w:r w:rsidRPr="005B2362">
        <w:rPr>
          <w:rFonts w:cs="Arial"/>
          <w:i/>
        </w:rPr>
        <w:t>Young Consumers</w:t>
      </w:r>
      <w:r>
        <w:rPr>
          <w:rFonts w:cs="Arial"/>
          <w:i/>
        </w:rPr>
        <w:t xml:space="preserve">, </w:t>
      </w:r>
      <w:r w:rsidRPr="005B2362">
        <w:rPr>
          <w:rFonts w:cs="Arial"/>
        </w:rPr>
        <w:t>72-3.</w:t>
      </w:r>
    </w:p>
  </w:endnote>
  <w:endnote w:id="235">
    <w:p w14:paraId="174ADEF1"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5F03EB">
        <w:rPr>
          <w:rFonts w:cs="Arial"/>
        </w:rPr>
        <w:t xml:space="preserve">Kay Palan, Elodie Gentina and Isabelle Muratore, ‘Adolescent consumption autonomy: a cross-cultural examination’ (2010) 63 </w:t>
      </w:r>
      <w:r w:rsidRPr="005F03EB">
        <w:rPr>
          <w:rFonts w:cs="Arial"/>
          <w:i/>
        </w:rPr>
        <w:t>Journal of Business Research</w:t>
      </w:r>
      <w:r w:rsidRPr="00F05B83">
        <w:rPr>
          <w:rFonts w:cs="Arial"/>
        </w:rPr>
        <w:t xml:space="preserve">, 1342. </w:t>
      </w:r>
    </w:p>
  </w:endnote>
  <w:endnote w:id="236">
    <w:p w14:paraId="2E57765B"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A45DF8">
        <w:rPr>
          <w:rFonts w:cs="Arial"/>
        </w:rPr>
        <w:t xml:space="preserve">Amandine Garde, ‘Advertising Regulation and Protection of Children-Consumers in the European Union: in the Best Interest of...Commercial Operators?’ (2011) 19 </w:t>
      </w:r>
      <w:r w:rsidRPr="00A45DF8">
        <w:rPr>
          <w:rFonts w:cs="Arial"/>
          <w:i/>
        </w:rPr>
        <w:t>International Journal of Children’s Rights</w:t>
      </w:r>
      <w:r w:rsidRPr="00A45DF8">
        <w:rPr>
          <w:rFonts w:cs="Arial"/>
        </w:rPr>
        <w:t>, 526.</w:t>
      </w:r>
    </w:p>
  </w:endnote>
  <w:endnote w:id="237">
    <w:p w14:paraId="6C643A60"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Scott Ward, ‘Consumer Socialization’</w:t>
      </w:r>
      <w:r>
        <w:rPr>
          <w:rFonts w:cs="Arial"/>
        </w:rPr>
        <w:t xml:space="preserve"> (1974) 1(1)</w:t>
      </w:r>
      <w:r w:rsidRPr="005B2362">
        <w:rPr>
          <w:rFonts w:cs="Arial"/>
        </w:rPr>
        <w:t xml:space="preserve"> </w:t>
      </w:r>
      <w:r w:rsidRPr="005B2362">
        <w:rPr>
          <w:rFonts w:cs="Arial"/>
          <w:i/>
        </w:rPr>
        <w:t>Journal of Consumer Research</w:t>
      </w:r>
      <w:r w:rsidRPr="005B2362">
        <w:rPr>
          <w:rFonts w:cs="Arial"/>
        </w:rPr>
        <w:t xml:space="preserve">, 2. </w:t>
      </w:r>
    </w:p>
  </w:endnote>
  <w:endnote w:id="238">
    <w:p w14:paraId="5C20735A"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Deborah John, ‘Consumer Sociali</w:t>
      </w:r>
      <w:r>
        <w:rPr>
          <w:rFonts w:cs="Arial"/>
        </w:rPr>
        <w:t>z</w:t>
      </w:r>
      <w:r w:rsidRPr="005B2362">
        <w:rPr>
          <w:rFonts w:cs="Arial"/>
        </w:rPr>
        <w:t xml:space="preserve">ation of Children: </w:t>
      </w:r>
      <w:r>
        <w:rPr>
          <w:rFonts w:cs="Arial"/>
        </w:rPr>
        <w:t>A</w:t>
      </w:r>
      <w:r w:rsidRPr="005B2362">
        <w:rPr>
          <w:rFonts w:cs="Arial"/>
        </w:rPr>
        <w:t xml:space="preserve"> Retrospective Look at Twenty Years of Research’</w:t>
      </w:r>
      <w:r>
        <w:rPr>
          <w:rFonts w:cs="Arial"/>
        </w:rPr>
        <w:t xml:space="preserve"> (1999) 26(3) </w:t>
      </w:r>
      <w:r w:rsidRPr="005B2362">
        <w:rPr>
          <w:rFonts w:cs="Arial"/>
          <w:i/>
        </w:rPr>
        <w:t>Journal of Consumer Research</w:t>
      </w:r>
      <w:r w:rsidRPr="005B2362">
        <w:rPr>
          <w:rFonts w:cs="Arial"/>
        </w:rPr>
        <w:t xml:space="preserve">, 187. </w:t>
      </w:r>
    </w:p>
  </w:endnote>
  <w:endnote w:id="239">
    <w:p w14:paraId="63F634E9"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Deborah John, ‘Consumer Sociali</w:t>
      </w:r>
      <w:r>
        <w:rPr>
          <w:rFonts w:cs="Arial"/>
        </w:rPr>
        <w:t>z</w:t>
      </w:r>
      <w:r w:rsidRPr="005B2362">
        <w:rPr>
          <w:rFonts w:cs="Arial"/>
        </w:rPr>
        <w:t xml:space="preserve">ation of Children: </w:t>
      </w:r>
      <w:r>
        <w:rPr>
          <w:rFonts w:cs="Arial"/>
        </w:rPr>
        <w:t>A</w:t>
      </w:r>
      <w:r w:rsidRPr="005B2362">
        <w:rPr>
          <w:rFonts w:cs="Arial"/>
        </w:rPr>
        <w:t xml:space="preserve"> Retrospective Look at Twenty Years of Research’</w:t>
      </w:r>
      <w:r>
        <w:rPr>
          <w:rFonts w:cs="Arial"/>
        </w:rPr>
        <w:t xml:space="preserve"> (1999) 26(3) </w:t>
      </w:r>
      <w:r w:rsidRPr="005B2362">
        <w:rPr>
          <w:rFonts w:cs="Arial"/>
          <w:i/>
        </w:rPr>
        <w:t>Journal of Consumer Research</w:t>
      </w:r>
      <w:r w:rsidRPr="005B2362">
        <w:rPr>
          <w:rFonts w:cs="Arial"/>
        </w:rPr>
        <w:t>, 187.</w:t>
      </w:r>
    </w:p>
  </w:endnote>
  <w:endnote w:id="240">
    <w:p w14:paraId="7758BA17"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Deborah John, ‘Consumer Sociali</w:t>
      </w:r>
      <w:r>
        <w:rPr>
          <w:rFonts w:cs="Arial"/>
        </w:rPr>
        <w:t>z</w:t>
      </w:r>
      <w:r w:rsidRPr="005B2362">
        <w:rPr>
          <w:rFonts w:cs="Arial"/>
        </w:rPr>
        <w:t xml:space="preserve">ation of Children: </w:t>
      </w:r>
      <w:r>
        <w:rPr>
          <w:rFonts w:cs="Arial"/>
        </w:rPr>
        <w:t>A</w:t>
      </w:r>
      <w:r w:rsidRPr="005B2362">
        <w:rPr>
          <w:rFonts w:cs="Arial"/>
        </w:rPr>
        <w:t xml:space="preserve"> Retrospective Look at Twenty Years of Research’</w:t>
      </w:r>
      <w:r>
        <w:rPr>
          <w:rFonts w:cs="Arial"/>
        </w:rPr>
        <w:t xml:space="preserve"> (1999) 26(3) </w:t>
      </w:r>
      <w:r w:rsidRPr="005B2362">
        <w:rPr>
          <w:rFonts w:cs="Arial"/>
          <w:i/>
        </w:rPr>
        <w:t>Journal of Consumer Research</w:t>
      </w:r>
      <w:r w:rsidRPr="005B2362">
        <w:rPr>
          <w:rFonts w:cs="Arial"/>
        </w:rPr>
        <w:t>, 187.</w:t>
      </w:r>
    </w:p>
  </w:endnote>
  <w:endnote w:id="241">
    <w:p w14:paraId="21E7F054"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Deborah John, ‘Consumer Sociali</w:t>
      </w:r>
      <w:r>
        <w:rPr>
          <w:rFonts w:cs="Arial"/>
        </w:rPr>
        <w:t>z</w:t>
      </w:r>
      <w:r w:rsidRPr="005B2362">
        <w:rPr>
          <w:rFonts w:cs="Arial"/>
        </w:rPr>
        <w:t xml:space="preserve">ation of Children: </w:t>
      </w:r>
      <w:r>
        <w:rPr>
          <w:rFonts w:cs="Arial"/>
        </w:rPr>
        <w:t>A</w:t>
      </w:r>
      <w:r w:rsidRPr="005B2362">
        <w:rPr>
          <w:rFonts w:cs="Arial"/>
        </w:rPr>
        <w:t xml:space="preserve"> Retrospective Look at Twenty Years of Research’</w:t>
      </w:r>
      <w:r>
        <w:rPr>
          <w:rFonts w:cs="Arial"/>
        </w:rPr>
        <w:t xml:space="preserve"> (1999) 26(3) </w:t>
      </w:r>
      <w:r w:rsidRPr="005B2362">
        <w:rPr>
          <w:rFonts w:cs="Arial"/>
          <w:i/>
        </w:rPr>
        <w:t>Journal of Consumer Research</w:t>
      </w:r>
      <w:r w:rsidRPr="005B2362">
        <w:rPr>
          <w:rFonts w:cs="Arial"/>
        </w:rPr>
        <w:t xml:space="preserve">, 187. </w:t>
      </w:r>
    </w:p>
  </w:endnote>
  <w:endnote w:id="242">
    <w:p w14:paraId="59FB969D"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Kay M Palan, Elodie Gentina and Isabelle Muratore, ‘Adolescent consumption autonomy</w:t>
      </w:r>
      <w:r>
        <w:rPr>
          <w:rFonts w:cs="Arial"/>
        </w:rPr>
        <w:t>: a cross-cultural examination’</w:t>
      </w:r>
      <w:r w:rsidRPr="005B2362">
        <w:rPr>
          <w:rFonts w:cs="Arial"/>
        </w:rPr>
        <w:t xml:space="preserve"> (2010) </w:t>
      </w:r>
      <w:r>
        <w:rPr>
          <w:rFonts w:cs="Arial"/>
        </w:rPr>
        <w:t xml:space="preserve">63(12) </w:t>
      </w:r>
      <w:r w:rsidRPr="005B2362">
        <w:rPr>
          <w:rFonts w:cs="Arial"/>
          <w:i/>
        </w:rPr>
        <w:t>Journal of Business Research</w:t>
      </w:r>
      <w:r w:rsidRPr="005B2362">
        <w:rPr>
          <w:rFonts w:cs="Arial"/>
        </w:rPr>
        <w:t>, 1342.</w:t>
      </w:r>
      <w:r w:rsidRPr="005B2362">
        <w:rPr>
          <w:rFonts w:cs="Arial"/>
          <w:highlight w:val="yellow"/>
        </w:rPr>
        <w:t xml:space="preserve"> </w:t>
      </w:r>
    </w:p>
  </w:endnote>
  <w:endnote w:id="243">
    <w:p w14:paraId="23CDE58B"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Marc J Noom, Maja Dekovi</w:t>
      </w:r>
      <w:r w:rsidRPr="005B2362">
        <w:rPr>
          <w:rStyle w:val="Emphasis"/>
          <w:rFonts w:cs="Arial"/>
          <w:bCs/>
          <w:i w:val="0"/>
          <w:iCs w:val="0"/>
          <w:shd w:val="clear" w:color="auto" w:fill="FFFFFF"/>
        </w:rPr>
        <w:t>ć and Wim Meeus</w:t>
      </w:r>
      <w:r w:rsidRPr="005B2362">
        <w:rPr>
          <w:rFonts w:cs="Arial"/>
        </w:rPr>
        <w:t>, ‘Conceptual Analysis and Meas</w:t>
      </w:r>
      <w:r>
        <w:rPr>
          <w:rFonts w:cs="Arial"/>
        </w:rPr>
        <w:t>urement of Adolescent Autonomy’</w:t>
      </w:r>
      <w:r w:rsidRPr="005B2362">
        <w:rPr>
          <w:rFonts w:cs="Arial"/>
        </w:rPr>
        <w:t xml:space="preserve"> (2001) 30 (5) </w:t>
      </w:r>
      <w:r w:rsidRPr="005B2362">
        <w:rPr>
          <w:rFonts w:cs="Arial"/>
          <w:i/>
        </w:rPr>
        <w:t>Journal of Youth and Adolescence</w:t>
      </w:r>
      <w:r w:rsidRPr="005B2362">
        <w:rPr>
          <w:rFonts w:cs="Arial"/>
        </w:rPr>
        <w:t xml:space="preserve">, 582. </w:t>
      </w:r>
      <w:r w:rsidRPr="005B2362">
        <w:rPr>
          <w:rFonts w:cs="Arial"/>
          <w:highlight w:val="yellow"/>
        </w:rPr>
        <w:t xml:space="preserve"> </w:t>
      </w:r>
    </w:p>
  </w:endnote>
  <w:endnote w:id="244">
    <w:p w14:paraId="2CEBDD8A"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Marc J Noom, Maja Dekovi</w:t>
      </w:r>
      <w:r w:rsidRPr="005B2362">
        <w:rPr>
          <w:rStyle w:val="Emphasis"/>
          <w:rFonts w:cs="Arial"/>
          <w:bCs/>
          <w:i w:val="0"/>
          <w:iCs w:val="0"/>
          <w:shd w:val="clear" w:color="auto" w:fill="FFFFFF"/>
        </w:rPr>
        <w:t>ć and Wim Meeus</w:t>
      </w:r>
      <w:r w:rsidRPr="005B2362">
        <w:rPr>
          <w:rFonts w:cs="Arial"/>
        </w:rPr>
        <w:t>, ‘Conceptual Analysis and Meas</w:t>
      </w:r>
      <w:r>
        <w:rPr>
          <w:rFonts w:cs="Arial"/>
        </w:rPr>
        <w:t>urement of Adolescent Autonomy’</w:t>
      </w:r>
      <w:r w:rsidRPr="005B2362">
        <w:rPr>
          <w:rFonts w:cs="Arial"/>
        </w:rPr>
        <w:t xml:space="preserve"> (2001) 30 (5) </w:t>
      </w:r>
      <w:r w:rsidRPr="005B2362">
        <w:rPr>
          <w:rFonts w:cs="Arial"/>
          <w:i/>
        </w:rPr>
        <w:t>Journal of Youth and Adolescence</w:t>
      </w:r>
      <w:r w:rsidRPr="005B2362">
        <w:rPr>
          <w:rFonts w:cs="Arial"/>
        </w:rPr>
        <w:t xml:space="preserve">, 592. </w:t>
      </w:r>
    </w:p>
  </w:endnote>
  <w:endnote w:id="245">
    <w:p w14:paraId="6F9EBB04"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AB5A77">
        <w:rPr>
          <w:rFonts w:cs="Arial"/>
        </w:rPr>
        <w:t xml:space="preserve">Kay Palan, Elodie Gentina and Isabelle Muratore, ‘Adolescent consumption autonomy: a cross-cultural examination’ (2010) 63 </w:t>
      </w:r>
      <w:r w:rsidRPr="00AB5A77">
        <w:rPr>
          <w:rFonts w:cs="Arial"/>
          <w:i/>
        </w:rPr>
        <w:t>Journal of Business Research</w:t>
      </w:r>
      <w:r w:rsidRPr="00AB5A77">
        <w:rPr>
          <w:rFonts w:cs="Arial"/>
        </w:rPr>
        <w:t>,</w:t>
      </w:r>
      <w:r w:rsidRPr="00B17447">
        <w:rPr>
          <w:rFonts w:cs="Arial"/>
        </w:rPr>
        <w:t xml:space="preserve"> 1347. </w:t>
      </w:r>
    </w:p>
  </w:endnote>
  <w:endnote w:id="246">
    <w:p w14:paraId="37797806" w14:textId="77777777" w:rsidR="00F008D2" w:rsidRPr="005B2362" w:rsidRDefault="00F008D2" w:rsidP="00AA3994">
      <w:pPr>
        <w:spacing w:before="0" w:after="0"/>
        <w:rPr>
          <w:rFonts w:cs="Arial"/>
          <w:sz w:val="20"/>
          <w:szCs w:val="20"/>
        </w:rPr>
      </w:pPr>
      <w:r w:rsidRPr="005B2362">
        <w:rPr>
          <w:rStyle w:val="EndnoteReference"/>
          <w:rFonts w:cs="Arial"/>
          <w:szCs w:val="20"/>
        </w:rPr>
        <w:endnoteRef/>
      </w:r>
      <w:r w:rsidRPr="005B2362">
        <w:rPr>
          <w:rFonts w:cs="Arial"/>
          <w:sz w:val="20"/>
          <w:szCs w:val="20"/>
        </w:rPr>
        <w:t xml:space="preserve"> Elizabeth Thomson and Angus Laing, ‘</w:t>
      </w:r>
      <w:r>
        <w:rPr>
          <w:rFonts w:cs="Arial"/>
          <w:sz w:val="20"/>
          <w:szCs w:val="20"/>
        </w:rPr>
        <w:t>“</w:t>
      </w:r>
      <w:r w:rsidRPr="005B2362">
        <w:rPr>
          <w:rFonts w:cs="Arial"/>
          <w:sz w:val="20"/>
          <w:szCs w:val="20"/>
        </w:rPr>
        <w:t>The Net Generation</w:t>
      </w:r>
      <w:r>
        <w:rPr>
          <w:rFonts w:cs="Arial"/>
          <w:sz w:val="20"/>
          <w:szCs w:val="20"/>
        </w:rPr>
        <w:t>”</w:t>
      </w:r>
      <w:r w:rsidRPr="005B2362">
        <w:rPr>
          <w:rFonts w:cs="Arial"/>
          <w:sz w:val="20"/>
          <w:szCs w:val="20"/>
        </w:rPr>
        <w:t xml:space="preserve">: Children and Young People, the Internet and Online Shopping’ (2003) 19 </w:t>
      </w:r>
      <w:r w:rsidRPr="005B2362">
        <w:rPr>
          <w:rFonts w:cs="Arial"/>
          <w:i/>
          <w:sz w:val="20"/>
          <w:szCs w:val="20"/>
        </w:rPr>
        <w:t>Journal of Marketing Management</w:t>
      </w:r>
      <w:r w:rsidRPr="005B2362">
        <w:rPr>
          <w:rFonts w:cs="Arial"/>
          <w:sz w:val="20"/>
          <w:szCs w:val="20"/>
        </w:rPr>
        <w:t xml:space="preserve">, 500. </w:t>
      </w:r>
    </w:p>
  </w:endnote>
  <w:endnote w:id="247">
    <w:p w14:paraId="49FE437D"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4B373A">
        <w:rPr>
          <w:rFonts w:cs="Arial"/>
        </w:rPr>
        <w:t xml:space="preserve">Australian Communications &amp; Media Authority, </w:t>
      </w:r>
      <w:r>
        <w:rPr>
          <w:rFonts w:cs="Arial"/>
        </w:rPr>
        <w:t xml:space="preserve">Newspoll, </w:t>
      </w:r>
      <w:r w:rsidRPr="004B373A">
        <w:rPr>
          <w:rFonts w:cs="Arial"/>
          <w:i/>
        </w:rPr>
        <w:t>Like, post, share: Young Australi</w:t>
      </w:r>
      <w:r>
        <w:rPr>
          <w:rFonts w:cs="Arial"/>
          <w:i/>
        </w:rPr>
        <w:t>an’s experience of social media</w:t>
      </w:r>
      <w:r>
        <w:rPr>
          <w:rFonts w:cs="Arial"/>
        </w:rPr>
        <w:t xml:space="preserve"> (2012)</w:t>
      </w:r>
      <w:r w:rsidRPr="005B2362">
        <w:rPr>
          <w:rFonts w:cs="Arial"/>
        </w:rPr>
        <w:t xml:space="preserve"> 7;</w:t>
      </w:r>
      <w:r>
        <w:rPr>
          <w:rFonts w:cs="Arial"/>
        </w:rPr>
        <w:t xml:space="preserve"> Australian Research Alliance for Children and Youth,</w:t>
      </w:r>
      <w:r w:rsidRPr="005B2362">
        <w:rPr>
          <w:rFonts w:cs="Arial"/>
        </w:rPr>
        <w:t xml:space="preserve"> </w:t>
      </w:r>
      <w:r w:rsidRPr="00AB5A77">
        <w:rPr>
          <w:rFonts w:cs="Arial"/>
          <w:i/>
        </w:rPr>
        <w:t>Young Children and the Media: A Discussion Paper</w:t>
      </w:r>
      <w:r>
        <w:rPr>
          <w:rFonts w:cs="Arial"/>
        </w:rPr>
        <w:t xml:space="preserve"> (</w:t>
      </w:r>
      <w:r w:rsidRPr="005B2362">
        <w:rPr>
          <w:rFonts w:cs="Arial"/>
        </w:rPr>
        <w:t>2010) 3.</w:t>
      </w:r>
    </w:p>
  </w:endnote>
  <w:endnote w:id="248">
    <w:p w14:paraId="3A6FECED"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4B373A">
        <w:rPr>
          <w:rFonts w:cs="Arial"/>
        </w:rPr>
        <w:t xml:space="preserve">Australian Communications &amp; Media Authority, </w:t>
      </w:r>
      <w:r>
        <w:rPr>
          <w:rFonts w:cs="Arial"/>
        </w:rPr>
        <w:t xml:space="preserve">Newspoll, </w:t>
      </w:r>
      <w:r w:rsidRPr="004B373A">
        <w:rPr>
          <w:rFonts w:cs="Arial"/>
          <w:i/>
        </w:rPr>
        <w:t>Like, post, share: Young Australi</w:t>
      </w:r>
      <w:r>
        <w:rPr>
          <w:rFonts w:cs="Arial"/>
          <w:i/>
        </w:rPr>
        <w:t>an’s experience of social media</w:t>
      </w:r>
      <w:r>
        <w:rPr>
          <w:rFonts w:cs="Arial"/>
        </w:rPr>
        <w:t xml:space="preserve"> (2012)</w:t>
      </w:r>
      <w:r w:rsidRPr="005B2362">
        <w:rPr>
          <w:rFonts w:cs="Arial"/>
        </w:rPr>
        <w:t xml:space="preserve"> 7</w:t>
      </w:r>
      <w:r>
        <w:rPr>
          <w:rFonts w:cs="Arial"/>
        </w:rPr>
        <w:t>.</w:t>
      </w:r>
    </w:p>
  </w:endnote>
  <w:endnote w:id="249">
    <w:p w14:paraId="72E103C1"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4B373A">
        <w:rPr>
          <w:rFonts w:cs="Arial"/>
        </w:rPr>
        <w:t xml:space="preserve">Australian Communications &amp; Media Authority, </w:t>
      </w:r>
      <w:r>
        <w:rPr>
          <w:rFonts w:cs="Arial"/>
        </w:rPr>
        <w:t xml:space="preserve">Newspoll, </w:t>
      </w:r>
      <w:r w:rsidRPr="004B373A">
        <w:rPr>
          <w:rFonts w:cs="Arial"/>
          <w:i/>
        </w:rPr>
        <w:t>Like, post, share: Young Australi</w:t>
      </w:r>
      <w:r>
        <w:rPr>
          <w:rFonts w:cs="Arial"/>
          <w:i/>
        </w:rPr>
        <w:t>an’s experience of social media</w:t>
      </w:r>
      <w:r>
        <w:rPr>
          <w:rFonts w:cs="Arial"/>
        </w:rPr>
        <w:t xml:space="preserve"> (2012)</w:t>
      </w:r>
      <w:r w:rsidRPr="005B2362">
        <w:rPr>
          <w:rFonts w:cs="Arial"/>
        </w:rPr>
        <w:t xml:space="preserve"> 7.</w:t>
      </w:r>
    </w:p>
  </w:endnote>
  <w:endnote w:id="250">
    <w:p w14:paraId="3D5A0424" w14:textId="77777777" w:rsidR="00F008D2" w:rsidRPr="005B2362" w:rsidRDefault="00F008D2" w:rsidP="00AA3994">
      <w:pPr>
        <w:pStyle w:val="EndnoteText"/>
        <w:rPr>
          <w:rFonts w:cs="Arial"/>
        </w:rPr>
      </w:pPr>
      <w:r w:rsidRPr="00F71500">
        <w:rPr>
          <w:rStyle w:val="EndnoteReference"/>
          <w:rFonts w:cs="Arial"/>
        </w:rPr>
        <w:endnoteRef/>
      </w:r>
      <w:r w:rsidRPr="00F71500">
        <w:rPr>
          <w:rFonts w:cs="Arial"/>
        </w:rPr>
        <w:t xml:space="preserve"> Michael Snider, ‘Hey kids! Let’s play adver-games’</w:t>
      </w:r>
      <w:r w:rsidRPr="00AB5A77">
        <w:rPr>
          <w:rFonts w:cs="Arial"/>
        </w:rPr>
        <w:t xml:space="preserve"> (2002) 115(51) </w:t>
      </w:r>
      <w:r w:rsidRPr="00F71500">
        <w:rPr>
          <w:rFonts w:cs="Arial"/>
          <w:i/>
        </w:rPr>
        <w:t>Maclean’s</w:t>
      </w:r>
      <w:r w:rsidRPr="00F71500">
        <w:rPr>
          <w:rFonts w:cs="Arial"/>
        </w:rPr>
        <w:t>, 36-37.</w:t>
      </w:r>
      <w:r w:rsidRPr="005B2362">
        <w:rPr>
          <w:rFonts w:cs="Arial"/>
        </w:rPr>
        <w:t xml:space="preserve"> </w:t>
      </w:r>
    </w:p>
  </w:endnote>
  <w:endnote w:id="251">
    <w:p w14:paraId="415DAAD3" w14:textId="77777777" w:rsidR="00F008D2" w:rsidRPr="005B2362" w:rsidRDefault="00F008D2" w:rsidP="00AA3994">
      <w:pPr>
        <w:spacing w:before="0" w:after="0"/>
        <w:rPr>
          <w:rFonts w:cs="Arial"/>
          <w:sz w:val="20"/>
          <w:szCs w:val="20"/>
        </w:rPr>
      </w:pPr>
      <w:r w:rsidRPr="005B2362">
        <w:rPr>
          <w:rStyle w:val="EndnoteReference"/>
          <w:rFonts w:cs="Arial"/>
          <w:szCs w:val="20"/>
        </w:rPr>
        <w:endnoteRef/>
      </w:r>
      <w:r w:rsidRPr="005B2362">
        <w:rPr>
          <w:rFonts w:cs="Arial"/>
          <w:sz w:val="20"/>
          <w:szCs w:val="20"/>
        </w:rPr>
        <w:t xml:space="preserve"> </w:t>
      </w:r>
      <w:r w:rsidRPr="00A45DF8">
        <w:rPr>
          <w:rFonts w:cs="Arial"/>
          <w:sz w:val="20"/>
          <w:szCs w:val="20"/>
        </w:rPr>
        <w:t>Elizabeth Thomson and Angus Laing, ‘</w:t>
      </w:r>
      <w:r>
        <w:rPr>
          <w:rFonts w:cs="Arial"/>
          <w:sz w:val="20"/>
          <w:szCs w:val="20"/>
        </w:rPr>
        <w:t>“</w:t>
      </w:r>
      <w:r w:rsidRPr="00A45DF8">
        <w:rPr>
          <w:rFonts w:cs="Arial"/>
          <w:sz w:val="20"/>
          <w:szCs w:val="20"/>
        </w:rPr>
        <w:t>The Net Generation</w:t>
      </w:r>
      <w:r>
        <w:rPr>
          <w:rFonts w:cs="Arial"/>
          <w:sz w:val="20"/>
          <w:szCs w:val="20"/>
        </w:rPr>
        <w:t>”</w:t>
      </w:r>
      <w:r w:rsidRPr="00A45DF8">
        <w:rPr>
          <w:rFonts w:cs="Arial"/>
          <w:sz w:val="20"/>
          <w:szCs w:val="20"/>
        </w:rPr>
        <w:t xml:space="preserve">: Children and Young People, the Internet and Online Shopping’ (2003) 19 </w:t>
      </w:r>
      <w:r w:rsidRPr="00A45DF8">
        <w:rPr>
          <w:rFonts w:cs="Arial"/>
          <w:i/>
          <w:sz w:val="20"/>
          <w:szCs w:val="20"/>
        </w:rPr>
        <w:t>Journal of Marketing Management</w:t>
      </w:r>
      <w:r w:rsidRPr="00A45DF8">
        <w:rPr>
          <w:rFonts w:cs="Arial"/>
          <w:sz w:val="20"/>
          <w:szCs w:val="20"/>
        </w:rPr>
        <w:t>, 500.</w:t>
      </w:r>
    </w:p>
  </w:endnote>
  <w:endnote w:id="252">
    <w:p w14:paraId="416F4103" w14:textId="77777777" w:rsidR="00F008D2" w:rsidRPr="005B2362" w:rsidRDefault="00F008D2" w:rsidP="00AA3994">
      <w:pPr>
        <w:spacing w:before="0" w:after="0"/>
        <w:rPr>
          <w:rFonts w:cs="Arial"/>
          <w:sz w:val="20"/>
          <w:szCs w:val="20"/>
        </w:rPr>
      </w:pPr>
      <w:r w:rsidRPr="005B2362">
        <w:rPr>
          <w:rStyle w:val="EndnoteReference"/>
          <w:rFonts w:cs="Arial"/>
          <w:szCs w:val="20"/>
        </w:rPr>
        <w:endnoteRef/>
      </w:r>
      <w:r w:rsidRPr="005B2362">
        <w:rPr>
          <w:rFonts w:cs="Arial"/>
          <w:sz w:val="20"/>
          <w:szCs w:val="20"/>
        </w:rPr>
        <w:t xml:space="preserve"> </w:t>
      </w:r>
      <w:r w:rsidRPr="00A45DF8">
        <w:rPr>
          <w:rFonts w:cs="Arial"/>
          <w:sz w:val="20"/>
          <w:szCs w:val="20"/>
        </w:rPr>
        <w:t>Elizabeth Thomson and Angus Laing, ‘</w:t>
      </w:r>
      <w:r>
        <w:rPr>
          <w:rFonts w:cs="Arial"/>
          <w:sz w:val="20"/>
          <w:szCs w:val="20"/>
        </w:rPr>
        <w:t>“</w:t>
      </w:r>
      <w:r w:rsidRPr="00A45DF8">
        <w:rPr>
          <w:rFonts w:cs="Arial"/>
          <w:sz w:val="20"/>
          <w:szCs w:val="20"/>
        </w:rPr>
        <w:t xml:space="preserve">The Net Generation”: Children and Young People, the Internet and Online Shopping’ (2003) 19 </w:t>
      </w:r>
      <w:r w:rsidRPr="00A45DF8">
        <w:rPr>
          <w:rFonts w:cs="Arial"/>
          <w:i/>
          <w:sz w:val="20"/>
          <w:szCs w:val="20"/>
        </w:rPr>
        <w:t>Journal of Marketing Management</w:t>
      </w:r>
      <w:r w:rsidRPr="00A45DF8">
        <w:rPr>
          <w:rFonts w:cs="Arial"/>
          <w:sz w:val="20"/>
          <w:szCs w:val="20"/>
        </w:rPr>
        <w:t>, 495.</w:t>
      </w:r>
    </w:p>
  </w:endnote>
  <w:endnote w:id="253">
    <w:p w14:paraId="641DDA31" w14:textId="77777777" w:rsidR="00F008D2" w:rsidRPr="005B2362" w:rsidRDefault="00F008D2" w:rsidP="00AA3994">
      <w:pPr>
        <w:pStyle w:val="EndnoteText"/>
        <w:rPr>
          <w:rFonts w:cs="Arial"/>
        </w:rPr>
      </w:pPr>
      <w:r w:rsidRPr="005B2362">
        <w:rPr>
          <w:rStyle w:val="EndnoteReference"/>
          <w:rFonts w:cs="Arial"/>
        </w:rPr>
        <w:endnoteRef/>
      </w:r>
      <w:r>
        <w:rPr>
          <w:rFonts w:cs="Arial"/>
        </w:rPr>
        <w:t xml:space="preserve"> </w:t>
      </w:r>
      <w:r w:rsidRPr="005B2362">
        <w:rPr>
          <w:rFonts w:cs="Arial"/>
        </w:rPr>
        <w:t>C</w:t>
      </w:r>
      <w:r>
        <w:rPr>
          <w:rFonts w:cs="Arial"/>
        </w:rPr>
        <w:t xml:space="preserve">ommonwealth </w:t>
      </w:r>
      <w:r w:rsidRPr="005B2362">
        <w:rPr>
          <w:rFonts w:cs="Arial"/>
        </w:rPr>
        <w:t>C</w:t>
      </w:r>
      <w:r>
        <w:rPr>
          <w:rFonts w:cs="Arial"/>
        </w:rPr>
        <w:t xml:space="preserve">onsumer </w:t>
      </w:r>
      <w:r w:rsidRPr="005B2362">
        <w:rPr>
          <w:rFonts w:cs="Arial"/>
        </w:rPr>
        <w:t>A</w:t>
      </w:r>
      <w:r>
        <w:rPr>
          <w:rFonts w:cs="Arial"/>
        </w:rPr>
        <w:t xml:space="preserve">ffairs </w:t>
      </w:r>
      <w:r w:rsidRPr="005B2362">
        <w:rPr>
          <w:rFonts w:cs="Arial"/>
        </w:rPr>
        <w:t>A</w:t>
      </w:r>
      <w:r>
        <w:rPr>
          <w:rFonts w:cs="Arial"/>
        </w:rPr>
        <w:t xml:space="preserve">dvisory </w:t>
      </w:r>
      <w:r w:rsidRPr="005B2362">
        <w:rPr>
          <w:rFonts w:cs="Arial"/>
        </w:rPr>
        <w:t>C</w:t>
      </w:r>
      <w:r>
        <w:rPr>
          <w:rFonts w:cs="Arial"/>
        </w:rPr>
        <w:t>ouncil</w:t>
      </w:r>
      <w:r w:rsidRPr="005B2362">
        <w:rPr>
          <w:rFonts w:cs="Arial"/>
        </w:rPr>
        <w:t xml:space="preserve">, </w:t>
      </w:r>
      <w:r w:rsidRPr="005B2362">
        <w:rPr>
          <w:rFonts w:cs="Arial"/>
          <w:i/>
        </w:rPr>
        <w:t>App purchases by Australian consumers on mobile and handheld devices</w:t>
      </w:r>
      <w:r>
        <w:rPr>
          <w:rFonts w:cs="Arial"/>
        </w:rPr>
        <w:t xml:space="preserve">: </w:t>
      </w:r>
      <w:r w:rsidRPr="00B860A4">
        <w:rPr>
          <w:rFonts w:cs="Arial"/>
          <w:i/>
        </w:rPr>
        <w:t>Inquiry report</w:t>
      </w:r>
      <w:r w:rsidRPr="005B2362">
        <w:rPr>
          <w:rFonts w:cs="Arial"/>
        </w:rPr>
        <w:t xml:space="preserve"> </w:t>
      </w:r>
      <w:r>
        <w:rPr>
          <w:rFonts w:cs="Arial"/>
        </w:rPr>
        <w:t>(</w:t>
      </w:r>
      <w:r w:rsidRPr="005B2362">
        <w:rPr>
          <w:rFonts w:cs="Arial"/>
        </w:rPr>
        <w:t>2013</w:t>
      </w:r>
      <w:r>
        <w:rPr>
          <w:rFonts w:cs="Arial"/>
        </w:rPr>
        <w:t>) 4.</w:t>
      </w:r>
    </w:p>
  </w:endnote>
  <w:endnote w:id="254">
    <w:p w14:paraId="68487C4A" w14:textId="77777777" w:rsidR="00F008D2" w:rsidRPr="005B2362" w:rsidRDefault="00F008D2" w:rsidP="00AA3994">
      <w:pPr>
        <w:pStyle w:val="EndnoteText"/>
        <w:rPr>
          <w:rFonts w:cs="Arial"/>
        </w:rPr>
      </w:pPr>
      <w:r w:rsidRPr="005B2362">
        <w:rPr>
          <w:rStyle w:val="EndnoteReference"/>
          <w:rFonts w:cs="Arial"/>
        </w:rPr>
        <w:endnoteRef/>
      </w:r>
      <w:r>
        <w:rPr>
          <w:rFonts w:cs="Arial"/>
        </w:rPr>
        <w:t xml:space="preserve"> </w:t>
      </w:r>
      <w:r w:rsidRPr="005B2362">
        <w:rPr>
          <w:rFonts w:cs="Arial"/>
        </w:rPr>
        <w:t>C</w:t>
      </w:r>
      <w:r>
        <w:rPr>
          <w:rFonts w:cs="Arial"/>
        </w:rPr>
        <w:t xml:space="preserve">ommonwealth </w:t>
      </w:r>
      <w:r w:rsidRPr="005B2362">
        <w:rPr>
          <w:rFonts w:cs="Arial"/>
        </w:rPr>
        <w:t>C</w:t>
      </w:r>
      <w:r>
        <w:rPr>
          <w:rFonts w:cs="Arial"/>
        </w:rPr>
        <w:t xml:space="preserve">onsumer </w:t>
      </w:r>
      <w:r w:rsidRPr="005B2362">
        <w:rPr>
          <w:rFonts w:cs="Arial"/>
        </w:rPr>
        <w:t>A</w:t>
      </w:r>
      <w:r>
        <w:rPr>
          <w:rFonts w:cs="Arial"/>
        </w:rPr>
        <w:t xml:space="preserve">ffairs </w:t>
      </w:r>
      <w:r w:rsidRPr="005B2362">
        <w:rPr>
          <w:rFonts w:cs="Arial"/>
        </w:rPr>
        <w:t>A</w:t>
      </w:r>
      <w:r>
        <w:rPr>
          <w:rFonts w:cs="Arial"/>
        </w:rPr>
        <w:t xml:space="preserve">dvisory </w:t>
      </w:r>
      <w:r w:rsidRPr="005B2362">
        <w:rPr>
          <w:rFonts w:cs="Arial"/>
        </w:rPr>
        <w:t>C</w:t>
      </w:r>
      <w:r>
        <w:rPr>
          <w:rFonts w:cs="Arial"/>
        </w:rPr>
        <w:t>ouncil</w:t>
      </w:r>
      <w:r w:rsidRPr="005B2362">
        <w:rPr>
          <w:rFonts w:cs="Arial"/>
        </w:rPr>
        <w:t xml:space="preserve">, </w:t>
      </w:r>
      <w:r w:rsidRPr="005B2362">
        <w:rPr>
          <w:rFonts w:cs="Arial"/>
          <w:i/>
        </w:rPr>
        <w:t>App purchases by Australian consumers on mobile and handheld devices</w:t>
      </w:r>
      <w:r>
        <w:rPr>
          <w:rFonts w:cs="Arial"/>
        </w:rPr>
        <w:t xml:space="preserve">: </w:t>
      </w:r>
      <w:r w:rsidRPr="00B860A4">
        <w:rPr>
          <w:rFonts w:cs="Arial"/>
          <w:i/>
        </w:rPr>
        <w:t>Inquiry report</w:t>
      </w:r>
      <w:r w:rsidRPr="005B2362">
        <w:rPr>
          <w:rFonts w:cs="Arial"/>
        </w:rPr>
        <w:t xml:space="preserve"> </w:t>
      </w:r>
      <w:r>
        <w:rPr>
          <w:rFonts w:cs="Arial"/>
        </w:rPr>
        <w:t>(</w:t>
      </w:r>
      <w:r w:rsidRPr="005B2362">
        <w:rPr>
          <w:rFonts w:cs="Arial"/>
        </w:rPr>
        <w:t>2013</w:t>
      </w:r>
      <w:r>
        <w:rPr>
          <w:rFonts w:cs="Arial"/>
        </w:rPr>
        <w:t>) vii.</w:t>
      </w:r>
    </w:p>
  </w:endnote>
  <w:endnote w:id="255">
    <w:p w14:paraId="3FD511B4"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Grace Chung and Sara Grimes, ‘Data Mining the Kids: Surveillance and Market research Strategies in Children’s Online Games’ (2005) 30 </w:t>
      </w:r>
      <w:r w:rsidRPr="005B2362">
        <w:rPr>
          <w:rFonts w:cs="Arial"/>
          <w:i/>
        </w:rPr>
        <w:t>Canadian Journal of Communication</w:t>
      </w:r>
      <w:r w:rsidRPr="005B2362">
        <w:rPr>
          <w:rFonts w:cs="Arial"/>
        </w:rPr>
        <w:t>, 528.</w:t>
      </w:r>
    </w:p>
  </w:endnote>
  <w:endnote w:id="256">
    <w:p w14:paraId="6C14F2AA"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Kathryn Montgomery, ‘Digital kids: The new on-line children’s consumer culture’ in Dorothy Singer and Jeremy Singer (eds) </w:t>
      </w:r>
      <w:r w:rsidRPr="005B2362">
        <w:rPr>
          <w:rFonts w:cs="Arial"/>
          <w:i/>
        </w:rPr>
        <w:t xml:space="preserve">Handbook of children and the media </w:t>
      </w:r>
      <w:r w:rsidRPr="005B2362">
        <w:rPr>
          <w:rFonts w:cs="Arial"/>
        </w:rPr>
        <w:t>(Sage Publications, 2000) 635.</w:t>
      </w:r>
    </w:p>
  </w:endnote>
  <w:endnote w:id="257">
    <w:p w14:paraId="7AAE6083"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Grace Chung and Sara Grimes, ‘Data Mining the Kids: Surveillance and Market research Strategies in Children’s Online Games’ (2005) 30 </w:t>
      </w:r>
      <w:r w:rsidRPr="005B2362">
        <w:rPr>
          <w:rFonts w:cs="Arial"/>
          <w:i/>
        </w:rPr>
        <w:t>Canadian Journal of Communication</w:t>
      </w:r>
      <w:r w:rsidRPr="005B2362">
        <w:rPr>
          <w:rFonts w:cs="Arial"/>
        </w:rPr>
        <w:t>, 528.</w:t>
      </w:r>
      <w:r>
        <w:rPr>
          <w:rFonts w:cs="Arial"/>
        </w:rPr>
        <w:t xml:space="preserve"> </w:t>
      </w:r>
    </w:p>
  </w:endnote>
  <w:endnote w:id="258">
    <w:p w14:paraId="0EB96C11"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Sara Grimes, ‘Persistent and Emerging Questions about the Use of End-Use License Agreements in Children’s Online Games and Virtual World’ (2013) 46(3) </w:t>
      </w:r>
      <w:r w:rsidRPr="005B2362">
        <w:rPr>
          <w:rFonts w:cs="Arial"/>
          <w:i/>
        </w:rPr>
        <w:t>UBC Law Review</w:t>
      </w:r>
      <w:r w:rsidRPr="005B2362">
        <w:rPr>
          <w:rFonts w:cs="Arial"/>
        </w:rPr>
        <w:t xml:space="preserve"> 725.</w:t>
      </w:r>
    </w:p>
  </w:endnote>
  <w:endnote w:id="259">
    <w:p w14:paraId="7A737FFE"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Sara Grimes, ‘Persistent and Emerging Questions about the Use of End-Use License Agreements in Children’s Online Games and Virtual World’ (2013) 46(3)</w:t>
      </w:r>
      <w:r>
        <w:rPr>
          <w:rFonts w:cs="Arial"/>
        </w:rPr>
        <w:t xml:space="preserve"> </w:t>
      </w:r>
      <w:r w:rsidRPr="005B2362">
        <w:rPr>
          <w:rFonts w:cs="Arial"/>
          <w:i/>
        </w:rPr>
        <w:t>UBC Law Review</w:t>
      </w:r>
      <w:r>
        <w:rPr>
          <w:rFonts w:cs="Arial"/>
        </w:rPr>
        <w:t>, 736</w:t>
      </w:r>
      <w:r w:rsidRPr="005B2362">
        <w:rPr>
          <w:rFonts w:cs="Arial"/>
        </w:rPr>
        <w:t>.</w:t>
      </w:r>
    </w:p>
  </w:endnote>
  <w:endnote w:id="260">
    <w:p w14:paraId="3C023FD7" w14:textId="77777777" w:rsidR="00F008D2" w:rsidRPr="005B2362" w:rsidRDefault="00F008D2" w:rsidP="00AA3994">
      <w:pPr>
        <w:pStyle w:val="EndnoteText"/>
        <w:rPr>
          <w:rFonts w:cs="Arial"/>
        </w:rPr>
      </w:pPr>
      <w:r w:rsidRPr="00A573CE">
        <w:rPr>
          <w:rStyle w:val="EndnoteReference"/>
          <w:rFonts w:cs="Arial"/>
        </w:rPr>
        <w:endnoteRef/>
      </w:r>
      <w:r w:rsidRPr="00A573CE">
        <w:rPr>
          <w:rFonts w:cs="Arial"/>
        </w:rPr>
        <w:t xml:space="preserve"> Office of the Children’s Commissioner and Amplify,</w:t>
      </w:r>
      <w:r w:rsidRPr="00A573CE">
        <w:rPr>
          <w:rFonts w:cs="Arial"/>
          <w:i/>
        </w:rPr>
        <w:t xml:space="preserve"> Children, young people and the commercial world</w:t>
      </w:r>
      <w:r w:rsidRPr="00A573CE">
        <w:rPr>
          <w:rFonts w:cs="Arial"/>
        </w:rPr>
        <w:t xml:space="preserve"> (2011) 19.</w:t>
      </w:r>
    </w:p>
  </w:endnote>
  <w:endnote w:id="261">
    <w:p w14:paraId="3D57EBA7"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Peter Lunt</w:t>
      </w:r>
      <w:r>
        <w:rPr>
          <w:rFonts w:cs="Arial"/>
        </w:rPr>
        <w:t xml:space="preserve">, </w:t>
      </w:r>
      <w:r w:rsidRPr="005B2362">
        <w:rPr>
          <w:rFonts w:cs="Arial"/>
        </w:rPr>
        <w:t xml:space="preserve">Economic and Social Research Council, </w:t>
      </w:r>
      <w:r w:rsidRPr="00AB5A77">
        <w:rPr>
          <w:rFonts w:cs="Arial"/>
          <w:i/>
        </w:rPr>
        <w:t>The Virtual Consumer</w:t>
      </w:r>
      <w:r>
        <w:rPr>
          <w:rFonts w:cs="Arial"/>
        </w:rPr>
        <w:t xml:space="preserve"> </w:t>
      </w:r>
      <w:r w:rsidRPr="005B2362">
        <w:rPr>
          <w:rFonts w:cs="Arial"/>
        </w:rPr>
        <w:t>(2002) 6.</w:t>
      </w:r>
    </w:p>
  </w:endnote>
  <w:endnote w:id="262">
    <w:p w14:paraId="70F8499F" w14:textId="77777777" w:rsidR="00F008D2" w:rsidRPr="005B2362" w:rsidRDefault="00F008D2" w:rsidP="00AA3994">
      <w:pPr>
        <w:spacing w:before="0" w:after="0"/>
        <w:rPr>
          <w:rFonts w:cs="Arial"/>
          <w:sz w:val="20"/>
          <w:szCs w:val="20"/>
        </w:rPr>
      </w:pPr>
      <w:r w:rsidRPr="005B2362">
        <w:rPr>
          <w:rStyle w:val="EndnoteReference"/>
          <w:rFonts w:cs="Arial"/>
          <w:szCs w:val="20"/>
        </w:rPr>
        <w:endnoteRef/>
      </w:r>
      <w:r w:rsidRPr="005B2362">
        <w:rPr>
          <w:rFonts w:cs="Arial"/>
          <w:sz w:val="20"/>
          <w:szCs w:val="20"/>
        </w:rPr>
        <w:t xml:space="preserve"> Elizabeth Thomson and Angus Laing, ‘</w:t>
      </w:r>
      <w:r>
        <w:rPr>
          <w:rFonts w:cs="Arial"/>
          <w:sz w:val="20"/>
          <w:szCs w:val="20"/>
        </w:rPr>
        <w:t>“</w:t>
      </w:r>
      <w:r w:rsidRPr="005B2362">
        <w:rPr>
          <w:rFonts w:cs="Arial"/>
          <w:sz w:val="20"/>
          <w:szCs w:val="20"/>
        </w:rPr>
        <w:t>The Net Generation</w:t>
      </w:r>
      <w:r>
        <w:rPr>
          <w:rFonts w:cs="Arial"/>
          <w:sz w:val="20"/>
          <w:szCs w:val="20"/>
        </w:rPr>
        <w:t>”</w:t>
      </w:r>
      <w:r w:rsidRPr="005B2362">
        <w:rPr>
          <w:rFonts w:cs="Arial"/>
          <w:sz w:val="20"/>
          <w:szCs w:val="20"/>
        </w:rPr>
        <w:t xml:space="preserve">: Children and Young People, the Internet and Online Shopping’ (2003) 19 </w:t>
      </w:r>
      <w:r w:rsidRPr="005B2362">
        <w:rPr>
          <w:rFonts w:cs="Arial"/>
          <w:i/>
          <w:sz w:val="20"/>
          <w:szCs w:val="20"/>
        </w:rPr>
        <w:t>Journal of Marketing Management</w:t>
      </w:r>
      <w:r w:rsidRPr="005B2362">
        <w:rPr>
          <w:rFonts w:cs="Arial"/>
          <w:sz w:val="20"/>
          <w:szCs w:val="20"/>
        </w:rPr>
        <w:t xml:space="preserve">, 502. </w:t>
      </w:r>
    </w:p>
  </w:endnote>
  <w:endnote w:id="263">
    <w:p w14:paraId="002D3E72" w14:textId="77777777" w:rsidR="00F008D2" w:rsidRPr="005B2362" w:rsidRDefault="00F008D2" w:rsidP="00AA3994">
      <w:pPr>
        <w:spacing w:before="0" w:after="0"/>
        <w:rPr>
          <w:rFonts w:cs="Arial"/>
          <w:sz w:val="20"/>
          <w:szCs w:val="20"/>
        </w:rPr>
      </w:pPr>
      <w:r w:rsidRPr="005B2362">
        <w:rPr>
          <w:rStyle w:val="EndnoteReference"/>
          <w:rFonts w:cs="Arial"/>
          <w:szCs w:val="20"/>
        </w:rPr>
        <w:endnoteRef/>
      </w:r>
      <w:r w:rsidRPr="005B2362">
        <w:rPr>
          <w:rFonts w:cs="Arial"/>
          <w:sz w:val="20"/>
          <w:szCs w:val="20"/>
        </w:rPr>
        <w:t xml:space="preserve"> Elizabeth Thomson and Angus Laing, ‘</w:t>
      </w:r>
      <w:r>
        <w:rPr>
          <w:rFonts w:cs="Arial"/>
          <w:sz w:val="20"/>
          <w:szCs w:val="20"/>
        </w:rPr>
        <w:t>“</w:t>
      </w:r>
      <w:r w:rsidRPr="005B2362">
        <w:rPr>
          <w:rFonts w:cs="Arial"/>
          <w:sz w:val="20"/>
          <w:szCs w:val="20"/>
        </w:rPr>
        <w:t>The Net Generation</w:t>
      </w:r>
      <w:r>
        <w:rPr>
          <w:rFonts w:cs="Arial"/>
          <w:sz w:val="20"/>
          <w:szCs w:val="20"/>
        </w:rPr>
        <w:t>”</w:t>
      </w:r>
      <w:r w:rsidRPr="005B2362">
        <w:rPr>
          <w:rFonts w:cs="Arial"/>
          <w:sz w:val="20"/>
          <w:szCs w:val="20"/>
        </w:rPr>
        <w:t xml:space="preserve">: Children and Young People, the Internet and Online Shopping’ (2003) 19 </w:t>
      </w:r>
      <w:r w:rsidRPr="005B2362">
        <w:rPr>
          <w:rFonts w:cs="Arial"/>
          <w:i/>
          <w:sz w:val="20"/>
          <w:szCs w:val="20"/>
        </w:rPr>
        <w:t>Journal of Marketing Management</w:t>
      </w:r>
      <w:r w:rsidRPr="005B2362">
        <w:rPr>
          <w:rFonts w:cs="Arial"/>
          <w:sz w:val="20"/>
          <w:szCs w:val="20"/>
        </w:rPr>
        <w:t xml:space="preserve">, 502. </w:t>
      </w:r>
    </w:p>
  </w:endnote>
  <w:endnote w:id="264">
    <w:p w14:paraId="62C13B42"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Louise Kelly, Gayle Kerr and Judy Drennan, ‘Avoidance of Advertising in Social Networking Sites: The Teenage Perspective’ (2010)</w:t>
      </w:r>
      <w:r>
        <w:rPr>
          <w:rFonts w:cs="Arial"/>
        </w:rPr>
        <w:t xml:space="preserve"> 10(2)</w:t>
      </w:r>
      <w:r w:rsidRPr="005B2362">
        <w:rPr>
          <w:rFonts w:cs="Arial"/>
        </w:rPr>
        <w:t xml:space="preserve"> </w:t>
      </w:r>
      <w:r w:rsidRPr="005B2362">
        <w:rPr>
          <w:rFonts w:cs="Arial"/>
          <w:i/>
        </w:rPr>
        <w:t>Journal of interactive Advertising</w:t>
      </w:r>
      <w:r>
        <w:rPr>
          <w:rFonts w:cs="Arial"/>
        </w:rPr>
        <w:t xml:space="preserve">, </w:t>
      </w:r>
      <w:r w:rsidRPr="005B2362">
        <w:rPr>
          <w:rFonts w:cs="Arial"/>
        </w:rPr>
        <w:t>21.</w:t>
      </w:r>
    </w:p>
  </w:endnote>
  <w:endnote w:id="265">
    <w:p w14:paraId="2A0B3463"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Adam Cohen, ‘Spies Among Us’, </w:t>
      </w:r>
      <w:r w:rsidRPr="005B2362">
        <w:rPr>
          <w:rFonts w:cs="Arial"/>
          <w:i/>
        </w:rPr>
        <w:t xml:space="preserve">Time </w:t>
      </w:r>
      <w:r w:rsidRPr="005B2362">
        <w:rPr>
          <w:rFonts w:cs="Arial"/>
        </w:rPr>
        <w:t>(online), 31 July 2000</w:t>
      </w:r>
      <w:r>
        <w:rPr>
          <w:rFonts w:cs="Arial"/>
        </w:rPr>
        <w:t xml:space="preserve"> &lt;</w:t>
      </w:r>
      <w:hyperlink r:id="rId105" w:history="1">
        <w:r w:rsidRPr="00C76F3E">
          <w:rPr>
            <w:rStyle w:val="Hyperlink"/>
            <w:rFonts w:cs="Arial"/>
          </w:rPr>
          <w:t>http://content.time.com/time/world/article/0,8599,2050979,00.html</w:t>
        </w:r>
      </w:hyperlink>
      <w:r>
        <w:rPr>
          <w:rFonts w:cs="Arial"/>
        </w:rPr>
        <w:t>&gt;.</w:t>
      </w:r>
    </w:p>
  </w:endnote>
  <w:endnote w:id="266">
    <w:p w14:paraId="0AE580ED"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Sandra</w:t>
      </w:r>
      <w:r>
        <w:rPr>
          <w:rFonts w:cs="Arial"/>
        </w:rPr>
        <w:t xml:space="preserve"> </w:t>
      </w:r>
      <w:r w:rsidRPr="005B2362">
        <w:rPr>
          <w:rFonts w:cs="Arial"/>
        </w:rPr>
        <w:t>Calvert, ‘Children as Consumers: Advertising and Marketing’</w:t>
      </w:r>
      <w:r>
        <w:rPr>
          <w:rFonts w:cs="Arial"/>
        </w:rPr>
        <w:t xml:space="preserve"> </w:t>
      </w:r>
      <w:r w:rsidRPr="005B2362">
        <w:rPr>
          <w:rFonts w:cs="Arial"/>
        </w:rPr>
        <w:t>(2008)</w:t>
      </w:r>
      <w:r>
        <w:rPr>
          <w:rFonts w:cs="Arial"/>
        </w:rPr>
        <w:t xml:space="preserve"> 18(1)</w:t>
      </w:r>
      <w:r w:rsidRPr="005B2362">
        <w:rPr>
          <w:rFonts w:cs="Arial"/>
        </w:rPr>
        <w:t xml:space="preserve"> </w:t>
      </w:r>
      <w:r w:rsidRPr="00AB5A77">
        <w:rPr>
          <w:rFonts w:cs="Arial"/>
          <w:i/>
        </w:rPr>
        <w:t>The Future of Children</w:t>
      </w:r>
      <w:r w:rsidRPr="005B2362">
        <w:rPr>
          <w:rFonts w:cs="Arial"/>
        </w:rPr>
        <w:t xml:space="preserve"> </w:t>
      </w:r>
      <w:r>
        <w:rPr>
          <w:rFonts w:cs="Arial"/>
        </w:rPr>
        <w:t>205</w:t>
      </w:r>
      <w:r w:rsidRPr="005B2362">
        <w:rPr>
          <w:rFonts w:cs="Arial"/>
        </w:rPr>
        <w:t>, 211.</w:t>
      </w:r>
    </w:p>
  </w:endnote>
  <w:endnote w:id="267">
    <w:p w14:paraId="218FB81A"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Sandra</w:t>
      </w:r>
      <w:r>
        <w:rPr>
          <w:rFonts w:cs="Arial"/>
        </w:rPr>
        <w:t xml:space="preserve"> </w:t>
      </w:r>
      <w:r w:rsidRPr="005B2362">
        <w:rPr>
          <w:rFonts w:cs="Arial"/>
        </w:rPr>
        <w:t>Calvert, ‘Children as Consumers: Advertising and Marketing’</w:t>
      </w:r>
      <w:r>
        <w:rPr>
          <w:rFonts w:cs="Arial"/>
        </w:rPr>
        <w:t xml:space="preserve"> </w:t>
      </w:r>
      <w:r w:rsidRPr="005B2362">
        <w:rPr>
          <w:rFonts w:cs="Arial"/>
        </w:rPr>
        <w:t>(2008)</w:t>
      </w:r>
      <w:r>
        <w:rPr>
          <w:rFonts w:cs="Arial"/>
        </w:rPr>
        <w:t xml:space="preserve"> 18(1)</w:t>
      </w:r>
      <w:r w:rsidRPr="005B2362">
        <w:rPr>
          <w:rFonts w:cs="Arial"/>
        </w:rPr>
        <w:t xml:space="preserve"> </w:t>
      </w:r>
      <w:r w:rsidRPr="00B860A4">
        <w:rPr>
          <w:rFonts w:cs="Arial"/>
          <w:i/>
        </w:rPr>
        <w:t>The Future of Children</w:t>
      </w:r>
      <w:r w:rsidRPr="005B2362">
        <w:rPr>
          <w:rFonts w:cs="Arial"/>
        </w:rPr>
        <w:t xml:space="preserve"> </w:t>
      </w:r>
      <w:r>
        <w:rPr>
          <w:rFonts w:cs="Arial"/>
        </w:rPr>
        <w:t>205</w:t>
      </w:r>
      <w:r w:rsidRPr="005B2362">
        <w:rPr>
          <w:rFonts w:cs="Arial"/>
        </w:rPr>
        <w:t xml:space="preserve">, 212. </w:t>
      </w:r>
    </w:p>
  </w:endnote>
  <w:endnote w:id="268">
    <w:p w14:paraId="2196732C" w14:textId="77777777" w:rsidR="00F008D2" w:rsidRDefault="00F008D2" w:rsidP="00AA3994">
      <w:pPr>
        <w:pStyle w:val="EndnoteText"/>
      </w:pPr>
      <w:r>
        <w:rPr>
          <w:rStyle w:val="EndnoteReference"/>
        </w:rPr>
        <w:endnoteRef/>
      </w:r>
      <w:r>
        <w:t xml:space="preserve"> </w:t>
      </w:r>
      <w:r w:rsidRPr="005B2362">
        <w:rPr>
          <w:rFonts w:cs="Arial"/>
        </w:rPr>
        <w:t>Sandra</w:t>
      </w:r>
      <w:r>
        <w:rPr>
          <w:rFonts w:cs="Arial"/>
        </w:rPr>
        <w:t xml:space="preserve"> </w:t>
      </w:r>
      <w:r w:rsidRPr="005B2362">
        <w:rPr>
          <w:rFonts w:cs="Arial"/>
        </w:rPr>
        <w:t>Calvert, ‘Children as Consumers: Advertising and Marketing’</w:t>
      </w:r>
      <w:r>
        <w:rPr>
          <w:rFonts w:cs="Arial"/>
        </w:rPr>
        <w:t xml:space="preserve"> </w:t>
      </w:r>
      <w:r w:rsidRPr="005B2362">
        <w:rPr>
          <w:rFonts w:cs="Arial"/>
        </w:rPr>
        <w:t>(2008)</w:t>
      </w:r>
      <w:r>
        <w:rPr>
          <w:rFonts w:cs="Arial"/>
        </w:rPr>
        <w:t xml:space="preserve"> 18(1)</w:t>
      </w:r>
      <w:r w:rsidRPr="005B2362">
        <w:rPr>
          <w:rFonts w:cs="Arial"/>
        </w:rPr>
        <w:t xml:space="preserve"> </w:t>
      </w:r>
      <w:r w:rsidRPr="00B860A4">
        <w:rPr>
          <w:rFonts w:cs="Arial"/>
          <w:i/>
        </w:rPr>
        <w:t>The Future of Children</w:t>
      </w:r>
      <w:r w:rsidRPr="005B2362">
        <w:rPr>
          <w:rFonts w:cs="Arial"/>
        </w:rPr>
        <w:t xml:space="preserve"> </w:t>
      </w:r>
      <w:r>
        <w:rPr>
          <w:rFonts w:cs="Arial"/>
        </w:rPr>
        <w:t>205, 209.</w:t>
      </w:r>
    </w:p>
  </w:endnote>
  <w:endnote w:id="269">
    <w:p w14:paraId="23CD1B87" w14:textId="77777777" w:rsidR="00F008D2" w:rsidRDefault="00F008D2" w:rsidP="00AA3994">
      <w:pPr>
        <w:pStyle w:val="EndnoteText"/>
      </w:pPr>
      <w:r>
        <w:rPr>
          <w:rStyle w:val="EndnoteReference"/>
        </w:rPr>
        <w:endnoteRef/>
      </w:r>
      <w:r>
        <w:t xml:space="preserve"> </w:t>
      </w:r>
      <w:r w:rsidRPr="005B2362">
        <w:rPr>
          <w:rFonts w:cs="Arial"/>
        </w:rPr>
        <w:t>Sandra</w:t>
      </w:r>
      <w:r>
        <w:rPr>
          <w:rFonts w:cs="Arial"/>
        </w:rPr>
        <w:t xml:space="preserve"> </w:t>
      </w:r>
      <w:r w:rsidRPr="005B2362">
        <w:rPr>
          <w:rFonts w:cs="Arial"/>
        </w:rPr>
        <w:t>Calvert, ‘Children as Consumers: Advertising and Marketing’</w:t>
      </w:r>
      <w:r>
        <w:rPr>
          <w:rFonts w:cs="Arial"/>
        </w:rPr>
        <w:t xml:space="preserve"> </w:t>
      </w:r>
      <w:r w:rsidRPr="005B2362">
        <w:rPr>
          <w:rFonts w:cs="Arial"/>
        </w:rPr>
        <w:t>(2008)</w:t>
      </w:r>
      <w:r>
        <w:rPr>
          <w:rFonts w:cs="Arial"/>
        </w:rPr>
        <w:t xml:space="preserve"> 18(1)</w:t>
      </w:r>
      <w:r w:rsidRPr="005B2362">
        <w:rPr>
          <w:rFonts w:cs="Arial"/>
        </w:rPr>
        <w:t xml:space="preserve"> </w:t>
      </w:r>
      <w:r w:rsidRPr="00B860A4">
        <w:rPr>
          <w:rFonts w:cs="Arial"/>
          <w:i/>
        </w:rPr>
        <w:t>The Future of Children</w:t>
      </w:r>
      <w:r w:rsidRPr="005B2362">
        <w:rPr>
          <w:rFonts w:cs="Arial"/>
        </w:rPr>
        <w:t xml:space="preserve"> </w:t>
      </w:r>
      <w:r>
        <w:rPr>
          <w:rFonts w:cs="Arial"/>
        </w:rPr>
        <w:t>205, 212.</w:t>
      </w:r>
    </w:p>
  </w:endnote>
  <w:endnote w:id="270">
    <w:p w14:paraId="0EA5DAE5" w14:textId="77777777" w:rsidR="00F008D2" w:rsidRDefault="00F008D2" w:rsidP="00AA3994">
      <w:pPr>
        <w:pStyle w:val="EndnoteText"/>
      </w:pPr>
      <w:r>
        <w:rPr>
          <w:rStyle w:val="EndnoteReference"/>
        </w:rPr>
        <w:endnoteRef/>
      </w:r>
      <w:r>
        <w:t xml:space="preserve"> </w:t>
      </w:r>
      <w:r w:rsidRPr="005B2362">
        <w:rPr>
          <w:rFonts w:cs="Arial"/>
        </w:rPr>
        <w:t>Sandra</w:t>
      </w:r>
      <w:r>
        <w:rPr>
          <w:rFonts w:cs="Arial"/>
        </w:rPr>
        <w:t xml:space="preserve"> </w:t>
      </w:r>
      <w:r w:rsidRPr="005B2362">
        <w:rPr>
          <w:rFonts w:cs="Arial"/>
        </w:rPr>
        <w:t>Calvert, ‘Children as Consumers: Advertising and Marketing’</w:t>
      </w:r>
      <w:r>
        <w:rPr>
          <w:rFonts w:cs="Arial"/>
        </w:rPr>
        <w:t xml:space="preserve"> </w:t>
      </w:r>
      <w:r w:rsidRPr="005B2362">
        <w:rPr>
          <w:rFonts w:cs="Arial"/>
        </w:rPr>
        <w:t>(2008)</w:t>
      </w:r>
      <w:r>
        <w:rPr>
          <w:rFonts w:cs="Arial"/>
        </w:rPr>
        <w:t xml:space="preserve"> 18(1)</w:t>
      </w:r>
      <w:r w:rsidRPr="005B2362">
        <w:rPr>
          <w:rFonts w:cs="Arial"/>
        </w:rPr>
        <w:t xml:space="preserve"> </w:t>
      </w:r>
      <w:r w:rsidRPr="00B860A4">
        <w:rPr>
          <w:rFonts w:cs="Arial"/>
          <w:i/>
        </w:rPr>
        <w:t>The Future of Children</w:t>
      </w:r>
      <w:r w:rsidRPr="005B2362">
        <w:rPr>
          <w:rFonts w:cs="Arial"/>
        </w:rPr>
        <w:t xml:space="preserve"> </w:t>
      </w:r>
      <w:r>
        <w:rPr>
          <w:rFonts w:cs="Arial"/>
        </w:rPr>
        <w:t>205, 212.</w:t>
      </w:r>
    </w:p>
  </w:endnote>
  <w:endnote w:id="271">
    <w:p w14:paraId="0BCB364C" w14:textId="77777777" w:rsidR="00F008D2" w:rsidRDefault="00F008D2" w:rsidP="00AA3994">
      <w:pPr>
        <w:pStyle w:val="EndnoteText"/>
      </w:pPr>
      <w:r>
        <w:rPr>
          <w:rStyle w:val="EndnoteReference"/>
        </w:rPr>
        <w:endnoteRef/>
      </w:r>
      <w:r>
        <w:t xml:space="preserve"> </w:t>
      </w:r>
      <w:r w:rsidRPr="00A45DF8">
        <w:rPr>
          <w:rFonts w:cs="Arial"/>
        </w:rPr>
        <w:t xml:space="preserve">Sandra Calvert, ‘Children as Consumers: Advertising and Marketing’ (2008) 18(1) </w:t>
      </w:r>
      <w:r w:rsidRPr="00A45DF8">
        <w:rPr>
          <w:rFonts w:cs="Arial"/>
          <w:i/>
        </w:rPr>
        <w:t>The Future of Children</w:t>
      </w:r>
      <w:r w:rsidRPr="00A45DF8">
        <w:rPr>
          <w:rFonts w:cs="Arial"/>
        </w:rPr>
        <w:t xml:space="preserve">, 210; Sandra Calvert, ‘Future Faces of Selling to Children’ in E Palmer and B Young (eds) </w:t>
      </w:r>
      <w:r w:rsidRPr="00A45DF8">
        <w:rPr>
          <w:rFonts w:cs="Arial"/>
          <w:i/>
        </w:rPr>
        <w:t>The Faces of Televisual Media</w:t>
      </w:r>
      <w:r w:rsidRPr="00A45DF8">
        <w:rPr>
          <w:rFonts w:cs="Arial"/>
          <w:color w:val="000000"/>
          <w:lang w:val="en"/>
        </w:rPr>
        <w:t>:</w:t>
      </w:r>
      <w:r w:rsidRPr="00A45DF8">
        <w:rPr>
          <w:rFonts w:cs="Arial"/>
          <w:i/>
          <w:color w:val="000000"/>
          <w:lang w:val="en"/>
        </w:rPr>
        <w:t xml:space="preserve"> Teaching, violence, selling to children</w:t>
      </w:r>
      <w:r w:rsidRPr="00A45DF8">
        <w:rPr>
          <w:rFonts w:cs="Arial"/>
          <w:color w:val="000000"/>
          <w:lang w:val="en"/>
        </w:rPr>
        <w:t xml:space="preserve"> (Hillsdale, N.J, </w:t>
      </w:r>
      <w:r w:rsidRPr="00A45DF8">
        <w:rPr>
          <w:rFonts w:cs="Arial"/>
        </w:rPr>
        <w:t>2003) 347.</w:t>
      </w:r>
    </w:p>
  </w:endnote>
  <w:endnote w:id="272">
    <w:p w14:paraId="0DEEB071" w14:textId="77777777" w:rsidR="00F008D2" w:rsidRPr="005B2362" w:rsidRDefault="00F008D2" w:rsidP="00AA3994">
      <w:pPr>
        <w:pStyle w:val="EndnoteText"/>
        <w:rPr>
          <w:rFonts w:cs="Arial"/>
        </w:rPr>
      </w:pPr>
      <w:r w:rsidRPr="005B2362">
        <w:rPr>
          <w:rStyle w:val="EndnoteReference"/>
          <w:rFonts w:cs="Arial"/>
        </w:rPr>
        <w:endnoteRef/>
      </w:r>
      <w:r>
        <w:rPr>
          <w:rFonts w:cs="Arial"/>
        </w:rPr>
        <w:t xml:space="preserve"> </w:t>
      </w:r>
      <w:r w:rsidRPr="005B2362">
        <w:rPr>
          <w:rFonts w:cs="Arial"/>
        </w:rPr>
        <w:t xml:space="preserve">Grace Chung and Sara Grimes, ‘Data Mining the Kids: Surveillance and Market research Strategies in Children’s Online Games’ (2005) 30 </w:t>
      </w:r>
      <w:r w:rsidRPr="005B2362">
        <w:rPr>
          <w:rFonts w:cs="Arial"/>
          <w:i/>
        </w:rPr>
        <w:t>Canadian Journal of Communication</w:t>
      </w:r>
      <w:r w:rsidRPr="005B2362">
        <w:rPr>
          <w:rFonts w:cs="Arial"/>
        </w:rPr>
        <w:t>,</w:t>
      </w:r>
      <w:r>
        <w:rPr>
          <w:rFonts w:cs="Arial"/>
        </w:rPr>
        <w:t xml:space="preserve"> 532. </w:t>
      </w:r>
    </w:p>
  </w:endnote>
  <w:endnote w:id="273">
    <w:p w14:paraId="18F3A6AF" w14:textId="77777777" w:rsidR="00F008D2" w:rsidRPr="005B2362" w:rsidRDefault="00F008D2" w:rsidP="00AA3994">
      <w:pPr>
        <w:pStyle w:val="EndnoteText"/>
        <w:rPr>
          <w:rFonts w:cs="Arial"/>
        </w:rPr>
      </w:pPr>
      <w:r w:rsidRPr="005B2362">
        <w:rPr>
          <w:rStyle w:val="EndnoteReference"/>
          <w:rFonts w:cs="Arial"/>
        </w:rPr>
        <w:endnoteRef/>
      </w:r>
      <w:r>
        <w:rPr>
          <w:rFonts w:cs="Arial"/>
        </w:rPr>
        <w:t xml:space="preserve"> </w:t>
      </w:r>
      <w:r w:rsidRPr="005B2362">
        <w:rPr>
          <w:rFonts w:cs="Arial"/>
        </w:rPr>
        <w:t xml:space="preserve">Grace Chung and Sara Grimes, ‘Data Mining the Kids: Surveillance and Market research Strategies in Children’s Online Games’ (2005) 30 </w:t>
      </w:r>
      <w:r w:rsidRPr="005B2362">
        <w:rPr>
          <w:rFonts w:cs="Arial"/>
          <w:i/>
        </w:rPr>
        <w:t>Canadian Journal of Communication</w:t>
      </w:r>
      <w:r w:rsidRPr="005B2362">
        <w:rPr>
          <w:rFonts w:cs="Arial"/>
        </w:rPr>
        <w:t>,</w:t>
      </w:r>
      <w:r>
        <w:rPr>
          <w:rFonts w:cs="Arial"/>
        </w:rPr>
        <w:t xml:space="preserve"> 532. </w:t>
      </w:r>
    </w:p>
  </w:endnote>
  <w:endnote w:id="274">
    <w:p w14:paraId="564E53ED" w14:textId="77777777" w:rsidR="00F008D2" w:rsidRPr="005B2362" w:rsidRDefault="00F008D2" w:rsidP="00AA3994">
      <w:pPr>
        <w:autoSpaceDE w:val="0"/>
        <w:autoSpaceDN w:val="0"/>
        <w:adjustRightInd w:val="0"/>
        <w:spacing w:before="0" w:after="0"/>
        <w:rPr>
          <w:rFonts w:cs="Arial"/>
        </w:rPr>
      </w:pPr>
      <w:r w:rsidRPr="005B2362">
        <w:rPr>
          <w:rStyle w:val="EndnoteReference"/>
          <w:rFonts w:cs="Arial"/>
          <w:szCs w:val="20"/>
        </w:rPr>
        <w:endnoteRef/>
      </w:r>
      <w:r w:rsidRPr="005B2362">
        <w:rPr>
          <w:rFonts w:cs="Arial"/>
          <w:sz w:val="20"/>
          <w:szCs w:val="20"/>
        </w:rPr>
        <w:t xml:space="preserve"> K Rajani Kanth, ‘Catch them young with advergaming’</w:t>
      </w:r>
      <w:r>
        <w:rPr>
          <w:rFonts w:cs="Arial"/>
          <w:sz w:val="20"/>
          <w:szCs w:val="20"/>
        </w:rPr>
        <w:t>,</w:t>
      </w:r>
      <w:r w:rsidRPr="005B2362">
        <w:rPr>
          <w:rFonts w:cs="Arial"/>
          <w:sz w:val="20"/>
          <w:szCs w:val="20"/>
        </w:rPr>
        <w:t xml:space="preserve"> </w:t>
      </w:r>
      <w:r w:rsidRPr="005B2362">
        <w:rPr>
          <w:rFonts w:cs="Arial"/>
          <w:i/>
          <w:sz w:val="20"/>
          <w:szCs w:val="20"/>
        </w:rPr>
        <w:t xml:space="preserve">The Business Standard </w:t>
      </w:r>
      <w:r w:rsidRPr="005B2362">
        <w:rPr>
          <w:rFonts w:cs="Arial"/>
          <w:sz w:val="20"/>
          <w:szCs w:val="20"/>
        </w:rPr>
        <w:t>(online), 7 January 2010, &lt;</w:t>
      </w:r>
      <w:hyperlink r:id="rId106" w:history="1">
        <w:r w:rsidRPr="00C76F3E">
          <w:rPr>
            <w:rStyle w:val="Hyperlink"/>
            <w:rFonts w:cs="Arial"/>
            <w:sz w:val="20"/>
            <w:szCs w:val="20"/>
          </w:rPr>
          <w:t>http://www.business-standard.com/india/news/catch-them-youngadvergaming/</w:t>
        </w:r>
        <w:r w:rsidRPr="00EB03F8">
          <w:rPr>
            <w:rStyle w:val="Hyperlink"/>
            <w:rFonts w:cs="Arial"/>
            <w:sz w:val="20"/>
            <w:szCs w:val="20"/>
          </w:rPr>
          <w:t>381926/</w:t>
        </w:r>
      </w:hyperlink>
      <w:r w:rsidRPr="00EB03F8">
        <w:rPr>
          <w:rStyle w:val="Hyperlink"/>
          <w:sz w:val="20"/>
          <w:szCs w:val="20"/>
        </w:rPr>
        <w:t>&gt;.</w:t>
      </w:r>
      <w:r>
        <w:rPr>
          <w:rFonts w:cs="Arial"/>
        </w:rPr>
        <w:t xml:space="preserve"> </w:t>
      </w:r>
    </w:p>
  </w:endnote>
  <w:endnote w:id="275">
    <w:p w14:paraId="15F68876"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Mrá</w:t>
      </w:r>
      <w:r w:rsidRPr="005B2362">
        <w:rPr>
          <w:rFonts w:cs="Arial"/>
          <w:iCs/>
        </w:rPr>
        <w:t>ček Pavel and Mucha Martin, ‘Application of Knowledge in Advergaming as a Possible Source of Competitive Advantage, (2011)</w:t>
      </w:r>
      <w:r>
        <w:rPr>
          <w:rFonts w:cs="Arial"/>
          <w:iCs/>
        </w:rPr>
        <w:t xml:space="preserve"> 3</w:t>
      </w:r>
      <w:r w:rsidRPr="005B2362">
        <w:rPr>
          <w:rFonts w:cs="Arial"/>
          <w:iCs/>
        </w:rPr>
        <w:t xml:space="preserve"> </w:t>
      </w:r>
      <w:r w:rsidRPr="005B2362">
        <w:rPr>
          <w:rFonts w:cs="Arial"/>
          <w:i/>
          <w:iCs/>
        </w:rPr>
        <w:t>Journal of Competitiveness</w:t>
      </w:r>
      <w:r w:rsidRPr="005B2362">
        <w:rPr>
          <w:rFonts w:cs="Arial"/>
          <w:iCs/>
        </w:rPr>
        <w:t>, 110.</w:t>
      </w:r>
    </w:p>
  </w:endnote>
  <w:endnote w:id="276">
    <w:p w14:paraId="2DDDD6C8" w14:textId="77777777" w:rsidR="00F008D2" w:rsidRPr="00696DEB" w:rsidRDefault="00F008D2" w:rsidP="00AA3994">
      <w:pPr>
        <w:autoSpaceDE w:val="0"/>
        <w:autoSpaceDN w:val="0"/>
        <w:adjustRightInd w:val="0"/>
        <w:spacing w:before="0" w:after="0"/>
        <w:rPr>
          <w:rFonts w:cs="Arial"/>
          <w:sz w:val="20"/>
          <w:szCs w:val="20"/>
        </w:rPr>
      </w:pPr>
      <w:r w:rsidRPr="005B2362">
        <w:rPr>
          <w:rStyle w:val="EndnoteReference"/>
          <w:rFonts w:cs="Arial"/>
          <w:szCs w:val="20"/>
        </w:rPr>
        <w:endnoteRef/>
      </w:r>
      <w:r w:rsidRPr="005B2362">
        <w:rPr>
          <w:rFonts w:cs="Arial"/>
          <w:sz w:val="20"/>
          <w:szCs w:val="20"/>
        </w:rPr>
        <w:t xml:space="preserve"> K Rajani Kanth, ‘Catch them young with advergaming’</w:t>
      </w:r>
      <w:r>
        <w:rPr>
          <w:rFonts w:cs="Arial"/>
          <w:sz w:val="20"/>
          <w:szCs w:val="20"/>
        </w:rPr>
        <w:t>,</w:t>
      </w:r>
      <w:r w:rsidRPr="005B2362">
        <w:rPr>
          <w:rFonts w:cs="Arial"/>
          <w:sz w:val="20"/>
          <w:szCs w:val="20"/>
        </w:rPr>
        <w:t xml:space="preserve"> </w:t>
      </w:r>
      <w:r w:rsidRPr="005B2362">
        <w:rPr>
          <w:rFonts w:cs="Arial"/>
          <w:i/>
          <w:sz w:val="20"/>
          <w:szCs w:val="20"/>
        </w:rPr>
        <w:t xml:space="preserve">The Business Standard </w:t>
      </w:r>
      <w:r w:rsidRPr="005B2362">
        <w:rPr>
          <w:rFonts w:cs="Arial"/>
          <w:sz w:val="20"/>
          <w:szCs w:val="20"/>
        </w:rPr>
        <w:t>(online), 7 January 2010, &lt;</w:t>
      </w:r>
      <w:hyperlink r:id="rId107" w:history="1">
        <w:r w:rsidRPr="00C76F3E">
          <w:rPr>
            <w:rStyle w:val="Hyperlink"/>
            <w:rFonts w:cs="Arial"/>
            <w:sz w:val="20"/>
            <w:szCs w:val="20"/>
          </w:rPr>
          <w:t>http://www.business-standard.com/india/news/catch-them-youngadvergaming/</w:t>
        </w:r>
        <w:r w:rsidRPr="007B3834">
          <w:rPr>
            <w:rStyle w:val="Hyperlink"/>
            <w:rFonts w:cs="Arial"/>
            <w:sz w:val="20"/>
            <w:szCs w:val="20"/>
          </w:rPr>
          <w:t>381926/</w:t>
        </w:r>
      </w:hyperlink>
      <w:r w:rsidRPr="005B2362">
        <w:rPr>
          <w:rFonts w:cs="Arial"/>
        </w:rPr>
        <w:t>&gt;</w:t>
      </w:r>
      <w:r>
        <w:rPr>
          <w:rFonts w:cs="Arial"/>
        </w:rPr>
        <w:t>.</w:t>
      </w:r>
    </w:p>
  </w:endnote>
  <w:endnote w:id="277">
    <w:p w14:paraId="32858E2C"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Sara Grimes and Leslie Shade, ‘Neopian economics of play: children’s cyberpets and online communities as immersive advertising in NeoPets.com’ (2005)</w:t>
      </w:r>
      <w:r>
        <w:rPr>
          <w:rFonts w:cs="Arial"/>
        </w:rPr>
        <w:t xml:space="preserve"> 1(2)</w:t>
      </w:r>
      <w:r w:rsidRPr="005B2362">
        <w:rPr>
          <w:rFonts w:cs="Arial"/>
        </w:rPr>
        <w:t xml:space="preserve"> </w:t>
      </w:r>
      <w:r w:rsidRPr="005B2362">
        <w:rPr>
          <w:rFonts w:cs="Arial"/>
          <w:i/>
        </w:rPr>
        <w:t>International Journal of Media and Cultural Politics</w:t>
      </w:r>
      <w:r>
        <w:rPr>
          <w:rFonts w:cs="Arial"/>
        </w:rPr>
        <w:t xml:space="preserve">, 183. </w:t>
      </w:r>
    </w:p>
  </w:endnote>
  <w:endnote w:id="278">
    <w:p w14:paraId="48AC0DD1"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Sara Grimes and Leslie Shade, ‘Neopian economics of play: children’s cyberpets and online communities as immersive advertising in NeoPets.com’ (2005)</w:t>
      </w:r>
      <w:r>
        <w:rPr>
          <w:rFonts w:cs="Arial"/>
        </w:rPr>
        <w:t xml:space="preserve"> 1(2)</w:t>
      </w:r>
      <w:r w:rsidRPr="005B2362">
        <w:rPr>
          <w:rFonts w:cs="Arial"/>
        </w:rPr>
        <w:t xml:space="preserve"> </w:t>
      </w:r>
      <w:r w:rsidRPr="005B2362">
        <w:rPr>
          <w:rFonts w:cs="Arial"/>
          <w:i/>
        </w:rPr>
        <w:t>International Journal of Media and Cultural Politics</w:t>
      </w:r>
      <w:r w:rsidRPr="005B2362">
        <w:rPr>
          <w:rFonts w:cs="Arial"/>
        </w:rPr>
        <w:t>, 182.</w:t>
      </w:r>
    </w:p>
  </w:endnote>
  <w:endnote w:id="279">
    <w:p w14:paraId="0B9AF0FB"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Sara Grimes and Leslie Shade, ‘Neopian economics of play: children’s cyberpets and online communities as immersive advertising in NeoPets.com’ (2005)</w:t>
      </w:r>
      <w:r>
        <w:rPr>
          <w:rFonts w:cs="Arial"/>
        </w:rPr>
        <w:t xml:space="preserve"> 1(2)</w:t>
      </w:r>
      <w:r w:rsidRPr="005B2362">
        <w:rPr>
          <w:rFonts w:cs="Arial"/>
        </w:rPr>
        <w:t xml:space="preserve"> </w:t>
      </w:r>
      <w:r w:rsidRPr="005B2362">
        <w:rPr>
          <w:rFonts w:cs="Arial"/>
          <w:i/>
        </w:rPr>
        <w:t>International Journal of Media and Cultural Politics</w:t>
      </w:r>
      <w:r w:rsidRPr="005B2362">
        <w:rPr>
          <w:rFonts w:cs="Arial"/>
        </w:rPr>
        <w:t>, 182.</w:t>
      </w:r>
    </w:p>
  </w:endnote>
  <w:endnote w:id="280">
    <w:p w14:paraId="521B8FCB"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Sara Grimes and Leslie Shade, ‘Neopian economics of play: children’s cyberpets and online communities as immersive advertising in NeoPets.com’ (2005)</w:t>
      </w:r>
      <w:r>
        <w:rPr>
          <w:rFonts w:cs="Arial"/>
        </w:rPr>
        <w:t xml:space="preserve"> 1(2)</w:t>
      </w:r>
      <w:r w:rsidRPr="005B2362">
        <w:rPr>
          <w:rFonts w:cs="Arial"/>
        </w:rPr>
        <w:t xml:space="preserve"> </w:t>
      </w:r>
      <w:r w:rsidRPr="005B2362">
        <w:rPr>
          <w:rFonts w:cs="Arial"/>
          <w:i/>
        </w:rPr>
        <w:t>International Journal of Media and Cultural Politics</w:t>
      </w:r>
      <w:r w:rsidRPr="005B2362">
        <w:rPr>
          <w:rFonts w:cs="Arial"/>
        </w:rPr>
        <w:t>, 182.</w:t>
      </w:r>
    </w:p>
  </w:endnote>
  <w:endnote w:id="281">
    <w:p w14:paraId="06684AF2"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Sara Grimes and Leslie Shade, ‘Neopian economics of play: children’s cyberpets and online communities as immersive advertising in NeoPets.com’ (2005)</w:t>
      </w:r>
      <w:r>
        <w:rPr>
          <w:rFonts w:cs="Arial"/>
        </w:rPr>
        <w:t xml:space="preserve"> 1(2)</w:t>
      </w:r>
      <w:r w:rsidRPr="005B2362">
        <w:rPr>
          <w:rFonts w:cs="Arial"/>
        </w:rPr>
        <w:t xml:space="preserve"> </w:t>
      </w:r>
      <w:r w:rsidRPr="005B2362">
        <w:rPr>
          <w:rFonts w:cs="Arial"/>
          <w:i/>
        </w:rPr>
        <w:t>International Journal of Media and Cultural Politics</w:t>
      </w:r>
      <w:r w:rsidRPr="005B2362">
        <w:rPr>
          <w:rFonts w:cs="Arial"/>
        </w:rPr>
        <w:t>, 182.</w:t>
      </w:r>
    </w:p>
  </w:endnote>
  <w:endnote w:id="282">
    <w:p w14:paraId="6A0FE47A"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Elizabeth Thomson and Angus Laing, ‘</w:t>
      </w:r>
      <w:r>
        <w:rPr>
          <w:rFonts w:cs="Arial"/>
        </w:rPr>
        <w:t>“</w:t>
      </w:r>
      <w:r w:rsidRPr="005B2362">
        <w:rPr>
          <w:rFonts w:cs="Arial"/>
        </w:rPr>
        <w:t>The Net Generation</w:t>
      </w:r>
      <w:r>
        <w:rPr>
          <w:rFonts w:cs="Arial"/>
        </w:rPr>
        <w:t>”</w:t>
      </w:r>
      <w:r w:rsidRPr="005B2362">
        <w:rPr>
          <w:rFonts w:cs="Arial"/>
        </w:rPr>
        <w:t xml:space="preserve">: Children and Young People, the Internet and Online Shopping’ (2003) 19 </w:t>
      </w:r>
      <w:r w:rsidRPr="005B2362">
        <w:rPr>
          <w:rFonts w:cs="Arial"/>
          <w:i/>
        </w:rPr>
        <w:t>Journal of Marketing Management</w:t>
      </w:r>
      <w:r w:rsidRPr="005B2362">
        <w:rPr>
          <w:rFonts w:cs="Arial"/>
        </w:rPr>
        <w:t>, 501.</w:t>
      </w:r>
    </w:p>
  </w:endnote>
  <w:endnote w:id="283">
    <w:p w14:paraId="7EBD0FDB"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AB5A77">
        <w:rPr>
          <w:rFonts w:cs="Arial"/>
        </w:rPr>
        <w:t xml:space="preserve">Deborah John, ‘Consumer Socialisation of Children: a Retrospective Look at Twenty Years of Research’ (1999) 26 (3) </w:t>
      </w:r>
      <w:r w:rsidRPr="0094062F">
        <w:rPr>
          <w:rFonts w:cs="Arial"/>
          <w:i/>
        </w:rPr>
        <w:t>Journal of Consumer Research</w:t>
      </w:r>
      <w:r>
        <w:rPr>
          <w:rFonts w:cs="Arial"/>
          <w:i/>
        </w:rPr>
        <w:t>,</w:t>
      </w:r>
      <w:r>
        <w:rPr>
          <w:rFonts w:cs="Arial"/>
        </w:rPr>
        <w:t xml:space="preserve"> 187.</w:t>
      </w:r>
    </w:p>
  </w:endnote>
  <w:endnote w:id="284">
    <w:p w14:paraId="36164835"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C</w:t>
      </w:r>
      <w:r>
        <w:rPr>
          <w:rFonts w:cs="Arial"/>
        </w:rPr>
        <w:t xml:space="preserve">ommonwealth </w:t>
      </w:r>
      <w:r w:rsidRPr="005B2362">
        <w:rPr>
          <w:rFonts w:cs="Arial"/>
        </w:rPr>
        <w:t>C</w:t>
      </w:r>
      <w:r>
        <w:rPr>
          <w:rFonts w:cs="Arial"/>
        </w:rPr>
        <w:t xml:space="preserve">onsumer </w:t>
      </w:r>
      <w:r w:rsidRPr="005B2362">
        <w:rPr>
          <w:rFonts w:cs="Arial"/>
        </w:rPr>
        <w:t>A</w:t>
      </w:r>
      <w:r>
        <w:rPr>
          <w:rFonts w:cs="Arial"/>
        </w:rPr>
        <w:t xml:space="preserve">ffairs </w:t>
      </w:r>
      <w:r w:rsidRPr="005B2362">
        <w:rPr>
          <w:rFonts w:cs="Arial"/>
        </w:rPr>
        <w:t>A</w:t>
      </w:r>
      <w:r>
        <w:rPr>
          <w:rFonts w:cs="Arial"/>
        </w:rPr>
        <w:t xml:space="preserve">dvisory </w:t>
      </w:r>
      <w:r w:rsidRPr="005B2362">
        <w:rPr>
          <w:rFonts w:cs="Arial"/>
        </w:rPr>
        <w:t>C</w:t>
      </w:r>
      <w:r>
        <w:rPr>
          <w:rFonts w:cs="Arial"/>
        </w:rPr>
        <w:t>ouncil</w:t>
      </w:r>
      <w:r w:rsidRPr="005B2362">
        <w:rPr>
          <w:rFonts w:cs="Arial"/>
        </w:rPr>
        <w:t xml:space="preserve">, </w:t>
      </w:r>
      <w:r w:rsidRPr="005B2362">
        <w:rPr>
          <w:rFonts w:cs="Arial"/>
          <w:i/>
        </w:rPr>
        <w:t>App purchases by Australian consumers on mobile and handheld devices</w:t>
      </w:r>
      <w:r>
        <w:rPr>
          <w:rFonts w:cs="Arial"/>
        </w:rPr>
        <w:t xml:space="preserve">: </w:t>
      </w:r>
      <w:r w:rsidRPr="00B860A4">
        <w:rPr>
          <w:rFonts w:cs="Arial"/>
          <w:i/>
        </w:rPr>
        <w:t>Inquiry report</w:t>
      </w:r>
      <w:r w:rsidRPr="005B2362">
        <w:rPr>
          <w:rFonts w:cs="Arial"/>
        </w:rPr>
        <w:t xml:space="preserve"> </w:t>
      </w:r>
      <w:r>
        <w:rPr>
          <w:rFonts w:cs="Arial"/>
        </w:rPr>
        <w:t>(</w:t>
      </w:r>
      <w:r w:rsidRPr="005B2362">
        <w:rPr>
          <w:rFonts w:cs="Arial"/>
        </w:rPr>
        <w:t>2013</w:t>
      </w:r>
      <w:r>
        <w:rPr>
          <w:rFonts w:cs="Arial"/>
        </w:rPr>
        <w:t>)</w:t>
      </w:r>
      <w:r w:rsidRPr="005B2362">
        <w:rPr>
          <w:rFonts w:cs="Arial"/>
        </w:rPr>
        <w:t xml:space="preserve"> vii.  </w:t>
      </w:r>
    </w:p>
  </w:endnote>
  <w:endnote w:id="285">
    <w:p w14:paraId="0FDCF8A4"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Sandra</w:t>
      </w:r>
      <w:r>
        <w:rPr>
          <w:rFonts w:cs="Arial"/>
        </w:rPr>
        <w:t xml:space="preserve"> </w:t>
      </w:r>
      <w:r w:rsidRPr="005B2362">
        <w:rPr>
          <w:rFonts w:cs="Arial"/>
        </w:rPr>
        <w:t>Calvert, ‘Children as Consumers: Advertising and Marketing’</w:t>
      </w:r>
      <w:r>
        <w:rPr>
          <w:rFonts w:cs="Arial"/>
        </w:rPr>
        <w:t xml:space="preserve"> </w:t>
      </w:r>
      <w:r w:rsidRPr="005B2362">
        <w:rPr>
          <w:rFonts w:cs="Arial"/>
        </w:rPr>
        <w:t>(2008)</w:t>
      </w:r>
      <w:r>
        <w:rPr>
          <w:rFonts w:cs="Arial"/>
        </w:rPr>
        <w:t xml:space="preserve"> 18(1)</w:t>
      </w:r>
      <w:r w:rsidRPr="005B2362">
        <w:rPr>
          <w:rFonts w:cs="Arial"/>
        </w:rPr>
        <w:t xml:space="preserve"> </w:t>
      </w:r>
      <w:r w:rsidRPr="00B860A4">
        <w:rPr>
          <w:rFonts w:cs="Arial"/>
          <w:i/>
        </w:rPr>
        <w:t>The Future of Children</w:t>
      </w:r>
      <w:r w:rsidRPr="005B2362">
        <w:rPr>
          <w:rFonts w:cs="Arial"/>
        </w:rPr>
        <w:t>, 224.</w:t>
      </w:r>
    </w:p>
  </w:endnote>
  <w:endnote w:id="286">
    <w:p w14:paraId="2B3B67D2" w14:textId="77777777" w:rsidR="00F008D2" w:rsidRDefault="00F008D2" w:rsidP="00AA3994">
      <w:pPr>
        <w:pStyle w:val="EndnoteText"/>
      </w:pPr>
      <w:r>
        <w:rPr>
          <w:rStyle w:val="EndnoteReference"/>
        </w:rPr>
        <w:endnoteRef/>
      </w:r>
      <w:r>
        <w:t xml:space="preserve"> </w:t>
      </w:r>
      <w:r w:rsidRPr="005B2362">
        <w:rPr>
          <w:rFonts w:cs="Arial"/>
        </w:rPr>
        <w:t>Sandra</w:t>
      </w:r>
      <w:r>
        <w:rPr>
          <w:rFonts w:cs="Arial"/>
        </w:rPr>
        <w:t xml:space="preserve"> </w:t>
      </w:r>
      <w:r w:rsidRPr="005B2362">
        <w:rPr>
          <w:rFonts w:cs="Arial"/>
        </w:rPr>
        <w:t>Calvert, ‘Children as Consumers: Advertising and Marketing’</w:t>
      </w:r>
      <w:r>
        <w:rPr>
          <w:rFonts w:cs="Arial"/>
        </w:rPr>
        <w:t xml:space="preserve"> </w:t>
      </w:r>
      <w:r w:rsidRPr="005B2362">
        <w:rPr>
          <w:rFonts w:cs="Arial"/>
        </w:rPr>
        <w:t>(2008)</w:t>
      </w:r>
      <w:r>
        <w:rPr>
          <w:rFonts w:cs="Arial"/>
        </w:rPr>
        <w:t xml:space="preserve"> 18(1)</w:t>
      </w:r>
      <w:r w:rsidRPr="005B2362">
        <w:rPr>
          <w:rFonts w:cs="Arial"/>
        </w:rPr>
        <w:t xml:space="preserve"> </w:t>
      </w:r>
      <w:r w:rsidRPr="00B860A4">
        <w:rPr>
          <w:rFonts w:cs="Arial"/>
          <w:i/>
        </w:rPr>
        <w:t>The Future of Children</w:t>
      </w:r>
      <w:r>
        <w:rPr>
          <w:rFonts w:cs="Arial"/>
        </w:rPr>
        <w:t>, 209.</w:t>
      </w:r>
    </w:p>
  </w:endnote>
  <w:endnote w:id="287">
    <w:p w14:paraId="210ABEA1"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Grace Chung and Sara Grimes, ‘Data Mining the Kids: Surveillance and Market research Strategies in Children’s Online Games’ (2005) 30 </w:t>
      </w:r>
      <w:r w:rsidRPr="005B2362">
        <w:rPr>
          <w:rFonts w:cs="Arial"/>
          <w:i/>
        </w:rPr>
        <w:t>Canadian Journal of Communication</w:t>
      </w:r>
      <w:r w:rsidRPr="005B2362">
        <w:rPr>
          <w:rFonts w:cs="Arial"/>
        </w:rPr>
        <w:t>, 528.</w:t>
      </w:r>
    </w:p>
  </w:endnote>
  <w:endnote w:id="288">
    <w:p w14:paraId="343FEA13"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Daniel Cook, ‘Exchange Value as Pedagogy in Children’s Leisure: Moral Panics in Children’s Culture at Century’s End’ (2001)</w:t>
      </w:r>
      <w:r>
        <w:rPr>
          <w:rFonts w:cs="Arial"/>
        </w:rPr>
        <w:t xml:space="preserve"> 23</w:t>
      </w:r>
      <w:r w:rsidRPr="005B2362">
        <w:rPr>
          <w:rFonts w:cs="Arial"/>
        </w:rPr>
        <w:t xml:space="preserve"> </w:t>
      </w:r>
      <w:r w:rsidRPr="005B2362">
        <w:rPr>
          <w:rFonts w:cs="Arial"/>
          <w:i/>
        </w:rPr>
        <w:t>Leisure Sciences</w:t>
      </w:r>
      <w:r w:rsidRPr="005B2362">
        <w:rPr>
          <w:rFonts w:cs="Arial"/>
        </w:rPr>
        <w:t xml:space="preserve">, </w:t>
      </w:r>
      <w:r w:rsidRPr="00B66382">
        <w:rPr>
          <w:rFonts w:cs="Arial"/>
        </w:rPr>
        <w:t>82</w:t>
      </w:r>
      <w:r w:rsidRPr="005B2362">
        <w:rPr>
          <w:rFonts w:cs="Arial"/>
        </w:rPr>
        <w:t>.</w:t>
      </w:r>
    </w:p>
  </w:endnote>
  <w:endnote w:id="289">
    <w:p w14:paraId="1303AE9A"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Sara Grimes and Leslie Shade, ‘Neopian economics of play: children’s cyberpets and online communities as immersive advertising in NeoPets.com’ (2005)</w:t>
      </w:r>
      <w:r>
        <w:rPr>
          <w:rFonts w:cs="Arial"/>
        </w:rPr>
        <w:t xml:space="preserve"> 1(2)</w:t>
      </w:r>
      <w:r w:rsidRPr="005B2362">
        <w:rPr>
          <w:rFonts w:cs="Arial"/>
        </w:rPr>
        <w:t xml:space="preserve"> </w:t>
      </w:r>
      <w:r w:rsidRPr="005B2362">
        <w:rPr>
          <w:rFonts w:cs="Arial"/>
          <w:i/>
        </w:rPr>
        <w:t>International Journal of Media and Cultural Politics</w:t>
      </w:r>
      <w:r w:rsidRPr="005B2362">
        <w:rPr>
          <w:rFonts w:cs="Arial"/>
        </w:rPr>
        <w:t>, 190.</w:t>
      </w:r>
    </w:p>
  </w:endnote>
  <w:endnote w:id="290">
    <w:p w14:paraId="0F4DF94E"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Sandra</w:t>
      </w:r>
      <w:r>
        <w:rPr>
          <w:rFonts w:cs="Arial"/>
        </w:rPr>
        <w:t xml:space="preserve"> </w:t>
      </w:r>
      <w:r w:rsidRPr="005B2362">
        <w:rPr>
          <w:rFonts w:cs="Arial"/>
        </w:rPr>
        <w:t>Calvert, ‘Children as Consumers: Advertising and Marketing’</w:t>
      </w:r>
      <w:r>
        <w:rPr>
          <w:rFonts w:cs="Arial"/>
        </w:rPr>
        <w:t xml:space="preserve"> </w:t>
      </w:r>
      <w:r w:rsidRPr="005B2362">
        <w:rPr>
          <w:rFonts w:cs="Arial"/>
        </w:rPr>
        <w:t>(2008)</w:t>
      </w:r>
      <w:r>
        <w:rPr>
          <w:rFonts w:cs="Arial"/>
        </w:rPr>
        <w:t xml:space="preserve"> 18(1)</w:t>
      </w:r>
      <w:r w:rsidRPr="005B2362">
        <w:rPr>
          <w:rFonts w:cs="Arial"/>
        </w:rPr>
        <w:t xml:space="preserve"> </w:t>
      </w:r>
      <w:r w:rsidRPr="00B860A4">
        <w:rPr>
          <w:rFonts w:cs="Arial"/>
          <w:i/>
        </w:rPr>
        <w:t>The Future of Children</w:t>
      </w:r>
      <w:r>
        <w:rPr>
          <w:rFonts w:cs="Arial"/>
        </w:rPr>
        <w:t>, 211</w:t>
      </w:r>
      <w:r w:rsidRPr="005B2362">
        <w:rPr>
          <w:rFonts w:cs="Arial"/>
        </w:rPr>
        <w:t>.</w:t>
      </w:r>
    </w:p>
  </w:endnote>
  <w:endnote w:id="291">
    <w:p w14:paraId="3D61D105"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Sara Grimes and Leslie Shade, ‘Neopian economics of play: children’s cyberpets and online communities as immersive advertising in NeoPets.com’ (2005)</w:t>
      </w:r>
      <w:r>
        <w:rPr>
          <w:rFonts w:cs="Arial"/>
        </w:rPr>
        <w:t xml:space="preserve"> 1(2)</w:t>
      </w:r>
      <w:r w:rsidRPr="005B2362">
        <w:rPr>
          <w:rFonts w:cs="Arial"/>
        </w:rPr>
        <w:t xml:space="preserve"> </w:t>
      </w:r>
      <w:r w:rsidRPr="005B2362">
        <w:rPr>
          <w:rFonts w:cs="Arial"/>
          <w:i/>
        </w:rPr>
        <w:t>International Journal of Media and Cultural Politics</w:t>
      </w:r>
      <w:r w:rsidRPr="005B2362">
        <w:rPr>
          <w:rFonts w:cs="Arial"/>
        </w:rPr>
        <w:t xml:space="preserve">, 192. </w:t>
      </w:r>
    </w:p>
  </w:endnote>
  <w:endnote w:id="292">
    <w:p w14:paraId="6C9C82AF"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Sandra</w:t>
      </w:r>
      <w:r>
        <w:rPr>
          <w:rFonts w:cs="Arial"/>
        </w:rPr>
        <w:t xml:space="preserve"> </w:t>
      </w:r>
      <w:r w:rsidRPr="005B2362">
        <w:rPr>
          <w:rFonts w:cs="Arial"/>
        </w:rPr>
        <w:t>Calvert, ‘Children as Consumers: Advertising and Marketing’</w:t>
      </w:r>
      <w:r>
        <w:rPr>
          <w:rFonts w:cs="Arial"/>
        </w:rPr>
        <w:t xml:space="preserve"> </w:t>
      </w:r>
      <w:r w:rsidRPr="005B2362">
        <w:rPr>
          <w:rFonts w:cs="Arial"/>
        </w:rPr>
        <w:t>(2008)</w:t>
      </w:r>
      <w:r>
        <w:rPr>
          <w:rFonts w:cs="Arial"/>
        </w:rPr>
        <w:t xml:space="preserve"> 18(1)</w:t>
      </w:r>
      <w:r w:rsidRPr="005B2362">
        <w:rPr>
          <w:rFonts w:cs="Arial"/>
        </w:rPr>
        <w:t xml:space="preserve"> </w:t>
      </w:r>
      <w:r w:rsidRPr="00B860A4">
        <w:rPr>
          <w:rFonts w:cs="Arial"/>
          <w:i/>
        </w:rPr>
        <w:t>The Future of Children</w:t>
      </w:r>
      <w:r w:rsidRPr="005B2362">
        <w:rPr>
          <w:rFonts w:cs="Arial"/>
        </w:rPr>
        <w:t>, 210.</w:t>
      </w:r>
    </w:p>
  </w:endnote>
  <w:endnote w:id="293">
    <w:p w14:paraId="4B4E538F"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Grace Chung and Sara Grimes, ‘Data Mining the Kids: Surveillance and Market research Strategies in Children’s Online Games’ (2005) 30 </w:t>
      </w:r>
      <w:r w:rsidRPr="005B2362">
        <w:rPr>
          <w:rFonts w:cs="Arial"/>
          <w:i/>
        </w:rPr>
        <w:t>Canadian Journal of Communication</w:t>
      </w:r>
      <w:r w:rsidRPr="005B2362">
        <w:rPr>
          <w:rFonts w:cs="Arial"/>
        </w:rPr>
        <w:t>, 533.</w:t>
      </w:r>
    </w:p>
  </w:endnote>
  <w:endnote w:id="294">
    <w:p w14:paraId="16E862A7"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Grace Chung and Sara Grimes, ‘Data Mining the Kids: Surveillance and Market research Strategies in Children’s Online Games’ (2005) 30 </w:t>
      </w:r>
      <w:r w:rsidRPr="005B2362">
        <w:rPr>
          <w:rFonts w:cs="Arial"/>
          <w:i/>
        </w:rPr>
        <w:t>Canadian Journal of Communication</w:t>
      </w:r>
      <w:r w:rsidRPr="005B2362">
        <w:rPr>
          <w:rFonts w:cs="Arial"/>
        </w:rPr>
        <w:t>, 533.</w:t>
      </w:r>
    </w:p>
  </w:endnote>
  <w:endnote w:id="295">
    <w:p w14:paraId="6C1D6201"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Grace Chung and Sara Grimes, ‘Data Mining the Kids: Surveillance and Market research Strategies in Children’s Online Games’ (2005) 30 </w:t>
      </w:r>
      <w:r w:rsidRPr="005B2362">
        <w:rPr>
          <w:rFonts w:cs="Arial"/>
          <w:i/>
        </w:rPr>
        <w:t>Canadian Journal of Communication</w:t>
      </w:r>
      <w:r>
        <w:rPr>
          <w:rFonts w:cs="Arial"/>
        </w:rPr>
        <w:t>,</w:t>
      </w:r>
      <w:r w:rsidRPr="005B2362">
        <w:rPr>
          <w:rFonts w:cs="Arial"/>
        </w:rPr>
        <w:t xml:space="preserve"> 540.</w:t>
      </w:r>
    </w:p>
  </w:endnote>
  <w:endnote w:id="296">
    <w:p w14:paraId="3E45A930"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Laurie Lee, ‘Defining Privacy: Freedom in a Democratic Constitutional State’ (2002) </w:t>
      </w:r>
      <w:r>
        <w:rPr>
          <w:rFonts w:cs="Arial"/>
        </w:rPr>
        <w:t xml:space="preserve">46(4) </w:t>
      </w:r>
      <w:r w:rsidRPr="005B2362">
        <w:rPr>
          <w:rFonts w:cs="Arial"/>
          <w:i/>
        </w:rPr>
        <w:t>Journal of Broadcasting and Electronic Media</w:t>
      </w:r>
      <w:r>
        <w:rPr>
          <w:rFonts w:cs="Arial"/>
        </w:rPr>
        <w:t xml:space="preserve">, 647. </w:t>
      </w:r>
    </w:p>
  </w:endnote>
  <w:endnote w:id="297">
    <w:p w14:paraId="117874C6" w14:textId="77777777" w:rsidR="00F008D2" w:rsidRPr="005B2362" w:rsidRDefault="00F008D2" w:rsidP="00AA3994">
      <w:pPr>
        <w:spacing w:before="0" w:after="0"/>
        <w:rPr>
          <w:rFonts w:cs="Arial"/>
          <w:sz w:val="20"/>
          <w:szCs w:val="20"/>
        </w:rPr>
      </w:pPr>
      <w:r w:rsidRPr="005B2362">
        <w:rPr>
          <w:rStyle w:val="EndnoteReference"/>
          <w:rFonts w:cs="Arial"/>
          <w:szCs w:val="20"/>
        </w:rPr>
        <w:endnoteRef/>
      </w:r>
      <w:r w:rsidRPr="005B2362">
        <w:rPr>
          <w:rFonts w:cs="Arial"/>
          <w:sz w:val="20"/>
          <w:szCs w:val="20"/>
        </w:rPr>
        <w:t xml:space="preserve"> Elizabeth Thomson and Angus Laing, ‘</w:t>
      </w:r>
      <w:r>
        <w:rPr>
          <w:rFonts w:cs="Arial"/>
          <w:sz w:val="20"/>
          <w:szCs w:val="20"/>
        </w:rPr>
        <w:t>“</w:t>
      </w:r>
      <w:r w:rsidRPr="005B2362">
        <w:rPr>
          <w:rFonts w:cs="Arial"/>
          <w:sz w:val="20"/>
          <w:szCs w:val="20"/>
        </w:rPr>
        <w:t>The Net Generation</w:t>
      </w:r>
      <w:r>
        <w:rPr>
          <w:rFonts w:cs="Arial"/>
          <w:sz w:val="20"/>
          <w:szCs w:val="20"/>
        </w:rPr>
        <w:t>”</w:t>
      </w:r>
      <w:r w:rsidRPr="005B2362">
        <w:rPr>
          <w:rFonts w:cs="Arial"/>
          <w:sz w:val="20"/>
          <w:szCs w:val="20"/>
        </w:rPr>
        <w:t xml:space="preserve">: Children and Young People, the Internet and Online Shopping’ (2003) 19 </w:t>
      </w:r>
      <w:r w:rsidRPr="005B2362">
        <w:rPr>
          <w:rFonts w:cs="Arial"/>
          <w:i/>
          <w:sz w:val="20"/>
          <w:szCs w:val="20"/>
        </w:rPr>
        <w:t>Journal of Marketing Management</w:t>
      </w:r>
      <w:r w:rsidRPr="005B2362">
        <w:rPr>
          <w:rFonts w:cs="Arial"/>
        </w:rPr>
        <w:t xml:space="preserve">, </w:t>
      </w:r>
      <w:r w:rsidRPr="005B2362">
        <w:rPr>
          <w:rFonts w:cs="Arial"/>
          <w:sz w:val="20"/>
          <w:szCs w:val="20"/>
        </w:rPr>
        <w:t xml:space="preserve">502. </w:t>
      </w:r>
    </w:p>
  </w:endnote>
  <w:endnote w:id="298">
    <w:p w14:paraId="55249DB4"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Sara Grimes and Leslie Shade, ‘Neopian economics of play: children’s cyberpets and online communities as immersive advertising in NeoPets.com’ (2005)</w:t>
      </w:r>
      <w:r>
        <w:rPr>
          <w:rFonts w:cs="Arial"/>
        </w:rPr>
        <w:t xml:space="preserve"> 1(2)</w:t>
      </w:r>
      <w:r w:rsidRPr="005B2362">
        <w:rPr>
          <w:rFonts w:cs="Arial"/>
        </w:rPr>
        <w:t xml:space="preserve"> </w:t>
      </w:r>
      <w:r w:rsidRPr="005B2362">
        <w:rPr>
          <w:rFonts w:cs="Arial"/>
          <w:i/>
        </w:rPr>
        <w:t>International Journal of Media and Cultural Politics</w:t>
      </w:r>
      <w:r w:rsidRPr="005B2362">
        <w:rPr>
          <w:rFonts w:cs="Arial"/>
        </w:rPr>
        <w:t>, 182.</w:t>
      </w:r>
    </w:p>
  </w:endnote>
  <w:endnote w:id="299">
    <w:p w14:paraId="78C2F10E"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Sara Grimes and Leslie Shade, ‘Neopian economics of play: children’s cyberpets and online communities as immersive advertising in NeoPets.com’ (2005)</w:t>
      </w:r>
      <w:r>
        <w:rPr>
          <w:rFonts w:cs="Arial"/>
        </w:rPr>
        <w:t xml:space="preserve"> 1(2)</w:t>
      </w:r>
      <w:r w:rsidRPr="005B2362">
        <w:rPr>
          <w:rFonts w:cs="Arial"/>
        </w:rPr>
        <w:t xml:space="preserve"> </w:t>
      </w:r>
      <w:r w:rsidRPr="005B2362">
        <w:rPr>
          <w:rFonts w:cs="Arial"/>
          <w:i/>
        </w:rPr>
        <w:t>International Journal of Media and Cultural Politics</w:t>
      </w:r>
      <w:r w:rsidRPr="005B2362">
        <w:rPr>
          <w:rFonts w:cs="Arial"/>
        </w:rPr>
        <w:t>, 182.</w:t>
      </w:r>
      <w:r>
        <w:rPr>
          <w:rFonts w:cs="Arial"/>
        </w:rPr>
        <w:t xml:space="preserve"> </w:t>
      </w:r>
    </w:p>
  </w:endnote>
  <w:endnote w:id="300">
    <w:p w14:paraId="69A6B127"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Sara Grimes, ‘Persistent and Emerging Questions about the Use of End-Use License Agreements in Children’s Online Games and Virtual World’ (2013) 46(3) </w:t>
      </w:r>
      <w:r w:rsidRPr="005B2362">
        <w:rPr>
          <w:rFonts w:cs="Arial"/>
          <w:i/>
        </w:rPr>
        <w:t>UBC Law Review</w:t>
      </w:r>
      <w:r>
        <w:rPr>
          <w:rFonts w:cs="Arial"/>
          <w:i/>
        </w:rPr>
        <w:t>,</w:t>
      </w:r>
      <w:r w:rsidRPr="005B2362">
        <w:rPr>
          <w:rFonts w:cs="Arial"/>
        </w:rPr>
        <w:t xml:space="preserve"> 727. </w:t>
      </w:r>
    </w:p>
  </w:endnote>
  <w:endnote w:id="301">
    <w:p w14:paraId="3AE703CE"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Patti Valkenburg and Joanne Cantor, ‘The Development of a child into a consumer’ (2002) 22(1) </w:t>
      </w:r>
      <w:r w:rsidRPr="005B2362">
        <w:rPr>
          <w:rFonts w:cs="Arial"/>
          <w:i/>
        </w:rPr>
        <w:t>Journal of Applied Developmental Psychology</w:t>
      </w:r>
      <w:r w:rsidRPr="005B2362">
        <w:rPr>
          <w:rFonts w:cs="Arial"/>
        </w:rPr>
        <w:t xml:space="preserve">, </w:t>
      </w:r>
      <w:r>
        <w:rPr>
          <w:rFonts w:cs="Arial"/>
        </w:rPr>
        <w:t>69-70</w:t>
      </w:r>
      <w:r w:rsidRPr="005B2362">
        <w:rPr>
          <w:rFonts w:cs="Arial"/>
        </w:rPr>
        <w:t>.</w:t>
      </w:r>
    </w:p>
  </w:endnote>
  <w:endnote w:id="302">
    <w:p w14:paraId="4B89B91F"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Grace Chung and Sara Grimes, ‘Data Mining the Kids: Surveillance and Market research Strategies in Children’s Online Games’ (2005) 30 </w:t>
      </w:r>
      <w:r w:rsidRPr="005B2362">
        <w:rPr>
          <w:rFonts w:cs="Arial"/>
          <w:i/>
        </w:rPr>
        <w:t>Canadian Journal of Communication</w:t>
      </w:r>
      <w:r>
        <w:rPr>
          <w:rFonts w:cs="Arial"/>
        </w:rPr>
        <w:t>,</w:t>
      </w:r>
      <w:r w:rsidRPr="005B2362">
        <w:rPr>
          <w:rFonts w:cs="Arial"/>
        </w:rPr>
        <w:t xml:space="preserve"> 531; Christian Sandvig, ‘Public Internet access for young children in the inner city: Evidence to inform access subsidy and content regulation’ (2000) 19(2) </w:t>
      </w:r>
      <w:r w:rsidRPr="005B2362">
        <w:rPr>
          <w:rFonts w:cs="Arial"/>
          <w:i/>
        </w:rPr>
        <w:t>The Information Society</w:t>
      </w:r>
      <w:r>
        <w:rPr>
          <w:rFonts w:cs="Arial"/>
          <w:i/>
        </w:rPr>
        <w:t>,</w:t>
      </w:r>
      <w:r w:rsidRPr="005B2362">
        <w:rPr>
          <w:rFonts w:cs="Arial"/>
          <w:i/>
        </w:rPr>
        <w:t xml:space="preserve"> </w:t>
      </w:r>
      <w:r w:rsidRPr="005B2362">
        <w:rPr>
          <w:rFonts w:cs="Arial"/>
        </w:rPr>
        <w:t xml:space="preserve">171; Joseph Turow, </w:t>
      </w:r>
      <w:r w:rsidRPr="005B2362">
        <w:rPr>
          <w:rFonts w:cs="Arial"/>
          <w:i/>
          <w:iCs/>
        </w:rPr>
        <w:t>Privacy policies on children’s websites: Do they play by the rules?</w:t>
      </w:r>
      <w:r w:rsidRPr="005B2362">
        <w:rPr>
          <w:rFonts w:cs="Arial"/>
          <w:iCs/>
        </w:rPr>
        <w:t xml:space="preserve"> (</w:t>
      </w:r>
      <w:r w:rsidRPr="005B2362">
        <w:rPr>
          <w:rFonts w:cs="Arial"/>
        </w:rPr>
        <w:t>Annenberg Public Policy Centre of the University of Pennsylvania,</w:t>
      </w:r>
      <w:r w:rsidRPr="005B2362">
        <w:rPr>
          <w:rFonts w:cs="Arial"/>
          <w:iCs/>
        </w:rPr>
        <w:t xml:space="preserve"> 2001); </w:t>
      </w:r>
      <w:r w:rsidRPr="005B2362">
        <w:rPr>
          <w:rFonts w:cs="Arial"/>
        </w:rPr>
        <w:t xml:space="preserve">Ellen Seiter, </w:t>
      </w:r>
      <w:r w:rsidRPr="005B2362">
        <w:rPr>
          <w:rFonts w:cs="Arial"/>
          <w:i/>
        </w:rPr>
        <w:t>The Internet playground: Children’s access, entertainment, and mis-education</w:t>
      </w:r>
      <w:r w:rsidRPr="005B2362">
        <w:rPr>
          <w:rFonts w:cs="Arial"/>
        </w:rPr>
        <w:t xml:space="preserve"> (Peter Lang, 2005); Sonia Livingstone, ‘The changing nature and uses of media literacy’ (2003) 4 </w:t>
      </w:r>
      <w:r w:rsidRPr="005B2362">
        <w:rPr>
          <w:rFonts w:cs="Arial"/>
          <w:i/>
        </w:rPr>
        <w:t>Media@LSE Electronic Working Papers</w:t>
      </w:r>
      <w:r w:rsidRPr="005B2362">
        <w:rPr>
          <w:rFonts w:cs="Arial"/>
        </w:rPr>
        <w:t xml:space="preserve"> &lt;</w:t>
      </w:r>
      <w:hyperlink r:id="rId108" w:history="1">
        <w:r w:rsidRPr="00C76F3E">
          <w:rPr>
            <w:rStyle w:val="Hyperlink"/>
            <w:rFonts w:cs="Arial"/>
          </w:rPr>
          <w:t>http://eprints.lse.ac.uk/13476/1/The_changing_nature_and_uses_of_media_literacy.pdf</w:t>
        </w:r>
      </w:hyperlink>
      <w:r w:rsidRPr="005B2362">
        <w:rPr>
          <w:rFonts w:cs="Arial"/>
        </w:rPr>
        <w:t xml:space="preserve">&gt;. </w:t>
      </w:r>
    </w:p>
  </w:endnote>
  <w:endnote w:id="303">
    <w:p w14:paraId="7D8FB871"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Grace Chung and Sara Grimes, ‘Data Mining the Kids: Surveillance and Market research Strategies in Children’s Online Games’ (2005) 30 </w:t>
      </w:r>
      <w:r w:rsidRPr="005B2362">
        <w:rPr>
          <w:rFonts w:cs="Arial"/>
          <w:i/>
        </w:rPr>
        <w:t>Canadian Journal of Communication</w:t>
      </w:r>
      <w:r w:rsidRPr="005B2362">
        <w:rPr>
          <w:rFonts w:cs="Arial"/>
        </w:rPr>
        <w:t xml:space="preserve">, 531; Christian Sandvig, ‘Public Internet access for young children in the inner city: Evidence to inform access subsidy and content regulation’ (2000) 19(2) </w:t>
      </w:r>
      <w:r w:rsidRPr="005B2362">
        <w:rPr>
          <w:rFonts w:cs="Arial"/>
          <w:i/>
        </w:rPr>
        <w:t>The Information Society</w:t>
      </w:r>
      <w:r>
        <w:rPr>
          <w:rFonts w:cs="Arial"/>
          <w:i/>
        </w:rPr>
        <w:t>,</w:t>
      </w:r>
      <w:r w:rsidRPr="005B2362">
        <w:rPr>
          <w:rFonts w:cs="Arial"/>
          <w:i/>
        </w:rPr>
        <w:t xml:space="preserve"> </w:t>
      </w:r>
      <w:r w:rsidRPr="005B2362">
        <w:rPr>
          <w:rFonts w:cs="Arial"/>
        </w:rPr>
        <w:t xml:space="preserve">171; Joseph Turow, </w:t>
      </w:r>
      <w:r w:rsidRPr="005B2362">
        <w:rPr>
          <w:rFonts w:cs="Arial"/>
          <w:i/>
          <w:iCs/>
        </w:rPr>
        <w:t>Privacy policies on children’s websites: Do they play by the rules?</w:t>
      </w:r>
      <w:r w:rsidRPr="005B2362">
        <w:rPr>
          <w:rFonts w:cs="Arial"/>
          <w:iCs/>
        </w:rPr>
        <w:t xml:space="preserve"> (</w:t>
      </w:r>
      <w:r w:rsidRPr="005B2362">
        <w:rPr>
          <w:rFonts w:cs="Arial"/>
        </w:rPr>
        <w:t>Annenberg Public Policy Centre of the University of Pennsylvania,</w:t>
      </w:r>
      <w:r w:rsidRPr="005B2362">
        <w:rPr>
          <w:rFonts w:cs="Arial"/>
          <w:iCs/>
        </w:rPr>
        <w:t xml:space="preserve"> 2001); </w:t>
      </w:r>
      <w:r w:rsidRPr="005B2362">
        <w:rPr>
          <w:rFonts w:cs="Arial"/>
        </w:rPr>
        <w:t xml:space="preserve">Ellen Seiter, </w:t>
      </w:r>
      <w:r w:rsidRPr="005B2362">
        <w:rPr>
          <w:rFonts w:cs="Arial"/>
          <w:i/>
        </w:rPr>
        <w:t>The Internet playground: Children’s access, entertainment, and mis-education</w:t>
      </w:r>
      <w:r w:rsidRPr="005B2362">
        <w:rPr>
          <w:rFonts w:cs="Arial"/>
        </w:rPr>
        <w:t xml:space="preserve"> (Peter Lang, 2005); Sonia Livingstone, ‘The changing nature and uses of media literacy’ (2003) 4 </w:t>
      </w:r>
      <w:r w:rsidRPr="005B2362">
        <w:rPr>
          <w:rFonts w:cs="Arial"/>
          <w:i/>
        </w:rPr>
        <w:t>Media@LSE Electronic Working Papers</w:t>
      </w:r>
      <w:r w:rsidRPr="005B2362">
        <w:rPr>
          <w:rFonts w:cs="Arial"/>
        </w:rPr>
        <w:t xml:space="preserve"> &lt;</w:t>
      </w:r>
      <w:hyperlink r:id="rId109" w:history="1">
        <w:r w:rsidRPr="00C76F3E">
          <w:rPr>
            <w:rStyle w:val="Hyperlink"/>
            <w:rFonts w:cs="Arial"/>
          </w:rPr>
          <w:t>http://eprints.lse.ac.uk/13476/1/The_changing_nature_and_uses_of_media_literacy.pdf</w:t>
        </w:r>
      </w:hyperlink>
      <w:r w:rsidRPr="005B2362">
        <w:rPr>
          <w:rFonts w:cs="Arial"/>
        </w:rPr>
        <w:t>&gt;.</w:t>
      </w:r>
    </w:p>
  </w:endnote>
  <w:endnote w:id="304">
    <w:p w14:paraId="0DA3D39F"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Daniel Cook, ‘Exchange Value as Pedagogy in Children’s Leisure: Moral Panics in Children’s Culture at Century’s End’ (2001)</w:t>
      </w:r>
      <w:r>
        <w:rPr>
          <w:rFonts w:cs="Arial"/>
        </w:rPr>
        <w:t xml:space="preserve"> 23</w:t>
      </w:r>
      <w:r w:rsidRPr="005B2362">
        <w:rPr>
          <w:rFonts w:cs="Arial"/>
        </w:rPr>
        <w:t xml:space="preserve"> </w:t>
      </w:r>
      <w:r w:rsidRPr="005B2362">
        <w:rPr>
          <w:rFonts w:cs="Arial"/>
          <w:i/>
        </w:rPr>
        <w:t>Leisure Sciences</w:t>
      </w:r>
      <w:r>
        <w:rPr>
          <w:rFonts w:cs="Arial"/>
        </w:rPr>
        <w:t>, 82.</w:t>
      </w:r>
    </w:p>
  </w:endnote>
  <w:endnote w:id="305">
    <w:p w14:paraId="60FA24F2" w14:textId="77777777" w:rsidR="00F008D2" w:rsidRDefault="00F008D2" w:rsidP="00AA3994">
      <w:pPr>
        <w:pStyle w:val="EndnoteText"/>
      </w:pPr>
      <w:r>
        <w:rPr>
          <w:rStyle w:val="EndnoteReference"/>
        </w:rPr>
        <w:endnoteRef/>
      </w:r>
      <w:r>
        <w:t xml:space="preserve"> </w:t>
      </w:r>
      <w:r w:rsidRPr="005B2362">
        <w:rPr>
          <w:rFonts w:cs="Arial"/>
        </w:rPr>
        <w:t xml:space="preserve">Grace Chung and Sara Grimes, ‘Data Mining the Kids: Surveillance and Market research Strategies in Children’s Online Games’ (2005) 30 </w:t>
      </w:r>
      <w:r w:rsidRPr="005B2362">
        <w:rPr>
          <w:rFonts w:cs="Arial"/>
          <w:i/>
        </w:rPr>
        <w:t>Canadian Journal of Communication</w:t>
      </w:r>
      <w:r>
        <w:rPr>
          <w:rFonts w:cs="Arial"/>
        </w:rPr>
        <w:t>, 542-44.</w:t>
      </w:r>
    </w:p>
  </w:endnote>
  <w:endnote w:id="306">
    <w:p w14:paraId="77683BDE"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Grace Chung and Sara Grimes, ‘Data Mining the Kids: Surveillance and Market research Strategies in Children’s Online Games’ (2005) 30 </w:t>
      </w:r>
      <w:r w:rsidRPr="005B2362">
        <w:rPr>
          <w:rFonts w:cs="Arial"/>
          <w:i/>
        </w:rPr>
        <w:t>Canadian Journal of Communication</w:t>
      </w:r>
      <w:r w:rsidRPr="005B2362">
        <w:rPr>
          <w:rFonts w:cs="Arial"/>
        </w:rPr>
        <w:t>, 536-537.</w:t>
      </w:r>
    </w:p>
  </w:endnote>
  <w:endnote w:id="307">
    <w:p w14:paraId="74CD9953"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Sara Grimes, ‘Persistent and emerging questions about the use of end-use license agreements in children’s online games and virtual world’ (2013) 46(3) </w:t>
      </w:r>
      <w:r w:rsidRPr="005B2362">
        <w:rPr>
          <w:rFonts w:cs="Arial"/>
          <w:i/>
        </w:rPr>
        <w:t>UBC Law Review</w:t>
      </w:r>
      <w:r w:rsidRPr="005B2362">
        <w:rPr>
          <w:rFonts w:cs="Arial"/>
        </w:rPr>
        <w:t>, 736.</w:t>
      </w:r>
    </w:p>
  </w:endnote>
  <w:endnote w:id="308">
    <w:p w14:paraId="0E7FF1BA"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Sara Grimes, ‘Persistent and emerging questions about the use of end-use license agreements in children’s online games and virtual world’ (2013) 46(3) </w:t>
      </w:r>
      <w:r w:rsidRPr="005B2362">
        <w:rPr>
          <w:rFonts w:cs="Arial"/>
          <w:i/>
        </w:rPr>
        <w:t>UBC Law Review</w:t>
      </w:r>
      <w:r w:rsidRPr="005B2362">
        <w:rPr>
          <w:rFonts w:cs="Arial"/>
        </w:rPr>
        <w:t>, 730.</w:t>
      </w:r>
    </w:p>
  </w:endnote>
  <w:endnote w:id="309">
    <w:p w14:paraId="5D6927B0"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Sara Grimes, ‘Persistent and emerging questions about the use of end-use license agreements in children’s online games and virtual world’ (2013) 46(3) </w:t>
      </w:r>
      <w:r w:rsidRPr="005B2362">
        <w:rPr>
          <w:rFonts w:cs="Arial"/>
          <w:i/>
        </w:rPr>
        <w:t>UBC Law Review</w:t>
      </w:r>
      <w:r w:rsidRPr="005B2362">
        <w:rPr>
          <w:rFonts w:cs="Arial"/>
        </w:rPr>
        <w:t>, 688-689.</w:t>
      </w:r>
    </w:p>
  </w:endnote>
  <w:endnote w:id="310">
    <w:p w14:paraId="262470D8" w14:textId="77777777" w:rsidR="00F008D2" w:rsidRPr="005B2362" w:rsidRDefault="00F008D2" w:rsidP="00AA3994">
      <w:pPr>
        <w:autoSpaceDE w:val="0"/>
        <w:autoSpaceDN w:val="0"/>
        <w:adjustRightInd w:val="0"/>
        <w:spacing w:before="0" w:after="0"/>
        <w:rPr>
          <w:rFonts w:cs="Arial"/>
          <w:b/>
          <w:bCs/>
          <w:sz w:val="20"/>
          <w:szCs w:val="20"/>
        </w:rPr>
      </w:pPr>
      <w:r w:rsidRPr="005B2362">
        <w:rPr>
          <w:rStyle w:val="EndnoteReference"/>
          <w:rFonts w:cs="Arial"/>
          <w:szCs w:val="20"/>
        </w:rPr>
        <w:endnoteRef/>
      </w:r>
      <w:r w:rsidRPr="005B2362">
        <w:rPr>
          <w:rFonts w:cs="Arial"/>
          <w:sz w:val="20"/>
          <w:szCs w:val="20"/>
        </w:rPr>
        <w:t xml:space="preserve"> Sara Grimes, ‘Persistent and emerging questions about the use of end-use license agreements in children’s online games and virtual world’ (2013) 46(3) </w:t>
      </w:r>
      <w:r w:rsidRPr="005B2362">
        <w:rPr>
          <w:rFonts w:cs="Arial"/>
          <w:i/>
          <w:sz w:val="20"/>
          <w:szCs w:val="20"/>
        </w:rPr>
        <w:t>UBC Law Review</w:t>
      </w:r>
      <w:r w:rsidRPr="005B2362">
        <w:rPr>
          <w:rFonts w:cs="Arial"/>
          <w:sz w:val="20"/>
          <w:szCs w:val="20"/>
        </w:rPr>
        <w:t xml:space="preserve">, 690; Sonia Livingstone, ‘Taking Risky Opportunities in Youthful Content Creation: Teenagers' Use of Social Networking Sites for Intimacy, Privacy and Self-Expression’ </w:t>
      </w:r>
      <w:r w:rsidRPr="005B2362">
        <w:rPr>
          <w:rFonts w:cs="Arial"/>
          <w:bCs/>
          <w:sz w:val="20"/>
          <w:szCs w:val="20"/>
        </w:rPr>
        <w:t xml:space="preserve">(2008) 10(3) </w:t>
      </w:r>
      <w:r w:rsidRPr="005B2362">
        <w:rPr>
          <w:rFonts w:cs="Arial"/>
          <w:i/>
          <w:sz w:val="20"/>
          <w:szCs w:val="20"/>
        </w:rPr>
        <w:t xml:space="preserve">New Media </w:t>
      </w:r>
      <w:r w:rsidRPr="005B2362">
        <w:rPr>
          <w:rFonts w:cs="Arial"/>
          <w:bCs/>
          <w:i/>
          <w:sz w:val="20"/>
          <w:szCs w:val="20"/>
        </w:rPr>
        <w:t xml:space="preserve">&amp; </w:t>
      </w:r>
      <w:r w:rsidRPr="005B2362">
        <w:rPr>
          <w:rFonts w:cs="Arial"/>
          <w:i/>
          <w:sz w:val="20"/>
          <w:szCs w:val="20"/>
        </w:rPr>
        <w:t>Society</w:t>
      </w:r>
      <w:r>
        <w:rPr>
          <w:rFonts w:cs="Arial"/>
          <w:i/>
          <w:sz w:val="20"/>
          <w:szCs w:val="20"/>
        </w:rPr>
        <w:t>,</w:t>
      </w:r>
      <w:r w:rsidRPr="005B2362">
        <w:rPr>
          <w:rFonts w:cs="Arial"/>
          <w:sz w:val="20"/>
          <w:szCs w:val="20"/>
        </w:rPr>
        <w:t xml:space="preserve"> </w:t>
      </w:r>
      <w:r w:rsidRPr="005B2362">
        <w:rPr>
          <w:rFonts w:cs="Arial"/>
          <w:bCs/>
          <w:sz w:val="20"/>
          <w:szCs w:val="20"/>
        </w:rPr>
        <w:t>393;</w:t>
      </w:r>
      <w:r w:rsidRPr="005B2362">
        <w:rPr>
          <w:rFonts w:cs="Arial"/>
          <w:b/>
          <w:bCs/>
          <w:sz w:val="20"/>
          <w:szCs w:val="20"/>
        </w:rPr>
        <w:t xml:space="preserve"> </w:t>
      </w:r>
      <w:r w:rsidRPr="005B2362">
        <w:rPr>
          <w:rFonts w:cs="Arial"/>
          <w:sz w:val="20"/>
          <w:szCs w:val="20"/>
        </w:rPr>
        <w:t xml:space="preserve">Joseph Turow, </w:t>
      </w:r>
      <w:r w:rsidRPr="005B2362">
        <w:rPr>
          <w:rFonts w:cs="Arial"/>
          <w:i/>
          <w:iCs/>
          <w:color w:val="101010"/>
          <w:sz w:val="20"/>
          <w:szCs w:val="20"/>
        </w:rPr>
        <w:t>Privacy policies on children’s websites: Do they play by the rules?</w:t>
      </w:r>
      <w:r w:rsidRPr="005B2362">
        <w:rPr>
          <w:rFonts w:cs="Arial"/>
          <w:iCs/>
          <w:color w:val="101010"/>
          <w:sz w:val="20"/>
          <w:szCs w:val="20"/>
        </w:rPr>
        <w:t xml:space="preserve"> (</w:t>
      </w:r>
      <w:r w:rsidRPr="005B2362">
        <w:rPr>
          <w:rFonts w:cs="Arial"/>
          <w:color w:val="101010"/>
          <w:sz w:val="20"/>
          <w:szCs w:val="20"/>
        </w:rPr>
        <w:t>Annenberg Public Policy Centre of the University of Pennsylvania,</w:t>
      </w:r>
      <w:r w:rsidRPr="005B2362">
        <w:rPr>
          <w:rFonts w:cs="Arial"/>
          <w:iCs/>
          <w:color w:val="101010"/>
          <w:sz w:val="20"/>
          <w:szCs w:val="20"/>
        </w:rPr>
        <w:t xml:space="preserve"> 2001).</w:t>
      </w:r>
    </w:p>
  </w:endnote>
  <w:endnote w:id="311">
    <w:p w14:paraId="5F09C324" w14:textId="77777777" w:rsidR="00F008D2" w:rsidRDefault="00F008D2" w:rsidP="00AA3994">
      <w:pPr>
        <w:pStyle w:val="EndnoteText"/>
      </w:pPr>
      <w:r>
        <w:rPr>
          <w:rStyle w:val="EndnoteReference"/>
        </w:rPr>
        <w:endnoteRef/>
      </w:r>
      <w:r>
        <w:t xml:space="preserve"> </w:t>
      </w:r>
      <w:r w:rsidRPr="005B2362">
        <w:rPr>
          <w:rFonts w:cs="Arial"/>
        </w:rPr>
        <w:t xml:space="preserve">Sara Grimes, ‘Persistent and emerging questions about the use of end-use license agreements in children’s online games and virtual world’ (2013) 46(3) </w:t>
      </w:r>
      <w:r w:rsidRPr="005B2362">
        <w:rPr>
          <w:rFonts w:cs="Arial"/>
          <w:i/>
        </w:rPr>
        <w:t>UBC Law Review</w:t>
      </w:r>
      <w:r w:rsidRPr="005B2362">
        <w:rPr>
          <w:rFonts w:cs="Arial"/>
        </w:rPr>
        <w:t>,</w:t>
      </w:r>
      <w:r>
        <w:rPr>
          <w:rFonts w:cs="Arial"/>
        </w:rPr>
        <w:t xml:space="preserve"> 710.</w:t>
      </w:r>
    </w:p>
  </w:endnote>
  <w:endnote w:id="312">
    <w:p w14:paraId="14903085"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4B373A">
        <w:rPr>
          <w:rFonts w:cs="Arial"/>
        </w:rPr>
        <w:t xml:space="preserve">Australian Government, Australian Communications &amp; Media Authority, </w:t>
      </w:r>
      <w:r>
        <w:rPr>
          <w:rFonts w:cs="Arial"/>
        </w:rPr>
        <w:t xml:space="preserve">Newspoll, </w:t>
      </w:r>
      <w:r w:rsidRPr="004B373A">
        <w:rPr>
          <w:rFonts w:cs="Arial"/>
          <w:i/>
        </w:rPr>
        <w:t>Like, post, share: Young Australi</w:t>
      </w:r>
      <w:r>
        <w:rPr>
          <w:rFonts w:cs="Arial"/>
          <w:i/>
        </w:rPr>
        <w:t>an’s experience of social media</w:t>
      </w:r>
      <w:r>
        <w:rPr>
          <w:rFonts w:cs="Arial"/>
        </w:rPr>
        <w:t xml:space="preserve"> (2012)</w:t>
      </w:r>
      <w:r w:rsidRPr="005B2362">
        <w:rPr>
          <w:rFonts w:cs="Arial"/>
        </w:rPr>
        <w:t xml:space="preserve"> 6</w:t>
      </w:r>
      <w:r>
        <w:rPr>
          <w:rFonts w:cs="Arial"/>
        </w:rPr>
        <w:t>.</w:t>
      </w:r>
      <w:r w:rsidRPr="005B2362">
        <w:rPr>
          <w:rFonts w:cs="Arial"/>
        </w:rPr>
        <w:t xml:space="preserve"> </w:t>
      </w:r>
    </w:p>
  </w:endnote>
  <w:endnote w:id="313">
    <w:p w14:paraId="7AA21C21"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C</w:t>
      </w:r>
      <w:r>
        <w:rPr>
          <w:rFonts w:cs="Arial"/>
        </w:rPr>
        <w:t xml:space="preserve">ommonwealth </w:t>
      </w:r>
      <w:r w:rsidRPr="005B2362">
        <w:rPr>
          <w:rFonts w:cs="Arial"/>
        </w:rPr>
        <w:t>C</w:t>
      </w:r>
      <w:r>
        <w:rPr>
          <w:rFonts w:cs="Arial"/>
        </w:rPr>
        <w:t xml:space="preserve">onsumer </w:t>
      </w:r>
      <w:r w:rsidRPr="005B2362">
        <w:rPr>
          <w:rFonts w:cs="Arial"/>
        </w:rPr>
        <w:t>A</w:t>
      </w:r>
      <w:r>
        <w:rPr>
          <w:rFonts w:cs="Arial"/>
        </w:rPr>
        <w:t xml:space="preserve">ffairs </w:t>
      </w:r>
      <w:r w:rsidRPr="005B2362">
        <w:rPr>
          <w:rFonts w:cs="Arial"/>
        </w:rPr>
        <w:t>A</w:t>
      </w:r>
      <w:r>
        <w:rPr>
          <w:rFonts w:cs="Arial"/>
        </w:rPr>
        <w:t xml:space="preserve">dvisory </w:t>
      </w:r>
      <w:r w:rsidRPr="005B2362">
        <w:rPr>
          <w:rFonts w:cs="Arial"/>
        </w:rPr>
        <w:t>C</w:t>
      </w:r>
      <w:r>
        <w:rPr>
          <w:rFonts w:cs="Arial"/>
        </w:rPr>
        <w:t>ouncil</w:t>
      </w:r>
      <w:r w:rsidRPr="005B2362">
        <w:rPr>
          <w:rFonts w:cs="Arial"/>
        </w:rPr>
        <w:t xml:space="preserve">, </w:t>
      </w:r>
      <w:r w:rsidRPr="005B2362">
        <w:rPr>
          <w:rFonts w:cs="Arial"/>
          <w:i/>
        </w:rPr>
        <w:t>App purchases by Australian consumers on mobile and handheld devices</w:t>
      </w:r>
      <w:r>
        <w:rPr>
          <w:rFonts w:cs="Arial"/>
        </w:rPr>
        <w:t xml:space="preserve">: </w:t>
      </w:r>
      <w:r w:rsidRPr="00B860A4">
        <w:rPr>
          <w:rFonts w:cs="Arial"/>
          <w:i/>
        </w:rPr>
        <w:t>Inquiry report</w:t>
      </w:r>
      <w:r w:rsidRPr="005B2362">
        <w:rPr>
          <w:rFonts w:cs="Arial"/>
        </w:rPr>
        <w:t xml:space="preserve"> </w:t>
      </w:r>
      <w:r>
        <w:rPr>
          <w:rFonts w:cs="Arial"/>
        </w:rPr>
        <w:t>(</w:t>
      </w:r>
      <w:r w:rsidRPr="005B2362">
        <w:rPr>
          <w:rFonts w:cs="Arial"/>
        </w:rPr>
        <w:t>2013</w:t>
      </w:r>
      <w:r>
        <w:rPr>
          <w:rFonts w:cs="Arial"/>
        </w:rPr>
        <w:t>)</w:t>
      </w:r>
      <w:r w:rsidRPr="005B2362">
        <w:rPr>
          <w:rFonts w:cs="Arial"/>
        </w:rPr>
        <w:t xml:space="preserve"> vii.</w:t>
      </w:r>
    </w:p>
  </w:endnote>
  <w:endnote w:id="314">
    <w:p w14:paraId="381E1892"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C</w:t>
      </w:r>
      <w:r>
        <w:rPr>
          <w:rFonts w:cs="Arial"/>
        </w:rPr>
        <w:t xml:space="preserve">ommonwealth </w:t>
      </w:r>
      <w:r w:rsidRPr="005B2362">
        <w:rPr>
          <w:rFonts w:cs="Arial"/>
        </w:rPr>
        <w:t>C</w:t>
      </w:r>
      <w:r>
        <w:rPr>
          <w:rFonts w:cs="Arial"/>
        </w:rPr>
        <w:t xml:space="preserve">onsumer </w:t>
      </w:r>
      <w:r w:rsidRPr="005B2362">
        <w:rPr>
          <w:rFonts w:cs="Arial"/>
        </w:rPr>
        <w:t>A</w:t>
      </w:r>
      <w:r>
        <w:rPr>
          <w:rFonts w:cs="Arial"/>
        </w:rPr>
        <w:t xml:space="preserve">ffairs </w:t>
      </w:r>
      <w:r w:rsidRPr="005B2362">
        <w:rPr>
          <w:rFonts w:cs="Arial"/>
        </w:rPr>
        <w:t>A</w:t>
      </w:r>
      <w:r>
        <w:rPr>
          <w:rFonts w:cs="Arial"/>
        </w:rPr>
        <w:t xml:space="preserve">dvisory </w:t>
      </w:r>
      <w:r w:rsidRPr="005B2362">
        <w:rPr>
          <w:rFonts w:cs="Arial"/>
        </w:rPr>
        <w:t>C</w:t>
      </w:r>
      <w:r>
        <w:rPr>
          <w:rFonts w:cs="Arial"/>
        </w:rPr>
        <w:t>ouncil</w:t>
      </w:r>
      <w:r w:rsidRPr="005B2362">
        <w:rPr>
          <w:rFonts w:cs="Arial"/>
        </w:rPr>
        <w:t xml:space="preserve">, </w:t>
      </w:r>
      <w:r w:rsidRPr="005B2362">
        <w:rPr>
          <w:rFonts w:cs="Arial"/>
          <w:i/>
        </w:rPr>
        <w:t>App purchases by Australian consumers on mobile and handheld devices</w:t>
      </w:r>
      <w:r>
        <w:rPr>
          <w:rFonts w:cs="Arial"/>
        </w:rPr>
        <w:t xml:space="preserve">: </w:t>
      </w:r>
      <w:r w:rsidRPr="00B860A4">
        <w:rPr>
          <w:rFonts w:cs="Arial"/>
          <w:i/>
        </w:rPr>
        <w:t>Inquiry report</w:t>
      </w:r>
      <w:r w:rsidRPr="005B2362">
        <w:rPr>
          <w:rFonts w:cs="Arial"/>
        </w:rPr>
        <w:t xml:space="preserve"> </w:t>
      </w:r>
      <w:r>
        <w:rPr>
          <w:rFonts w:cs="Arial"/>
        </w:rPr>
        <w:t>(</w:t>
      </w:r>
      <w:r w:rsidRPr="005B2362">
        <w:rPr>
          <w:rFonts w:cs="Arial"/>
        </w:rPr>
        <w:t>2013</w:t>
      </w:r>
      <w:r>
        <w:rPr>
          <w:rFonts w:cs="Arial"/>
        </w:rPr>
        <w:t>)</w:t>
      </w:r>
      <w:r w:rsidRPr="005B2362">
        <w:rPr>
          <w:rFonts w:cs="Arial"/>
        </w:rPr>
        <w:t xml:space="preserve"> 6.</w:t>
      </w:r>
    </w:p>
  </w:endnote>
  <w:endnote w:id="315">
    <w:p w14:paraId="75A1792B"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C</w:t>
      </w:r>
      <w:r>
        <w:rPr>
          <w:rFonts w:cs="Arial"/>
        </w:rPr>
        <w:t xml:space="preserve">ommonwealth </w:t>
      </w:r>
      <w:r w:rsidRPr="005B2362">
        <w:rPr>
          <w:rFonts w:cs="Arial"/>
        </w:rPr>
        <w:t>C</w:t>
      </w:r>
      <w:r>
        <w:rPr>
          <w:rFonts w:cs="Arial"/>
        </w:rPr>
        <w:t xml:space="preserve">onsumer </w:t>
      </w:r>
      <w:r w:rsidRPr="005B2362">
        <w:rPr>
          <w:rFonts w:cs="Arial"/>
        </w:rPr>
        <w:t>A</w:t>
      </w:r>
      <w:r>
        <w:rPr>
          <w:rFonts w:cs="Arial"/>
        </w:rPr>
        <w:t xml:space="preserve">ffairs </w:t>
      </w:r>
      <w:r w:rsidRPr="005B2362">
        <w:rPr>
          <w:rFonts w:cs="Arial"/>
        </w:rPr>
        <w:t>A</w:t>
      </w:r>
      <w:r>
        <w:rPr>
          <w:rFonts w:cs="Arial"/>
        </w:rPr>
        <w:t xml:space="preserve">dvisory </w:t>
      </w:r>
      <w:r w:rsidRPr="005B2362">
        <w:rPr>
          <w:rFonts w:cs="Arial"/>
        </w:rPr>
        <w:t>C</w:t>
      </w:r>
      <w:r>
        <w:rPr>
          <w:rFonts w:cs="Arial"/>
        </w:rPr>
        <w:t>ouncil</w:t>
      </w:r>
      <w:r w:rsidRPr="005B2362">
        <w:rPr>
          <w:rFonts w:cs="Arial"/>
        </w:rPr>
        <w:t xml:space="preserve">, </w:t>
      </w:r>
      <w:r w:rsidRPr="005B2362">
        <w:rPr>
          <w:rFonts w:cs="Arial"/>
          <w:i/>
        </w:rPr>
        <w:t>App purchases by Australian consumers on mobile and handheld devices</w:t>
      </w:r>
      <w:r>
        <w:rPr>
          <w:rFonts w:cs="Arial"/>
        </w:rPr>
        <w:t xml:space="preserve">: </w:t>
      </w:r>
      <w:r w:rsidRPr="00B860A4">
        <w:rPr>
          <w:rFonts w:cs="Arial"/>
          <w:i/>
        </w:rPr>
        <w:t>Inquiry report</w:t>
      </w:r>
      <w:r w:rsidRPr="005B2362">
        <w:rPr>
          <w:rFonts w:cs="Arial"/>
        </w:rPr>
        <w:t xml:space="preserve"> </w:t>
      </w:r>
      <w:r>
        <w:rPr>
          <w:rFonts w:cs="Arial"/>
        </w:rPr>
        <w:t>(</w:t>
      </w:r>
      <w:r w:rsidRPr="005B2362">
        <w:rPr>
          <w:rFonts w:cs="Arial"/>
        </w:rPr>
        <w:t>2013</w:t>
      </w:r>
      <w:r>
        <w:rPr>
          <w:rFonts w:cs="Arial"/>
        </w:rPr>
        <w:t>)</w:t>
      </w:r>
      <w:r w:rsidRPr="005B2362">
        <w:rPr>
          <w:rFonts w:cs="Arial"/>
        </w:rPr>
        <w:t xml:space="preserve"> vii.  </w:t>
      </w:r>
    </w:p>
  </w:endnote>
  <w:endnote w:id="316">
    <w:p w14:paraId="4EB2688C"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CHOICE, Submission to Commonwealth Consumer Affairs Advisory Council, </w:t>
      </w:r>
      <w:r w:rsidRPr="005B2362">
        <w:rPr>
          <w:rFonts w:cs="Arial"/>
          <w:i/>
        </w:rPr>
        <w:t>App purchases by Australian consumers on mobile and handheld devices</w:t>
      </w:r>
      <w:r>
        <w:rPr>
          <w:rFonts w:cs="Arial"/>
        </w:rPr>
        <w:t xml:space="preserve">: </w:t>
      </w:r>
      <w:r w:rsidRPr="00B860A4">
        <w:rPr>
          <w:rFonts w:cs="Arial"/>
          <w:i/>
        </w:rPr>
        <w:t>Inquiry report</w:t>
      </w:r>
      <w:r w:rsidRPr="005B2362">
        <w:rPr>
          <w:rFonts w:cs="Arial"/>
        </w:rPr>
        <w:t>, February 2013, 5.</w:t>
      </w:r>
    </w:p>
  </w:endnote>
  <w:endnote w:id="317">
    <w:p w14:paraId="2D619B80" w14:textId="77777777" w:rsidR="00F008D2" w:rsidRDefault="00F008D2" w:rsidP="00AA3994">
      <w:pPr>
        <w:pStyle w:val="EndnoteText"/>
      </w:pPr>
      <w:r>
        <w:rPr>
          <w:rStyle w:val="EndnoteReference"/>
        </w:rPr>
        <w:endnoteRef/>
      </w:r>
      <w:r>
        <w:t xml:space="preserve"> </w:t>
      </w:r>
      <w:r w:rsidRPr="005B2362">
        <w:rPr>
          <w:rFonts w:cs="Arial"/>
        </w:rPr>
        <w:t>C</w:t>
      </w:r>
      <w:r>
        <w:rPr>
          <w:rFonts w:cs="Arial"/>
        </w:rPr>
        <w:t xml:space="preserve">ommonwealth </w:t>
      </w:r>
      <w:r w:rsidRPr="005B2362">
        <w:rPr>
          <w:rFonts w:cs="Arial"/>
        </w:rPr>
        <w:t>C</w:t>
      </w:r>
      <w:r>
        <w:rPr>
          <w:rFonts w:cs="Arial"/>
        </w:rPr>
        <w:t xml:space="preserve">onsumer </w:t>
      </w:r>
      <w:r w:rsidRPr="005B2362">
        <w:rPr>
          <w:rFonts w:cs="Arial"/>
        </w:rPr>
        <w:t>A</w:t>
      </w:r>
      <w:r>
        <w:rPr>
          <w:rFonts w:cs="Arial"/>
        </w:rPr>
        <w:t xml:space="preserve">ffairs </w:t>
      </w:r>
      <w:r w:rsidRPr="005B2362">
        <w:rPr>
          <w:rFonts w:cs="Arial"/>
        </w:rPr>
        <w:t>A</w:t>
      </w:r>
      <w:r>
        <w:rPr>
          <w:rFonts w:cs="Arial"/>
        </w:rPr>
        <w:t xml:space="preserve">dvisory </w:t>
      </w:r>
      <w:r w:rsidRPr="005B2362">
        <w:rPr>
          <w:rFonts w:cs="Arial"/>
        </w:rPr>
        <w:t>C</w:t>
      </w:r>
      <w:r>
        <w:rPr>
          <w:rFonts w:cs="Arial"/>
        </w:rPr>
        <w:t>ouncil</w:t>
      </w:r>
      <w:r w:rsidRPr="005B2362">
        <w:rPr>
          <w:rFonts w:cs="Arial"/>
        </w:rPr>
        <w:t xml:space="preserve">, </w:t>
      </w:r>
      <w:r w:rsidRPr="005B2362">
        <w:rPr>
          <w:rFonts w:cs="Arial"/>
          <w:i/>
        </w:rPr>
        <w:t>App purchases by Australian consumers on mobile and handheld devices</w:t>
      </w:r>
      <w:r>
        <w:rPr>
          <w:rFonts w:cs="Arial"/>
        </w:rPr>
        <w:t xml:space="preserve">: </w:t>
      </w:r>
      <w:r w:rsidRPr="00B860A4">
        <w:rPr>
          <w:rFonts w:cs="Arial"/>
          <w:i/>
        </w:rPr>
        <w:t>Inquiry report</w:t>
      </w:r>
      <w:r w:rsidRPr="005B2362">
        <w:rPr>
          <w:rFonts w:cs="Arial"/>
        </w:rPr>
        <w:t xml:space="preserve"> </w:t>
      </w:r>
      <w:r>
        <w:rPr>
          <w:rFonts w:cs="Arial"/>
        </w:rPr>
        <w:t>(</w:t>
      </w:r>
      <w:r w:rsidRPr="005B2362">
        <w:rPr>
          <w:rFonts w:cs="Arial"/>
        </w:rPr>
        <w:t>2013</w:t>
      </w:r>
      <w:r>
        <w:rPr>
          <w:rFonts w:cs="Arial"/>
        </w:rPr>
        <w:t>) 16.</w:t>
      </w:r>
    </w:p>
  </w:endnote>
  <w:endnote w:id="318">
    <w:p w14:paraId="149752C5"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C</w:t>
      </w:r>
      <w:r>
        <w:rPr>
          <w:rFonts w:cs="Arial"/>
        </w:rPr>
        <w:t xml:space="preserve">ommonwealth </w:t>
      </w:r>
      <w:r w:rsidRPr="005B2362">
        <w:rPr>
          <w:rFonts w:cs="Arial"/>
        </w:rPr>
        <w:t>C</w:t>
      </w:r>
      <w:r>
        <w:rPr>
          <w:rFonts w:cs="Arial"/>
        </w:rPr>
        <w:t xml:space="preserve">onsumer </w:t>
      </w:r>
      <w:r w:rsidRPr="005B2362">
        <w:rPr>
          <w:rFonts w:cs="Arial"/>
        </w:rPr>
        <w:t>A</w:t>
      </w:r>
      <w:r>
        <w:rPr>
          <w:rFonts w:cs="Arial"/>
        </w:rPr>
        <w:t xml:space="preserve">ffairs </w:t>
      </w:r>
      <w:r w:rsidRPr="005B2362">
        <w:rPr>
          <w:rFonts w:cs="Arial"/>
        </w:rPr>
        <w:t>A</w:t>
      </w:r>
      <w:r>
        <w:rPr>
          <w:rFonts w:cs="Arial"/>
        </w:rPr>
        <w:t xml:space="preserve">dvisory </w:t>
      </w:r>
      <w:r w:rsidRPr="005B2362">
        <w:rPr>
          <w:rFonts w:cs="Arial"/>
        </w:rPr>
        <w:t>C</w:t>
      </w:r>
      <w:r>
        <w:rPr>
          <w:rFonts w:cs="Arial"/>
        </w:rPr>
        <w:t>ouncil</w:t>
      </w:r>
      <w:r w:rsidRPr="005B2362">
        <w:rPr>
          <w:rFonts w:cs="Arial"/>
        </w:rPr>
        <w:t xml:space="preserve">, </w:t>
      </w:r>
      <w:r w:rsidRPr="005B2362">
        <w:rPr>
          <w:rFonts w:cs="Arial"/>
          <w:i/>
        </w:rPr>
        <w:t>App purchases by Australian consumers on mobile and handheld devices</w:t>
      </w:r>
      <w:r>
        <w:rPr>
          <w:rFonts w:cs="Arial"/>
        </w:rPr>
        <w:t xml:space="preserve">: </w:t>
      </w:r>
      <w:r w:rsidRPr="00B860A4">
        <w:rPr>
          <w:rFonts w:cs="Arial"/>
          <w:i/>
        </w:rPr>
        <w:t>Inquiry report</w:t>
      </w:r>
      <w:r w:rsidRPr="005B2362">
        <w:rPr>
          <w:rFonts w:cs="Arial"/>
        </w:rPr>
        <w:t xml:space="preserve"> </w:t>
      </w:r>
      <w:r>
        <w:rPr>
          <w:rFonts w:cs="Arial"/>
        </w:rPr>
        <w:t>(</w:t>
      </w:r>
      <w:r w:rsidRPr="005B2362">
        <w:rPr>
          <w:rFonts w:cs="Arial"/>
        </w:rPr>
        <w:t>2013</w:t>
      </w:r>
      <w:r>
        <w:rPr>
          <w:rFonts w:cs="Arial"/>
        </w:rPr>
        <w:t>)</w:t>
      </w:r>
      <w:r w:rsidRPr="005B2362">
        <w:rPr>
          <w:rFonts w:cs="Arial"/>
        </w:rPr>
        <w:t xml:space="preserve"> 45.</w:t>
      </w:r>
    </w:p>
  </w:endnote>
  <w:endnote w:id="319">
    <w:p w14:paraId="0C4F1E2B"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C</w:t>
      </w:r>
      <w:r>
        <w:rPr>
          <w:rFonts w:cs="Arial"/>
        </w:rPr>
        <w:t xml:space="preserve">ommonwealth </w:t>
      </w:r>
      <w:r w:rsidRPr="005B2362">
        <w:rPr>
          <w:rFonts w:cs="Arial"/>
        </w:rPr>
        <w:t>C</w:t>
      </w:r>
      <w:r>
        <w:rPr>
          <w:rFonts w:cs="Arial"/>
        </w:rPr>
        <w:t xml:space="preserve">onsumer </w:t>
      </w:r>
      <w:r w:rsidRPr="005B2362">
        <w:rPr>
          <w:rFonts w:cs="Arial"/>
        </w:rPr>
        <w:t>A</w:t>
      </w:r>
      <w:r>
        <w:rPr>
          <w:rFonts w:cs="Arial"/>
        </w:rPr>
        <w:t xml:space="preserve">ffairs </w:t>
      </w:r>
      <w:r w:rsidRPr="005B2362">
        <w:rPr>
          <w:rFonts w:cs="Arial"/>
        </w:rPr>
        <w:t>A</w:t>
      </w:r>
      <w:r>
        <w:rPr>
          <w:rFonts w:cs="Arial"/>
        </w:rPr>
        <w:t xml:space="preserve">dvisory </w:t>
      </w:r>
      <w:r w:rsidRPr="005B2362">
        <w:rPr>
          <w:rFonts w:cs="Arial"/>
        </w:rPr>
        <w:t>C</w:t>
      </w:r>
      <w:r>
        <w:rPr>
          <w:rFonts w:cs="Arial"/>
        </w:rPr>
        <w:t>ouncil</w:t>
      </w:r>
      <w:r w:rsidRPr="005B2362">
        <w:rPr>
          <w:rFonts w:cs="Arial"/>
        </w:rPr>
        <w:t xml:space="preserve">, </w:t>
      </w:r>
      <w:r w:rsidRPr="005B2362">
        <w:rPr>
          <w:rFonts w:cs="Arial"/>
          <w:i/>
        </w:rPr>
        <w:t>App purchases by Australian consumers on mobile and handheld devices</w:t>
      </w:r>
      <w:r>
        <w:rPr>
          <w:rFonts w:cs="Arial"/>
        </w:rPr>
        <w:t xml:space="preserve">: </w:t>
      </w:r>
      <w:r w:rsidRPr="00B860A4">
        <w:rPr>
          <w:rFonts w:cs="Arial"/>
          <w:i/>
        </w:rPr>
        <w:t>Inquiry report</w:t>
      </w:r>
      <w:r w:rsidRPr="005B2362">
        <w:rPr>
          <w:rFonts w:cs="Arial"/>
        </w:rPr>
        <w:t xml:space="preserve"> </w:t>
      </w:r>
      <w:r>
        <w:rPr>
          <w:rFonts w:cs="Arial"/>
        </w:rPr>
        <w:t>(</w:t>
      </w:r>
      <w:r w:rsidRPr="005B2362">
        <w:rPr>
          <w:rFonts w:cs="Arial"/>
        </w:rPr>
        <w:t>2013</w:t>
      </w:r>
      <w:r>
        <w:rPr>
          <w:rFonts w:cs="Arial"/>
        </w:rPr>
        <w:t>)</w:t>
      </w:r>
      <w:r w:rsidRPr="005B2362">
        <w:rPr>
          <w:rFonts w:cs="Arial"/>
        </w:rPr>
        <w:t xml:space="preserve"> 45.</w:t>
      </w:r>
    </w:p>
  </w:endnote>
  <w:endnote w:id="320">
    <w:p w14:paraId="52451FDA"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C</w:t>
      </w:r>
      <w:r>
        <w:rPr>
          <w:rFonts w:cs="Arial"/>
        </w:rPr>
        <w:t xml:space="preserve">ommonwealth </w:t>
      </w:r>
      <w:r w:rsidRPr="005B2362">
        <w:rPr>
          <w:rFonts w:cs="Arial"/>
        </w:rPr>
        <w:t>C</w:t>
      </w:r>
      <w:r>
        <w:rPr>
          <w:rFonts w:cs="Arial"/>
        </w:rPr>
        <w:t xml:space="preserve">onsumer </w:t>
      </w:r>
      <w:r w:rsidRPr="005B2362">
        <w:rPr>
          <w:rFonts w:cs="Arial"/>
        </w:rPr>
        <w:t>A</w:t>
      </w:r>
      <w:r>
        <w:rPr>
          <w:rFonts w:cs="Arial"/>
        </w:rPr>
        <w:t xml:space="preserve">ffairs </w:t>
      </w:r>
      <w:r w:rsidRPr="005B2362">
        <w:rPr>
          <w:rFonts w:cs="Arial"/>
        </w:rPr>
        <w:t>A</w:t>
      </w:r>
      <w:r>
        <w:rPr>
          <w:rFonts w:cs="Arial"/>
        </w:rPr>
        <w:t xml:space="preserve">dvisory </w:t>
      </w:r>
      <w:r w:rsidRPr="005B2362">
        <w:rPr>
          <w:rFonts w:cs="Arial"/>
        </w:rPr>
        <w:t>C</w:t>
      </w:r>
      <w:r>
        <w:rPr>
          <w:rFonts w:cs="Arial"/>
        </w:rPr>
        <w:t>ouncil</w:t>
      </w:r>
      <w:r w:rsidRPr="005B2362">
        <w:rPr>
          <w:rFonts w:cs="Arial"/>
        </w:rPr>
        <w:t xml:space="preserve">, </w:t>
      </w:r>
      <w:r w:rsidRPr="005B2362">
        <w:rPr>
          <w:rFonts w:cs="Arial"/>
          <w:i/>
        </w:rPr>
        <w:t>App purchases by Australian consumers on mobile and handheld devices</w:t>
      </w:r>
      <w:r>
        <w:rPr>
          <w:rFonts w:cs="Arial"/>
        </w:rPr>
        <w:t xml:space="preserve">: </w:t>
      </w:r>
      <w:r w:rsidRPr="00B860A4">
        <w:rPr>
          <w:rFonts w:cs="Arial"/>
          <w:i/>
        </w:rPr>
        <w:t>Inquiry report</w:t>
      </w:r>
      <w:r w:rsidRPr="005B2362">
        <w:rPr>
          <w:rFonts w:cs="Arial"/>
        </w:rPr>
        <w:t xml:space="preserve"> </w:t>
      </w:r>
      <w:r>
        <w:rPr>
          <w:rFonts w:cs="Arial"/>
        </w:rPr>
        <w:t>(</w:t>
      </w:r>
      <w:r w:rsidRPr="005B2362">
        <w:rPr>
          <w:rFonts w:cs="Arial"/>
        </w:rPr>
        <w:t>2013</w:t>
      </w:r>
      <w:r>
        <w:rPr>
          <w:rFonts w:cs="Arial"/>
        </w:rPr>
        <w:t>)</w:t>
      </w:r>
      <w:r w:rsidRPr="005B2362">
        <w:rPr>
          <w:rFonts w:cs="Arial"/>
        </w:rPr>
        <w:t xml:space="preserve"> 45.</w:t>
      </w:r>
    </w:p>
  </w:endnote>
  <w:endnote w:id="321">
    <w:p w14:paraId="40E3CBEE"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UNICEF, Save the Children, Global Compact, </w:t>
      </w:r>
      <w:r w:rsidRPr="005B2362">
        <w:rPr>
          <w:rFonts w:cs="Arial"/>
          <w:i/>
        </w:rPr>
        <w:t>How Business Affects Us: Children and young people share their perspectives on how business impacts on their lives and communities</w:t>
      </w:r>
      <w:r w:rsidRPr="005B2362">
        <w:rPr>
          <w:rFonts w:cs="Arial"/>
        </w:rPr>
        <w:t xml:space="preserve"> (2011) 12. </w:t>
      </w:r>
    </w:p>
  </w:endnote>
  <w:endnote w:id="322">
    <w:p w14:paraId="7E134C37"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Amandine Garde, ‘Advertising Regulation and Protection of Children-Consumers in the European Union: In the Best Interest of...Commercial Operators?’ (2011) 19 </w:t>
      </w:r>
      <w:r w:rsidRPr="005B2362">
        <w:rPr>
          <w:rFonts w:cs="Arial"/>
          <w:i/>
        </w:rPr>
        <w:t>International Journal of Children’s Rights</w:t>
      </w:r>
      <w:r w:rsidRPr="005B2362">
        <w:rPr>
          <w:rFonts w:cs="Arial"/>
        </w:rPr>
        <w:t>, 536.</w:t>
      </w:r>
    </w:p>
  </w:endnote>
  <w:endnote w:id="323">
    <w:p w14:paraId="455FC341"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Amandine Garde, ‘Advertising Regulation and Protection of Children-Consumers in the European Union: In the Best Interest of...Commercial Operators?’ (2011) 19 </w:t>
      </w:r>
      <w:r w:rsidRPr="005B2362">
        <w:rPr>
          <w:rFonts w:cs="Arial"/>
          <w:i/>
        </w:rPr>
        <w:t>International Journal of Children’s Rights</w:t>
      </w:r>
      <w:r>
        <w:rPr>
          <w:rFonts w:cs="Arial"/>
        </w:rPr>
        <w:t>,</w:t>
      </w:r>
      <w:r w:rsidRPr="005B2362">
        <w:rPr>
          <w:rFonts w:cs="Arial"/>
          <w:i/>
        </w:rPr>
        <w:t xml:space="preserve"> </w:t>
      </w:r>
      <w:r w:rsidRPr="005B2362">
        <w:rPr>
          <w:rFonts w:cs="Arial"/>
        </w:rPr>
        <w:t>536.</w:t>
      </w:r>
    </w:p>
  </w:endnote>
  <w:endnote w:id="324">
    <w:p w14:paraId="05D27666"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Amandine Garde, ‘Advertising Regulation and Protection of Children-Consumers in the European Union: In the Best Interest of...Commercial Operators?’ (2011) 19 </w:t>
      </w:r>
      <w:r w:rsidRPr="005B2362">
        <w:rPr>
          <w:rFonts w:cs="Arial"/>
          <w:i/>
        </w:rPr>
        <w:t>International Journal of Children’s Rights</w:t>
      </w:r>
      <w:r>
        <w:rPr>
          <w:rFonts w:cs="Arial"/>
        </w:rPr>
        <w:t xml:space="preserve">, </w:t>
      </w:r>
      <w:r w:rsidRPr="005B2362">
        <w:rPr>
          <w:rFonts w:cs="Arial"/>
        </w:rPr>
        <w:t xml:space="preserve">537; Corinna Hawkes, ‘Self-Regulation of food advertising: What it can, could and cannot do to discourage unhealthy eating habits among children’ (2005) 30 </w:t>
      </w:r>
      <w:r w:rsidRPr="005B2362">
        <w:rPr>
          <w:rFonts w:cs="Arial"/>
          <w:i/>
        </w:rPr>
        <w:t>British Nutrition Foundation Bulletin</w:t>
      </w:r>
      <w:r w:rsidRPr="005B2362">
        <w:rPr>
          <w:rFonts w:cs="Arial"/>
        </w:rPr>
        <w:t>, 380.</w:t>
      </w:r>
    </w:p>
  </w:endnote>
  <w:endnote w:id="325">
    <w:p w14:paraId="7614DC1A"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Amandine Garde, ‘Advertising Regulation and Protection of Children-Consumers in the European Union: In the Best Interest of...Commercial Operators?’ (2011) 19 </w:t>
      </w:r>
      <w:r w:rsidRPr="005B2362">
        <w:rPr>
          <w:rFonts w:cs="Arial"/>
          <w:i/>
        </w:rPr>
        <w:t>International Journal of Children’s Rights</w:t>
      </w:r>
      <w:r w:rsidRPr="005B2362">
        <w:rPr>
          <w:rFonts w:cs="Arial"/>
        </w:rPr>
        <w:t xml:space="preserve">, 537; Corinna Hawkes, ‘Self-Regulation of food advertising: What it can, could and cannot do to discourage unhealthy eating habits among children’ (2005) 30 </w:t>
      </w:r>
      <w:r w:rsidRPr="005B2362">
        <w:rPr>
          <w:rFonts w:cs="Arial"/>
          <w:i/>
        </w:rPr>
        <w:t>British Nutrition Foundation Bulletin</w:t>
      </w:r>
      <w:r w:rsidRPr="005B2362">
        <w:rPr>
          <w:rFonts w:cs="Arial"/>
        </w:rPr>
        <w:t>, 380.</w:t>
      </w:r>
    </w:p>
  </w:endnote>
  <w:endnote w:id="326">
    <w:p w14:paraId="194CC25D"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Amandine Garde, ‘Advertising Regulation and Protection of Children-Consumers in the European Union: In the Best Interest of...Commercial Operators?’ (2011) 19 </w:t>
      </w:r>
      <w:r w:rsidRPr="005B2362">
        <w:rPr>
          <w:rFonts w:cs="Arial"/>
          <w:i/>
        </w:rPr>
        <w:t>International Journal of Children’s Rights</w:t>
      </w:r>
      <w:r>
        <w:rPr>
          <w:rFonts w:cs="Arial"/>
        </w:rPr>
        <w:t xml:space="preserve">, </w:t>
      </w:r>
      <w:r w:rsidRPr="005B2362">
        <w:rPr>
          <w:rFonts w:cs="Arial"/>
        </w:rPr>
        <w:t xml:space="preserve">537; Corinna Hawkes, ‘Self-Regulation of food advertising: What it can, could and cannot do to discourage unhealthy eating habits among children’ (2005) 30 </w:t>
      </w:r>
      <w:r w:rsidRPr="005B2362">
        <w:rPr>
          <w:rFonts w:cs="Arial"/>
          <w:i/>
        </w:rPr>
        <w:t>British Nutrition Foundation Bulletin</w:t>
      </w:r>
      <w:r>
        <w:rPr>
          <w:rFonts w:cs="Arial"/>
          <w:i/>
        </w:rPr>
        <w:t>,</w:t>
      </w:r>
      <w:r w:rsidRPr="005B2362">
        <w:rPr>
          <w:rFonts w:cs="Arial"/>
          <w:i/>
        </w:rPr>
        <w:t xml:space="preserve"> </w:t>
      </w:r>
      <w:r w:rsidRPr="005B2362">
        <w:rPr>
          <w:rFonts w:cs="Arial"/>
        </w:rPr>
        <w:t>374.</w:t>
      </w:r>
    </w:p>
  </w:endnote>
  <w:endnote w:id="327">
    <w:p w14:paraId="30C9396F"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Amandine Garde, ‘Advertising Regulation and Protection of Children-Consumers in the European Union: In the Best Interest of...Commercial Operators?’ (2011) 19 </w:t>
      </w:r>
      <w:r w:rsidRPr="005B2362">
        <w:rPr>
          <w:rFonts w:cs="Arial"/>
          <w:i/>
        </w:rPr>
        <w:t>International Journal of Children’s Rights</w:t>
      </w:r>
      <w:r>
        <w:rPr>
          <w:rFonts w:cs="Arial"/>
        </w:rPr>
        <w:t xml:space="preserve">, </w:t>
      </w:r>
      <w:r w:rsidRPr="005B2362">
        <w:rPr>
          <w:rFonts w:cs="Arial"/>
        </w:rPr>
        <w:t>537.</w:t>
      </w:r>
    </w:p>
  </w:endnote>
  <w:endnote w:id="328">
    <w:p w14:paraId="32AD3463"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Amandine Garde, ‘Advertising Regulation and Protection of Children-Consumers in the European Union: In the Best Interest of...Commercial Operators?’ (2011) 19 </w:t>
      </w:r>
      <w:r w:rsidRPr="005B2362">
        <w:rPr>
          <w:rFonts w:cs="Arial"/>
          <w:i/>
        </w:rPr>
        <w:t>International Journal of Children’s Rights</w:t>
      </w:r>
      <w:r>
        <w:rPr>
          <w:rFonts w:cs="Arial"/>
        </w:rPr>
        <w:t xml:space="preserve">, </w:t>
      </w:r>
      <w:r w:rsidRPr="005B2362">
        <w:rPr>
          <w:rFonts w:cs="Arial"/>
        </w:rPr>
        <w:t>537.</w:t>
      </w:r>
    </w:p>
  </w:endnote>
  <w:endnote w:id="329">
    <w:p w14:paraId="39BF845F"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Amandine Garde, ‘Advertising Regulation and Protection of Children-Consumers in the European Union: In the Best Interest of...Commercial Operators?’ (2011) 19 </w:t>
      </w:r>
      <w:r w:rsidRPr="005B2362">
        <w:rPr>
          <w:rFonts w:cs="Arial"/>
          <w:i/>
        </w:rPr>
        <w:t>International Journal of Children’s Rights</w:t>
      </w:r>
      <w:r>
        <w:rPr>
          <w:rFonts w:cs="Arial"/>
        </w:rPr>
        <w:t xml:space="preserve">, </w:t>
      </w:r>
      <w:r w:rsidRPr="005B2362">
        <w:rPr>
          <w:rFonts w:cs="Arial"/>
        </w:rPr>
        <w:t>537-538.</w:t>
      </w:r>
    </w:p>
  </w:endnote>
  <w:endnote w:id="330">
    <w:p w14:paraId="0345F227"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Grace Chung and Sara Grimes, ‘Data Mining the Kids: Surveillance and Market research Strategies in Children’s Online Games’ (2005) 30 </w:t>
      </w:r>
      <w:r w:rsidRPr="005B2362">
        <w:rPr>
          <w:rFonts w:cs="Arial"/>
          <w:i/>
        </w:rPr>
        <w:t>Canadian Journal of Communication</w:t>
      </w:r>
      <w:r>
        <w:rPr>
          <w:rFonts w:cs="Arial"/>
        </w:rPr>
        <w:t>,</w:t>
      </w:r>
      <w:r w:rsidRPr="005B2362">
        <w:rPr>
          <w:rFonts w:cs="Arial"/>
        </w:rPr>
        <w:t xml:space="preserve"> 543. </w:t>
      </w:r>
    </w:p>
  </w:endnote>
  <w:endnote w:id="331">
    <w:p w14:paraId="2D677A24"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Grace Chung and Sara Grimes, ‘Data Mining the Kids: Surveillance and Market research Strategies in Children’s Online Games’ (2005) 30 </w:t>
      </w:r>
      <w:r w:rsidRPr="005B2362">
        <w:rPr>
          <w:rFonts w:cs="Arial"/>
          <w:i/>
        </w:rPr>
        <w:t>Canadian Journal of Communication</w:t>
      </w:r>
      <w:r>
        <w:rPr>
          <w:rFonts w:cs="Arial"/>
        </w:rPr>
        <w:t>,</w:t>
      </w:r>
      <w:r w:rsidRPr="005B2362">
        <w:rPr>
          <w:rFonts w:cs="Arial"/>
        </w:rPr>
        <w:t xml:space="preserve"> 543.</w:t>
      </w:r>
    </w:p>
  </w:endnote>
  <w:endnote w:id="332">
    <w:p w14:paraId="75C584DA"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Grace Chung and Sara Grimes, ‘Data Mining the Kids: Surveillance and Market research Strategies in Children’s Online Games’ (2005) 30 </w:t>
      </w:r>
      <w:r w:rsidRPr="005B2362">
        <w:rPr>
          <w:rFonts w:cs="Arial"/>
          <w:i/>
        </w:rPr>
        <w:t>Canadian Journal of Communication</w:t>
      </w:r>
      <w:r>
        <w:rPr>
          <w:rFonts w:cs="Arial"/>
        </w:rPr>
        <w:t>,</w:t>
      </w:r>
      <w:r w:rsidRPr="005B2362">
        <w:rPr>
          <w:rFonts w:cs="Arial"/>
        </w:rPr>
        <w:t xml:space="preserve"> 543.</w:t>
      </w:r>
    </w:p>
  </w:endnote>
  <w:endnote w:id="333">
    <w:p w14:paraId="3586A4DE"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Grace Chung and Sara Grimes, ‘Data Mining the Kids: Surveillance and Market research Strategies in Children’s Online Games’ (2005) 30 </w:t>
      </w:r>
      <w:r w:rsidRPr="005B2362">
        <w:rPr>
          <w:rFonts w:cs="Arial"/>
          <w:i/>
        </w:rPr>
        <w:t>Canadian Journal of Communication</w:t>
      </w:r>
      <w:r>
        <w:rPr>
          <w:rFonts w:cs="Arial"/>
        </w:rPr>
        <w:t>,</w:t>
      </w:r>
      <w:r w:rsidRPr="005B2362">
        <w:rPr>
          <w:rFonts w:cs="Arial"/>
        </w:rPr>
        <w:t xml:space="preserve"> 543.</w:t>
      </w:r>
    </w:p>
  </w:endnote>
  <w:endnote w:id="334">
    <w:p w14:paraId="096FB44A"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Grace Chung and Sara Grimes, ‘Data Mining the Kids: Surveillance and Market research Strategies in Children’s Online Games’ (2005) 30 </w:t>
      </w:r>
      <w:r w:rsidRPr="005B2362">
        <w:rPr>
          <w:rFonts w:cs="Arial"/>
          <w:i/>
        </w:rPr>
        <w:t>Canadian Journal of Communication</w:t>
      </w:r>
      <w:r>
        <w:rPr>
          <w:rFonts w:cs="Arial"/>
        </w:rPr>
        <w:t>,</w:t>
      </w:r>
      <w:r w:rsidRPr="005B2362">
        <w:rPr>
          <w:rFonts w:cs="Arial"/>
        </w:rPr>
        <w:t xml:space="preserve"> 534; See </w:t>
      </w:r>
      <w:r w:rsidRPr="005B2362">
        <w:rPr>
          <w:rFonts w:cs="Arial"/>
          <w:i/>
        </w:rPr>
        <w:t xml:space="preserve">Children’s Online Privacy Protection Act of 1998, </w:t>
      </w:r>
      <w:r w:rsidRPr="00507907">
        <w:rPr>
          <w:rFonts w:cs="Arial"/>
        </w:rPr>
        <w:t>15 USC §§ 6501</w:t>
      </w:r>
      <w:r w:rsidRPr="005B2362">
        <w:rPr>
          <w:rFonts w:cs="Arial"/>
        </w:rPr>
        <w:t>-6506 (1998).</w:t>
      </w:r>
    </w:p>
  </w:endnote>
  <w:endnote w:id="335">
    <w:p w14:paraId="1D6433FB"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w:t>
      </w:r>
      <w:r w:rsidRPr="005B2362">
        <w:rPr>
          <w:rFonts w:cs="Arial"/>
          <w:i/>
        </w:rPr>
        <w:t xml:space="preserve">Children’s Online Privacy Protection Act of 1998, </w:t>
      </w:r>
      <w:r w:rsidRPr="005B2362">
        <w:rPr>
          <w:rFonts w:cs="Arial"/>
        </w:rPr>
        <w:t>15 USC § 6502(b)(1)(A) (1998).</w:t>
      </w:r>
    </w:p>
  </w:endnote>
  <w:endnote w:id="336">
    <w:p w14:paraId="282AE765"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Grace Chung and Sara Grimes, ‘Data Mining the Kids: Surveillance and Market research Strategies in Children’s Online Games’ (2005) 30 </w:t>
      </w:r>
      <w:r w:rsidRPr="005B2362">
        <w:rPr>
          <w:rFonts w:cs="Arial"/>
          <w:i/>
        </w:rPr>
        <w:t>Canadian Journal of Communication</w:t>
      </w:r>
      <w:r>
        <w:rPr>
          <w:rFonts w:cs="Arial"/>
        </w:rPr>
        <w:t>,</w:t>
      </w:r>
      <w:r w:rsidRPr="005B2362">
        <w:rPr>
          <w:rFonts w:cs="Arial"/>
        </w:rPr>
        <w:t xml:space="preserve"> 534; </w:t>
      </w:r>
      <w:r w:rsidRPr="005B2362">
        <w:rPr>
          <w:rFonts w:cs="Arial"/>
          <w:i/>
        </w:rPr>
        <w:t xml:space="preserve">Children’s Online Privacy Protection Act of 1998, </w:t>
      </w:r>
      <w:r w:rsidRPr="005B2362">
        <w:rPr>
          <w:rFonts w:cs="Arial"/>
        </w:rPr>
        <w:t xml:space="preserve">15 USC </w:t>
      </w:r>
      <w:r w:rsidRPr="0094062F">
        <w:rPr>
          <w:rFonts w:cs="Arial"/>
        </w:rPr>
        <w:t>§</w:t>
      </w:r>
      <w:r w:rsidRPr="005B2362">
        <w:rPr>
          <w:rFonts w:cs="Arial"/>
        </w:rPr>
        <w:t xml:space="preserve"> 6502(b)(1)(B) (1998).</w:t>
      </w:r>
    </w:p>
  </w:endnote>
  <w:endnote w:id="337">
    <w:p w14:paraId="10FBE4E9" w14:textId="77777777" w:rsidR="00F008D2" w:rsidRDefault="00F008D2" w:rsidP="00AA3994">
      <w:pPr>
        <w:pStyle w:val="EndnoteText"/>
      </w:pPr>
      <w:r>
        <w:rPr>
          <w:rStyle w:val="EndnoteReference"/>
        </w:rPr>
        <w:endnoteRef/>
      </w:r>
      <w:r>
        <w:t xml:space="preserve"> </w:t>
      </w:r>
      <w:r w:rsidRPr="00A45DF8">
        <w:rPr>
          <w:rStyle w:val="Hyperlink"/>
          <w:rFonts w:cs="Arial"/>
          <w:i/>
          <w:color w:val="auto"/>
          <w:u w:val="none"/>
        </w:rPr>
        <w:t xml:space="preserve">Draft </w:t>
      </w:r>
      <w:r w:rsidRPr="00A45DF8">
        <w:rPr>
          <w:rFonts w:cs="Arial"/>
          <w:i/>
        </w:rPr>
        <w:t>General Data Protection Regulation 2012</w:t>
      </w:r>
      <w:r w:rsidRPr="00A45DF8">
        <w:rPr>
          <w:rFonts w:cs="Arial"/>
        </w:rPr>
        <w:t xml:space="preserve"> (EU) articles 7, 8 (not yet in force).</w:t>
      </w:r>
    </w:p>
  </w:endnote>
  <w:endnote w:id="338">
    <w:p w14:paraId="2A89829B" w14:textId="77777777" w:rsidR="00F008D2" w:rsidRPr="00EF7A3C" w:rsidRDefault="00F008D2" w:rsidP="00AA3994">
      <w:pPr>
        <w:pStyle w:val="EndnoteText"/>
        <w:rPr>
          <w:rFonts w:cs="Arial"/>
        </w:rPr>
      </w:pPr>
      <w:r>
        <w:rPr>
          <w:rStyle w:val="EndnoteReference"/>
        </w:rPr>
        <w:endnoteRef/>
      </w:r>
      <w:r>
        <w:t xml:space="preserve"> </w:t>
      </w:r>
      <w:r w:rsidRPr="00A45DF8">
        <w:rPr>
          <w:rStyle w:val="Hyperlink"/>
          <w:rFonts w:cs="Arial"/>
          <w:i/>
          <w:color w:val="auto"/>
          <w:u w:val="none"/>
        </w:rPr>
        <w:t xml:space="preserve">Draft </w:t>
      </w:r>
      <w:r w:rsidRPr="00A45DF8">
        <w:rPr>
          <w:rFonts w:cs="Arial"/>
          <w:i/>
        </w:rPr>
        <w:t>General Data Protection Regulation 2012</w:t>
      </w:r>
      <w:r w:rsidRPr="00A45DF8">
        <w:rPr>
          <w:rFonts w:cs="Arial"/>
        </w:rPr>
        <w:t xml:space="preserve"> (EU) articles 7, 8 (not yet in force).</w:t>
      </w:r>
    </w:p>
  </w:endnote>
  <w:endnote w:id="339">
    <w:p w14:paraId="7864447B" w14:textId="77777777" w:rsidR="00F008D2" w:rsidRDefault="00F008D2" w:rsidP="00AA3994">
      <w:pPr>
        <w:pStyle w:val="EndnoteText"/>
      </w:pPr>
      <w:r>
        <w:rPr>
          <w:rStyle w:val="EndnoteReference"/>
        </w:rPr>
        <w:endnoteRef/>
      </w:r>
      <w:r>
        <w:t xml:space="preserve"> </w:t>
      </w:r>
      <w:r w:rsidRPr="00A45DF8">
        <w:rPr>
          <w:rFonts w:cs="Arial"/>
        </w:rPr>
        <w:t>The Hong Kong Office of the Privacy Commissioner for Personal Data issued a guidance note in April 2014 in relation to the collection of personal over the Internet. It notes that organisations should take special care, use simple language and encourage childre</w:t>
      </w:r>
      <w:r>
        <w:rPr>
          <w:rFonts w:cs="Arial"/>
        </w:rPr>
        <w:t>n to consult with their parents</w:t>
      </w:r>
      <w:r w:rsidRPr="00A45DF8">
        <w:rPr>
          <w:rFonts w:cs="Arial"/>
        </w:rPr>
        <w:t xml:space="preserve"> when collecting the personal data of children. See </w:t>
      </w:r>
      <w:r w:rsidRPr="00A45DF8">
        <w:rPr>
          <w:rStyle w:val="selectable"/>
          <w:rFonts w:cs="Arial"/>
          <w:color w:val="000000"/>
          <w:lang w:val="en"/>
        </w:rPr>
        <w:t>Office of the Privacy Commissioner for Personal Data, Hong Kong, 'Guidance For Data Users On The Collection And Use Of Personal Data Through The Internet' (2014).</w:t>
      </w:r>
    </w:p>
  </w:endnote>
  <w:endnote w:id="340">
    <w:p w14:paraId="39A40A29" w14:textId="77777777" w:rsidR="00F008D2" w:rsidRDefault="00F008D2" w:rsidP="00AA3994">
      <w:pPr>
        <w:pStyle w:val="EndnoteText"/>
      </w:pPr>
      <w:r>
        <w:rPr>
          <w:rStyle w:val="EndnoteReference"/>
        </w:rPr>
        <w:endnoteRef/>
      </w:r>
      <w:r>
        <w:t xml:space="preserve"> </w:t>
      </w:r>
      <w:r w:rsidRPr="00A45DF8">
        <w:rPr>
          <w:rFonts w:cs="Arial"/>
        </w:rPr>
        <w:t xml:space="preserve">See </w:t>
      </w:r>
      <w:r w:rsidRPr="00A45DF8">
        <w:rPr>
          <w:rFonts w:cs="Arial"/>
          <w:i/>
          <w:color w:val="363336"/>
          <w:lang w:val="en-US"/>
        </w:rPr>
        <w:t>Personal Data Protection Act</w:t>
      </w:r>
      <w:r w:rsidRPr="00A45DF8">
        <w:rPr>
          <w:rFonts w:cs="Arial"/>
          <w:color w:val="363336"/>
          <w:lang w:val="en-US"/>
        </w:rPr>
        <w:t xml:space="preserve"> 2012 (Singapore);</w:t>
      </w:r>
      <w:r w:rsidRPr="00A45DF8">
        <w:rPr>
          <w:rFonts w:cs="Arial"/>
        </w:rPr>
        <w:t xml:space="preserve"> </w:t>
      </w:r>
      <w:r w:rsidRPr="00A45DF8">
        <w:rPr>
          <w:rFonts w:cs="Arial"/>
          <w:i/>
        </w:rPr>
        <w:t xml:space="preserve">Personal Data (Privacy) Ordinance </w:t>
      </w:r>
      <w:r w:rsidRPr="00A45DF8">
        <w:rPr>
          <w:rFonts w:cs="Arial"/>
        </w:rPr>
        <w:t xml:space="preserve">2005 (Hong Kong); </w:t>
      </w:r>
      <w:r w:rsidRPr="00A45DF8">
        <w:rPr>
          <w:rFonts w:cs="Arial"/>
          <w:i/>
        </w:rPr>
        <w:t xml:space="preserve">Privacy Act </w:t>
      </w:r>
      <w:r w:rsidRPr="00A45DF8">
        <w:rPr>
          <w:rFonts w:cs="Arial"/>
        </w:rPr>
        <w:t xml:space="preserve">1993 (NZ); </w:t>
      </w:r>
      <w:r w:rsidRPr="00A45DF8">
        <w:rPr>
          <w:rFonts w:cs="Arial"/>
          <w:i/>
        </w:rPr>
        <w:t>Personal Information Protection and Electronic Document Act</w:t>
      </w:r>
      <w:r w:rsidRPr="00A45DF8">
        <w:rPr>
          <w:rFonts w:cs="Arial"/>
        </w:rPr>
        <w:t xml:space="preserve"> 2000 (Canada).</w:t>
      </w:r>
    </w:p>
  </w:endnote>
  <w:endnote w:id="341">
    <w:p w14:paraId="65269AE3"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Tara Collins, </w:t>
      </w:r>
      <w:r>
        <w:rPr>
          <w:rFonts w:cs="Arial"/>
        </w:rPr>
        <w:t>‘</w:t>
      </w:r>
      <w:r w:rsidRPr="005B2362">
        <w:rPr>
          <w:rFonts w:cs="Arial"/>
        </w:rPr>
        <w:t xml:space="preserve">The relationship between children’s rights and business’ (2014) 18(6) </w:t>
      </w:r>
      <w:r w:rsidRPr="005B2362">
        <w:rPr>
          <w:rFonts w:cs="Arial"/>
          <w:i/>
        </w:rPr>
        <w:t>The International Journal of Human Rights</w:t>
      </w:r>
      <w:r>
        <w:rPr>
          <w:rFonts w:cs="Arial"/>
        </w:rPr>
        <w:t>,</w:t>
      </w:r>
      <w:r w:rsidRPr="005B2362">
        <w:rPr>
          <w:rFonts w:cs="Arial"/>
        </w:rPr>
        <w:t xml:space="preserve"> 606; UNICEF, Child and Youth Finance International, </w:t>
      </w:r>
      <w:r w:rsidRPr="005B2362">
        <w:rPr>
          <w:rFonts w:cs="Arial"/>
          <w:i/>
        </w:rPr>
        <w:t xml:space="preserve">Beyond the Promotional Piggybank: Towards Children as Stakeholders </w:t>
      </w:r>
      <w:r w:rsidRPr="005B2362">
        <w:rPr>
          <w:rFonts w:cs="Arial"/>
        </w:rPr>
        <w:t>(2013)</w:t>
      </w:r>
      <w:r>
        <w:rPr>
          <w:rFonts w:cs="Arial"/>
        </w:rPr>
        <w:t>.</w:t>
      </w:r>
    </w:p>
  </w:endnote>
  <w:endnote w:id="342">
    <w:p w14:paraId="1510E80F" w14:textId="77777777" w:rsidR="00F008D2" w:rsidRPr="005B2362" w:rsidRDefault="00F008D2" w:rsidP="00AA3994">
      <w:pPr>
        <w:pStyle w:val="EndnoteText"/>
        <w:rPr>
          <w:rFonts w:cs="Arial"/>
        </w:rPr>
      </w:pPr>
      <w:r w:rsidRPr="005B2362">
        <w:rPr>
          <w:rStyle w:val="EndnoteReference"/>
          <w:rFonts w:cs="Arial"/>
        </w:rPr>
        <w:endnoteRef/>
      </w:r>
      <w:r w:rsidRPr="005B2362">
        <w:rPr>
          <w:rFonts w:cs="Arial"/>
        </w:rPr>
        <w:t xml:space="preserve"> Eva Lievens, ‘Risk-reducing regulatory strategies for protecting minors in social networks’ (2011) 13(6) </w:t>
      </w:r>
      <w:r w:rsidRPr="005B2362">
        <w:rPr>
          <w:rFonts w:cs="Arial"/>
          <w:i/>
        </w:rPr>
        <w:t>Info</w:t>
      </w:r>
      <w:r w:rsidRPr="005B2362">
        <w:rPr>
          <w:rFonts w:cs="Arial"/>
        </w:rPr>
        <w:t>, 48; Vivienne Reading, ‘Think before you post! How to make social networking sites safer for children and teenagers?’ (Speech delivered at Safer Internet Day, Strasbourg, 9 February 2010) &lt;</w:t>
      </w:r>
      <w:hyperlink r:id="rId110" w:history="1">
        <w:r w:rsidRPr="00C76F3E">
          <w:rPr>
            <w:rStyle w:val="Hyperlink"/>
            <w:rFonts w:cs="Arial"/>
          </w:rPr>
          <w:t>http://europa.eu/rapid/press-release_SPEECH-10-22_en.pdf</w:t>
        </w:r>
      </w:hyperlink>
      <w:r w:rsidRPr="005B2362">
        <w:rPr>
          <w:rFonts w:cs="Arial"/>
        </w:rPr>
        <w:t xml:space="preserve">&gt;. </w:t>
      </w:r>
    </w:p>
  </w:endnote>
  <w:endnote w:id="343">
    <w:p w14:paraId="44A34903" w14:textId="77777777" w:rsidR="00F008D2" w:rsidRDefault="00F008D2" w:rsidP="00AA3994">
      <w:pPr>
        <w:pStyle w:val="EndnoteText"/>
      </w:pPr>
      <w:r>
        <w:rPr>
          <w:rStyle w:val="EndnoteReference"/>
        </w:rPr>
        <w:endnoteRef/>
      </w:r>
      <w:r>
        <w:t xml:space="preserve"> </w:t>
      </w:r>
      <w:r w:rsidRPr="005B2362">
        <w:rPr>
          <w:rFonts w:cs="Arial"/>
        </w:rPr>
        <w:t>Sandra</w:t>
      </w:r>
      <w:r>
        <w:rPr>
          <w:rFonts w:cs="Arial"/>
        </w:rPr>
        <w:t xml:space="preserve"> </w:t>
      </w:r>
      <w:r w:rsidRPr="005B2362">
        <w:rPr>
          <w:rFonts w:cs="Arial"/>
        </w:rPr>
        <w:t>Calvert, ‘Children as Consumers: Advertising and Marketing’</w:t>
      </w:r>
      <w:r>
        <w:rPr>
          <w:rFonts w:cs="Arial"/>
        </w:rPr>
        <w:t xml:space="preserve"> </w:t>
      </w:r>
      <w:r w:rsidRPr="005B2362">
        <w:rPr>
          <w:rFonts w:cs="Arial"/>
        </w:rPr>
        <w:t>(2008)</w:t>
      </w:r>
      <w:r>
        <w:rPr>
          <w:rFonts w:cs="Arial"/>
        </w:rPr>
        <w:t xml:space="preserve"> 18(1)</w:t>
      </w:r>
      <w:r w:rsidRPr="005B2362">
        <w:rPr>
          <w:rFonts w:cs="Arial"/>
        </w:rPr>
        <w:t xml:space="preserve"> </w:t>
      </w:r>
      <w:r w:rsidRPr="00B860A4">
        <w:rPr>
          <w:rFonts w:cs="Arial"/>
          <w:i/>
        </w:rPr>
        <w:t>The Future of Children</w:t>
      </w:r>
      <w:r>
        <w:rPr>
          <w:rFonts w:cs="Arial"/>
        </w:rPr>
        <w:t>, 224.</w:t>
      </w:r>
    </w:p>
  </w:endnote>
  <w:endnote w:id="344">
    <w:p w14:paraId="4734CF75" w14:textId="77777777" w:rsidR="00F008D2" w:rsidRDefault="00F008D2" w:rsidP="00AA3994">
      <w:pPr>
        <w:pStyle w:val="EndnoteText"/>
      </w:pPr>
      <w:r>
        <w:rPr>
          <w:rStyle w:val="EndnoteReference"/>
        </w:rPr>
        <w:endnoteRef/>
      </w:r>
      <w:r>
        <w:t xml:space="preserve"> </w:t>
      </w:r>
      <w:r w:rsidRPr="005B2362">
        <w:rPr>
          <w:rFonts w:cs="Arial"/>
        </w:rPr>
        <w:t>Sandra</w:t>
      </w:r>
      <w:r>
        <w:rPr>
          <w:rFonts w:cs="Arial"/>
        </w:rPr>
        <w:t xml:space="preserve"> </w:t>
      </w:r>
      <w:r w:rsidRPr="005B2362">
        <w:rPr>
          <w:rFonts w:cs="Arial"/>
        </w:rPr>
        <w:t>Calvert, ‘Children as Consumers: Advertising and Marketing’</w:t>
      </w:r>
      <w:r>
        <w:rPr>
          <w:rFonts w:cs="Arial"/>
        </w:rPr>
        <w:t xml:space="preserve"> </w:t>
      </w:r>
      <w:r w:rsidRPr="005B2362">
        <w:rPr>
          <w:rFonts w:cs="Arial"/>
        </w:rPr>
        <w:t>(2008)</w:t>
      </w:r>
      <w:r>
        <w:rPr>
          <w:rFonts w:cs="Arial"/>
        </w:rPr>
        <w:t xml:space="preserve"> 18(1)</w:t>
      </w:r>
      <w:r w:rsidRPr="005B2362">
        <w:rPr>
          <w:rFonts w:cs="Arial"/>
        </w:rPr>
        <w:t xml:space="preserve"> </w:t>
      </w:r>
      <w:r w:rsidRPr="00B860A4">
        <w:rPr>
          <w:rFonts w:cs="Arial"/>
          <w:i/>
        </w:rPr>
        <w:t>The Future of Children</w:t>
      </w:r>
      <w:r>
        <w:rPr>
          <w:rFonts w:cs="Arial"/>
        </w:rPr>
        <w:t>, 224.</w:t>
      </w:r>
    </w:p>
  </w:endnote>
  <w:endnote w:id="345">
    <w:p w14:paraId="50078D66" w14:textId="77777777" w:rsidR="00F008D2" w:rsidRDefault="00F008D2" w:rsidP="00AA3994">
      <w:pPr>
        <w:pStyle w:val="EndnoteText"/>
      </w:pPr>
      <w:r>
        <w:rPr>
          <w:rStyle w:val="EndnoteReference"/>
        </w:rPr>
        <w:endnoteRef/>
      </w:r>
      <w:r>
        <w:t xml:space="preserve"> </w:t>
      </w:r>
      <w:r w:rsidRPr="005B2362">
        <w:rPr>
          <w:rFonts w:cs="Arial"/>
        </w:rPr>
        <w:t>Sandra</w:t>
      </w:r>
      <w:r>
        <w:rPr>
          <w:rFonts w:cs="Arial"/>
        </w:rPr>
        <w:t xml:space="preserve"> </w:t>
      </w:r>
      <w:r w:rsidRPr="005B2362">
        <w:rPr>
          <w:rFonts w:cs="Arial"/>
        </w:rPr>
        <w:t>Calvert, ‘Children as Consumers: Advertising and Marketing’</w:t>
      </w:r>
      <w:r>
        <w:rPr>
          <w:rFonts w:cs="Arial"/>
        </w:rPr>
        <w:t xml:space="preserve"> </w:t>
      </w:r>
      <w:r w:rsidRPr="005B2362">
        <w:rPr>
          <w:rFonts w:cs="Arial"/>
        </w:rPr>
        <w:t>(2008)</w:t>
      </w:r>
      <w:r>
        <w:rPr>
          <w:rFonts w:cs="Arial"/>
        </w:rPr>
        <w:t xml:space="preserve"> 18(1)</w:t>
      </w:r>
      <w:r w:rsidRPr="005B2362">
        <w:rPr>
          <w:rFonts w:cs="Arial"/>
        </w:rPr>
        <w:t xml:space="preserve"> </w:t>
      </w:r>
      <w:r w:rsidRPr="00B860A4">
        <w:rPr>
          <w:rFonts w:cs="Arial"/>
          <w:i/>
        </w:rPr>
        <w:t>The Future of Children</w:t>
      </w:r>
      <w:r>
        <w:rPr>
          <w:rFonts w:cs="Arial"/>
        </w:rPr>
        <w:t>, 224.</w:t>
      </w:r>
    </w:p>
  </w:endnote>
  <w:endnote w:id="346">
    <w:p w14:paraId="4CC87059" w14:textId="77777777" w:rsidR="00F008D2" w:rsidRDefault="00F008D2" w:rsidP="00AA3994">
      <w:pPr>
        <w:pStyle w:val="EndnoteText"/>
      </w:pPr>
      <w:r>
        <w:rPr>
          <w:rStyle w:val="EndnoteReference"/>
        </w:rPr>
        <w:endnoteRef/>
      </w:r>
      <w:r>
        <w:t xml:space="preserve"> </w:t>
      </w:r>
      <w:r w:rsidRPr="005B2362">
        <w:rPr>
          <w:rFonts w:cs="Arial"/>
        </w:rPr>
        <w:t>Sandra</w:t>
      </w:r>
      <w:r>
        <w:rPr>
          <w:rFonts w:cs="Arial"/>
        </w:rPr>
        <w:t xml:space="preserve"> </w:t>
      </w:r>
      <w:r w:rsidRPr="005B2362">
        <w:rPr>
          <w:rFonts w:cs="Arial"/>
        </w:rPr>
        <w:t>Calvert, ‘Children as Consumers: Advertising and Marketing’</w:t>
      </w:r>
      <w:r>
        <w:rPr>
          <w:rFonts w:cs="Arial"/>
        </w:rPr>
        <w:t xml:space="preserve"> </w:t>
      </w:r>
      <w:r w:rsidRPr="005B2362">
        <w:rPr>
          <w:rFonts w:cs="Arial"/>
        </w:rPr>
        <w:t>(2008)</w:t>
      </w:r>
      <w:r>
        <w:rPr>
          <w:rFonts w:cs="Arial"/>
        </w:rPr>
        <w:t xml:space="preserve"> 18(1)</w:t>
      </w:r>
      <w:r w:rsidRPr="005B2362">
        <w:rPr>
          <w:rFonts w:cs="Arial"/>
        </w:rPr>
        <w:t xml:space="preserve"> </w:t>
      </w:r>
      <w:r w:rsidRPr="00B860A4">
        <w:rPr>
          <w:rFonts w:cs="Arial"/>
          <w:i/>
        </w:rPr>
        <w:t>The Future of Children</w:t>
      </w:r>
      <w:r>
        <w:rPr>
          <w:rFonts w:cs="Arial"/>
        </w:rPr>
        <w:t>, 224.</w:t>
      </w:r>
    </w:p>
  </w:endnote>
  <w:endnote w:id="347">
    <w:p w14:paraId="408AEE8F"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rPr>
        <w:t xml:space="preserve">Sandra Calvert, ‘Children as Consumers: Advertising and Marketing’ (2008) 18(1) </w:t>
      </w:r>
      <w:r w:rsidRPr="00DC687C">
        <w:rPr>
          <w:rFonts w:cs="Arial"/>
          <w:i/>
        </w:rPr>
        <w:t>The Future of Children</w:t>
      </w:r>
      <w:r>
        <w:rPr>
          <w:rFonts w:cs="Arial"/>
          <w:i/>
        </w:rPr>
        <w:t>,</w:t>
      </w:r>
      <w:r w:rsidRPr="00DC687C">
        <w:rPr>
          <w:rFonts w:cs="Arial"/>
        </w:rPr>
        <w:t xml:space="preserve"> 212; D Thornburg and H. S. Lin (eds), Youth, Pornography, and the Internet (Washington, D.C.: National Academies Press, 2002) 102.</w:t>
      </w:r>
    </w:p>
  </w:endnote>
  <w:endnote w:id="348">
    <w:p w14:paraId="2CEEB0D4" w14:textId="77777777" w:rsidR="00F008D2" w:rsidRPr="00DC687C" w:rsidRDefault="00F008D2" w:rsidP="00AA3994">
      <w:pPr>
        <w:pStyle w:val="EndnoteText"/>
        <w:rPr>
          <w:rFonts w:cs="Arial"/>
        </w:rPr>
      </w:pPr>
      <w:r w:rsidRPr="00DC687C">
        <w:rPr>
          <w:rStyle w:val="EndnoteReference"/>
          <w:rFonts w:cs="Arial"/>
        </w:rPr>
        <w:endnoteRef/>
      </w:r>
      <w:r w:rsidRPr="00DC687C">
        <w:rPr>
          <w:rFonts w:cs="Arial"/>
        </w:rPr>
        <w:t xml:space="preserve"> Grace Chung and Sara Grimes, ‘Data Mining the Kids: Surveillance and Market research Strategies in Children’s Online Games’ (2005) 30 </w:t>
      </w:r>
      <w:r w:rsidRPr="00DC687C">
        <w:rPr>
          <w:rFonts w:cs="Arial"/>
          <w:i/>
        </w:rPr>
        <w:t>Canadian Journal of Communication</w:t>
      </w:r>
      <w:r w:rsidRPr="00DC687C">
        <w:rPr>
          <w:rFonts w:cs="Arial"/>
        </w:rPr>
        <w:t>, 542.</w:t>
      </w:r>
    </w:p>
  </w:endnote>
  <w:endnote w:id="349">
    <w:p w14:paraId="5C02766D" w14:textId="77777777" w:rsidR="00F008D2" w:rsidRPr="00DC687C" w:rsidRDefault="00F008D2" w:rsidP="00AA3994">
      <w:pPr>
        <w:pStyle w:val="EndnoteText"/>
        <w:rPr>
          <w:rFonts w:cs="Arial"/>
        </w:rPr>
      </w:pPr>
      <w:r w:rsidRPr="00DC687C">
        <w:rPr>
          <w:rStyle w:val="EndnoteReference"/>
          <w:rFonts w:cs="Arial"/>
        </w:rPr>
        <w:endnoteRef/>
      </w:r>
      <w:r w:rsidRPr="00DC687C">
        <w:rPr>
          <w:rFonts w:cs="Arial"/>
        </w:rPr>
        <w:t xml:space="preserve"> Grace Chung and Sara Grimes, ‘Data Mining the Kids: Surveillance and Market research Strategies in Children’s Online Games’ (2005) 30 </w:t>
      </w:r>
      <w:r w:rsidRPr="00DC687C">
        <w:rPr>
          <w:rFonts w:cs="Arial"/>
          <w:i/>
        </w:rPr>
        <w:t>Canadian Journal of Communication</w:t>
      </w:r>
      <w:r w:rsidRPr="00DC687C">
        <w:rPr>
          <w:rFonts w:cs="Arial"/>
        </w:rPr>
        <w:t>, 542.</w:t>
      </w:r>
    </w:p>
  </w:endnote>
  <w:endnote w:id="350">
    <w:p w14:paraId="65862364"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rPr>
        <w:t xml:space="preserve">Commonwealth Consumer Affairs Advisory Council, </w:t>
      </w:r>
      <w:r w:rsidRPr="00DC687C">
        <w:rPr>
          <w:rFonts w:cs="Arial"/>
          <w:i/>
        </w:rPr>
        <w:t>App purchases by Australian consumers on mobile and handheld devices</w:t>
      </w:r>
      <w:r w:rsidRPr="00DC687C">
        <w:rPr>
          <w:rFonts w:cs="Arial"/>
        </w:rPr>
        <w:t xml:space="preserve">: </w:t>
      </w:r>
      <w:r w:rsidRPr="00DC687C">
        <w:rPr>
          <w:rFonts w:cs="Arial"/>
          <w:i/>
        </w:rPr>
        <w:t>Inquiry report</w:t>
      </w:r>
      <w:r w:rsidRPr="00DC687C">
        <w:rPr>
          <w:rFonts w:cs="Arial"/>
        </w:rPr>
        <w:t xml:space="preserve"> (2013) 25-</w:t>
      </w:r>
      <w:r>
        <w:rPr>
          <w:rFonts w:cs="Arial"/>
        </w:rPr>
        <w:t>2</w:t>
      </w:r>
      <w:r w:rsidRPr="00DC687C">
        <w:rPr>
          <w:rFonts w:cs="Arial"/>
        </w:rPr>
        <w:t>6.</w:t>
      </w:r>
    </w:p>
  </w:endnote>
  <w:endnote w:id="351">
    <w:p w14:paraId="66088D77"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rPr>
        <w:t xml:space="preserve">Australian Law Reform Commission, </w:t>
      </w:r>
      <w:r w:rsidRPr="00DC687C">
        <w:rPr>
          <w:rFonts w:cs="Arial"/>
          <w:i/>
        </w:rPr>
        <w:t>For Your Information: Australian Privacy Law and Practice,</w:t>
      </w:r>
      <w:r>
        <w:rPr>
          <w:rFonts w:cs="Arial"/>
          <w:i/>
        </w:rPr>
        <w:t xml:space="preserve"> </w:t>
      </w:r>
      <w:r w:rsidRPr="00DC687C">
        <w:rPr>
          <w:rFonts w:cs="Arial"/>
        </w:rPr>
        <w:t>Report No 108 (2008) 67.14.</w:t>
      </w:r>
    </w:p>
  </w:endnote>
  <w:endnote w:id="352">
    <w:p w14:paraId="7127FBC6"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rPr>
        <w:t>Australian Law Reform Commission</w:t>
      </w:r>
      <w:r w:rsidRPr="00DC687C">
        <w:rPr>
          <w:rFonts w:cs="Arial"/>
          <w:i/>
        </w:rPr>
        <w:t>, For Your Information: Australian Privacy Law and Practice,</w:t>
      </w:r>
      <w:r w:rsidRPr="00DC687C">
        <w:rPr>
          <w:rFonts w:cs="Arial"/>
        </w:rPr>
        <w:t xml:space="preserve"> Report No 108 (2008) 68.1, 68.3.</w:t>
      </w:r>
    </w:p>
  </w:endnote>
  <w:endnote w:id="353">
    <w:p w14:paraId="25F2CA33"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i/>
        </w:rPr>
        <w:t xml:space="preserve">Secretary of the Department of Health and Community Services v JWB and SMB </w:t>
      </w:r>
      <w:r w:rsidRPr="00DC687C">
        <w:rPr>
          <w:rFonts w:cs="Arial"/>
        </w:rPr>
        <w:t>(1992) 175 CLR 218, 26.</w:t>
      </w:r>
    </w:p>
  </w:endnote>
  <w:endnote w:id="354">
    <w:p w14:paraId="6E43D653"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i/>
        </w:rPr>
        <w:t xml:space="preserve">Secretary of the Department of Health and Community Services v JWB and SMB </w:t>
      </w:r>
      <w:r w:rsidRPr="00DC687C">
        <w:rPr>
          <w:rFonts w:cs="Arial"/>
        </w:rPr>
        <w:t>(1992) 175 CLR 218, 6.</w:t>
      </w:r>
    </w:p>
  </w:endnote>
  <w:endnote w:id="355">
    <w:p w14:paraId="3B821927"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i/>
        </w:rPr>
        <w:t xml:space="preserve">Secretary of the Department of Health and Community Services v JWB and SMB </w:t>
      </w:r>
      <w:r w:rsidRPr="00DC687C">
        <w:rPr>
          <w:rFonts w:cs="Arial"/>
        </w:rPr>
        <w:t>(1992) 175 CLR 218, 8.</w:t>
      </w:r>
    </w:p>
  </w:endnote>
  <w:endnote w:id="356">
    <w:p w14:paraId="090BAF55"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rPr>
        <w:t xml:space="preserve">Australian Law Reform Commission, </w:t>
      </w:r>
      <w:r w:rsidRPr="00DC687C">
        <w:rPr>
          <w:rFonts w:cs="Arial"/>
          <w:i/>
        </w:rPr>
        <w:t>For Your Information: Australian Privacy Law and Practice.</w:t>
      </w:r>
      <w:r w:rsidRPr="00DC687C">
        <w:rPr>
          <w:rFonts w:cs="Arial"/>
        </w:rPr>
        <w:t xml:space="preserve"> Report No 108 (2008) 26.106.</w:t>
      </w:r>
    </w:p>
  </w:endnote>
  <w:endnote w:id="357">
    <w:p w14:paraId="20521245"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rPr>
        <w:t xml:space="preserve">Australian Law Reform Commission, </w:t>
      </w:r>
      <w:r w:rsidRPr="00DC687C">
        <w:rPr>
          <w:rFonts w:cs="Arial"/>
          <w:i/>
        </w:rPr>
        <w:t>For Your Information: Australian Privacy Law and Practice</w:t>
      </w:r>
      <w:r w:rsidRPr="00DC687C">
        <w:rPr>
          <w:rFonts w:cs="Arial"/>
        </w:rPr>
        <w:t>. Report No 108 (2008) 26.107.</w:t>
      </w:r>
    </w:p>
  </w:endnote>
  <w:endnote w:id="358">
    <w:p w14:paraId="07939200"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rPr>
        <w:t xml:space="preserve">Australian Law Reform Commission, </w:t>
      </w:r>
      <w:r w:rsidRPr="00DC687C">
        <w:rPr>
          <w:rFonts w:cs="Arial"/>
          <w:i/>
        </w:rPr>
        <w:t>For Your Information: Australian Privacy Law and Practice</w:t>
      </w:r>
      <w:r w:rsidRPr="00DC687C">
        <w:rPr>
          <w:rFonts w:cs="Arial"/>
        </w:rPr>
        <w:t>.  Report No 108 (2008) 69.38.</w:t>
      </w:r>
    </w:p>
  </w:endnote>
  <w:endnote w:id="359">
    <w:p w14:paraId="4354AE91"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rPr>
        <w:t xml:space="preserve">Australian Law Reform Commission, </w:t>
      </w:r>
      <w:r w:rsidRPr="00DC687C">
        <w:rPr>
          <w:rFonts w:cs="Arial"/>
          <w:i/>
        </w:rPr>
        <w:t>For Your Information: Australian Privacy Law and Practice.</w:t>
      </w:r>
      <w:r w:rsidRPr="00DC687C">
        <w:rPr>
          <w:rFonts w:cs="Arial"/>
        </w:rPr>
        <w:t xml:space="preserve">  Report No 108 (2008) 68.1, 68.3.</w:t>
      </w:r>
    </w:p>
  </w:endnote>
  <w:endnote w:id="360">
    <w:p w14:paraId="22B9BCBB"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rPr>
        <w:t xml:space="preserve">Australian Law Reform Commission, </w:t>
      </w:r>
      <w:r w:rsidRPr="00DC687C">
        <w:rPr>
          <w:rFonts w:cs="Arial"/>
          <w:i/>
        </w:rPr>
        <w:t>For Your Information: Australian Privacy Law and Practice.</w:t>
      </w:r>
      <w:r w:rsidRPr="00DC687C">
        <w:rPr>
          <w:rFonts w:cs="Arial"/>
        </w:rPr>
        <w:t xml:space="preserve"> Report No 108 (2008) 68.1, 68.3.</w:t>
      </w:r>
    </w:p>
  </w:endnote>
  <w:endnote w:id="361">
    <w:p w14:paraId="4A8A136C" w14:textId="77777777" w:rsidR="00F008D2" w:rsidRPr="00DC687C" w:rsidRDefault="00F008D2" w:rsidP="00AA3994">
      <w:pPr>
        <w:pStyle w:val="EndnoteText"/>
      </w:pPr>
      <w:r w:rsidRPr="00DC687C">
        <w:rPr>
          <w:rStyle w:val="EndnoteReference"/>
        </w:rPr>
        <w:endnoteRef/>
      </w:r>
      <w:r w:rsidRPr="00DC687C">
        <w:t xml:space="preserve"> </w:t>
      </w:r>
      <w:r w:rsidRPr="00DC687C">
        <w:rPr>
          <w:rStyle w:val="selectable"/>
          <w:rFonts w:cs="Arial"/>
          <w:color w:val="000000"/>
          <w:lang w:val="en"/>
        </w:rPr>
        <w:t>Australian Government, 'Australian Government First Stage Response To Australian Law Reform Commission Report 108 For Your Information' (Australian Privacy Law and Practice, 2009)</w:t>
      </w:r>
      <w:r w:rsidRPr="00DC687C">
        <w:rPr>
          <w:rFonts w:cs="Arial"/>
        </w:rPr>
        <w:t xml:space="preserve">. </w:t>
      </w:r>
    </w:p>
  </w:endnote>
  <w:endnote w:id="362">
    <w:p w14:paraId="2E17E6A2" w14:textId="77777777" w:rsidR="00F008D2" w:rsidRPr="00DC687C" w:rsidRDefault="00F008D2" w:rsidP="00AA3994">
      <w:pPr>
        <w:pStyle w:val="EndnoteText"/>
      </w:pPr>
      <w:r w:rsidRPr="00DC687C">
        <w:rPr>
          <w:rStyle w:val="EndnoteReference"/>
        </w:rPr>
        <w:endnoteRef/>
      </w:r>
      <w:r w:rsidRPr="00DC687C">
        <w:t xml:space="preserve"> Australian Law Reform Commission, </w:t>
      </w:r>
      <w:r w:rsidRPr="00DC687C">
        <w:rPr>
          <w:i/>
        </w:rPr>
        <w:t xml:space="preserve">Serious Invasions of Privacy in the Digital Era, </w:t>
      </w:r>
      <w:r w:rsidRPr="00DC687C">
        <w:t xml:space="preserve">Report No 123 (2014) 74. </w:t>
      </w:r>
    </w:p>
  </w:endnote>
  <w:endnote w:id="363">
    <w:p w14:paraId="58A59863" w14:textId="77777777" w:rsidR="00F008D2" w:rsidRDefault="00F008D2" w:rsidP="00AA2C8B">
      <w:pPr>
        <w:pStyle w:val="EndnoteText"/>
      </w:pPr>
      <w:r>
        <w:rPr>
          <w:rStyle w:val="EndnoteReference"/>
        </w:rPr>
        <w:endnoteRef/>
      </w:r>
      <w:r>
        <w:t xml:space="preserve"> Office of the Australian Information Commissioner, ‘Australian Privacy Principles guidelines’ B.58</w:t>
      </w:r>
    </w:p>
  </w:endnote>
  <w:endnote w:id="364">
    <w:p w14:paraId="65F7AADE" w14:textId="77777777" w:rsidR="00F008D2" w:rsidRDefault="00F008D2" w:rsidP="00AA3994">
      <w:pPr>
        <w:pStyle w:val="EndnoteText"/>
      </w:pPr>
      <w:r>
        <w:rPr>
          <w:rStyle w:val="EndnoteReference"/>
        </w:rPr>
        <w:endnoteRef/>
      </w:r>
      <w:r>
        <w:t xml:space="preserve"> </w:t>
      </w:r>
      <w:r w:rsidRPr="00615ED1">
        <w:t>Office of the Australian Information Commissioner, ‘Survey of child-targeted websites and apps reveals progress on privacy protection, but parental involvement still the key’ (Privacy media release, 03 September 2015) 1 &lt;</w:t>
      </w:r>
      <w:hyperlink r:id="rId111" w:history="1">
        <w:r w:rsidRPr="00615ED1">
          <w:rPr>
            <w:rStyle w:val="Hyperlink"/>
            <w:color w:val="auto"/>
          </w:rPr>
          <w:t>http://www.oaic.gov.au/news-and-events/media-releases/privacy-media-releases/survey-of-child-targeted-websites-and-apps-reveals-progress-on-privacy-protection-but-parental-involvement-still-the-key</w:t>
        </w:r>
      </w:hyperlink>
      <w:r>
        <w:rPr>
          <w:rStyle w:val="Hyperlink"/>
          <w:color w:val="auto"/>
        </w:rPr>
        <w:t>&gt;.</w:t>
      </w:r>
    </w:p>
  </w:endnote>
  <w:endnote w:id="365">
    <w:p w14:paraId="6962F491" w14:textId="77777777" w:rsidR="00F008D2" w:rsidRDefault="00F008D2" w:rsidP="00AA3994">
      <w:pPr>
        <w:pStyle w:val="EndnoteText"/>
      </w:pPr>
      <w:r>
        <w:rPr>
          <w:rStyle w:val="EndnoteReference"/>
        </w:rPr>
        <w:endnoteRef/>
      </w:r>
      <w:r>
        <w:t xml:space="preserve"> </w:t>
      </w:r>
      <w:r w:rsidRPr="00615ED1">
        <w:t>Office of the Australian Information Commissioner, ‘Survey of child-targeted websites and apps reveals progress on privacy protection, but parental involvement still the key’ (Privacy media release, 03 September 2015) 1 &lt;</w:t>
      </w:r>
      <w:hyperlink r:id="rId112" w:history="1">
        <w:r w:rsidRPr="00615ED1">
          <w:rPr>
            <w:rStyle w:val="Hyperlink"/>
            <w:color w:val="auto"/>
          </w:rPr>
          <w:t>http://www.oaic.gov.au/news-and-events/media-releases/privacy-media-releases/survey-of-child-targeted-websites-and-apps-reveals-progress-on-privacy-protection-but-parental-involvement-still-the-key</w:t>
        </w:r>
      </w:hyperlink>
      <w:r>
        <w:rPr>
          <w:rStyle w:val="Hyperlink"/>
          <w:color w:val="auto"/>
        </w:rPr>
        <w:t>&gt;.</w:t>
      </w:r>
    </w:p>
  </w:endnote>
  <w:endnote w:id="366">
    <w:p w14:paraId="144D4A6D" w14:textId="77777777" w:rsidR="00F008D2" w:rsidRDefault="00F008D2" w:rsidP="00AA3994">
      <w:pPr>
        <w:pStyle w:val="EndnoteText"/>
      </w:pPr>
      <w:r>
        <w:rPr>
          <w:rStyle w:val="EndnoteReference"/>
        </w:rPr>
        <w:endnoteRef/>
      </w:r>
      <w:r>
        <w:t xml:space="preserve"> </w:t>
      </w:r>
      <w:r w:rsidRPr="00615ED1">
        <w:t>Office of the Australian Information Commissioner, ‘Survey of child-targeted websites and apps reveals progress on privacy protection, but parental involvement still the key’ (Privacy media release, 03 September 2015) 1 &lt;</w:t>
      </w:r>
      <w:hyperlink r:id="rId113" w:history="1">
        <w:r w:rsidRPr="00615ED1">
          <w:rPr>
            <w:rStyle w:val="Hyperlink"/>
            <w:color w:val="auto"/>
          </w:rPr>
          <w:t>http://www.oaic.gov.au/news-and-events/media-releases/privacy-media-releases/survey-of-child-targeted-websites-and-apps-reveals-progress-on-privacy-protection-but-parental-involvement-still-the-key</w:t>
        </w:r>
      </w:hyperlink>
      <w:r>
        <w:rPr>
          <w:rStyle w:val="Hyperlink"/>
          <w:color w:val="auto"/>
        </w:rPr>
        <w:t>&gt;.</w:t>
      </w:r>
    </w:p>
  </w:endnote>
  <w:endnote w:id="367">
    <w:p w14:paraId="742CF2B7" w14:textId="77777777" w:rsidR="00F008D2" w:rsidRDefault="00F008D2" w:rsidP="00AA3994">
      <w:pPr>
        <w:pStyle w:val="EndnoteText"/>
      </w:pPr>
      <w:r>
        <w:rPr>
          <w:rStyle w:val="EndnoteReference"/>
        </w:rPr>
        <w:endnoteRef/>
      </w:r>
      <w:r>
        <w:t xml:space="preserve"> </w:t>
      </w:r>
      <w:r w:rsidRPr="00615ED1">
        <w:t>Office of the Australian Information Commissioner, ‘Survey of child-targeted websites and apps reveals progress on privacy protection, but parental involvement still the key’ (Privacy media release, 03 September 2015) 1 &lt;</w:t>
      </w:r>
      <w:hyperlink r:id="rId114" w:history="1">
        <w:r w:rsidRPr="00615ED1">
          <w:rPr>
            <w:rStyle w:val="Hyperlink"/>
            <w:color w:val="auto"/>
          </w:rPr>
          <w:t>http://www.oaic.gov.au/news-and-events/media-releases/privacy-media-releases/survey-of-child-targeted-websites-and-apps-reveals-progress-on-privacy-protection-but-parental-involvement-still-the-key</w:t>
        </w:r>
      </w:hyperlink>
      <w:r>
        <w:rPr>
          <w:rStyle w:val="Hyperlink"/>
          <w:color w:val="auto"/>
        </w:rPr>
        <w:t>&gt;.</w:t>
      </w:r>
    </w:p>
  </w:endnote>
  <w:endnote w:id="368">
    <w:p w14:paraId="7B683C61" w14:textId="77777777" w:rsidR="00F008D2" w:rsidRDefault="00F008D2" w:rsidP="00AA3994">
      <w:pPr>
        <w:pStyle w:val="EndnoteText"/>
      </w:pPr>
      <w:r>
        <w:rPr>
          <w:rStyle w:val="EndnoteReference"/>
        </w:rPr>
        <w:endnoteRef/>
      </w:r>
      <w:r>
        <w:t xml:space="preserve"> </w:t>
      </w:r>
      <w:r w:rsidRPr="00615ED1">
        <w:t>Office of the Australian Information Commissioner, ‘Survey of child-targeted websites and apps reveals progress on privacy protection, but parental involvement still the key’ (Privacy media release, 03 September 2015) 1 &lt;</w:t>
      </w:r>
      <w:hyperlink r:id="rId115" w:history="1">
        <w:r w:rsidRPr="00615ED1">
          <w:rPr>
            <w:rStyle w:val="Hyperlink"/>
            <w:color w:val="auto"/>
          </w:rPr>
          <w:t>http://www.oaic.gov.au/news-and-events/media-releases/privacy-media-releases/survey-of-child-targeted-websites-and-apps-reveals-progress-on-privacy-protection-but-parental-involvement-still-the-key</w:t>
        </w:r>
      </w:hyperlink>
      <w:r>
        <w:rPr>
          <w:rStyle w:val="Hyperlink"/>
          <w:color w:val="auto"/>
        </w:rPr>
        <w:t>&gt;.</w:t>
      </w:r>
    </w:p>
  </w:endnote>
  <w:endnote w:id="369">
    <w:p w14:paraId="68E156A3" w14:textId="77777777" w:rsidR="00F008D2" w:rsidRDefault="00F008D2" w:rsidP="00AA3994">
      <w:pPr>
        <w:pStyle w:val="EndnoteText"/>
      </w:pPr>
      <w:r>
        <w:rPr>
          <w:rStyle w:val="EndnoteReference"/>
        </w:rPr>
        <w:endnoteRef/>
      </w:r>
      <w:r>
        <w:t xml:space="preserve"> </w:t>
      </w:r>
      <w:r w:rsidRPr="00615ED1">
        <w:t>Office of the Australian Information Commissioner, ‘Survey of child-targeted websites and apps reveals progress on privacy protection, but parental involvement still the key’ (Privacy media release, 03 September 2015) 1 &lt;</w:t>
      </w:r>
      <w:hyperlink r:id="rId116" w:history="1">
        <w:r w:rsidRPr="00615ED1">
          <w:rPr>
            <w:rStyle w:val="Hyperlink"/>
            <w:color w:val="auto"/>
          </w:rPr>
          <w:t>http://www.oaic.gov.au/news-and-events/media-releases/privacy-media-releases/survey-of-child-targeted-websites-and-apps-reveals-progress-on-privacy-protection-but-parental-involvement-still-the-key</w:t>
        </w:r>
      </w:hyperlink>
      <w:r>
        <w:rPr>
          <w:rStyle w:val="Hyperlink"/>
          <w:color w:val="auto"/>
        </w:rPr>
        <w:t>&gt;.</w:t>
      </w:r>
    </w:p>
  </w:endnote>
  <w:endnote w:id="370">
    <w:p w14:paraId="27C59FBB" w14:textId="77777777" w:rsidR="00F008D2" w:rsidRDefault="00F008D2" w:rsidP="00AA3994">
      <w:pPr>
        <w:pStyle w:val="EndnoteText"/>
      </w:pPr>
      <w:r>
        <w:rPr>
          <w:rStyle w:val="EndnoteReference"/>
        </w:rPr>
        <w:endnoteRef/>
      </w:r>
      <w:r>
        <w:t xml:space="preserve"> </w:t>
      </w:r>
      <w:r w:rsidRPr="00615ED1">
        <w:t>Office of the Australian Information Commissioner, ‘Survey of child-targeted websites and apps reveals progress on privacy protection, but parental involvement still the key’ (Privacy media release, 03 September 2015) 1 &lt;</w:t>
      </w:r>
      <w:hyperlink r:id="rId117" w:history="1">
        <w:r w:rsidRPr="00615ED1">
          <w:rPr>
            <w:rStyle w:val="Hyperlink"/>
            <w:color w:val="auto"/>
          </w:rPr>
          <w:t>http://www.oaic.gov.au/news-and-events/media-releases/privacy-media-releases/survey-of-child-targeted-websites-and-apps-reveals-progress-on-privacy-protection-but-parental-involvement-still-the-key</w:t>
        </w:r>
      </w:hyperlink>
      <w:r>
        <w:rPr>
          <w:rStyle w:val="Hyperlink"/>
          <w:color w:val="auto"/>
        </w:rPr>
        <w:t>&gt;.</w:t>
      </w:r>
    </w:p>
  </w:endnote>
  <w:endnote w:id="371">
    <w:p w14:paraId="638D8DB7" w14:textId="77777777" w:rsidR="00F008D2" w:rsidRDefault="00F008D2" w:rsidP="00AA3994">
      <w:pPr>
        <w:pStyle w:val="EndnoteText"/>
      </w:pPr>
      <w:r>
        <w:rPr>
          <w:rStyle w:val="EndnoteReference"/>
        </w:rPr>
        <w:endnoteRef/>
      </w:r>
      <w:r>
        <w:t xml:space="preserve"> </w:t>
      </w:r>
      <w:r w:rsidRPr="00CC7D46">
        <w:t>I would like to sincerely thank King &amp; Wood Mallesons for its support in the preparation of this section.</w:t>
      </w:r>
    </w:p>
  </w:endnote>
  <w:endnote w:id="372">
    <w:p w14:paraId="48829BF1"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rPr>
        <w:t xml:space="preserve">Some of the cases that constitute the common law in this context include </w:t>
      </w:r>
      <w:r w:rsidRPr="00DC687C">
        <w:rPr>
          <w:rFonts w:cs="Arial"/>
          <w:i/>
        </w:rPr>
        <w:t xml:space="preserve">Zouch d Abbot and Hallet v Parsons </w:t>
      </w:r>
      <w:r w:rsidRPr="00DC687C">
        <w:rPr>
          <w:rFonts w:cs="Arial"/>
        </w:rPr>
        <w:t xml:space="preserve">9 ER 1103; </w:t>
      </w:r>
      <w:r w:rsidRPr="00DC687C">
        <w:rPr>
          <w:rFonts w:cs="Arial"/>
          <w:i/>
        </w:rPr>
        <w:t>Nash v Inman</w:t>
      </w:r>
      <w:r w:rsidRPr="00DC687C">
        <w:rPr>
          <w:rFonts w:cs="Arial"/>
        </w:rPr>
        <w:t xml:space="preserve"> [1908] 2 KB 1.</w:t>
      </w:r>
    </w:p>
  </w:endnote>
  <w:endnote w:id="373">
    <w:p w14:paraId="55A54D0F" w14:textId="77777777" w:rsidR="00F008D2" w:rsidRPr="00DC687C" w:rsidRDefault="00F008D2" w:rsidP="00AA3994">
      <w:pPr>
        <w:pStyle w:val="EndnoteText"/>
        <w:rPr>
          <w:rFonts w:cs="Arial"/>
        </w:rPr>
      </w:pPr>
      <w:r w:rsidRPr="00DC687C">
        <w:rPr>
          <w:rStyle w:val="EndnoteReference"/>
        </w:rPr>
        <w:endnoteRef/>
      </w:r>
      <w:r w:rsidRPr="00DC687C">
        <w:t xml:space="preserve"> </w:t>
      </w:r>
      <w:r w:rsidRPr="00DC687C">
        <w:rPr>
          <w:rFonts w:cs="Arial"/>
        </w:rPr>
        <w:t xml:space="preserve">See </w:t>
      </w:r>
      <w:r w:rsidRPr="00DC687C">
        <w:rPr>
          <w:rFonts w:cs="Arial"/>
          <w:i/>
          <w:iCs/>
        </w:rPr>
        <w:t>Minors (Property and Contracts) Act 1970</w:t>
      </w:r>
      <w:r w:rsidRPr="00DC687C">
        <w:rPr>
          <w:rFonts w:cs="Arial"/>
        </w:rPr>
        <w:t xml:space="preserve"> (NSW) s 9; </w:t>
      </w:r>
      <w:r w:rsidRPr="00DC687C">
        <w:rPr>
          <w:rFonts w:cs="Arial"/>
          <w:i/>
          <w:iCs/>
        </w:rPr>
        <w:t>Age of Majority Act 1977</w:t>
      </w:r>
      <w:r w:rsidRPr="00DC687C">
        <w:rPr>
          <w:rFonts w:cs="Arial"/>
        </w:rPr>
        <w:t xml:space="preserve"> (Vic) s 3; </w:t>
      </w:r>
      <w:r w:rsidRPr="00DC687C">
        <w:rPr>
          <w:rFonts w:cs="Arial"/>
          <w:i/>
          <w:iCs/>
        </w:rPr>
        <w:t>Law Reform Act 1995</w:t>
      </w:r>
      <w:r w:rsidRPr="00DC687C">
        <w:rPr>
          <w:rFonts w:cs="Arial"/>
        </w:rPr>
        <w:t xml:space="preserve"> (Qld) s 17; </w:t>
      </w:r>
      <w:r w:rsidRPr="00DC687C">
        <w:rPr>
          <w:rFonts w:cs="Arial"/>
          <w:i/>
          <w:iCs/>
        </w:rPr>
        <w:t>Age of Majority Act</w:t>
      </w:r>
      <w:r w:rsidRPr="00DC687C">
        <w:rPr>
          <w:rFonts w:cs="Arial"/>
        </w:rPr>
        <w:t xml:space="preserve"> (NT) s 4; </w:t>
      </w:r>
      <w:r w:rsidRPr="00DC687C">
        <w:rPr>
          <w:rFonts w:cs="Arial"/>
          <w:i/>
          <w:iCs/>
        </w:rPr>
        <w:t>Age of Majority Act 1972</w:t>
      </w:r>
      <w:r w:rsidRPr="00DC687C">
        <w:rPr>
          <w:rFonts w:cs="Arial"/>
        </w:rPr>
        <w:t xml:space="preserve"> (WA) s.5; </w:t>
      </w:r>
      <w:r w:rsidRPr="00DC687C">
        <w:rPr>
          <w:rFonts w:cs="Arial"/>
          <w:i/>
          <w:iCs/>
        </w:rPr>
        <w:t>Age of Majority (Reduction) Act 1971</w:t>
      </w:r>
      <w:r w:rsidRPr="00DC687C">
        <w:rPr>
          <w:rFonts w:cs="Arial"/>
        </w:rPr>
        <w:t xml:space="preserve"> (SA) s 3; </w:t>
      </w:r>
      <w:r w:rsidRPr="00DC687C">
        <w:rPr>
          <w:rFonts w:cs="Arial"/>
          <w:i/>
          <w:iCs/>
        </w:rPr>
        <w:t>Age of Majority Act 1973</w:t>
      </w:r>
      <w:r w:rsidRPr="00DC687C">
        <w:rPr>
          <w:rFonts w:cs="Arial"/>
        </w:rPr>
        <w:t xml:space="preserve"> (Tas) s 3; </w:t>
      </w:r>
      <w:r w:rsidRPr="00DC687C">
        <w:rPr>
          <w:rFonts w:cs="Arial"/>
          <w:i/>
          <w:iCs/>
        </w:rPr>
        <w:t>Age of Majority Act 1974</w:t>
      </w:r>
      <w:r w:rsidRPr="00DC687C">
        <w:rPr>
          <w:rFonts w:cs="Arial"/>
        </w:rPr>
        <w:t xml:space="preserve"> (ACT) s 5.</w:t>
      </w:r>
    </w:p>
  </w:endnote>
  <w:endnote w:id="374">
    <w:p w14:paraId="418A107D" w14:textId="77777777" w:rsidR="00F008D2" w:rsidRPr="00DC687C" w:rsidRDefault="00F008D2" w:rsidP="00AA3994">
      <w:pPr>
        <w:pStyle w:val="EndnoteText"/>
        <w:rPr>
          <w:rFonts w:cs="Arial"/>
        </w:rPr>
      </w:pPr>
      <w:r w:rsidRPr="00DC687C">
        <w:rPr>
          <w:rStyle w:val="EndnoteReference"/>
        </w:rPr>
        <w:endnoteRef/>
      </w:r>
      <w:r w:rsidRPr="00DC687C">
        <w:t xml:space="preserve"> </w:t>
      </w:r>
      <w:r w:rsidRPr="00DC687C">
        <w:rPr>
          <w:rFonts w:cs="Arial"/>
        </w:rPr>
        <w:t xml:space="preserve">Law that has been developed on the basis of the cumulative decisions made by courts (whether these decisions are binding depends on whether a lower or higher/superior court has made the decision). </w:t>
      </w:r>
      <w:r w:rsidRPr="00DC687C">
        <w:rPr>
          <w:rStyle w:val="selectable"/>
          <w:rFonts w:cs="Arial"/>
          <w:color w:val="000000"/>
          <w:lang w:val="en"/>
        </w:rPr>
        <w:t xml:space="preserve">R. A Hughes, G. W. G Leane and Andrew Clarke, </w:t>
      </w:r>
      <w:r w:rsidRPr="00DC687C">
        <w:rPr>
          <w:rStyle w:val="selectable"/>
          <w:rFonts w:cs="Arial"/>
          <w:i/>
          <w:iCs/>
          <w:color w:val="000000"/>
          <w:lang w:val="en"/>
        </w:rPr>
        <w:t>Australian Legal Institutions</w:t>
      </w:r>
      <w:r w:rsidRPr="00DC687C">
        <w:rPr>
          <w:rStyle w:val="selectable"/>
          <w:rFonts w:cs="Arial"/>
          <w:color w:val="000000"/>
          <w:lang w:val="en"/>
        </w:rPr>
        <w:t xml:space="preserve"> (Lawbook Co., 2003) 50. </w:t>
      </w:r>
    </w:p>
  </w:endnote>
  <w:endnote w:id="375">
    <w:p w14:paraId="68A775A8"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i/>
        </w:rPr>
        <w:t xml:space="preserve">Zouch d Abbot and Hallet v Parsons </w:t>
      </w:r>
      <w:r w:rsidRPr="00DC687C">
        <w:rPr>
          <w:rFonts w:cs="Arial"/>
        </w:rPr>
        <w:t>(1765) 97 ER 1103.</w:t>
      </w:r>
    </w:p>
  </w:endnote>
  <w:endnote w:id="376">
    <w:p w14:paraId="7B599D99"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i/>
        </w:rPr>
        <w:t>Nash v Inman</w:t>
      </w:r>
      <w:r w:rsidRPr="00DC687C">
        <w:rPr>
          <w:rFonts w:cs="Arial"/>
        </w:rPr>
        <w:t xml:space="preserve"> [1908] 2 KB 1.</w:t>
      </w:r>
    </w:p>
  </w:endnote>
  <w:endnote w:id="377">
    <w:p w14:paraId="37FFE22E" w14:textId="77777777" w:rsidR="00F008D2" w:rsidRPr="00DC687C" w:rsidRDefault="00F008D2" w:rsidP="00AA3994">
      <w:pPr>
        <w:pStyle w:val="EndnoteText"/>
        <w:rPr>
          <w:rFonts w:cs="Arial"/>
        </w:rPr>
      </w:pPr>
      <w:r w:rsidRPr="00DC687C">
        <w:rPr>
          <w:rStyle w:val="EndnoteReference"/>
        </w:rPr>
        <w:endnoteRef/>
      </w:r>
      <w:r w:rsidRPr="00DC687C">
        <w:t xml:space="preserve"> </w:t>
      </w:r>
      <w:r w:rsidRPr="00DC687C">
        <w:rPr>
          <w:rFonts w:cs="Arial"/>
        </w:rPr>
        <w:t xml:space="preserve">See </w:t>
      </w:r>
      <w:r w:rsidRPr="00DC687C">
        <w:rPr>
          <w:rFonts w:cs="Arial"/>
          <w:i/>
        </w:rPr>
        <w:t>Goods Act 1958</w:t>
      </w:r>
      <w:r w:rsidRPr="00DC687C">
        <w:rPr>
          <w:rFonts w:cs="Arial"/>
        </w:rPr>
        <w:t xml:space="preserve"> (Vic); </w:t>
      </w:r>
      <w:r w:rsidRPr="00DC687C">
        <w:rPr>
          <w:rFonts w:cs="Arial"/>
          <w:i/>
        </w:rPr>
        <w:t>Sale of Goods Act 1896</w:t>
      </w:r>
      <w:r w:rsidRPr="00DC687C">
        <w:rPr>
          <w:rFonts w:cs="Arial"/>
        </w:rPr>
        <w:t xml:space="preserve"> (Qld); </w:t>
      </w:r>
      <w:r w:rsidRPr="00DC687C">
        <w:rPr>
          <w:rFonts w:cs="Arial"/>
          <w:i/>
        </w:rPr>
        <w:t>Sale of Goods Act 1895</w:t>
      </w:r>
      <w:r w:rsidRPr="00DC687C">
        <w:rPr>
          <w:rFonts w:cs="Arial"/>
        </w:rPr>
        <w:t xml:space="preserve"> (SA); </w:t>
      </w:r>
      <w:r w:rsidRPr="00DC687C">
        <w:rPr>
          <w:rFonts w:cs="Arial"/>
          <w:i/>
        </w:rPr>
        <w:t>Sale of Goods Act 1896</w:t>
      </w:r>
      <w:r w:rsidRPr="00DC687C">
        <w:rPr>
          <w:rFonts w:cs="Arial"/>
        </w:rPr>
        <w:t xml:space="preserve"> (Tas); </w:t>
      </w:r>
      <w:r w:rsidRPr="00DC687C">
        <w:rPr>
          <w:rFonts w:cs="Arial"/>
          <w:i/>
        </w:rPr>
        <w:t>Sale of Goods Act 1895</w:t>
      </w:r>
      <w:r w:rsidRPr="00DC687C">
        <w:rPr>
          <w:rFonts w:cs="Arial"/>
        </w:rPr>
        <w:t xml:space="preserve"> (WA); </w:t>
      </w:r>
      <w:r w:rsidRPr="00DC687C">
        <w:rPr>
          <w:rFonts w:cs="Arial"/>
          <w:i/>
        </w:rPr>
        <w:t>Sale of Goods Act 1954</w:t>
      </w:r>
      <w:r w:rsidRPr="00DC687C">
        <w:rPr>
          <w:rFonts w:cs="Arial"/>
        </w:rPr>
        <w:t xml:space="preserve"> (ACT); and </w:t>
      </w:r>
      <w:r w:rsidRPr="00DC687C">
        <w:rPr>
          <w:rFonts w:cs="Arial"/>
          <w:i/>
        </w:rPr>
        <w:t>Sale of Goods Act 1972</w:t>
      </w:r>
      <w:r w:rsidRPr="00DC687C">
        <w:rPr>
          <w:rFonts w:cs="Arial"/>
        </w:rPr>
        <w:t xml:space="preserve"> (WA).</w:t>
      </w:r>
    </w:p>
  </w:endnote>
  <w:endnote w:id="378">
    <w:p w14:paraId="6E94D241" w14:textId="77777777" w:rsidR="00F008D2" w:rsidRPr="00DC687C" w:rsidRDefault="00F008D2" w:rsidP="00AA3994">
      <w:pPr>
        <w:pStyle w:val="EndnoteText"/>
      </w:pPr>
      <w:r w:rsidRPr="00DC687C">
        <w:rPr>
          <w:rStyle w:val="EndnoteReference"/>
        </w:rPr>
        <w:endnoteRef/>
      </w:r>
      <w:r w:rsidRPr="00DC687C">
        <w:t xml:space="preserve"> </w:t>
      </w:r>
      <w:r w:rsidRPr="00DC687C">
        <w:rPr>
          <w:rFonts w:cs="Arial"/>
          <w:i/>
        </w:rPr>
        <w:t>Minors (Property and Contracts) Act 1970</w:t>
      </w:r>
      <w:r w:rsidRPr="00DC687C">
        <w:rPr>
          <w:rFonts w:cs="Arial"/>
        </w:rPr>
        <w:t xml:space="preserve"> (NSW) s 17, 19.</w:t>
      </w:r>
    </w:p>
  </w:endnote>
  <w:endnote w:id="379">
    <w:p w14:paraId="5E52F5C2" w14:textId="77777777" w:rsidR="00F008D2" w:rsidRPr="00DC687C" w:rsidRDefault="00F008D2" w:rsidP="00AA3994">
      <w:pPr>
        <w:pStyle w:val="EndnoteText"/>
        <w:rPr>
          <w:rFonts w:cs="Arial"/>
        </w:rPr>
      </w:pPr>
      <w:r w:rsidRPr="00DC687C">
        <w:rPr>
          <w:rStyle w:val="EndnoteReference"/>
        </w:rPr>
        <w:endnoteRef/>
      </w:r>
      <w:r w:rsidRPr="00DC687C">
        <w:t xml:space="preserve"> </w:t>
      </w:r>
      <w:r>
        <w:t xml:space="preserve">The </w:t>
      </w:r>
      <w:r w:rsidRPr="00377454">
        <w:rPr>
          <w:i/>
        </w:rPr>
        <w:t>Australian Consumer Law</w:t>
      </w:r>
      <w:r>
        <w:t xml:space="preserve"> is contained in Schedule 2 of the </w:t>
      </w:r>
      <w:r w:rsidRPr="00DC687C">
        <w:rPr>
          <w:rFonts w:cs="Arial"/>
          <w:i/>
        </w:rPr>
        <w:t>Competition and Consumer Act 2010</w:t>
      </w:r>
      <w:r w:rsidRPr="00DC687C">
        <w:rPr>
          <w:rFonts w:cs="Arial"/>
        </w:rPr>
        <w:t xml:space="preserve"> (Cth).</w:t>
      </w:r>
      <w:r>
        <w:rPr>
          <w:rFonts w:cs="Arial"/>
        </w:rPr>
        <w:t xml:space="preserve">  Legislation in each State and Territory applies the </w:t>
      </w:r>
      <w:r>
        <w:rPr>
          <w:rFonts w:cs="Arial"/>
          <w:i/>
        </w:rPr>
        <w:t>Competition and Consumer Act</w:t>
      </w:r>
      <w:r>
        <w:rPr>
          <w:rFonts w:cs="Arial"/>
        </w:rPr>
        <w:t xml:space="preserve"> as a law of that State or Territory – see </w:t>
      </w:r>
      <w:r>
        <w:rPr>
          <w:rFonts w:cs="Arial"/>
          <w:i/>
        </w:rPr>
        <w:t xml:space="preserve">Fair Trading Act 1987 </w:t>
      </w:r>
      <w:r>
        <w:rPr>
          <w:rFonts w:cs="Arial"/>
        </w:rPr>
        <w:t xml:space="preserve">(NSW), </w:t>
      </w:r>
      <w:r>
        <w:rPr>
          <w:rFonts w:cs="Arial"/>
          <w:i/>
        </w:rPr>
        <w:t>Fair Trading Act 1999</w:t>
      </w:r>
      <w:r>
        <w:rPr>
          <w:rFonts w:cs="Arial"/>
        </w:rPr>
        <w:t xml:space="preserve"> (Vic), </w:t>
      </w:r>
      <w:r>
        <w:rPr>
          <w:rFonts w:cs="Arial"/>
          <w:i/>
        </w:rPr>
        <w:t>Fair Trading (Australian Consumer Law) Act 1992</w:t>
      </w:r>
      <w:r>
        <w:rPr>
          <w:rFonts w:cs="Arial"/>
        </w:rPr>
        <w:t xml:space="preserve"> (ACT), </w:t>
      </w:r>
      <w:r>
        <w:rPr>
          <w:rFonts w:cs="Arial"/>
          <w:i/>
        </w:rPr>
        <w:t>Fair Trading Act 1989</w:t>
      </w:r>
      <w:r>
        <w:rPr>
          <w:rFonts w:cs="Arial"/>
        </w:rPr>
        <w:t xml:space="preserve"> (Qld), </w:t>
      </w:r>
      <w:r>
        <w:rPr>
          <w:rFonts w:cs="Arial"/>
          <w:i/>
        </w:rPr>
        <w:t>Fair Trading Act 1987</w:t>
      </w:r>
      <w:r>
        <w:rPr>
          <w:rFonts w:cs="Arial"/>
        </w:rPr>
        <w:t xml:space="preserve"> (SA), </w:t>
      </w:r>
      <w:r>
        <w:rPr>
          <w:rFonts w:cs="Arial"/>
          <w:i/>
        </w:rPr>
        <w:t>Fair Trading Act 2010</w:t>
      </w:r>
      <w:r>
        <w:rPr>
          <w:rFonts w:cs="Arial"/>
        </w:rPr>
        <w:t xml:space="preserve"> (WA), </w:t>
      </w:r>
      <w:r>
        <w:rPr>
          <w:rFonts w:cs="Arial"/>
          <w:i/>
        </w:rPr>
        <w:t>Consumer Affairs and Fair Trading Act</w:t>
      </w:r>
      <w:r>
        <w:rPr>
          <w:rFonts w:cs="Arial"/>
        </w:rPr>
        <w:t xml:space="preserve"> (NT), </w:t>
      </w:r>
      <w:r>
        <w:rPr>
          <w:rFonts w:cs="Arial"/>
          <w:i/>
        </w:rPr>
        <w:t xml:space="preserve">Australian Consumer Law (Tasmania) Act 2010 </w:t>
      </w:r>
      <w:r>
        <w:rPr>
          <w:rFonts w:cs="Arial"/>
        </w:rPr>
        <w:t>(Tas).</w:t>
      </w:r>
    </w:p>
  </w:endnote>
  <w:endnote w:id="380">
    <w:p w14:paraId="2FAAEDEB" w14:textId="77777777" w:rsidR="00F008D2" w:rsidRDefault="00F008D2" w:rsidP="00AA3994">
      <w:pPr>
        <w:pStyle w:val="EndnoteText"/>
      </w:pPr>
      <w:r w:rsidRPr="00DC687C">
        <w:rPr>
          <w:rStyle w:val="EndnoteReference"/>
        </w:rPr>
        <w:endnoteRef/>
      </w:r>
      <w:r w:rsidRPr="00DC687C">
        <w:t xml:space="preserve"> </w:t>
      </w:r>
      <w:r>
        <w:rPr>
          <w:rFonts w:cs="Arial"/>
          <w:i/>
        </w:rPr>
        <w:t>Australian Consumer Law</w:t>
      </w:r>
      <w:r w:rsidRPr="00DC687C">
        <w:rPr>
          <w:rFonts w:cs="Arial"/>
        </w:rPr>
        <w:t xml:space="preserve"> </w:t>
      </w:r>
      <w:r w:rsidRPr="00DC687C">
        <w:t>s</w:t>
      </w:r>
      <w:r>
        <w:t xml:space="preserve">s 18, </w:t>
      </w:r>
      <w:r w:rsidRPr="00DC687C">
        <w:t>2</w:t>
      </w:r>
      <w:r>
        <w:t>3</w:t>
      </w:r>
      <w:r w:rsidRPr="00DC687C">
        <w:t>.</w:t>
      </w:r>
    </w:p>
  </w:endnote>
  <w:endnote w:id="381">
    <w:p w14:paraId="4B760D10" w14:textId="77777777" w:rsidR="00F008D2" w:rsidRDefault="00F008D2" w:rsidP="00AA3994">
      <w:pPr>
        <w:pStyle w:val="EndnoteText"/>
      </w:pPr>
      <w:r>
        <w:rPr>
          <w:rStyle w:val="EndnoteReference"/>
        </w:rPr>
        <w:endnoteRef/>
      </w:r>
      <w:r>
        <w:t xml:space="preserve"> </w:t>
      </w:r>
      <w:r>
        <w:rPr>
          <w:rFonts w:cs="Arial"/>
          <w:bCs/>
          <w:i/>
        </w:rPr>
        <w:t>Australian Consumer Law</w:t>
      </w:r>
      <w:r w:rsidRPr="00A45DF8">
        <w:rPr>
          <w:rFonts w:cs="Arial"/>
          <w:bCs/>
        </w:rPr>
        <w:t xml:space="preserve"> s 24.</w:t>
      </w:r>
    </w:p>
  </w:endnote>
  <w:endnote w:id="382">
    <w:p w14:paraId="0ADFFD9A" w14:textId="77777777" w:rsidR="00F008D2" w:rsidRPr="00512E49" w:rsidRDefault="00F008D2" w:rsidP="00AA3994">
      <w:pPr>
        <w:pStyle w:val="FootnoteText"/>
        <w:rPr>
          <w:rFonts w:cs="Arial"/>
        </w:rPr>
      </w:pPr>
      <w:r>
        <w:rPr>
          <w:rStyle w:val="EndnoteReference"/>
        </w:rPr>
        <w:endnoteRef/>
      </w:r>
      <w:r>
        <w:t xml:space="preserve"> </w:t>
      </w:r>
      <w:r w:rsidRPr="00A45DF8">
        <w:rPr>
          <w:rFonts w:cs="Arial"/>
          <w:i/>
        </w:rPr>
        <w:t>Parkdale Custom Build Furniture Pty Ltd v Puxu Pty Ltd</w:t>
      </w:r>
      <w:r w:rsidRPr="00A45DF8">
        <w:rPr>
          <w:rFonts w:cs="Arial"/>
        </w:rPr>
        <w:t xml:space="preserve"> </w:t>
      </w:r>
      <w:r>
        <w:rPr>
          <w:rFonts w:cs="Arial"/>
        </w:rPr>
        <w:t>(1982) 149 CLR 191</w:t>
      </w:r>
      <w:r w:rsidRPr="00A45DF8">
        <w:rPr>
          <w:rFonts w:cs="Arial"/>
        </w:rPr>
        <w:t xml:space="preserve"> and more recently </w:t>
      </w:r>
      <w:r w:rsidRPr="00A45DF8">
        <w:rPr>
          <w:rFonts w:cs="Arial"/>
          <w:i/>
        </w:rPr>
        <w:t>Campbell v Backoffice Investments Pty Ltd</w:t>
      </w:r>
      <w:r>
        <w:rPr>
          <w:rFonts w:cs="Arial"/>
        </w:rPr>
        <w:t xml:space="preserve"> (2009) 259 ALR 402.</w:t>
      </w:r>
    </w:p>
  </w:endnote>
  <w:endnote w:id="383">
    <w:p w14:paraId="4E10A7CE" w14:textId="77777777" w:rsidR="00F008D2" w:rsidRDefault="00F008D2" w:rsidP="00AA3994">
      <w:pPr>
        <w:pStyle w:val="FootnoteText"/>
      </w:pPr>
      <w:r>
        <w:rPr>
          <w:rStyle w:val="EndnoteReference"/>
        </w:rPr>
        <w:endnoteRef/>
      </w:r>
      <w:r>
        <w:t xml:space="preserve"> </w:t>
      </w:r>
      <w:r w:rsidRPr="00A45DF8">
        <w:rPr>
          <w:rFonts w:cs="Arial"/>
          <w:i/>
        </w:rPr>
        <w:t>Parkdale Custom Build Furniture Pty Ltd v Puxu Pty Ltd</w:t>
      </w:r>
      <w:r w:rsidRPr="00A45DF8">
        <w:rPr>
          <w:rFonts w:cs="Arial"/>
        </w:rPr>
        <w:t xml:space="preserve"> </w:t>
      </w:r>
      <w:r>
        <w:rPr>
          <w:rFonts w:cs="Arial"/>
        </w:rPr>
        <w:t>(1982) 149 CLR 191</w:t>
      </w:r>
      <w:r w:rsidRPr="00A45DF8">
        <w:rPr>
          <w:rFonts w:cs="Arial"/>
        </w:rPr>
        <w:t xml:space="preserve"> and more recently </w:t>
      </w:r>
      <w:r w:rsidRPr="00A45DF8">
        <w:rPr>
          <w:rFonts w:cs="Arial"/>
          <w:i/>
        </w:rPr>
        <w:t>Campbell v Backoffice Investments Pty Ltd</w:t>
      </w:r>
      <w:r>
        <w:rPr>
          <w:rFonts w:cs="Arial"/>
        </w:rPr>
        <w:t xml:space="preserve"> (2009) 259 ALR 402.</w:t>
      </w:r>
    </w:p>
  </w:endnote>
  <w:endnote w:id="384">
    <w:p w14:paraId="70025FC7" w14:textId="77777777" w:rsidR="00F008D2" w:rsidRDefault="00F008D2" w:rsidP="00AA3994">
      <w:pPr>
        <w:pStyle w:val="EndnoteText"/>
      </w:pPr>
      <w:r>
        <w:rPr>
          <w:rStyle w:val="EndnoteReference"/>
        </w:rPr>
        <w:endnoteRef/>
      </w:r>
      <w:r>
        <w:t xml:space="preserve"> </w:t>
      </w:r>
      <w:r w:rsidRPr="00A45DF8">
        <w:rPr>
          <w:rFonts w:cs="Arial"/>
        </w:rPr>
        <w:t xml:space="preserve">A test case on this point, </w:t>
      </w:r>
      <w:r w:rsidRPr="00A45DF8">
        <w:rPr>
          <w:rFonts w:cs="Arial"/>
          <w:i/>
        </w:rPr>
        <w:t>ACCC v Valve Corp</w:t>
      </w:r>
      <w:r>
        <w:rPr>
          <w:rFonts w:cs="Arial"/>
          <w:i/>
        </w:rPr>
        <w:t>oration</w:t>
      </w:r>
      <w:r w:rsidRPr="00A45DF8">
        <w:rPr>
          <w:rFonts w:cs="Arial"/>
        </w:rPr>
        <w:t>, is presently before the Federal Court.</w:t>
      </w:r>
    </w:p>
  </w:endnote>
  <w:endnote w:id="385">
    <w:p w14:paraId="26213C3F" w14:textId="77777777" w:rsidR="00F008D2" w:rsidRPr="00512E49" w:rsidRDefault="00F008D2" w:rsidP="00AA3994">
      <w:pPr>
        <w:pStyle w:val="EndnoteText"/>
        <w:rPr>
          <w:rFonts w:cs="Arial"/>
        </w:rPr>
      </w:pPr>
      <w:r>
        <w:rPr>
          <w:rStyle w:val="EndnoteReference"/>
        </w:rPr>
        <w:endnoteRef/>
      </w:r>
      <w:r>
        <w:t xml:space="preserve"> </w:t>
      </w:r>
      <w:r w:rsidRPr="00A45DF8">
        <w:rPr>
          <w:rFonts w:cs="Arial"/>
        </w:rPr>
        <w:t xml:space="preserve">See </w:t>
      </w:r>
      <w:r w:rsidRPr="00A45DF8">
        <w:rPr>
          <w:rFonts w:cs="Arial"/>
          <w:i/>
        </w:rPr>
        <w:t>Australian Competition &amp; Consumer Commission (ACCC) v Chen</w:t>
      </w:r>
      <w:r w:rsidRPr="00A45DF8">
        <w:rPr>
          <w:rFonts w:cs="Arial"/>
        </w:rPr>
        <w:t xml:space="preserve"> (2003) 132 FCR 309, in which a US resident operated websites that falsely purported to offer tickets to Sydney Opera House productions and to be affiliated with the Sydney Opera House Trust. The Court held that such representations constituted misleading and deceptive conduct under the </w:t>
      </w:r>
      <w:r w:rsidRPr="00A45DF8">
        <w:rPr>
          <w:rFonts w:cs="Arial"/>
          <w:i/>
        </w:rPr>
        <w:t>Trade Practices Act</w:t>
      </w:r>
      <w:r w:rsidRPr="00A45DF8">
        <w:rPr>
          <w:rFonts w:cs="Arial"/>
        </w:rPr>
        <w:t xml:space="preserve"> </w:t>
      </w:r>
      <w:r w:rsidRPr="00A45DF8">
        <w:rPr>
          <w:rFonts w:cs="Arial"/>
          <w:i/>
        </w:rPr>
        <w:t>1974</w:t>
      </w:r>
      <w:r>
        <w:rPr>
          <w:rFonts w:cs="Arial"/>
        </w:rPr>
        <w:t xml:space="preserve"> (Cth).</w:t>
      </w:r>
    </w:p>
  </w:endnote>
  <w:endnote w:id="386">
    <w:p w14:paraId="6411068A" w14:textId="77777777" w:rsidR="00F008D2" w:rsidRDefault="00F008D2" w:rsidP="00AA3994">
      <w:pPr>
        <w:pStyle w:val="EndnoteText"/>
      </w:pPr>
      <w:r>
        <w:rPr>
          <w:rStyle w:val="EndnoteReference"/>
        </w:rPr>
        <w:endnoteRef/>
      </w:r>
      <w:r>
        <w:t xml:space="preserve"> Financial Rights Legal Centre (NSW), Telephone consultation with the Australian Human Rights Commission, </w:t>
      </w:r>
      <w:r w:rsidRPr="00972C1D">
        <w:rPr>
          <w:i/>
        </w:rPr>
        <w:t>National Children’s Commissioner’s examination of business and children’s rights</w:t>
      </w:r>
      <w:r>
        <w:t xml:space="preserve">, 2015; Consumer Action Law Centre (Vic.), Telephone consultation with the Australian Human Rights Commission, </w:t>
      </w:r>
      <w:r w:rsidRPr="00972C1D">
        <w:rPr>
          <w:i/>
        </w:rPr>
        <w:t>National Children’s Commissioner’s examination of business and children’s rights</w:t>
      </w:r>
      <w:r>
        <w:t xml:space="preserve">, 2015; CARE Financial Counselling and Consumer Law Centre (ACT), Telephone consultation with the Australian Human Rights Commission, </w:t>
      </w:r>
      <w:r w:rsidRPr="00972C1D">
        <w:rPr>
          <w:i/>
        </w:rPr>
        <w:t>National Children’s Commissioner’s examination of business and children’s rights</w:t>
      </w:r>
      <w:r>
        <w:t>, 2015.</w:t>
      </w:r>
    </w:p>
  </w:endnote>
  <w:endnote w:id="387">
    <w:p w14:paraId="7C34CB2C" w14:textId="77777777" w:rsidR="00F008D2" w:rsidRDefault="00F008D2" w:rsidP="00AA3994">
      <w:pPr>
        <w:pStyle w:val="EndnoteText"/>
      </w:pPr>
      <w:r>
        <w:rPr>
          <w:rStyle w:val="EndnoteReference"/>
        </w:rPr>
        <w:endnoteRef/>
      </w:r>
      <w:r>
        <w:t xml:space="preserve"> Telecommunications Industry Ombudsman (Cth.), Telephone consultation with the Australian Human Rights Commission, </w:t>
      </w:r>
      <w:r w:rsidRPr="00972C1D">
        <w:rPr>
          <w:i/>
        </w:rPr>
        <w:t>National Children’s Commissioner’s examination of business and children’s rights</w:t>
      </w:r>
      <w:r>
        <w:t>, 2015.</w:t>
      </w:r>
    </w:p>
  </w:endnote>
  <w:endnote w:id="388">
    <w:p w14:paraId="10635E88" w14:textId="77777777" w:rsidR="00F008D2" w:rsidRDefault="00F008D2" w:rsidP="00AA3994">
      <w:pPr>
        <w:pStyle w:val="EndnoteText"/>
      </w:pPr>
      <w:r>
        <w:rPr>
          <w:rStyle w:val="EndnoteReference"/>
        </w:rPr>
        <w:endnoteRef/>
      </w:r>
      <w:r>
        <w:t xml:space="preserve">Financial Rights Legal Centre (NSW), Telephone consultation with the Australian Human Rights Commission, </w:t>
      </w:r>
      <w:r w:rsidRPr="00972C1D">
        <w:rPr>
          <w:i/>
        </w:rPr>
        <w:t>National Children’s Commissioner’s examination of business and children’s rights</w:t>
      </w:r>
      <w:r>
        <w:t xml:space="preserve">, 2015. </w:t>
      </w:r>
    </w:p>
  </w:endnote>
  <w:endnote w:id="389">
    <w:p w14:paraId="33CA822A" w14:textId="77777777" w:rsidR="00F008D2" w:rsidRDefault="00F008D2" w:rsidP="00B67BDF">
      <w:pPr>
        <w:pStyle w:val="EndnoteText"/>
      </w:pPr>
      <w:r>
        <w:rPr>
          <w:rStyle w:val="EndnoteReference"/>
        </w:rPr>
        <w:endnoteRef/>
      </w:r>
      <w:r>
        <w:t xml:space="preserve"> Holroyd High School, Consultation with the Australian Human Rights Commission, </w:t>
      </w:r>
      <w:r w:rsidRPr="00972C1D">
        <w:rPr>
          <w:i/>
        </w:rPr>
        <w:t>National Children’s Commissioner’s examination of business and children’s rights</w:t>
      </w:r>
      <w:r>
        <w:t>, 2015.</w:t>
      </w:r>
    </w:p>
  </w:endnote>
  <w:endnote w:id="390">
    <w:p w14:paraId="1D3ED8F2" w14:textId="77777777" w:rsidR="00F008D2" w:rsidRDefault="00F008D2" w:rsidP="00B67BDF">
      <w:pPr>
        <w:pStyle w:val="EndnoteText"/>
      </w:pPr>
      <w:r>
        <w:rPr>
          <w:rStyle w:val="EndnoteReference"/>
        </w:rPr>
        <w:endnoteRef/>
      </w:r>
      <w:r>
        <w:t xml:space="preserve"> Marrickville West Primary School, Consultation with the Australian Human Rights Commission, </w:t>
      </w:r>
      <w:r w:rsidRPr="00972C1D">
        <w:rPr>
          <w:i/>
        </w:rPr>
        <w:t>National Children’s Commissioner’s examination of business and children’s rights</w:t>
      </w:r>
      <w:r>
        <w:t>, 2015.</w:t>
      </w:r>
    </w:p>
  </w:endnote>
  <w:endnote w:id="391">
    <w:p w14:paraId="22A756ED" w14:textId="77777777" w:rsidR="00F008D2" w:rsidRDefault="00F008D2" w:rsidP="008E681F">
      <w:pPr>
        <w:pStyle w:val="EndnoteText"/>
      </w:pPr>
      <w:r>
        <w:rPr>
          <w:rStyle w:val="EndnoteReference"/>
        </w:rPr>
        <w:endnoteRef/>
      </w:r>
      <w:r>
        <w:t xml:space="preserve"> Marrickville West Primary School, Consultation with the Australian Human Rights Commission, </w:t>
      </w:r>
      <w:r w:rsidRPr="00972C1D">
        <w:rPr>
          <w:i/>
        </w:rPr>
        <w:t>National Children’s Commissioner’s examination of business and children’s rights</w:t>
      </w:r>
      <w:r>
        <w:t>, 2015.</w:t>
      </w:r>
    </w:p>
  </w:endnote>
  <w:endnote w:id="392">
    <w:p w14:paraId="04618F41" w14:textId="77777777" w:rsidR="00F008D2" w:rsidRPr="00FA4921" w:rsidRDefault="00F008D2" w:rsidP="00AA3994">
      <w:pPr>
        <w:pStyle w:val="EndnoteText"/>
        <w:rPr>
          <w:lang w:val="en-US"/>
        </w:rPr>
      </w:pPr>
      <w:r>
        <w:rPr>
          <w:rStyle w:val="EndnoteReference"/>
        </w:rPr>
        <w:endnoteRef/>
      </w:r>
      <w:r>
        <w:t xml:space="preserve"> </w:t>
      </w:r>
      <w:r>
        <w:rPr>
          <w:lang w:val="en-US"/>
        </w:rPr>
        <w:t>Committee on the Rights of the Child, General Comment No. 16 on State obligations regarding the impact of the business sector on children’s rights, UN Doc CRC/C/GC/16 (April 2013), [19].</w:t>
      </w:r>
    </w:p>
  </w:endnote>
  <w:endnote w:id="393">
    <w:p w14:paraId="2DC160A5"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No.14</w:t>
      </w:r>
      <w:r w:rsidRPr="005B2362">
        <w:rPr>
          <w:rFonts w:cs="Arial"/>
          <w:i/>
        </w:rPr>
        <w:t xml:space="preserve"> on </w:t>
      </w:r>
      <w:r>
        <w:rPr>
          <w:rFonts w:cs="Arial"/>
          <w:i/>
        </w:rPr>
        <w:t>the right of the child to have his or her best interests taken as a primary consideration</w:t>
      </w:r>
      <w:r w:rsidRPr="005B2362">
        <w:rPr>
          <w:rFonts w:cs="Arial"/>
        </w:rPr>
        <w:t>, UN Doc C</w:t>
      </w:r>
      <w:r>
        <w:rPr>
          <w:rFonts w:cs="Arial"/>
        </w:rPr>
        <w:t>RC/C/GC/14 (May 2013), [14].</w:t>
      </w:r>
    </w:p>
  </w:endnote>
  <w:endnote w:id="394">
    <w:p w14:paraId="6EA55DF9" w14:textId="77777777" w:rsidR="00F008D2" w:rsidRDefault="00F008D2" w:rsidP="00AA3994">
      <w:pPr>
        <w:pStyle w:val="EndnoteText"/>
      </w:pPr>
      <w:r>
        <w:rPr>
          <w:rStyle w:val="EndnoteReference"/>
        </w:rPr>
        <w:endnoteRef/>
      </w:r>
      <w:r>
        <w:t xml:space="preserve"> HighWater Theatre, Consultation with the Australian Human Rights Commission, </w:t>
      </w:r>
      <w:r w:rsidRPr="00972C1D">
        <w:rPr>
          <w:i/>
        </w:rPr>
        <w:t>National Children’s Commissioner’s examination of business and children’s rights</w:t>
      </w:r>
      <w:r>
        <w:t>, 2015.</w:t>
      </w:r>
    </w:p>
  </w:endnote>
  <w:endnote w:id="395">
    <w:p w14:paraId="591316F6"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w:t>
      </w:r>
      <w:r>
        <w:rPr>
          <w:rFonts w:cs="Arial"/>
        </w:rPr>
        <w:t>RC/C/GC/16 (April 2013) [19].</w:t>
      </w:r>
    </w:p>
  </w:endnote>
  <w:endnote w:id="396">
    <w:p w14:paraId="4C64BECC"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No.14</w:t>
      </w:r>
      <w:r w:rsidRPr="005B2362">
        <w:rPr>
          <w:rFonts w:cs="Arial"/>
          <w:i/>
        </w:rPr>
        <w:t xml:space="preserve"> on </w:t>
      </w:r>
      <w:r>
        <w:rPr>
          <w:rFonts w:cs="Arial"/>
          <w:i/>
        </w:rPr>
        <w:t>the right of the child to have his or her best interests taken as a primary consideration</w:t>
      </w:r>
      <w:r w:rsidRPr="005B2362">
        <w:rPr>
          <w:rFonts w:cs="Arial"/>
        </w:rPr>
        <w:t>, UN Doc C</w:t>
      </w:r>
      <w:r>
        <w:rPr>
          <w:rFonts w:cs="Arial"/>
        </w:rPr>
        <w:t>RC/C/GC/14 (May 2013) [14].</w:t>
      </w:r>
    </w:p>
  </w:endnote>
  <w:endnote w:id="397">
    <w:p w14:paraId="4FF8735F" w14:textId="77777777" w:rsidR="00F008D2" w:rsidRDefault="00F008D2" w:rsidP="00AA3994">
      <w:pPr>
        <w:pStyle w:val="EndnoteText"/>
      </w:pPr>
      <w:r>
        <w:rPr>
          <w:rStyle w:val="EndnoteReference"/>
        </w:rPr>
        <w:endnoteRef/>
      </w:r>
      <w:r>
        <w:t xml:space="preserve"> </w:t>
      </w:r>
      <w:r w:rsidRPr="005B2362">
        <w:rPr>
          <w:rFonts w:cs="Arial"/>
          <w:i/>
        </w:rPr>
        <w:t>Convention on the Rights of the Child</w:t>
      </w:r>
      <w:r w:rsidRPr="005B2362">
        <w:rPr>
          <w:rFonts w:cs="Arial"/>
        </w:rPr>
        <w:t>, opened for signature 20 November 1989, 44/25, (entered int</w:t>
      </w:r>
      <w:r>
        <w:rPr>
          <w:rFonts w:cs="Arial"/>
        </w:rPr>
        <w:t>o force 2 September 1990), art 17</w:t>
      </w:r>
      <w:r w:rsidRPr="005B2362">
        <w:rPr>
          <w:rFonts w:cs="Arial"/>
        </w:rPr>
        <w:t xml:space="preserve">.  </w:t>
      </w:r>
    </w:p>
  </w:endnote>
  <w:endnote w:id="398">
    <w:p w14:paraId="096EE67F" w14:textId="77777777" w:rsidR="00F008D2" w:rsidRDefault="00F008D2" w:rsidP="00AA3994">
      <w:pPr>
        <w:pStyle w:val="EndnoteText"/>
      </w:pPr>
      <w:r>
        <w:rPr>
          <w:rStyle w:val="EndnoteReference"/>
        </w:rPr>
        <w:endnoteRef/>
      </w:r>
      <w:r>
        <w:t xml:space="preserve"> </w:t>
      </w:r>
      <w:r w:rsidRPr="005B2362">
        <w:rPr>
          <w:rFonts w:cs="Arial"/>
          <w:i/>
        </w:rPr>
        <w:t>Convention on the Rights of the Child</w:t>
      </w:r>
      <w:r w:rsidRPr="005B2362">
        <w:rPr>
          <w:rFonts w:cs="Arial"/>
        </w:rPr>
        <w:t>, opened for signature 20 November 1989, 44/25, (entered int</w:t>
      </w:r>
      <w:r>
        <w:rPr>
          <w:rFonts w:cs="Arial"/>
        </w:rPr>
        <w:t>o force 2 September 1990), art 17(e)</w:t>
      </w:r>
      <w:r w:rsidRPr="005B2362">
        <w:rPr>
          <w:rFonts w:cs="Arial"/>
        </w:rPr>
        <w:t xml:space="preserve">.  </w:t>
      </w:r>
    </w:p>
  </w:endnote>
  <w:endnote w:id="399">
    <w:p w14:paraId="7E8D4796" w14:textId="77777777" w:rsidR="00F008D2" w:rsidRDefault="00F008D2" w:rsidP="00AA3994">
      <w:pPr>
        <w:pStyle w:val="EndnoteText"/>
      </w:pPr>
      <w:r>
        <w:rPr>
          <w:rStyle w:val="EndnoteReference"/>
        </w:rPr>
        <w:endnoteRef/>
      </w:r>
      <w:r>
        <w:t xml:space="preserve"> </w:t>
      </w:r>
      <w:r w:rsidRPr="005B2362">
        <w:rPr>
          <w:rFonts w:cs="Arial"/>
          <w:i/>
        </w:rPr>
        <w:t>Convention on the Rights of the Child</w:t>
      </w:r>
      <w:r w:rsidRPr="005B2362">
        <w:rPr>
          <w:rFonts w:cs="Arial"/>
        </w:rPr>
        <w:t>, opened for signature 20 November 1989, 44/25, (entered int</w:t>
      </w:r>
      <w:r>
        <w:rPr>
          <w:rFonts w:cs="Arial"/>
        </w:rPr>
        <w:t>o force 2 September 1990), art 16</w:t>
      </w:r>
      <w:r w:rsidRPr="005B2362">
        <w:rPr>
          <w:rFonts w:cs="Arial"/>
        </w:rPr>
        <w:t xml:space="preserve">.  </w:t>
      </w:r>
    </w:p>
  </w:endnote>
  <w:endnote w:id="400">
    <w:p w14:paraId="1FAD147C" w14:textId="77777777" w:rsidR="00F008D2" w:rsidRDefault="00F008D2" w:rsidP="00732BD5">
      <w:pPr>
        <w:pStyle w:val="EndnoteText"/>
      </w:pPr>
      <w:r>
        <w:rPr>
          <w:rStyle w:val="EndnoteReference"/>
        </w:rPr>
        <w:endnoteRef/>
      </w:r>
      <w:r>
        <w:t xml:space="preserve"> Holroyd High School, Consultation with the Australian Human Rights Commission, </w:t>
      </w:r>
      <w:r w:rsidRPr="00972C1D">
        <w:rPr>
          <w:i/>
        </w:rPr>
        <w:t>National Children’s Commissioner’s examination of business and children’s rights</w:t>
      </w:r>
      <w:r>
        <w:t>, 2015.</w:t>
      </w:r>
    </w:p>
  </w:endnote>
  <w:endnote w:id="401">
    <w:p w14:paraId="5DD2172B"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No.12</w:t>
      </w:r>
      <w:r w:rsidRPr="005B2362">
        <w:rPr>
          <w:rFonts w:cs="Arial"/>
          <w:i/>
        </w:rPr>
        <w:t xml:space="preserve"> on </w:t>
      </w:r>
      <w:r>
        <w:rPr>
          <w:rFonts w:cs="Arial"/>
          <w:i/>
        </w:rPr>
        <w:t>the right of the child to be heard</w:t>
      </w:r>
      <w:r w:rsidRPr="005B2362">
        <w:rPr>
          <w:rFonts w:cs="Arial"/>
        </w:rPr>
        <w:t>, UN Doc C</w:t>
      </w:r>
      <w:r>
        <w:rPr>
          <w:rFonts w:cs="Arial"/>
        </w:rPr>
        <w:t>RC/C/GC/12 (July 2009) [82].</w:t>
      </w:r>
    </w:p>
  </w:endnote>
  <w:endnote w:id="402">
    <w:p w14:paraId="5FCFBE10"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No.12</w:t>
      </w:r>
      <w:r w:rsidRPr="005B2362">
        <w:rPr>
          <w:rFonts w:cs="Arial"/>
          <w:i/>
        </w:rPr>
        <w:t xml:space="preserve"> on </w:t>
      </w:r>
      <w:r>
        <w:rPr>
          <w:rFonts w:cs="Arial"/>
          <w:i/>
        </w:rPr>
        <w:t>the right of the child to be heard</w:t>
      </w:r>
      <w:r w:rsidRPr="005B2362">
        <w:rPr>
          <w:rFonts w:cs="Arial"/>
        </w:rPr>
        <w:t>, UN Doc C</w:t>
      </w:r>
      <w:r>
        <w:rPr>
          <w:rFonts w:cs="Arial"/>
        </w:rPr>
        <w:t>RC/C/GC/12 (July 2009) [82].</w:t>
      </w:r>
    </w:p>
  </w:endnote>
  <w:endnote w:id="403">
    <w:p w14:paraId="6F3B8B11" w14:textId="77777777" w:rsidR="00F008D2" w:rsidRDefault="00F008D2" w:rsidP="00A14079">
      <w:pPr>
        <w:pStyle w:val="EndnoteText"/>
      </w:pPr>
      <w:r>
        <w:rPr>
          <w:rStyle w:val="EndnoteReference"/>
        </w:rPr>
        <w:endnoteRef/>
      </w:r>
      <w:r>
        <w:t xml:space="preserve"> Canterbury Boys High School, Consultation with the Australian Human Rights Commission, </w:t>
      </w:r>
      <w:r w:rsidRPr="00972C1D">
        <w:rPr>
          <w:i/>
        </w:rPr>
        <w:t>National Children’s Commissioner’s examination of business and children’s rights</w:t>
      </w:r>
      <w:r>
        <w:t>, 2015.</w:t>
      </w:r>
    </w:p>
  </w:endnote>
  <w:endnote w:id="404">
    <w:p w14:paraId="0E71A916" w14:textId="77777777" w:rsidR="00F008D2" w:rsidRDefault="00F008D2" w:rsidP="00AA3994">
      <w:pPr>
        <w:pStyle w:val="EndnoteText"/>
      </w:pPr>
      <w:r>
        <w:rPr>
          <w:rStyle w:val="EndnoteReference"/>
        </w:rPr>
        <w:endnoteRef/>
      </w:r>
      <w:r>
        <w:t xml:space="preserve"> </w:t>
      </w:r>
      <w:r w:rsidRPr="005B2362">
        <w:rPr>
          <w:rFonts w:cs="Arial"/>
          <w:i/>
        </w:rPr>
        <w:t>Convention on the Rights of the Child</w:t>
      </w:r>
      <w:r w:rsidRPr="005B2362">
        <w:rPr>
          <w:rFonts w:cs="Arial"/>
        </w:rPr>
        <w:t>, opened for signature 20 November 1989, 44/25, (entered int</w:t>
      </w:r>
      <w:r>
        <w:rPr>
          <w:rFonts w:cs="Arial"/>
        </w:rPr>
        <w:t>o force 2 September 1990), art 16</w:t>
      </w:r>
      <w:r w:rsidRPr="005B2362">
        <w:rPr>
          <w:rFonts w:cs="Arial"/>
        </w:rPr>
        <w:t xml:space="preserve">.  </w:t>
      </w:r>
    </w:p>
  </w:endnote>
  <w:endnote w:id="405">
    <w:p w14:paraId="39705BC7"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No.12</w:t>
      </w:r>
      <w:r w:rsidRPr="005B2362">
        <w:rPr>
          <w:rFonts w:cs="Arial"/>
          <w:i/>
        </w:rPr>
        <w:t xml:space="preserve"> on </w:t>
      </w:r>
      <w:r>
        <w:rPr>
          <w:rFonts w:cs="Arial"/>
          <w:i/>
        </w:rPr>
        <w:t>the right of the child to be heard</w:t>
      </w:r>
      <w:r w:rsidRPr="005B2362">
        <w:rPr>
          <w:rFonts w:cs="Arial"/>
        </w:rPr>
        <w:t>, UN Doc C</w:t>
      </w:r>
      <w:r>
        <w:rPr>
          <w:rFonts w:cs="Arial"/>
        </w:rPr>
        <w:t>RC/C/GC/12 (July 2009) [82].</w:t>
      </w:r>
    </w:p>
  </w:endnote>
  <w:endnote w:id="406">
    <w:p w14:paraId="30C49393" w14:textId="77777777" w:rsidR="00F008D2" w:rsidRPr="007726FE" w:rsidRDefault="00F008D2" w:rsidP="00A14079">
      <w:pPr>
        <w:pStyle w:val="EndnoteText"/>
      </w:pPr>
      <w:r>
        <w:rPr>
          <w:rStyle w:val="EndnoteReference"/>
        </w:rPr>
        <w:endnoteRef/>
      </w:r>
      <w:r>
        <w:t xml:space="preserve"> Keilor Heights Primary School, Consultation with the Australian Human Rights Commission, </w:t>
      </w:r>
      <w:r w:rsidRPr="00972C1D">
        <w:rPr>
          <w:i/>
        </w:rPr>
        <w:t>National Children’s Commissioner’s examination of business and children’s rights</w:t>
      </w:r>
      <w:r>
        <w:t>, 2015.</w:t>
      </w:r>
    </w:p>
  </w:endnote>
  <w:endnote w:id="407">
    <w:p w14:paraId="5F192CF7" w14:textId="77777777" w:rsidR="00F008D2" w:rsidRDefault="00F008D2" w:rsidP="004224B6">
      <w:pPr>
        <w:pStyle w:val="EndnoteText"/>
      </w:pPr>
      <w:r>
        <w:rPr>
          <w:rStyle w:val="EndnoteReference"/>
        </w:rPr>
        <w:endnoteRef/>
      </w:r>
      <w:r>
        <w:t xml:space="preserve"> Marrickville West Primary School, Consultation with the Australian Human Rights Commission, </w:t>
      </w:r>
      <w:r w:rsidRPr="00972C1D">
        <w:rPr>
          <w:i/>
        </w:rPr>
        <w:t>National Children’s Commissioner’s examination of business and children’s rights</w:t>
      </w:r>
      <w:r>
        <w:t>, 2015.</w:t>
      </w:r>
    </w:p>
  </w:endnote>
  <w:endnote w:id="408">
    <w:p w14:paraId="34309A6D"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No.12</w:t>
      </w:r>
      <w:r w:rsidRPr="005B2362">
        <w:rPr>
          <w:rFonts w:cs="Arial"/>
          <w:i/>
        </w:rPr>
        <w:t xml:space="preserve"> on </w:t>
      </w:r>
      <w:r>
        <w:rPr>
          <w:rFonts w:cs="Arial"/>
          <w:i/>
        </w:rPr>
        <w:t>the right of the child to be heard</w:t>
      </w:r>
      <w:r w:rsidRPr="005B2362">
        <w:rPr>
          <w:rFonts w:cs="Arial"/>
        </w:rPr>
        <w:t>, UN Doc C</w:t>
      </w:r>
      <w:r>
        <w:rPr>
          <w:rFonts w:cs="Arial"/>
        </w:rPr>
        <w:t>RC/C/GC/12 (July 2009) [82].</w:t>
      </w:r>
    </w:p>
  </w:endnote>
  <w:endnote w:id="409">
    <w:p w14:paraId="47A105DD" w14:textId="77777777" w:rsidR="00F008D2" w:rsidRDefault="00F008D2" w:rsidP="00AA3994">
      <w:pPr>
        <w:pStyle w:val="EndnoteText"/>
      </w:pPr>
      <w:r>
        <w:rPr>
          <w:rStyle w:val="EndnoteReference"/>
        </w:rPr>
        <w:endnoteRef/>
      </w:r>
      <w:r>
        <w:t xml:space="preserve"> </w:t>
      </w:r>
      <w:r w:rsidRPr="005B2362">
        <w:rPr>
          <w:rFonts w:cs="Arial"/>
          <w:i/>
        </w:rPr>
        <w:t>Convention on the Rights of the Child</w:t>
      </w:r>
      <w:r w:rsidRPr="005B2362">
        <w:rPr>
          <w:rFonts w:cs="Arial"/>
        </w:rPr>
        <w:t>, opened for signature 20 November 1989, 44/25, (entered int</w:t>
      </w:r>
      <w:r>
        <w:rPr>
          <w:rFonts w:cs="Arial"/>
        </w:rPr>
        <w:t>o force 2 September 1990) art 16</w:t>
      </w:r>
      <w:r w:rsidRPr="005B2362">
        <w:rPr>
          <w:rFonts w:cs="Arial"/>
        </w:rPr>
        <w:t xml:space="preserve">.  </w:t>
      </w:r>
    </w:p>
  </w:endnote>
  <w:endnote w:id="410">
    <w:p w14:paraId="076AC6F4"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No.12</w:t>
      </w:r>
      <w:r w:rsidRPr="005B2362">
        <w:rPr>
          <w:rFonts w:cs="Arial"/>
          <w:i/>
        </w:rPr>
        <w:t xml:space="preserve"> on </w:t>
      </w:r>
      <w:r>
        <w:rPr>
          <w:rFonts w:cs="Arial"/>
          <w:i/>
        </w:rPr>
        <w:t>the right of the child to be heard</w:t>
      </w:r>
      <w:r w:rsidRPr="005B2362">
        <w:rPr>
          <w:rFonts w:cs="Arial"/>
        </w:rPr>
        <w:t>, UN Doc C</w:t>
      </w:r>
      <w:r>
        <w:rPr>
          <w:rFonts w:cs="Arial"/>
        </w:rPr>
        <w:t>RC/C/GC/12 (July 2009) [48].</w:t>
      </w:r>
    </w:p>
  </w:endnote>
  <w:endnote w:id="411">
    <w:p w14:paraId="638A8AF9" w14:textId="77777777" w:rsidR="00F008D2" w:rsidRDefault="00F008D2" w:rsidP="004224B6">
      <w:pPr>
        <w:pStyle w:val="EndnoteText"/>
      </w:pPr>
      <w:r>
        <w:rPr>
          <w:rStyle w:val="EndnoteReference"/>
        </w:rPr>
        <w:endnoteRef/>
      </w:r>
      <w:r>
        <w:t xml:space="preserve"> Holroyd High School, Consultation with the Australian Human Rights Commission, </w:t>
      </w:r>
      <w:r w:rsidRPr="00972C1D">
        <w:rPr>
          <w:i/>
        </w:rPr>
        <w:t>National Children’s Commissioner’s examination of business and children’s rights</w:t>
      </w:r>
      <w:r>
        <w:t>, 2015.</w:t>
      </w:r>
    </w:p>
  </w:endnote>
  <w:endnote w:id="412">
    <w:p w14:paraId="16C5DAF8" w14:textId="77777777" w:rsidR="00F008D2" w:rsidRDefault="00F008D2" w:rsidP="004224B6">
      <w:pPr>
        <w:pStyle w:val="EndnoteText"/>
      </w:pPr>
      <w:r>
        <w:rPr>
          <w:rStyle w:val="EndnoteReference"/>
        </w:rPr>
        <w:endnoteRef/>
      </w:r>
      <w:r>
        <w:t xml:space="preserve"> Canterbury Boys High School, Consultation with the Australian Human Rights Commission, </w:t>
      </w:r>
      <w:r w:rsidRPr="00972C1D">
        <w:rPr>
          <w:i/>
        </w:rPr>
        <w:t>National Children’s Commissioner’s examination of business and children’s rights</w:t>
      </w:r>
      <w:r>
        <w:t>, 2015.</w:t>
      </w:r>
    </w:p>
  </w:endnote>
  <w:endnote w:id="413">
    <w:p w14:paraId="4E1F1358"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No.12</w:t>
      </w:r>
      <w:r w:rsidRPr="005B2362">
        <w:rPr>
          <w:rFonts w:cs="Arial"/>
          <w:i/>
        </w:rPr>
        <w:t xml:space="preserve"> on </w:t>
      </w:r>
      <w:r>
        <w:rPr>
          <w:rFonts w:cs="Arial"/>
          <w:i/>
        </w:rPr>
        <w:t>the right of the child to be heard</w:t>
      </w:r>
      <w:r w:rsidRPr="005B2362">
        <w:rPr>
          <w:rFonts w:cs="Arial"/>
        </w:rPr>
        <w:t>, UN Doc C</w:t>
      </w:r>
      <w:r>
        <w:rPr>
          <w:rFonts w:cs="Arial"/>
        </w:rPr>
        <w:t>RC/C/GC/12 (July 2009) [82].</w:t>
      </w:r>
    </w:p>
  </w:endnote>
  <w:endnote w:id="414">
    <w:p w14:paraId="1935FC20"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No.12</w:t>
      </w:r>
      <w:r w:rsidRPr="005B2362">
        <w:rPr>
          <w:rFonts w:cs="Arial"/>
          <w:i/>
        </w:rPr>
        <w:t xml:space="preserve"> on </w:t>
      </w:r>
      <w:r>
        <w:rPr>
          <w:rFonts w:cs="Arial"/>
          <w:i/>
        </w:rPr>
        <w:t>the right of the child to be heard</w:t>
      </w:r>
      <w:r w:rsidRPr="005B2362">
        <w:rPr>
          <w:rFonts w:cs="Arial"/>
        </w:rPr>
        <w:t>, UN Doc C</w:t>
      </w:r>
      <w:r>
        <w:rPr>
          <w:rFonts w:cs="Arial"/>
        </w:rPr>
        <w:t>RC/C/GC/12 (July 2009) [82].</w:t>
      </w:r>
    </w:p>
  </w:endnote>
  <w:endnote w:id="415">
    <w:p w14:paraId="47161358"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sidRPr="005B2362">
        <w:rPr>
          <w:rFonts w:cs="Arial"/>
          <w:i/>
        </w:rPr>
        <w:t>General Comment No.16 on State obligations regarding the impact of the business sector on children’s rights</w:t>
      </w:r>
      <w:r w:rsidRPr="005B2362">
        <w:rPr>
          <w:rFonts w:cs="Arial"/>
        </w:rPr>
        <w:t>, UN Doc C</w:t>
      </w:r>
      <w:r>
        <w:rPr>
          <w:rFonts w:cs="Arial"/>
        </w:rPr>
        <w:t>RC/C/GC/16 (April 2013) [22].</w:t>
      </w:r>
    </w:p>
  </w:endnote>
  <w:endnote w:id="416">
    <w:p w14:paraId="6BD02903" w14:textId="77777777" w:rsidR="00F008D2" w:rsidRDefault="00F008D2" w:rsidP="001F360D">
      <w:pPr>
        <w:pStyle w:val="EndnoteText"/>
      </w:pPr>
      <w:r>
        <w:rPr>
          <w:rStyle w:val="EndnoteReference"/>
        </w:rPr>
        <w:endnoteRef/>
      </w:r>
      <w:r>
        <w:t xml:space="preserve"> Keilor Heights Primary School, Consultation with the Australian Human Rights Commission, </w:t>
      </w:r>
      <w:r w:rsidRPr="00972C1D">
        <w:rPr>
          <w:i/>
        </w:rPr>
        <w:t>National Children’s Commissioner’s examination of business and children’s rights</w:t>
      </w:r>
      <w:r>
        <w:t>, 2015.</w:t>
      </w:r>
    </w:p>
  </w:endnote>
  <w:endnote w:id="417">
    <w:p w14:paraId="6BEC3903" w14:textId="77777777" w:rsidR="00F008D2" w:rsidRDefault="00F008D2" w:rsidP="001F360D">
      <w:pPr>
        <w:pStyle w:val="EndnoteText"/>
      </w:pPr>
      <w:r>
        <w:rPr>
          <w:rStyle w:val="EndnoteReference"/>
        </w:rPr>
        <w:endnoteRef/>
      </w:r>
      <w:r>
        <w:t xml:space="preserve"> Holroyd High School, Consultation with the Australian Human Rights Commission, </w:t>
      </w:r>
      <w:r w:rsidRPr="00972C1D">
        <w:rPr>
          <w:i/>
        </w:rPr>
        <w:t>National Children’s Commissioner’s examination of business and children’s rights</w:t>
      </w:r>
      <w:r>
        <w:t>, 2015.</w:t>
      </w:r>
    </w:p>
  </w:endnote>
  <w:endnote w:id="418">
    <w:p w14:paraId="3B80396A" w14:textId="77777777" w:rsidR="00F008D2" w:rsidRDefault="00F008D2" w:rsidP="00AA3994">
      <w:pPr>
        <w:pStyle w:val="EndnoteText"/>
      </w:pPr>
      <w:r>
        <w:rPr>
          <w:rStyle w:val="EndnoteReference"/>
        </w:rPr>
        <w:endnoteRef/>
      </w:r>
      <w:r>
        <w:t xml:space="preserve"> YMCA Victoria, Consultation with the Australian Human Rights Commission, </w:t>
      </w:r>
      <w:r w:rsidRPr="00972C1D">
        <w:rPr>
          <w:i/>
        </w:rPr>
        <w:t>National Children’s Commissioner’s examination of business and children’s rights</w:t>
      </w:r>
      <w:r>
        <w:t>, 2015.</w:t>
      </w:r>
    </w:p>
  </w:endnote>
  <w:endnote w:id="419">
    <w:p w14:paraId="41275F84" w14:textId="77777777" w:rsidR="00F008D2" w:rsidRDefault="00F008D2" w:rsidP="00AA3994">
      <w:pPr>
        <w:pStyle w:val="EndnoteText"/>
      </w:pPr>
      <w:r>
        <w:rPr>
          <w:rStyle w:val="EndnoteReference"/>
        </w:rPr>
        <w:endnoteRef/>
      </w:r>
      <w:r>
        <w:t xml:space="preserve"> </w:t>
      </w:r>
      <w:r>
        <w:rPr>
          <w:rFonts w:cs="Arial"/>
        </w:rPr>
        <w:t>Committee o</w:t>
      </w:r>
      <w:r w:rsidRPr="005B2362">
        <w:rPr>
          <w:rFonts w:cs="Arial"/>
        </w:rPr>
        <w:t xml:space="preserve">n the Rights of the Child, </w:t>
      </w:r>
      <w:r>
        <w:rPr>
          <w:rFonts w:cs="Arial"/>
          <w:i/>
        </w:rPr>
        <w:t>General Comment No.14</w:t>
      </w:r>
      <w:r w:rsidRPr="005B2362">
        <w:rPr>
          <w:rFonts w:cs="Arial"/>
          <w:i/>
        </w:rPr>
        <w:t xml:space="preserve"> on </w:t>
      </w:r>
      <w:r>
        <w:rPr>
          <w:rFonts w:cs="Arial"/>
          <w:i/>
        </w:rPr>
        <w:t>the right of the child to have his or her best interests taken as a primary consideration</w:t>
      </w:r>
      <w:r w:rsidRPr="005B2362">
        <w:rPr>
          <w:rFonts w:cs="Arial"/>
        </w:rPr>
        <w:t>, UN Doc C</w:t>
      </w:r>
      <w:r>
        <w:rPr>
          <w:rFonts w:cs="Arial"/>
        </w:rPr>
        <w:t>RC/C/GC/14 (May 2013) [14].</w:t>
      </w:r>
    </w:p>
  </w:endnote>
  <w:endnote w:id="420">
    <w:p w14:paraId="24CE2993" w14:textId="7EB8923C" w:rsidR="00F008D2" w:rsidRDefault="00F008D2" w:rsidP="000D1D92">
      <w:pPr>
        <w:pStyle w:val="EndnoteText"/>
      </w:pPr>
      <w:r>
        <w:rPr>
          <w:rStyle w:val="EndnoteReference"/>
        </w:rPr>
        <w:endnoteRef/>
      </w:r>
      <w:r>
        <w:t xml:space="preserve"> Child participant in consultation workshop, Australian Human Rights Commission, </w:t>
      </w:r>
      <w:r>
        <w:rPr>
          <w:i/>
        </w:rPr>
        <w:t>National Children’s Commissioner’s national listening tour (The Big Banter)</w:t>
      </w:r>
      <w:r>
        <w:t xml:space="preserve"> (2013)</w:t>
      </w:r>
      <w:r w:rsidRPr="00E25B6D">
        <w:t>.</w:t>
      </w:r>
    </w:p>
  </w:endnote>
  <w:endnote w:id="421">
    <w:p w14:paraId="141DC4F8" w14:textId="77777777" w:rsidR="00F008D2" w:rsidRDefault="00F008D2" w:rsidP="000D1D92">
      <w:pPr>
        <w:pStyle w:val="EndnoteText"/>
      </w:pPr>
      <w:r>
        <w:rPr>
          <w:rStyle w:val="EndnoteReference"/>
        </w:rPr>
        <w:endnoteRef/>
      </w:r>
      <w:r>
        <w:t xml:space="preserve"> New South Wales Government, </w:t>
      </w:r>
      <w:r w:rsidRPr="003737E7">
        <w:rPr>
          <w:i/>
        </w:rPr>
        <w:t>It Stops Here - Standing Together To End Domestic And Family Violence In NSW</w:t>
      </w:r>
      <w:r>
        <w:t xml:space="preserve"> </w:t>
      </w:r>
      <w:r w:rsidRPr="00C225A1">
        <w:t>(</w:t>
      </w:r>
      <w:r>
        <w:t>2014) 6.</w:t>
      </w:r>
    </w:p>
  </w:endnote>
  <w:endnote w:id="422">
    <w:p w14:paraId="551A2C65" w14:textId="77777777" w:rsidR="00F008D2" w:rsidRPr="00B23028" w:rsidRDefault="00F008D2" w:rsidP="000D1D92">
      <w:pPr>
        <w:pStyle w:val="EndnoteText"/>
        <w:rPr>
          <w:lang w:val="en-US"/>
        </w:rPr>
      </w:pPr>
      <w:r>
        <w:rPr>
          <w:rStyle w:val="EndnoteReference"/>
        </w:rPr>
        <w:endnoteRef/>
      </w:r>
      <w:r>
        <w:t xml:space="preserve"> M Henderson, </w:t>
      </w:r>
      <w:r w:rsidRPr="00324BD8">
        <w:rPr>
          <w:i/>
        </w:rPr>
        <w:t>Growing Up with Domestic Violence: The Voices of Resilience</w:t>
      </w:r>
      <w:r>
        <w:t xml:space="preserve"> (Master of Health Science in Psychology Thesis, Massey University, Manawatu, New Zealand, 2013) 9. &lt;</w:t>
      </w:r>
      <w:hyperlink r:id="rId118" w:history="1">
        <w:r w:rsidRPr="00D6108C">
          <w:rPr>
            <w:rStyle w:val="Hyperlink"/>
          </w:rPr>
          <w:t>http://www.abstract.lib-ebook.com/a1-medicine/1547858-1-a-thesis-presented-partial-fulfilment-the-requirements-for-the-deg.php</w:t>
        </w:r>
      </w:hyperlink>
      <w:r>
        <w:t>&gt;</w:t>
      </w:r>
    </w:p>
  </w:endnote>
  <w:endnote w:id="423">
    <w:p w14:paraId="6825F169" w14:textId="77777777" w:rsidR="00F008D2" w:rsidRDefault="00F008D2" w:rsidP="000D1D92">
      <w:pPr>
        <w:pStyle w:val="EndnoteText"/>
        <w:jc w:val="both"/>
      </w:pPr>
      <w:r>
        <w:rPr>
          <w:rStyle w:val="EndnoteReference"/>
        </w:rPr>
        <w:endnoteRef/>
      </w:r>
      <w:r>
        <w:t xml:space="preserve"> </w:t>
      </w:r>
      <w:r w:rsidRPr="00891604">
        <w:t xml:space="preserve">Australian Human Rights Commission, </w:t>
      </w:r>
      <w:r w:rsidRPr="00891604">
        <w:rPr>
          <w:i/>
        </w:rPr>
        <w:t xml:space="preserve">Children’s Rights Report 2013 </w:t>
      </w:r>
      <w:r w:rsidRPr="00891604">
        <w:t>(2013) 85.</w:t>
      </w:r>
    </w:p>
  </w:endnote>
  <w:endnote w:id="424">
    <w:p w14:paraId="12AB375E" w14:textId="77777777" w:rsidR="00F008D2" w:rsidRPr="00332FB0" w:rsidRDefault="00F008D2" w:rsidP="000D1D92">
      <w:pPr>
        <w:pStyle w:val="EndnoteText"/>
        <w:jc w:val="both"/>
      </w:pPr>
      <w:r w:rsidRPr="00F64A64">
        <w:rPr>
          <w:rStyle w:val="EndnoteReference"/>
        </w:rPr>
        <w:endnoteRef/>
      </w:r>
      <w:r w:rsidRPr="00F64A64">
        <w:t xml:space="preserve"> </w:t>
      </w:r>
      <w:r>
        <w:rPr>
          <w:i/>
        </w:rPr>
        <w:t xml:space="preserve">Discussion, </w:t>
      </w:r>
      <w:r>
        <w:t>Roundtable, National Children’s Commissioner’s examination of intentional self-harm in children, (2014)</w:t>
      </w:r>
    </w:p>
  </w:endnote>
  <w:endnote w:id="425">
    <w:p w14:paraId="4D77CC0B" w14:textId="77777777" w:rsidR="00F008D2" w:rsidRDefault="00F008D2" w:rsidP="000D1D92">
      <w:pPr>
        <w:pStyle w:val="EndnoteText"/>
        <w:jc w:val="both"/>
      </w:pPr>
      <w:r>
        <w:rPr>
          <w:rStyle w:val="EndnoteReference"/>
        </w:rPr>
        <w:endnoteRef/>
      </w:r>
      <w:r>
        <w:t xml:space="preserve"> </w:t>
      </w:r>
      <w:r w:rsidRPr="00891604">
        <w:t xml:space="preserve">Australian Crime Commission, </w:t>
      </w:r>
      <w:r w:rsidRPr="00891604">
        <w:rPr>
          <w:i/>
        </w:rPr>
        <w:t xml:space="preserve">The Final Report of the National Indigenous Intelligence Task Force 2006-2014 </w:t>
      </w:r>
      <w:r w:rsidRPr="00891604">
        <w:t>(2014) 11.</w:t>
      </w:r>
    </w:p>
  </w:endnote>
  <w:endnote w:id="426">
    <w:p w14:paraId="07DB92FF" w14:textId="77777777" w:rsidR="00F008D2" w:rsidRDefault="00F008D2" w:rsidP="000D1D92">
      <w:pPr>
        <w:pStyle w:val="EndnoteText"/>
        <w:jc w:val="both"/>
      </w:pPr>
      <w:r>
        <w:rPr>
          <w:rStyle w:val="EndnoteReference"/>
        </w:rPr>
        <w:endnoteRef/>
      </w:r>
      <w:r>
        <w:t xml:space="preserve"> Australian Human Rights Commission, </w:t>
      </w:r>
      <w:r>
        <w:rPr>
          <w:i/>
        </w:rPr>
        <w:t xml:space="preserve">Children’s Rights Report 2014 </w:t>
      </w:r>
      <w:r>
        <w:t>(2014) 66.</w:t>
      </w:r>
    </w:p>
  </w:endnote>
  <w:endnote w:id="427">
    <w:p w14:paraId="0DA301AE" w14:textId="77777777" w:rsidR="00F008D2" w:rsidRPr="00813C6D" w:rsidRDefault="00F008D2" w:rsidP="000D1D92">
      <w:pPr>
        <w:pStyle w:val="EndnoteText"/>
      </w:pPr>
      <w:r>
        <w:rPr>
          <w:rStyle w:val="EndnoteReference"/>
        </w:rPr>
        <w:endnoteRef/>
      </w:r>
      <w:r>
        <w:t xml:space="preserve"> </w:t>
      </w:r>
      <w:r w:rsidRPr="00EE4C18">
        <w:t>Austra</w:t>
      </w:r>
      <w:r w:rsidRPr="00370588">
        <w:t xml:space="preserve">lian Bureau of Statistics, </w:t>
      </w:r>
      <w:r w:rsidRPr="0049445A">
        <w:t>‘</w:t>
      </w:r>
      <w:r w:rsidRPr="00A33846">
        <w:t>Directory of Family and Domestic Violence Statistics</w:t>
      </w:r>
      <w:r w:rsidRPr="00EE4C18">
        <w:t xml:space="preserve"> </w:t>
      </w:r>
      <w:r w:rsidRPr="00370588">
        <w:t xml:space="preserve">– Defining Family and Domestic Violence’ (4533.0, 3 October 2013) </w:t>
      </w:r>
      <w:r>
        <w:t>&lt;</w:t>
      </w:r>
      <w:hyperlink r:id="rId119" w:history="1">
        <w:r w:rsidRPr="00D6108C">
          <w:rPr>
            <w:rStyle w:val="Hyperlink"/>
          </w:rPr>
          <w:t>http://www.abs.gov.au/ausstats/abs@.nsf/Lookup/4533.0Main+Features72013</w:t>
        </w:r>
      </w:hyperlink>
      <w:r>
        <w:t>&gt;</w:t>
      </w:r>
    </w:p>
  </w:endnote>
  <w:endnote w:id="428">
    <w:p w14:paraId="418416CD" w14:textId="77777777" w:rsidR="00F008D2" w:rsidRDefault="00F008D2" w:rsidP="000D1D92">
      <w:pPr>
        <w:pStyle w:val="EndnoteText"/>
      </w:pPr>
      <w:r w:rsidRPr="000A0E75">
        <w:rPr>
          <w:rStyle w:val="EndnoteReference"/>
        </w:rPr>
        <w:endnoteRef/>
      </w:r>
      <w:r w:rsidRPr="000A0E75">
        <w:t xml:space="preserve"> Australian Bureau of Statistics, ‘Directory of Family and Domestic Violence Statistics – Defining</w:t>
      </w:r>
      <w:r w:rsidRPr="00370588">
        <w:t xml:space="preserve"> Family and Domestic Violence’ (4533.0, 3 October 2013) </w:t>
      </w:r>
      <w:r>
        <w:t>&lt;</w:t>
      </w:r>
      <w:hyperlink r:id="rId120" w:history="1">
        <w:r w:rsidRPr="00D6108C">
          <w:rPr>
            <w:rStyle w:val="Hyperlink"/>
          </w:rPr>
          <w:t>http://www.abs.gov.au/ausstats/abs@.nsf/Lookup/4533.0Main+Features72013</w:t>
        </w:r>
      </w:hyperlink>
      <w:r>
        <w:t>&gt;</w:t>
      </w:r>
    </w:p>
  </w:endnote>
  <w:endnote w:id="429">
    <w:p w14:paraId="036B7EDB" w14:textId="77777777" w:rsidR="00F008D2" w:rsidRPr="00BA23E3" w:rsidRDefault="00F008D2" w:rsidP="000D1D92">
      <w:pPr>
        <w:pStyle w:val="EndnoteText"/>
        <w:jc w:val="both"/>
        <w:rPr>
          <w:lang w:val="en-US"/>
        </w:rPr>
      </w:pPr>
      <w:r w:rsidRPr="00BA23E3">
        <w:rPr>
          <w:rStyle w:val="EndnoteReference"/>
        </w:rPr>
        <w:endnoteRef/>
      </w:r>
      <w:r w:rsidRPr="00BA23E3">
        <w:t xml:space="preserve"> Department of Social Services</w:t>
      </w:r>
      <w:r w:rsidRPr="00A33846">
        <w:t xml:space="preserve"> (Cth), </w:t>
      </w:r>
      <w:r w:rsidRPr="00A33846">
        <w:rPr>
          <w:i/>
        </w:rPr>
        <w:t>National Framework for Protecting Australia’s Children 2009-2020</w:t>
      </w:r>
      <w:r>
        <w:t xml:space="preserve"> (2009) 21; </w:t>
      </w:r>
      <w:r w:rsidRPr="00BA23E3">
        <w:t>Department of Social Services</w:t>
      </w:r>
      <w:r w:rsidRPr="00A33846">
        <w:t xml:space="preserve"> (Cth), </w:t>
      </w:r>
      <w:r w:rsidRPr="00A33846">
        <w:rPr>
          <w:i/>
        </w:rPr>
        <w:t>National Plan to Reduce Violence against Women and their Children 2010-2022</w:t>
      </w:r>
      <w:r w:rsidRPr="00A33846">
        <w:t xml:space="preserve"> (2011) 7.</w:t>
      </w:r>
    </w:p>
  </w:endnote>
  <w:endnote w:id="430">
    <w:p w14:paraId="4DEE5CDE" w14:textId="77777777" w:rsidR="00F008D2" w:rsidRPr="00BA23E3" w:rsidRDefault="00F008D2" w:rsidP="000D1D92">
      <w:pPr>
        <w:pStyle w:val="EndnoteText"/>
        <w:jc w:val="both"/>
        <w:rPr>
          <w:lang w:val="en-US"/>
        </w:rPr>
      </w:pPr>
      <w:r w:rsidRPr="00BA23E3">
        <w:rPr>
          <w:rStyle w:val="EndnoteReference"/>
        </w:rPr>
        <w:endnoteRef/>
      </w:r>
      <w:r w:rsidRPr="00BA23E3">
        <w:t xml:space="preserve"> Department of Social Services</w:t>
      </w:r>
      <w:r w:rsidRPr="00A33846">
        <w:t xml:space="preserve"> (Cth), </w:t>
      </w:r>
      <w:r w:rsidRPr="00A33846">
        <w:rPr>
          <w:i/>
        </w:rPr>
        <w:t>National Framework for Protecting Australia’s Children 2009-2020</w:t>
      </w:r>
      <w:r>
        <w:t xml:space="preserve"> (2009) 21; </w:t>
      </w:r>
      <w:r w:rsidRPr="00BA23E3">
        <w:t>Department of Social Services</w:t>
      </w:r>
      <w:r w:rsidRPr="00A33846">
        <w:t xml:space="preserve"> (Cth), </w:t>
      </w:r>
      <w:r w:rsidRPr="00A33846">
        <w:rPr>
          <w:i/>
        </w:rPr>
        <w:t>National Plan to Reduce Violence against Women and their Children 2010-2022</w:t>
      </w:r>
      <w:r w:rsidRPr="00A33846">
        <w:t xml:space="preserve"> (2011) 10</w:t>
      </w:r>
      <w:r w:rsidRPr="00A33846">
        <w:rPr>
          <w:lang w:val="en-US"/>
        </w:rPr>
        <w:t>.</w:t>
      </w:r>
    </w:p>
  </w:endnote>
  <w:endnote w:id="431">
    <w:p w14:paraId="4C6D8B29" w14:textId="77777777" w:rsidR="00F008D2" w:rsidRPr="00BA23E3" w:rsidRDefault="00F008D2" w:rsidP="000D1D92">
      <w:pPr>
        <w:pStyle w:val="EndnoteText"/>
        <w:jc w:val="both"/>
      </w:pPr>
      <w:r w:rsidRPr="00BA23E3">
        <w:rPr>
          <w:rStyle w:val="EndnoteReference"/>
        </w:rPr>
        <w:endnoteRef/>
      </w:r>
      <w:r w:rsidRPr="00BA23E3">
        <w:t xml:space="preserve"> </w:t>
      </w:r>
      <w:r w:rsidRPr="00A33846">
        <w:t xml:space="preserve">Department of Social Services (Cth), </w:t>
      </w:r>
      <w:r w:rsidRPr="00A33846">
        <w:rPr>
          <w:i/>
        </w:rPr>
        <w:t xml:space="preserve">National Plan to Reduce Violence against Women and their Children 2010-2022 - Second Action Plan 2013-2016, Moving Ahead </w:t>
      </w:r>
      <w:r w:rsidRPr="00A33846">
        <w:t>(2014) 2.</w:t>
      </w:r>
    </w:p>
  </w:endnote>
  <w:endnote w:id="432">
    <w:p w14:paraId="21808DEC" w14:textId="77777777" w:rsidR="00F008D2" w:rsidRPr="00400BD0" w:rsidRDefault="00F008D2" w:rsidP="000D1D92">
      <w:pPr>
        <w:pStyle w:val="EndnoteText"/>
        <w:jc w:val="both"/>
        <w:rPr>
          <w:lang w:val="en-US"/>
        </w:rPr>
      </w:pPr>
      <w:r w:rsidRPr="00BA23E3">
        <w:rPr>
          <w:rStyle w:val="EndnoteReference"/>
        </w:rPr>
        <w:endnoteRef/>
      </w:r>
      <w:r w:rsidRPr="00BA23E3">
        <w:t xml:space="preserve"> </w:t>
      </w:r>
      <w:r w:rsidRPr="00A33846">
        <w:t xml:space="preserve">Department of Social Services (Cth), </w:t>
      </w:r>
      <w:r w:rsidRPr="00A33846">
        <w:rPr>
          <w:i/>
        </w:rPr>
        <w:t>National Plan to Reduce Violence against Women and their Children 2010-2022</w:t>
      </w:r>
      <w:r w:rsidRPr="00A33846">
        <w:t xml:space="preserve"> (2011) 10</w:t>
      </w:r>
      <w:r w:rsidRPr="00A33846">
        <w:rPr>
          <w:lang w:val="en-US"/>
        </w:rPr>
        <w:t>.</w:t>
      </w:r>
    </w:p>
  </w:endnote>
  <w:endnote w:id="433">
    <w:p w14:paraId="5BD14B08" w14:textId="77777777" w:rsidR="00F008D2" w:rsidRDefault="00F008D2" w:rsidP="000D1D92">
      <w:pPr>
        <w:pStyle w:val="EndnoteText"/>
      </w:pPr>
      <w:r w:rsidRPr="00EE4C18">
        <w:rPr>
          <w:rStyle w:val="EndnoteReference"/>
        </w:rPr>
        <w:endnoteRef/>
      </w:r>
      <w:r w:rsidRPr="00EE4C18">
        <w:t xml:space="preserve"> Prime Minister, ‘Addressing Violence Against Women and their Children’ (Media Release, 27 June 2014) </w:t>
      </w:r>
      <w:r>
        <w:t>&lt;</w:t>
      </w:r>
      <w:hyperlink r:id="rId121" w:history="1">
        <w:r w:rsidRPr="00D6108C">
          <w:rPr>
            <w:rStyle w:val="Hyperlink"/>
          </w:rPr>
          <w:t>http://www.liberal.org.au/latest-news/2014/06/27/prime-minister-joint-press-release-addressing-violence-against-women-and</w:t>
        </w:r>
      </w:hyperlink>
      <w:r>
        <w:t>&gt;.</w:t>
      </w:r>
    </w:p>
  </w:endnote>
  <w:endnote w:id="434">
    <w:p w14:paraId="073869DF" w14:textId="77777777" w:rsidR="00F008D2" w:rsidRDefault="00F008D2" w:rsidP="000D1D92">
      <w:pPr>
        <w:pStyle w:val="EndnoteText"/>
        <w:jc w:val="both"/>
      </w:pPr>
      <w:r w:rsidRPr="00EE4C18">
        <w:rPr>
          <w:rStyle w:val="EndnoteReference"/>
        </w:rPr>
        <w:endnoteRef/>
      </w:r>
      <w:r w:rsidRPr="00EE4C18">
        <w:t xml:space="preserve"> </w:t>
      </w:r>
      <w:r w:rsidRPr="00B6781F">
        <w:t xml:space="preserve">The Council of Australian Governments, </w:t>
      </w:r>
      <w:r w:rsidRPr="00B6781F">
        <w:rPr>
          <w:i/>
        </w:rPr>
        <w:t>COAG Communique</w:t>
      </w:r>
      <w:r w:rsidRPr="00B6781F">
        <w:t>, (17 April 2015) &lt;</w:t>
      </w:r>
      <w:hyperlink r:id="rId122" w:history="1">
        <w:r w:rsidRPr="00B6781F">
          <w:rPr>
            <w:rStyle w:val="Hyperlink"/>
          </w:rPr>
          <w:t>https://www.coag.gov.au/node/522</w:t>
        </w:r>
      </w:hyperlink>
      <w:r w:rsidRPr="00B6781F">
        <w:t>&gt;.</w:t>
      </w:r>
    </w:p>
  </w:endnote>
  <w:endnote w:id="435">
    <w:p w14:paraId="1A423C12" w14:textId="77777777" w:rsidR="00F008D2" w:rsidRDefault="00F008D2" w:rsidP="000D1D92">
      <w:pPr>
        <w:pStyle w:val="EndnoteText"/>
      </w:pPr>
      <w:r w:rsidRPr="00AB0361">
        <w:rPr>
          <w:rStyle w:val="EndnoteReference"/>
        </w:rPr>
        <w:endnoteRef/>
      </w:r>
      <w:r w:rsidRPr="00AB0361">
        <w:t xml:space="preserve"> The Education Council, </w:t>
      </w:r>
      <w:r w:rsidRPr="00AB0361">
        <w:rPr>
          <w:i/>
        </w:rPr>
        <w:t>Communique,</w:t>
      </w:r>
      <w:r w:rsidRPr="00AB0361">
        <w:t xml:space="preserve"> (18 September 2015 &lt; http://www.scseec.edu.au/#null on 21 September 2015&gt;.</w:t>
      </w:r>
    </w:p>
  </w:endnote>
  <w:endnote w:id="436">
    <w:p w14:paraId="7A0750E2" w14:textId="77777777" w:rsidR="00F008D2" w:rsidRPr="00614663" w:rsidRDefault="00F008D2" w:rsidP="000D1D92">
      <w:pPr>
        <w:pStyle w:val="EndnoteText"/>
      </w:pPr>
      <w:r>
        <w:rPr>
          <w:rStyle w:val="EndnoteReference"/>
        </w:rPr>
        <w:endnoteRef/>
      </w:r>
      <w:r>
        <w:t xml:space="preserve"> L Bartels, ‘Emerging issues in domestic/family violence research’ (Research Paper No 10, Research in Practice Report, Australian Institute of Criminology, 2010) &lt;</w:t>
      </w:r>
      <w:hyperlink r:id="rId123" w:history="1">
        <w:r w:rsidRPr="00D6108C">
          <w:rPr>
            <w:rStyle w:val="Hyperlink"/>
          </w:rPr>
          <w:t>http://www.aic.gov.au/publications/current%20series/rip/1-10/10.html</w:t>
        </w:r>
      </w:hyperlink>
      <w:r>
        <w:t xml:space="preserve">&gt;. </w:t>
      </w:r>
    </w:p>
  </w:endnote>
  <w:endnote w:id="437">
    <w:p w14:paraId="05B6DFD9" w14:textId="77777777" w:rsidR="00F008D2" w:rsidRPr="000A0E75" w:rsidRDefault="00F008D2" w:rsidP="000D1D92">
      <w:pPr>
        <w:pStyle w:val="EndnoteText"/>
      </w:pPr>
      <w:r>
        <w:rPr>
          <w:rStyle w:val="EndnoteReference"/>
        </w:rPr>
        <w:endnoteRef/>
      </w:r>
      <w:r>
        <w:t xml:space="preserve"> </w:t>
      </w:r>
      <w:r w:rsidRPr="00A33846">
        <w:t xml:space="preserve">Australian Bureau of Statistics, ‘Personal Safety, Australia, 2012 </w:t>
      </w:r>
      <w:r w:rsidRPr="00EE4C18">
        <w:t xml:space="preserve">– </w:t>
      </w:r>
      <w:r w:rsidRPr="00370588">
        <w:t>Experience of Partner Violence’</w:t>
      </w:r>
      <w:r w:rsidRPr="00A33846">
        <w:rPr>
          <w:i/>
        </w:rPr>
        <w:t xml:space="preserve">, </w:t>
      </w:r>
      <w:r w:rsidRPr="00A33846">
        <w:t>(4906.0, 11 December 2013)</w:t>
      </w:r>
      <w:r>
        <w:t xml:space="preserve"> </w:t>
      </w:r>
      <w:r w:rsidRPr="000A0E75">
        <w:t>&lt;</w:t>
      </w:r>
      <w:hyperlink r:id="rId124" w:history="1">
        <w:r w:rsidRPr="000A0E75">
          <w:rPr>
            <w:rStyle w:val="Hyperlink"/>
          </w:rPr>
          <w:t>http://www.abs.gov.au/ausstats/abs@.nsf/Lookup/4906.0Chapter7002012</w:t>
        </w:r>
      </w:hyperlink>
      <w:r w:rsidRPr="000A0E75">
        <w:t>&gt;.</w:t>
      </w:r>
    </w:p>
  </w:endnote>
  <w:endnote w:id="438">
    <w:p w14:paraId="53B6311E" w14:textId="77777777" w:rsidR="00F008D2" w:rsidRPr="000A0E75" w:rsidRDefault="00F008D2" w:rsidP="000D1D92">
      <w:pPr>
        <w:pStyle w:val="EndnoteText"/>
      </w:pPr>
      <w:r w:rsidRPr="000A0E75">
        <w:rPr>
          <w:rStyle w:val="EndnoteReference"/>
        </w:rPr>
        <w:endnoteRef/>
      </w:r>
      <w:r w:rsidRPr="000A0E75">
        <w:t xml:space="preserve"> </w:t>
      </w:r>
      <w:r w:rsidRPr="00A33846">
        <w:t xml:space="preserve">Australian Bureau of Statistics, ‘Personal Safety, Australia, 2012 </w:t>
      </w:r>
      <w:r w:rsidRPr="000A0E75">
        <w:t>– Experience of Partner Violence’</w:t>
      </w:r>
      <w:r w:rsidRPr="00A33846">
        <w:rPr>
          <w:i/>
        </w:rPr>
        <w:t xml:space="preserve">, </w:t>
      </w:r>
      <w:r w:rsidRPr="00A33846">
        <w:t>(4906.0, 11 December 2013) table 28 &lt;</w:t>
      </w:r>
      <w:hyperlink r:id="rId125" w:history="1">
        <w:r w:rsidRPr="000A0E75">
          <w:rPr>
            <w:rStyle w:val="Hyperlink"/>
          </w:rPr>
          <w:t>http://www.abs.gov.au/AUSSTATS/abs@.nsf/DetailsPage/4906.02012?OpenDocument</w:t>
        </w:r>
      </w:hyperlink>
      <w:r w:rsidRPr="000A0E75">
        <w:t>&gt;</w:t>
      </w:r>
      <w:r w:rsidRPr="00A33846">
        <w:t xml:space="preserve">. </w:t>
      </w:r>
    </w:p>
  </w:endnote>
  <w:endnote w:id="439">
    <w:p w14:paraId="0F8728F6" w14:textId="77777777" w:rsidR="00F008D2" w:rsidRDefault="00F008D2" w:rsidP="000D1D92">
      <w:pPr>
        <w:pStyle w:val="EndnoteText"/>
      </w:pPr>
      <w:r w:rsidRPr="000A0E75">
        <w:rPr>
          <w:rStyle w:val="EndnoteReference"/>
        </w:rPr>
        <w:endnoteRef/>
      </w:r>
      <w:r w:rsidRPr="000A0E75">
        <w:t xml:space="preserve"> P Pinheiro, Independent Expert for the United Nations Secretary-General’s Study on Violence</w:t>
      </w:r>
      <w:r w:rsidRPr="00D45730">
        <w:t xml:space="preserve"> against Children, </w:t>
      </w:r>
      <w:r w:rsidRPr="00D45730">
        <w:rPr>
          <w:i/>
        </w:rPr>
        <w:t>World Report on Violence Against Children</w:t>
      </w:r>
      <w:r w:rsidRPr="00D45730">
        <w:t>, GA Res 62/141</w:t>
      </w:r>
      <w:r w:rsidRPr="00D45730">
        <w:rPr>
          <w:i/>
        </w:rPr>
        <w:t xml:space="preserve"> </w:t>
      </w:r>
      <w:r w:rsidRPr="00D45730">
        <w:t>(11 October 2006) 70</w:t>
      </w:r>
      <w:r w:rsidRPr="00CF69C1">
        <w:t xml:space="preserve"> </w:t>
      </w:r>
      <w:r>
        <w:t>&lt;</w:t>
      </w:r>
      <w:hyperlink r:id="rId126" w:history="1">
        <w:r w:rsidRPr="00D6108C">
          <w:rPr>
            <w:rStyle w:val="Hyperlink"/>
          </w:rPr>
          <w:t>http://www.ohchr.org/EN/HRBodies/CRC/Study/Pages/StudyViolenceChildren.aspx</w:t>
        </w:r>
      </w:hyperlink>
      <w:r>
        <w:t xml:space="preserve"> &gt;.</w:t>
      </w:r>
    </w:p>
  </w:endnote>
  <w:endnote w:id="440">
    <w:p w14:paraId="4F3B2FC5" w14:textId="77777777" w:rsidR="00F008D2" w:rsidRPr="00073B6A" w:rsidRDefault="00F008D2" w:rsidP="000D1D92">
      <w:pPr>
        <w:pStyle w:val="EndnoteText"/>
      </w:pPr>
      <w:r>
        <w:rPr>
          <w:rStyle w:val="EndnoteReference"/>
        </w:rPr>
        <w:endnoteRef/>
      </w:r>
      <w:r>
        <w:t xml:space="preserve"> K Richards, ‘Children’s exposure to domestic violence in Australia’ (Research Paper No 419, Trends and Issues in Crime and Criminal Justice, Australian Institute of Criminology, 2011) 3</w:t>
      </w:r>
      <w:r w:rsidRPr="003D7654">
        <w:t xml:space="preserve"> </w:t>
      </w:r>
      <w:r>
        <w:t>&lt;</w:t>
      </w:r>
      <w:hyperlink r:id="rId127" w:history="1">
        <w:r w:rsidRPr="00D6108C">
          <w:rPr>
            <w:rStyle w:val="Hyperlink"/>
          </w:rPr>
          <w:t>http://aic.gov.au/publications/current%20series/tandi/401-420/tandi419.html</w:t>
        </w:r>
      </w:hyperlink>
      <w:r>
        <w:t>&gt;.</w:t>
      </w:r>
    </w:p>
  </w:endnote>
  <w:endnote w:id="441">
    <w:p w14:paraId="2CA48092" w14:textId="77777777" w:rsidR="00F008D2" w:rsidRPr="003E7548" w:rsidRDefault="00F008D2" w:rsidP="000D1D92">
      <w:pPr>
        <w:pStyle w:val="EndnoteText"/>
      </w:pPr>
      <w:r>
        <w:rPr>
          <w:rStyle w:val="EndnoteReference"/>
        </w:rPr>
        <w:endnoteRef/>
      </w:r>
      <w:r>
        <w:t xml:space="preserve"> S Holt, H Buckley and S Whelan, ‘The impact of exposure to domestic violence on children and young people: a review of the literature’ (2008) 32 </w:t>
      </w:r>
      <w:r>
        <w:rPr>
          <w:i/>
        </w:rPr>
        <w:t>Child Abuse and Neglect</w:t>
      </w:r>
      <w:r>
        <w:t xml:space="preserve"> 797, 810. &lt;</w:t>
      </w:r>
      <w:hyperlink r:id="rId128" w:history="1">
        <w:r w:rsidRPr="00D6108C">
          <w:rPr>
            <w:rStyle w:val="Hyperlink"/>
          </w:rPr>
          <w:t>http://www.researchgate.net/publication/23219462_The_impact_of_exposure_to_domestic_violence_on_children_and_young_people_A_review_of_the_literature</w:t>
        </w:r>
      </w:hyperlink>
      <w:r>
        <w:t>&gt;</w:t>
      </w:r>
    </w:p>
  </w:endnote>
  <w:endnote w:id="442">
    <w:p w14:paraId="3DE51903" w14:textId="77777777" w:rsidR="00F008D2" w:rsidRDefault="00F008D2" w:rsidP="000D1D92">
      <w:pPr>
        <w:pStyle w:val="EndnoteText"/>
      </w:pPr>
      <w:r>
        <w:rPr>
          <w:rStyle w:val="EndnoteReference"/>
        </w:rPr>
        <w:endnoteRef/>
      </w:r>
      <w:r>
        <w:t xml:space="preserve"> K </w:t>
      </w:r>
      <w:r w:rsidRPr="003C71AA">
        <w:t>Richards, ‘Children’s exposure to domestic violence in Australia’ (Research Paper No 419, Trends and Issues in Crime and Criminal Justice, Australian Institute of Criminology, 2011) 3</w:t>
      </w:r>
      <w:r>
        <w:t xml:space="preserve"> &lt;</w:t>
      </w:r>
      <w:hyperlink r:id="rId129" w:history="1">
        <w:r w:rsidRPr="00D6108C">
          <w:rPr>
            <w:rStyle w:val="Hyperlink"/>
          </w:rPr>
          <w:t>http://aic.gov.au/publications/current%20series/tandi/401-420/tandi419.html</w:t>
        </w:r>
      </w:hyperlink>
      <w:r>
        <w:t>&gt;.</w:t>
      </w:r>
    </w:p>
  </w:endnote>
  <w:endnote w:id="443">
    <w:p w14:paraId="18FD55DE" w14:textId="77777777" w:rsidR="00F008D2" w:rsidRDefault="00F008D2" w:rsidP="000D1D92">
      <w:pPr>
        <w:pStyle w:val="EndnoteText"/>
      </w:pPr>
      <w:r>
        <w:rPr>
          <w:rStyle w:val="EndnoteReference"/>
        </w:rPr>
        <w:endnoteRef/>
      </w:r>
      <w:r>
        <w:t xml:space="preserve"> K </w:t>
      </w:r>
      <w:r w:rsidRPr="003C71AA">
        <w:t>Richards, ‘Children’s exposure to domestic violence in Australia’ (Research Paper No 419, Trends and Issues in Crime and Criminal Justice, Australian I</w:t>
      </w:r>
      <w:r>
        <w:t>nstitute of Criminology, 2011) 2</w:t>
      </w:r>
      <w:r w:rsidRPr="003D7654">
        <w:t xml:space="preserve"> </w:t>
      </w:r>
      <w:r>
        <w:t>&lt;</w:t>
      </w:r>
      <w:hyperlink r:id="rId130" w:history="1">
        <w:r w:rsidRPr="00D6108C">
          <w:rPr>
            <w:rStyle w:val="Hyperlink"/>
          </w:rPr>
          <w:t>http://aic.gov.au/publications/current%20series/tandi/401-420/tandi419.html</w:t>
        </w:r>
      </w:hyperlink>
      <w:r>
        <w:t>&gt;.</w:t>
      </w:r>
    </w:p>
  </w:endnote>
  <w:endnote w:id="444">
    <w:p w14:paraId="49D3EDF4" w14:textId="77777777" w:rsidR="00F008D2" w:rsidRPr="00136BA2" w:rsidRDefault="00F008D2" w:rsidP="000D1D92">
      <w:pPr>
        <w:pStyle w:val="EndnoteText"/>
      </w:pPr>
      <w:r>
        <w:rPr>
          <w:rStyle w:val="EndnoteReference"/>
        </w:rPr>
        <w:endnoteRef/>
      </w:r>
      <w:r>
        <w:t xml:space="preserve"> Australian Institute of Health and Welfare, </w:t>
      </w:r>
      <w:r>
        <w:rPr>
          <w:i/>
        </w:rPr>
        <w:t xml:space="preserve">Child Protection 2013-14 </w:t>
      </w:r>
      <w:r>
        <w:t>(2015), 22</w:t>
      </w:r>
      <w:r w:rsidRPr="00BE42DF">
        <w:t xml:space="preserve"> </w:t>
      </w:r>
      <w:r>
        <w:t>&lt;</w:t>
      </w:r>
      <w:hyperlink r:id="rId131" w:history="1">
        <w:r w:rsidRPr="00C76DBA">
          <w:rPr>
            <w:rStyle w:val="Hyperlink"/>
          </w:rPr>
          <w:t>http://www.aihw.gov.au/publication-detail/?id=60129550762</w:t>
        </w:r>
      </w:hyperlink>
      <w:r>
        <w:t>&gt;.</w:t>
      </w:r>
    </w:p>
  </w:endnote>
  <w:endnote w:id="445">
    <w:p w14:paraId="625C8E58" w14:textId="77777777" w:rsidR="00F008D2" w:rsidRDefault="00F008D2" w:rsidP="000D1D92">
      <w:pPr>
        <w:pStyle w:val="EndnoteText"/>
      </w:pPr>
      <w:r>
        <w:rPr>
          <w:rStyle w:val="EndnoteReference"/>
        </w:rPr>
        <w:endnoteRef/>
      </w:r>
      <w:r>
        <w:t xml:space="preserve"> </w:t>
      </w:r>
      <w:r w:rsidRPr="00C21DB9">
        <w:t xml:space="preserve">Tasmanian Government, Submission No 13 to Australian Human Rights Commission, </w:t>
      </w:r>
      <w:r w:rsidRPr="00C21DB9">
        <w:rPr>
          <w:i/>
          <w:iCs/>
        </w:rPr>
        <w:t>National Children’s Commissioner’s examination into children affected by family and domestic violence,</w:t>
      </w:r>
      <w:r w:rsidRPr="00C21DB9">
        <w:t xml:space="preserve"> 1.</w:t>
      </w:r>
    </w:p>
  </w:endnote>
  <w:endnote w:id="446">
    <w:p w14:paraId="13CDA49B" w14:textId="77777777" w:rsidR="00F008D2" w:rsidRDefault="00F008D2" w:rsidP="000D1D92">
      <w:pPr>
        <w:pStyle w:val="EndnoteText"/>
      </w:pPr>
      <w:r>
        <w:rPr>
          <w:rStyle w:val="EndnoteReference"/>
        </w:rPr>
        <w:endnoteRef/>
      </w:r>
      <w:r>
        <w:t xml:space="preserve"> </w:t>
      </w:r>
      <w:r w:rsidRPr="00132FF5">
        <w:t>Australian Bureau of Statistics, ‘</w:t>
      </w:r>
      <w:r>
        <w:t>Crime Victimisation, Australia, 2013-14’ 4530.0, 17 February 2015. &lt;</w:t>
      </w:r>
      <w:r w:rsidRPr="00FA488A">
        <w:t>http://www.abs.gov.au/ausstats/abs@.nsf/Lookup/by%20Subject/4530.0~2013-14~Main%20Features~Introduction~10002</w:t>
      </w:r>
      <w:r>
        <w:t>&gt;.</w:t>
      </w:r>
    </w:p>
  </w:endnote>
  <w:endnote w:id="447">
    <w:p w14:paraId="53309198" w14:textId="77777777" w:rsidR="00F008D2" w:rsidRDefault="00F008D2" w:rsidP="000D1D92">
      <w:pPr>
        <w:pStyle w:val="EndnoteText"/>
      </w:pPr>
      <w:r>
        <w:rPr>
          <w:rStyle w:val="EndnoteReference"/>
        </w:rPr>
        <w:endnoteRef/>
      </w:r>
      <w:r>
        <w:t xml:space="preserve"> </w:t>
      </w:r>
      <w:r w:rsidRPr="00132FF5">
        <w:t>Australian Bureau of Statistics, ‘</w:t>
      </w:r>
      <w:r>
        <w:t>Crime Victimisation, Australia, 2012-13’ 4530.0, 12 February 2014. &lt;</w:t>
      </w:r>
      <w:r w:rsidRPr="00FA488A">
        <w:t>http://www.abs.gov.au/ausstats/abs@.nsf/Lookup/4530.0main+features100022012-13</w:t>
      </w:r>
      <w:r>
        <w:t>&gt;.</w:t>
      </w:r>
    </w:p>
  </w:endnote>
  <w:endnote w:id="448">
    <w:p w14:paraId="094E5268" w14:textId="77777777" w:rsidR="00F008D2" w:rsidRPr="00BC6293" w:rsidRDefault="00F008D2" w:rsidP="000D1D92">
      <w:pPr>
        <w:pStyle w:val="EndnoteText"/>
      </w:pPr>
      <w:r>
        <w:rPr>
          <w:rStyle w:val="EndnoteReference"/>
        </w:rPr>
        <w:endnoteRef/>
      </w:r>
      <w:r>
        <w:t xml:space="preserve"> Western Australian Police: Office of Assistant Commissioner Judicial Services, Submission No 118 to </w:t>
      </w:r>
      <w:r w:rsidRPr="00017256">
        <w:t>Senate Finance and Public Administration References Committee</w:t>
      </w:r>
      <w:r>
        <w:t xml:space="preserve">, </w:t>
      </w:r>
      <w:r>
        <w:rPr>
          <w:i/>
        </w:rPr>
        <w:t xml:space="preserve">Inquiry into Domestic Violence in Australia, </w:t>
      </w:r>
      <w:r>
        <w:t>12 August 2014, 4 &lt;</w:t>
      </w:r>
      <w:hyperlink r:id="rId132" w:history="1">
        <w:r w:rsidRPr="00D6108C">
          <w:rPr>
            <w:rStyle w:val="Hyperlink"/>
          </w:rPr>
          <w:t>http://www.aph.gov.au/Parliamentary_Business/Committees/Senate/Finance_and_Public_Administration/Domestic_Violence/Submissions</w:t>
        </w:r>
      </w:hyperlink>
      <w:r>
        <w:t>&gt;.</w:t>
      </w:r>
    </w:p>
  </w:endnote>
  <w:endnote w:id="449">
    <w:p w14:paraId="1CBC1F9F" w14:textId="77777777" w:rsidR="00F008D2" w:rsidRPr="00AE0DBF" w:rsidRDefault="00F008D2" w:rsidP="000D1D92">
      <w:pPr>
        <w:pStyle w:val="EndnoteText"/>
        <w:rPr>
          <w:lang w:val="en-US"/>
        </w:rPr>
      </w:pPr>
      <w:r>
        <w:rPr>
          <w:rStyle w:val="EndnoteReference"/>
        </w:rPr>
        <w:endnoteRef/>
      </w:r>
      <w:r>
        <w:t xml:space="preserve"> </w:t>
      </w:r>
      <w:r>
        <w:rPr>
          <w:lang w:val="en-US"/>
        </w:rPr>
        <w:t xml:space="preserve">Australian Institute of Health and Welfare, </w:t>
      </w:r>
      <w:r w:rsidRPr="00C5253B">
        <w:rPr>
          <w:i/>
          <w:lang w:val="en-US"/>
        </w:rPr>
        <w:t>Specialist Homelessne</w:t>
      </w:r>
      <w:r>
        <w:rPr>
          <w:i/>
          <w:lang w:val="en-US"/>
        </w:rPr>
        <w:t>s</w:t>
      </w:r>
      <w:r w:rsidRPr="00C5253B">
        <w:rPr>
          <w:i/>
          <w:lang w:val="en-US"/>
        </w:rPr>
        <w:t>s Services</w:t>
      </w:r>
      <w:r>
        <w:rPr>
          <w:i/>
          <w:lang w:val="en-US"/>
        </w:rPr>
        <w:t xml:space="preserve"> 2013-14, </w:t>
      </w:r>
      <w:r>
        <w:rPr>
          <w:lang w:val="en-US"/>
        </w:rPr>
        <w:t>(2014) Cat No. HOU 276</w:t>
      </w:r>
    </w:p>
  </w:endnote>
  <w:endnote w:id="450">
    <w:p w14:paraId="7815E74E" w14:textId="77777777" w:rsidR="00F008D2" w:rsidRDefault="00F008D2" w:rsidP="000D1D92">
      <w:pPr>
        <w:pStyle w:val="EndnoteText"/>
      </w:pPr>
      <w:r w:rsidRPr="000A0E75">
        <w:rPr>
          <w:rStyle w:val="EndnoteReference"/>
        </w:rPr>
        <w:endnoteRef/>
      </w:r>
      <w:r w:rsidRPr="000A0E75">
        <w:t xml:space="preserve"> </w:t>
      </w:r>
      <w:r>
        <w:t xml:space="preserve">Sue </w:t>
      </w:r>
      <w:r w:rsidRPr="000A0E75">
        <w:t xml:space="preserve">Gordon, </w:t>
      </w:r>
      <w:r>
        <w:t xml:space="preserve">Kay </w:t>
      </w:r>
      <w:r w:rsidRPr="000A0E75">
        <w:t xml:space="preserve">Hallahan </w:t>
      </w:r>
      <w:r>
        <w:t>and Darryl</w:t>
      </w:r>
      <w:r w:rsidRPr="000A0E75">
        <w:t xml:space="preserve"> Henry, </w:t>
      </w:r>
      <w:r w:rsidRPr="00A33846">
        <w:t xml:space="preserve">Department of Premier and Cabinet (WA), </w:t>
      </w:r>
      <w:r w:rsidRPr="00A33846">
        <w:rPr>
          <w:i/>
        </w:rPr>
        <w:t xml:space="preserve">Putting the picture together, Inquiry into Response by Government Agencies to Complaints of Family Violence and Child Abuse in Aboriginal Communities </w:t>
      </w:r>
      <w:r w:rsidRPr="00A33846">
        <w:t>(2002) 48.</w:t>
      </w:r>
    </w:p>
  </w:endnote>
  <w:endnote w:id="451">
    <w:p w14:paraId="7B57A5A6" w14:textId="77777777" w:rsidR="00F008D2" w:rsidRPr="000A0E75" w:rsidRDefault="00F008D2" w:rsidP="000D1D92">
      <w:pPr>
        <w:pStyle w:val="EndnoteText"/>
      </w:pPr>
      <w:r w:rsidRPr="000A0E75">
        <w:rPr>
          <w:rStyle w:val="EndnoteReference"/>
        </w:rPr>
        <w:endnoteRef/>
      </w:r>
      <w:r w:rsidRPr="000A0E75">
        <w:t xml:space="preserve"> </w:t>
      </w:r>
      <w:r w:rsidRPr="00A33846">
        <w:t xml:space="preserve">Productivity Commission, </w:t>
      </w:r>
      <w:r w:rsidRPr="00A33846">
        <w:rPr>
          <w:i/>
          <w:iCs/>
        </w:rPr>
        <w:t xml:space="preserve">Overcoming Indigenous Disadvantage - Key Indicators 2014 </w:t>
      </w:r>
      <w:r w:rsidRPr="00A33846">
        <w:t>(2014) 93.</w:t>
      </w:r>
    </w:p>
  </w:endnote>
  <w:endnote w:id="452">
    <w:p w14:paraId="6C7ADD7E" w14:textId="77777777" w:rsidR="00F008D2" w:rsidRPr="000A0E75" w:rsidRDefault="00F008D2" w:rsidP="000D1D92">
      <w:pPr>
        <w:pStyle w:val="EndnoteText"/>
        <w:rPr>
          <w:lang w:val="en-US"/>
        </w:rPr>
      </w:pPr>
      <w:r w:rsidRPr="000A0E75">
        <w:rPr>
          <w:rStyle w:val="EndnoteReference"/>
        </w:rPr>
        <w:endnoteRef/>
      </w:r>
      <w:r w:rsidRPr="000A0E75">
        <w:t xml:space="preserve"> </w:t>
      </w:r>
      <w:r w:rsidRPr="00A33846">
        <w:t xml:space="preserve">Productivity Commission, </w:t>
      </w:r>
      <w:r w:rsidRPr="00A33846">
        <w:rPr>
          <w:i/>
          <w:iCs/>
        </w:rPr>
        <w:t xml:space="preserve">Overcoming Indigenous Disadvantage - Key Indicators 2014 </w:t>
      </w:r>
      <w:r w:rsidRPr="00A33846">
        <w:t>(2014)</w:t>
      </w:r>
      <w:r w:rsidRPr="000A0E75">
        <w:t xml:space="preserve"> 95.</w:t>
      </w:r>
    </w:p>
  </w:endnote>
  <w:endnote w:id="453">
    <w:p w14:paraId="40902548" w14:textId="77777777" w:rsidR="00F008D2" w:rsidRPr="000A0E75" w:rsidRDefault="00F008D2" w:rsidP="000D1D92">
      <w:pPr>
        <w:pStyle w:val="EndnoteText"/>
        <w:rPr>
          <w:lang w:val="en-US"/>
        </w:rPr>
      </w:pPr>
      <w:r w:rsidRPr="000A0E75">
        <w:rPr>
          <w:rStyle w:val="EndnoteReference"/>
        </w:rPr>
        <w:endnoteRef/>
      </w:r>
      <w:r w:rsidRPr="000A0E75">
        <w:t xml:space="preserve"> </w:t>
      </w:r>
      <w:r w:rsidRPr="00A33846">
        <w:t xml:space="preserve">Productivity Commission, </w:t>
      </w:r>
      <w:r w:rsidRPr="00A33846">
        <w:rPr>
          <w:i/>
          <w:iCs/>
        </w:rPr>
        <w:t xml:space="preserve">Overcoming Indigenous Disadvantage - Key Indicators 2014 </w:t>
      </w:r>
      <w:r w:rsidRPr="00A33846">
        <w:t xml:space="preserve">(2014) </w:t>
      </w:r>
      <w:r w:rsidRPr="000A0E75">
        <w:t>95.</w:t>
      </w:r>
    </w:p>
  </w:endnote>
  <w:endnote w:id="454">
    <w:p w14:paraId="74F31465" w14:textId="77777777" w:rsidR="00F008D2" w:rsidRPr="000A0E75" w:rsidRDefault="00F008D2" w:rsidP="000D1D92">
      <w:pPr>
        <w:pStyle w:val="EndnoteText"/>
        <w:rPr>
          <w:lang w:val="en-US"/>
        </w:rPr>
      </w:pPr>
      <w:r w:rsidRPr="000A0E75">
        <w:rPr>
          <w:rStyle w:val="EndnoteReference"/>
        </w:rPr>
        <w:endnoteRef/>
      </w:r>
      <w:r w:rsidRPr="000A0E75">
        <w:t xml:space="preserve"> </w:t>
      </w:r>
      <w:r w:rsidRPr="00A33846">
        <w:t xml:space="preserve">Productivity Commission, </w:t>
      </w:r>
      <w:r w:rsidRPr="00A33846">
        <w:rPr>
          <w:i/>
          <w:iCs/>
        </w:rPr>
        <w:t xml:space="preserve">Overcoming Indigenous Disadvantage - Key Indicators 2014 </w:t>
      </w:r>
      <w:r w:rsidRPr="00A33846">
        <w:t xml:space="preserve">(2014) </w:t>
      </w:r>
      <w:r w:rsidRPr="000A0E75">
        <w:t>95.</w:t>
      </w:r>
    </w:p>
  </w:endnote>
  <w:endnote w:id="455">
    <w:p w14:paraId="2C624D58" w14:textId="77777777" w:rsidR="00F008D2" w:rsidRPr="004C0323" w:rsidRDefault="00F008D2" w:rsidP="000D1D92">
      <w:pPr>
        <w:pStyle w:val="EndnoteText"/>
        <w:rPr>
          <w:lang w:val="en-US"/>
        </w:rPr>
      </w:pPr>
      <w:r w:rsidRPr="000A0E75">
        <w:rPr>
          <w:rStyle w:val="EndnoteReference"/>
        </w:rPr>
        <w:endnoteRef/>
      </w:r>
      <w:r w:rsidRPr="000A0E75">
        <w:t xml:space="preserve"> </w:t>
      </w:r>
      <w:r w:rsidRPr="00A33846">
        <w:t xml:space="preserve">Productivity Commission, </w:t>
      </w:r>
      <w:r w:rsidRPr="00A33846">
        <w:rPr>
          <w:i/>
          <w:iCs/>
        </w:rPr>
        <w:t xml:space="preserve">Overcoming Indigenous Disadvantage - Key Indicators 2014 </w:t>
      </w:r>
      <w:r w:rsidRPr="00A33846">
        <w:t xml:space="preserve">(2014) </w:t>
      </w:r>
      <w:r w:rsidRPr="000A0E75">
        <w:t>95.</w:t>
      </w:r>
    </w:p>
  </w:endnote>
  <w:endnote w:id="456">
    <w:p w14:paraId="523DFD1D" w14:textId="77777777" w:rsidR="00F008D2" w:rsidRDefault="00F008D2" w:rsidP="000D1D92">
      <w:pPr>
        <w:pStyle w:val="EndnoteText"/>
      </w:pPr>
      <w:r w:rsidRPr="000A0E75">
        <w:rPr>
          <w:rStyle w:val="EndnoteReference"/>
        </w:rPr>
        <w:endnoteRef/>
      </w:r>
      <w:r w:rsidRPr="000A0E75">
        <w:t xml:space="preserve"> </w:t>
      </w:r>
      <w:r w:rsidRPr="00A33846">
        <w:t xml:space="preserve">Australian Institute of Health and Welfare, </w:t>
      </w:r>
      <w:r w:rsidRPr="00A33846">
        <w:rPr>
          <w:i/>
        </w:rPr>
        <w:t>Child Protection Australia 2013-14</w:t>
      </w:r>
      <w:r w:rsidRPr="00A33846">
        <w:t xml:space="preserve"> (2015) 15 </w:t>
      </w:r>
      <w:hyperlink r:id="rId133" w:history="1">
        <w:r w:rsidRPr="00A33846">
          <w:rPr>
            <w:rStyle w:val="Hyperlink"/>
          </w:rPr>
          <w:t>http://www.aihw.gov.au/WorkArea/DownloadAsset.aspx?id=60129550859</w:t>
        </w:r>
      </w:hyperlink>
      <w:r w:rsidRPr="000A0E75">
        <w:rPr>
          <w:rStyle w:val="Hyperlink"/>
        </w:rPr>
        <w:t>.</w:t>
      </w:r>
    </w:p>
  </w:endnote>
  <w:endnote w:id="457">
    <w:p w14:paraId="2F241AB4" w14:textId="77777777" w:rsidR="00F008D2" w:rsidRPr="000F0BB1" w:rsidRDefault="00F008D2" w:rsidP="000D1D92">
      <w:pPr>
        <w:pStyle w:val="EndnoteText"/>
        <w:rPr>
          <w:lang w:val="en-US"/>
        </w:rPr>
      </w:pPr>
      <w:r>
        <w:rPr>
          <w:rStyle w:val="EndnoteReference"/>
        </w:rPr>
        <w:endnoteRef/>
      </w:r>
      <w:r>
        <w:t xml:space="preserve"> </w:t>
      </w:r>
      <w:r w:rsidRPr="00A33846">
        <w:t>S</w:t>
      </w:r>
      <w:r>
        <w:t xml:space="preserve"> </w:t>
      </w:r>
      <w:r w:rsidRPr="00A33846">
        <w:t>Tayton et al, Australian Institute of Family Studies,</w:t>
      </w:r>
      <w:r w:rsidRPr="00A33846">
        <w:rPr>
          <w:i/>
        </w:rPr>
        <w:t xml:space="preserve"> Groups and communities at risk of domestic and family violence: A review and evaluation of domestic and family violence prevention and early intervention services focusing on at-risk groups and communities</w:t>
      </w:r>
      <w:r w:rsidRPr="00A33846">
        <w:t xml:space="preserve"> (2014)</w:t>
      </w:r>
      <w:r w:rsidRPr="000A0E75">
        <w:t xml:space="preserve"> ix.</w:t>
      </w:r>
    </w:p>
  </w:endnote>
  <w:endnote w:id="458">
    <w:p w14:paraId="172124B7" w14:textId="77777777" w:rsidR="00F008D2" w:rsidRPr="005105EC" w:rsidRDefault="00F008D2" w:rsidP="000D1D92">
      <w:pPr>
        <w:pStyle w:val="EndnoteText"/>
        <w:rPr>
          <w:lang w:val="en-US"/>
        </w:rPr>
      </w:pPr>
      <w:r>
        <w:rPr>
          <w:rStyle w:val="EndnoteReference"/>
        </w:rPr>
        <w:endnoteRef/>
      </w:r>
      <w:r>
        <w:t xml:space="preserve"> </w:t>
      </w:r>
      <w:r>
        <w:rPr>
          <w:lang w:val="en-US"/>
        </w:rPr>
        <w:t xml:space="preserve">Tracy Cussen and Willow Bryant, ‘Domestic/family homicide in Australia’ </w:t>
      </w:r>
      <w:r w:rsidRPr="000A0E75">
        <w:rPr>
          <w:lang w:val="en-US"/>
        </w:rPr>
        <w:t xml:space="preserve">(Research Paper No </w:t>
      </w:r>
      <w:r>
        <w:rPr>
          <w:lang w:val="en-US"/>
        </w:rPr>
        <w:t>38</w:t>
      </w:r>
      <w:r w:rsidRPr="000A0E75">
        <w:rPr>
          <w:lang w:val="en-US"/>
        </w:rPr>
        <w:t>, Research in Practice Report, Australian Institute of Criminology, 201</w:t>
      </w:r>
      <w:r>
        <w:rPr>
          <w:lang w:val="en-US"/>
        </w:rPr>
        <w:t>5) 2 &lt;</w:t>
      </w:r>
      <w:hyperlink r:id="rId134" w:history="1">
        <w:r w:rsidRPr="00005063">
          <w:rPr>
            <w:rStyle w:val="Hyperlink"/>
            <w:lang w:val="en-US"/>
          </w:rPr>
          <w:t>http://www.aic.gov.au/publications/current%20series/rip/21-40/rip38.html</w:t>
        </w:r>
      </w:hyperlink>
      <w:r>
        <w:rPr>
          <w:lang w:val="en-US"/>
        </w:rPr>
        <w:t>&gt;.</w:t>
      </w:r>
    </w:p>
  </w:endnote>
  <w:endnote w:id="459">
    <w:p w14:paraId="6D8A323B" w14:textId="77777777" w:rsidR="00F008D2" w:rsidRPr="005105EC" w:rsidRDefault="00F008D2" w:rsidP="000D1D92">
      <w:pPr>
        <w:pStyle w:val="EndnoteText"/>
        <w:rPr>
          <w:lang w:val="en-US"/>
        </w:rPr>
      </w:pPr>
      <w:r>
        <w:rPr>
          <w:rStyle w:val="EndnoteReference"/>
        </w:rPr>
        <w:endnoteRef/>
      </w:r>
      <w:r>
        <w:t xml:space="preserve"> </w:t>
      </w:r>
      <w:r>
        <w:rPr>
          <w:lang w:val="en-US"/>
        </w:rPr>
        <w:t xml:space="preserve">Tracy Cussen and Willow Bryant, ‘Domestic/family homicide in Australia’ </w:t>
      </w:r>
      <w:r w:rsidRPr="000A0E75">
        <w:rPr>
          <w:lang w:val="en-US"/>
        </w:rPr>
        <w:t xml:space="preserve">(Research Paper No </w:t>
      </w:r>
      <w:r>
        <w:rPr>
          <w:lang w:val="en-US"/>
        </w:rPr>
        <w:t>38</w:t>
      </w:r>
      <w:r w:rsidRPr="000A0E75">
        <w:rPr>
          <w:lang w:val="en-US"/>
        </w:rPr>
        <w:t>, Research in Practice Report, Australian Institute of Criminology, 201</w:t>
      </w:r>
      <w:r>
        <w:rPr>
          <w:lang w:val="en-US"/>
        </w:rPr>
        <w:t>5) 4 &lt;</w:t>
      </w:r>
      <w:hyperlink r:id="rId135" w:history="1">
        <w:r w:rsidRPr="00005063">
          <w:rPr>
            <w:rStyle w:val="Hyperlink"/>
            <w:lang w:val="en-US"/>
          </w:rPr>
          <w:t>http://www.aic.gov.au/publications/current%20series/rip/21-40/rip38.html</w:t>
        </w:r>
      </w:hyperlink>
      <w:r>
        <w:rPr>
          <w:lang w:val="en-US"/>
        </w:rPr>
        <w:t>&gt;.</w:t>
      </w:r>
    </w:p>
  </w:endnote>
  <w:endnote w:id="460">
    <w:p w14:paraId="69B5F2A6" w14:textId="77777777" w:rsidR="00F008D2" w:rsidRPr="005105EC" w:rsidRDefault="00F008D2" w:rsidP="000D1D92">
      <w:pPr>
        <w:pStyle w:val="EndnoteText"/>
        <w:rPr>
          <w:lang w:val="en-US"/>
        </w:rPr>
      </w:pPr>
      <w:r>
        <w:rPr>
          <w:rStyle w:val="EndnoteReference"/>
        </w:rPr>
        <w:endnoteRef/>
      </w:r>
      <w:r>
        <w:t xml:space="preserve"> </w:t>
      </w:r>
      <w:r>
        <w:rPr>
          <w:lang w:val="en-US"/>
        </w:rPr>
        <w:t xml:space="preserve">Tracy Cussen and Willow Bryant, ‘Domestic/family homicide in Australia’ </w:t>
      </w:r>
      <w:r w:rsidRPr="000A0E75">
        <w:rPr>
          <w:lang w:val="en-US"/>
        </w:rPr>
        <w:t xml:space="preserve">(Research Paper No </w:t>
      </w:r>
      <w:r>
        <w:rPr>
          <w:lang w:val="en-US"/>
        </w:rPr>
        <w:t>38</w:t>
      </w:r>
      <w:r w:rsidRPr="000A0E75">
        <w:rPr>
          <w:lang w:val="en-US"/>
        </w:rPr>
        <w:t>, Research in Practice Report, Australian Institute of Criminology, 201</w:t>
      </w:r>
      <w:r>
        <w:rPr>
          <w:lang w:val="en-US"/>
        </w:rPr>
        <w:t>5) 4 &lt;</w:t>
      </w:r>
      <w:hyperlink r:id="rId136" w:history="1">
        <w:r w:rsidRPr="00005063">
          <w:rPr>
            <w:rStyle w:val="Hyperlink"/>
            <w:lang w:val="en-US"/>
          </w:rPr>
          <w:t>http://www.aic.gov.au/publications/current%20series/rip/21-40/rip38.html</w:t>
        </w:r>
      </w:hyperlink>
      <w:r>
        <w:rPr>
          <w:lang w:val="en-US"/>
        </w:rPr>
        <w:t>&gt;.</w:t>
      </w:r>
    </w:p>
  </w:endnote>
  <w:endnote w:id="461">
    <w:p w14:paraId="042AB5D5" w14:textId="77777777" w:rsidR="00F008D2" w:rsidRPr="005105EC" w:rsidRDefault="00F008D2" w:rsidP="000D1D92">
      <w:pPr>
        <w:pStyle w:val="EndnoteText"/>
        <w:rPr>
          <w:lang w:val="en-US"/>
        </w:rPr>
      </w:pPr>
      <w:r>
        <w:rPr>
          <w:rStyle w:val="EndnoteReference"/>
        </w:rPr>
        <w:endnoteRef/>
      </w:r>
      <w:r>
        <w:t xml:space="preserve"> </w:t>
      </w:r>
      <w:r>
        <w:rPr>
          <w:lang w:val="en-US"/>
        </w:rPr>
        <w:t xml:space="preserve">Tracy Cussen and Willow Bryant, ‘Domestic/family homicide in Australia’ </w:t>
      </w:r>
      <w:r w:rsidRPr="000A0E75">
        <w:rPr>
          <w:lang w:val="en-US"/>
        </w:rPr>
        <w:t xml:space="preserve">(Research Paper No </w:t>
      </w:r>
      <w:r>
        <w:rPr>
          <w:lang w:val="en-US"/>
        </w:rPr>
        <w:t>38</w:t>
      </w:r>
      <w:r w:rsidRPr="000A0E75">
        <w:rPr>
          <w:lang w:val="en-US"/>
        </w:rPr>
        <w:t>, Research in Practice Report, Australian Institute of Criminology, 201</w:t>
      </w:r>
      <w:r>
        <w:rPr>
          <w:lang w:val="en-US"/>
        </w:rPr>
        <w:t>5) 5 &lt;</w:t>
      </w:r>
      <w:hyperlink r:id="rId137" w:history="1">
        <w:r w:rsidRPr="00005063">
          <w:rPr>
            <w:rStyle w:val="Hyperlink"/>
            <w:lang w:val="en-US"/>
          </w:rPr>
          <w:t>http://www.aic.gov.au/publications/current%20series/rip/21-40/rip38.html</w:t>
        </w:r>
      </w:hyperlink>
      <w:r>
        <w:rPr>
          <w:lang w:val="en-US"/>
        </w:rPr>
        <w:t>&gt;.</w:t>
      </w:r>
    </w:p>
  </w:endnote>
  <w:endnote w:id="462">
    <w:p w14:paraId="758E5297" w14:textId="77777777" w:rsidR="00F008D2" w:rsidRPr="00126905" w:rsidRDefault="00F008D2" w:rsidP="000D1D92">
      <w:pPr>
        <w:pStyle w:val="EndnoteText"/>
        <w:rPr>
          <w:lang w:val="en-US"/>
        </w:rPr>
      </w:pPr>
      <w:r>
        <w:rPr>
          <w:rStyle w:val="EndnoteReference"/>
        </w:rPr>
        <w:endnoteRef/>
      </w:r>
      <w:r>
        <w:t xml:space="preserve"> </w:t>
      </w:r>
      <w:r>
        <w:rPr>
          <w:lang w:val="en-US"/>
        </w:rPr>
        <w:t xml:space="preserve">Tracy Cussen and Willow Bryant, ‘Domestic/family homicide in Australia’ </w:t>
      </w:r>
      <w:r w:rsidRPr="000A0E75">
        <w:rPr>
          <w:lang w:val="en-US"/>
        </w:rPr>
        <w:t xml:space="preserve">(Research Paper No </w:t>
      </w:r>
      <w:r>
        <w:rPr>
          <w:lang w:val="en-US"/>
        </w:rPr>
        <w:t>38</w:t>
      </w:r>
      <w:r w:rsidRPr="000A0E75">
        <w:rPr>
          <w:lang w:val="en-US"/>
        </w:rPr>
        <w:t>, Research in Practice Report, Australian Institute of Criminology, 201</w:t>
      </w:r>
      <w:r>
        <w:rPr>
          <w:lang w:val="en-US"/>
        </w:rPr>
        <w:t>5) 6 &lt;</w:t>
      </w:r>
      <w:hyperlink r:id="rId138" w:history="1">
        <w:r w:rsidRPr="00005063">
          <w:rPr>
            <w:rStyle w:val="Hyperlink"/>
            <w:lang w:val="en-US"/>
          </w:rPr>
          <w:t>http://www.aic.gov.au/publications/current%20series/rip/21-40/rip38.html</w:t>
        </w:r>
      </w:hyperlink>
      <w:r>
        <w:rPr>
          <w:lang w:val="en-US"/>
        </w:rPr>
        <w:t>&gt;.</w:t>
      </w:r>
    </w:p>
  </w:endnote>
  <w:endnote w:id="463">
    <w:p w14:paraId="70035D1E" w14:textId="77777777" w:rsidR="00F008D2" w:rsidRDefault="00F008D2" w:rsidP="000D1D92">
      <w:pPr>
        <w:pStyle w:val="EndnoteText"/>
      </w:pPr>
      <w:r>
        <w:rPr>
          <w:rStyle w:val="EndnoteReference"/>
        </w:rPr>
        <w:endnoteRef/>
      </w:r>
      <w:r>
        <w:t xml:space="preserve"> See for example </w:t>
      </w:r>
      <w:r w:rsidRPr="008E074C">
        <w:t xml:space="preserve">The 2006 World Report on Violence against Children for the United Nations Secretary-General (the UN World Report) </w:t>
      </w:r>
      <w:r>
        <w:t xml:space="preserve">: P </w:t>
      </w:r>
      <w:r w:rsidRPr="0066045E">
        <w:t>Pinheiro, Independent Expert for the United Nations Secretary-General’s Study on Violence against Children, World Report on Violence Against Children, GA Res 62/141 (11 October 2006) 70. &lt;</w:t>
      </w:r>
      <w:hyperlink r:id="rId139" w:history="1">
        <w:r w:rsidRPr="00D6108C">
          <w:rPr>
            <w:rStyle w:val="Hyperlink"/>
          </w:rPr>
          <w:t>http://www.ohchr.org/EN/HRBodies/CRC/Study/Pages/StudyViolenceChildren.aspx</w:t>
        </w:r>
      </w:hyperlink>
      <w:r w:rsidRPr="0066045E">
        <w:t>&gt;</w:t>
      </w:r>
      <w:r>
        <w:t>.</w:t>
      </w:r>
    </w:p>
  </w:endnote>
  <w:endnote w:id="464">
    <w:p w14:paraId="4C184840" w14:textId="77777777" w:rsidR="00F008D2" w:rsidRDefault="00F008D2" w:rsidP="000D1D92">
      <w:pPr>
        <w:pStyle w:val="EndnoteText"/>
      </w:pPr>
      <w:r>
        <w:rPr>
          <w:rStyle w:val="EndnoteReference"/>
        </w:rPr>
        <w:endnoteRef/>
      </w:r>
      <w:r>
        <w:t xml:space="preserve"> </w:t>
      </w:r>
      <w:r w:rsidRPr="008B011A">
        <w:t>Committee on the Rights of the Child,</w:t>
      </w:r>
      <w:r>
        <w:t xml:space="preserve"> </w:t>
      </w:r>
      <w:r w:rsidRPr="008B011A">
        <w:rPr>
          <w:i/>
          <w:iCs/>
        </w:rPr>
        <w:t xml:space="preserve">Concluding </w:t>
      </w:r>
      <w:r>
        <w:rPr>
          <w:i/>
          <w:iCs/>
        </w:rPr>
        <w:t>O</w:t>
      </w:r>
      <w:r w:rsidRPr="008B011A">
        <w:rPr>
          <w:i/>
          <w:iCs/>
        </w:rPr>
        <w:t>bservations</w:t>
      </w:r>
      <w:r w:rsidRPr="000905C8">
        <w:rPr>
          <w:i/>
        </w:rPr>
        <w:t xml:space="preserve"> </w:t>
      </w:r>
      <w:r w:rsidRPr="000C3E16">
        <w:rPr>
          <w:i/>
        </w:rPr>
        <w:t>of the Committee on the Rights of the Child</w:t>
      </w:r>
      <w:r w:rsidRPr="008B011A">
        <w:rPr>
          <w:i/>
          <w:iCs/>
        </w:rPr>
        <w:t>: Australia</w:t>
      </w:r>
      <w:r w:rsidRPr="008B011A">
        <w:t>, 60</w:t>
      </w:r>
      <w:r w:rsidRPr="008B011A">
        <w:rPr>
          <w:vertAlign w:val="superscript"/>
        </w:rPr>
        <w:t>th</w:t>
      </w:r>
      <w:r>
        <w:t xml:space="preserve"> </w:t>
      </w:r>
      <w:r w:rsidRPr="008B011A">
        <w:t xml:space="preserve">sess, UN Doc CRC/C/AUS/CO/4 (28 August 2012) </w:t>
      </w:r>
      <w:r>
        <w:t>[</w:t>
      </w:r>
      <w:r w:rsidRPr="008B011A">
        <w:t>46</w:t>
      </w:r>
      <w:r>
        <w:t>]</w:t>
      </w:r>
      <w:r w:rsidRPr="008B011A">
        <w:t>.</w:t>
      </w:r>
    </w:p>
  </w:endnote>
  <w:endnote w:id="465">
    <w:p w14:paraId="5A989EEF" w14:textId="77777777" w:rsidR="00F008D2" w:rsidRDefault="00F008D2" w:rsidP="000D1D92">
      <w:pPr>
        <w:pStyle w:val="EndnoteText"/>
      </w:pPr>
      <w:r>
        <w:rPr>
          <w:rStyle w:val="EndnoteReference"/>
        </w:rPr>
        <w:endnoteRef/>
      </w:r>
      <w:r>
        <w:t xml:space="preserve"> </w:t>
      </w:r>
      <w:r>
        <w:rPr>
          <w:i/>
          <w:iCs/>
        </w:rPr>
        <w:t>Convention on the Rights of the Child</w:t>
      </w:r>
      <w:r>
        <w:t>, opened for signature 20 November 1989,</w:t>
      </w:r>
      <w:r w:rsidRPr="00A311F7">
        <w:t xml:space="preserve"> 1577 UNTS 3</w:t>
      </w:r>
      <w:r>
        <w:t xml:space="preserve"> </w:t>
      </w:r>
      <w:r w:rsidRPr="000C7AD8">
        <w:t>(entered into force 2 September 1990)</w:t>
      </w:r>
      <w:r>
        <w:t xml:space="preserve"> Article 19.</w:t>
      </w:r>
    </w:p>
  </w:endnote>
  <w:endnote w:id="466">
    <w:p w14:paraId="2C160EF1" w14:textId="77777777" w:rsidR="00F008D2" w:rsidRDefault="00F008D2" w:rsidP="000D1D92">
      <w:pPr>
        <w:pStyle w:val="EndnoteText"/>
      </w:pPr>
      <w:r>
        <w:rPr>
          <w:rStyle w:val="EndnoteReference"/>
        </w:rPr>
        <w:endnoteRef/>
      </w:r>
      <w:r>
        <w:t xml:space="preserve"> Committee on the Rights of the Child, </w:t>
      </w:r>
      <w:r>
        <w:rPr>
          <w:i/>
        </w:rPr>
        <w:t>General Comment No 13: The right of the child to freedom from all forms of violence</w:t>
      </w:r>
      <w:r>
        <w:t>, 56</w:t>
      </w:r>
      <w:r w:rsidRPr="00E652DC">
        <w:rPr>
          <w:vertAlign w:val="superscript"/>
        </w:rPr>
        <w:t>th</w:t>
      </w:r>
      <w:r>
        <w:t xml:space="preserve"> sess, UN Doc CRC/C/GC/13 (18 April 2011) [59–63].</w:t>
      </w:r>
    </w:p>
  </w:endnote>
  <w:endnote w:id="467">
    <w:p w14:paraId="6547FE67" w14:textId="77777777" w:rsidR="00F008D2" w:rsidRDefault="00F008D2" w:rsidP="000D1D92">
      <w:pPr>
        <w:pStyle w:val="EndnoteText"/>
      </w:pPr>
      <w:r>
        <w:rPr>
          <w:rStyle w:val="EndnoteReference"/>
        </w:rPr>
        <w:endnoteRef/>
      </w:r>
      <w:r>
        <w:t xml:space="preserve"> Committee on the Rights of the Child, </w:t>
      </w:r>
      <w:r>
        <w:rPr>
          <w:i/>
        </w:rPr>
        <w:t>General Comment No 13: The right of the child to freedom from all forms of violence</w:t>
      </w:r>
      <w:r>
        <w:t>, 56</w:t>
      </w:r>
      <w:r w:rsidRPr="00E652DC">
        <w:rPr>
          <w:vertAlign w:val="superscript"/>
        </w:rPr>
        <w:t>th</w:t>
      </w:r>
      <w:r>
        <w:t xml:space="preserve"> sess, UN Doc CRC/C/GC/13 (18 April 2011) [45–57].</w:t>
      </w:r>
    </w:p>
  </w:endnote>
  <w:endnote w:id="468">
    <w:p w14:paraId="15F7A0DE" w14:textId="77777777" w:rsidR="00F008D2" w:rsidRPr="00B45766" w:rsidRDefault="00F008D2" w:rsidP="000D1D92">
      <w:pPr>
        <w:pStyle w:val="EndnoteText"/>
        <w:rPr>
          <w:lang w:val="en-US"/>
        </w:rPr>
      </w:pPr>
      <w:r>
        <w:rPr>
          <w:rStyle w:val="EndnoteReference"/>
        </w:rPr>
        <w:endnoteRef/>
      </w:r>
      <w:r>
        <w:t xml:space="preserve"> Committee on the Rights of the Child, </w:t>
      </w:r>
      <w:r>
        <w:rPr>
          <w:i/>
        </w:rPr>
        <w:t>General Comment No 8: The right of the child to protection from corporal punishment and other cruel or degrading forms of punishment</w:t>
      </w:r>
      <w:r>
        <w:t>, 42</w:t>
      </w:r>
      <w:r w:rsidRPr="0080372C">
        <w:rPr>
          <w:vertAlign w:val="superscript"/>
        </w:rPr>
        <w:t>nd</w:t>
      </w:r>
      <w:r>
        <w:t xml:space="preserve"> sess, UN Doc CRC/C/GC/8 (2 March 2007) [46].</w:t>
      </w:r>
    </w:p>
  </w:endnote>
  <w:endnote w:id="469">
    <w:p w14:paraId="57E32A41" w14:textId="77777777" w:rsidR="00F008D2" w:rsidRPr="00A83E98" w:rsidRDefault="00F008D2" w:rsidP="000D1D92">
      <w:pPr>
        <w:pStyle w:val="EndnoteText"/>
        <w:rPr>
          <w:lang w:val="en-US"/>
        </w:rPr>
      </w:pPr>
      <w:r>
        <w:rPr>
          <w:rStyle w:val="EndnoteReference"/>
        </w:rPr>
        <w:endnoteRef/>
      </w:r>
      <w:r>
        <w:t xml:space="preserve"> </w:t>
      </w:r>
      <w:r>
        <w:rPr>
          <w:lang w:val="en-US"/>
        </w:rPr>
        <w:t>Australian Bureau of Statistics, ‘</w:t>
      </w:r>
      <w:r w:rsidRPr="00A33846">
        <w:rPr>
          <w:lang w:val="en-US"/>
        </w:rPr>
        <w:t>Bridging the data gaps for family, domestic and sexual violence</w:t>
      </w:r>
      <w:r>
        <w:rPr>
          <w:lang w:val="en-US"/>
        </w:rPr>
        <w:t>’ (4529.0.00.002, 25 November 2013) &lt;</w:t>
      </w:r>
      <w:hyperlink r:id="rId140" w:history="1">
        <w:r w:rsidRPr="00D6108C">
          <w:rPr>
            <w:rStyle w:val="Hyperlink"/>
            <w:lang w:val="en-US"/>
          </w:rPr>
          <w:t>http://www.abs.gov.au/ausstats/abs@.nsf/mf/4529.0.00.002</w:t>
        </w:r>
      </w:hyperlink>
      <w:r>
        <w:rPr>
          <w:lang w:val="en-US"/>
        </w:rPr>
        <w:t>&gt;.</w:t>
      </w:r>
    </w:p>
  </w:endnote>
  <w:endnote w:id="470">
    <w:p w14:paraId="40D8F600" w14:textId="77777777" w:rsidR="00F008D2" w:rsidRDefault="00F008D2" w:rsidP="000D1D92">
      <w:pPr>
        <w:pStyle w:val="EndnoteText"/>
      </w:pPr>
      <w:r>
        <w:rPr>
          <w:rStyle w:val="EndnoteReference"/>
        </w:rPr>
        <w:endnoteRef/>
      </w:r>
      <w:r>
        <w:t xml:space="preserve"> Australian Bureau of Statistics, ‘</w:t>
      </w:r>
      <w:r w:rsidRPr="00667D5C">
        <w:t>Recorded Crime - Victims, Australia, 2013</w:t>
      </w:r>
      <w:r>
        <w:t xml:space="preserve"> – Explanatory Notes’ (</w:t>
      </w:r>
      <w:r w:rsidRPr="00667D5C">
        <w:t>4510.0</w:t>
      </w:r>
      <w:r>
        <w:t>, 26 June 2014) [17-21] &lt;</w:t>
      </w:r>
      <w:hyperlink r:id="rId141" w:history="1">
        <w:r w:rsidRPr="00EA5D8E">
          <w:rPr>
            <w:rStyle w:val="Hyperlink"/>
          </w:rPr>
          <w:t>http://www.abs.gov.au/AUSSTATS/abs@.nsf/Lookup/4510.0Explanatory%20Notes12013?OpenDocument</w:t>
        </w:r>
      </w:hyperlink>
      <w:r>
        <w:t>&gt;.</w:t>
      </w:r>
    </w:p>
  </w:endnote>
  <w:endnote w:id="471">
    <w:p w14:paraId="5E62378A" w14:textId="77777777" w:rsidR="00F008D2" w:rsidRDefault="00F008D2" w:rsidP="000D1D92">
      <w:pPr>
        <w:pStyle w:val="EndnoteText"/>
      </w:pPr>
      <w:r>
        <w:rPr>
          <w:rStyle w:val="EndnoteReference"/>
        </w:rPr>
        <w:endnoteRef/>
      </w:r>
      <w:r>
        <w:t xml:space="preserve"> Email from ABS National Centre for Crime and Justice Statistics to Australian Human Rights Commission, 13 March 2015.</w:t>
      </w:r>
    </w:p>
  </w:endnote>
  <w:endnote w:id="472">
    <w:p w14:paraId="78F9854B" w14:textId="77777777" w:rsidR="00F008D2" w:rsidRDefault="00F008D2" w:rsidP="000D1D92">
      <w:pPr>
        <w:pStyle w:val="EndnoteText"/>
      </w:pPr>
      <w:r>
        <w:rPr>
          <w:rStyle w:val="EndnoteReference"/>
        </w:rPr>
        <w:endnoteRef/>
      </w:r>
      <w:r>
        <w:t xml:space="preserve"> Australian Bureau of Statistics, ‘</w:t>
      </w:r>
      <w:r w:rsidRPr="000C467D">
        <w:t>Personal Safety, Australia, 201</w:t>
      </w:r>
      <w:r>
        <w:t>2 – Introduction’ (4906.0, 11 December 2013) &lt;</w:t>
      </w:r>
      <w:hyperlink r:id="rId142" w:history="1">
        <w:r w:rsidRPr="00EA5D8E">
          <w:rPr>
            <w:rStyle w:val="Hyperlink"/>
          </w:rPr>
          <w:t>http://www.abs.gov.au/ausstats/abs@.nsf/Lookup/4906.0Chapter1002012</w:t>
        </w:r>
      </w:hyperlink>
      <w:r>
        <w:t>&gt;.</w:t>
      </w:r>
    </w:p>
  </w:endnote>
  <w:endnote w:id="473">
    <w:p w14:paraId="177B781F" w14:textId="77777777" w:rsidR="00F008D2" w:rsidRPr="00E7430E" w:rsidRDefault="00F008D2" w:rsidP="000D1D92">
      <w:pPr>
        <w:pStyle w:val="EndnoteText"/>
        <w:rPr>
          <w:rFonts w:cs="Arial"/>
          <w:lang w:val="en-US"/>
        </w:rPr>
      </w:pPr>
      <w:r w:rsidRPr="00E7430E">
        <w:rPr>
          <w:rStyle w:val="EndnoteReference"/>
          <w:rFonts w:cs="Arial"/>
        </w:rPr>
        <w:endnoteRef/>
      </w:r>
      <w:r w:rsidRPr="00E7430E">
        <w:rPr>
          <w:rFonts w:cs="Arial"/>
        </w:rPr>
        <w:t xml:space="preserve"> D</w:t>
      </w:r>
      <w:r>
        <w:rPr>
          <w:rFonts w:cs="Arial"/>
        </w:rPr>
        <w:t>ale</w:t>
      </w:r>
      <w:r w:rsidRPr="00E7430E">
        <w:rPr>
          <w:rFonts w:cs="Arial"/>
        </w:rPr>
        <w:t xml:space="preserve"> </w:t>
      </w:r>
      <w:r w:rsidRPr="00E7430E">
        <w:rPr>
          <w:rFonts w:cs="Arial"/>
          <w:lang w:val="en-US"/>
        </w:rPr>
        <w:t>Bagshaw</w:t>
      </w:r>
      <w:r>
        <w:rPr>
          <w:rFonts w:cs="Arial"/>
          <w:lang w:val="en-US"/>
        </w:rPr>
        <w:t xml:space="preserve"> et al, </w:t>
      </w:r>
      <w:r w:rsidRPr="00E7430E">
        <w:rPr>
          <w:rFonts w:cs="Arial"/>
          <w:lang w:val="en-US"/>
        </w:rPr>
        <w:t>University of South Australia</w:t>
      </w:r>
      <w:r>
        <w:rPr>
          <w:rFonts w:cs="Arial"/>
          <w:lang w:val="en-US"/>
        </w:rPr>
        <w:t xml:space="preserve">, </w:t>
      </w:r>
      <w:r w:rsidRPr="00A33846">
        <w:rPr>
          <w:rFonts w:cs="Arial"/>
          <w:i/>
          <w:lang w:val="en-US"/>
        </w:rPr>
        <w:t>Reshaping Responses to Domestic Violence: Final Report</w:t>
      </w:r>
      <w:r w:rsidRPr="00E7430E">
        <w:rPr>
          <w:rFonts w:cs="Arial"/>
          <w:lang w:val="en-US"/>
        </w:rPr>
        <w:t xml:space="preserve"> </w:t>
      </w:r>
      <w:r>
        <w:rPr>
          <w:rFonts w:cs="Arial"/>
          <w:lang w:val="en-US"/>
        </w:rPr>
        <w:t>(</w:t>
      </w:r>
      <w:r w:rsidRPr="00E7430E">
        <w:rPr>
          <w:rFonts w:cs="Arial"/>
          <w:lang w:val="en-US"/>
        </w:rPr>
        <w:t>2000</w:t>
      </w:r>
      <w:r>
        <w:rPr>
          <w:rFonts w:cs="Arial"/>
          <w:lang w:val="en-US"/>
        </w:rPr>
        <w:t>) 68.</w:t>
      </w:r>
    </w:p>
  </w:endnote>
  <w:endnote w:id="474">
    <w:p w14:paraId="76BC0A0F" w14:textId="77777777" w:rsidR="00F008D2" w:rsidRPr="00D6579F" w:rsidRDefault="00F008D2" w:rsidP="000D1D92">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8</w:t>
      </w:r>
      <w:r w:rsidRPr="00E4369B">
        <w:t>.</w:t>
      </w:r>
    </w:p>
  </w:endnote>
  <w:endnote w:id="475">
    <w:p w14:paraId="26DAE89F" w14:textId="77777777" w:rsidR="00F008D2" w:rsidRPr="00E4369B" w:rsidRDefault="00F008D2" w:rsidP="000D1D92">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3</w:t>
      </w:r>
      <w:r w:rsidRPr="00E4369B">
        <w:t>.</w:t>
      </w:r>
    </w:p>
  </w:endnote>
  <w:endnote w:id="476">
    <w:p w14:paraId="371AE950" w14:textId="77777777" w:rsidR="00F008D2" w:rsidRPr="00E45EB0" w:rsidRDefault="00F008D2" w:rsidP="000D1D92">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4</w:t>
      </w:r>
      <w:r w:rsidRPr="00E4369B">
        <w:t xml:space="preserve">. </w:t>
      </w:r>
    </w:p>
  </w:endnote>
  <w:endnote w:id="477">
    <w:p w14:paraId="1E757BD4" w14:textId="77777777" w:rsidR="00F008D2" w:rsidRPr="00A95C86" w:rsidRDefault="00F008D2" w:rsidP="000D1D92">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4</w:t>
      </w:r>
      <w:r w:rsidRPr="00E4369B">
        <w:t xml:space="preserve">. </w:t>
      </w:r>
    </w:p>
  </w:endnote>
  <w:endnote w:id="478">
    <w:p w14:paraId="1C1C3EB9" w14:textId="77777777" w:rsidR="00F008D2" w:rsidRDefault="00F008D2" w:rsidP="000D1D92">
      <w:pPr>
        <w:pStyle w:val="EndnoteText"/>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3–4</w:t>
      </w:r>
      <w:r w:rsidRPr="00E4369B">
        <w:t xml:space="preserve">. </w:t>
      </w:r>
    </w:p>
  </w:endnote>
  <w:endnote w:id="479">
    <w:p w14:paraId="029EF65C" w14:textId="77777777" w:rsidR="00F008D2" w:rsidRPr="005F1FCD" w:rsidRDefault="00F008D2" w:rsidP="000D1D92">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3</w:t>
      </w:r>
      <w:r w:rsidRPr="00E4369B">
        <w:t>.</w:t>
      </w:r>
    </w:p>
  </w:endnote>
  <w:endnote w:id="480">
    <w:p w14:paraId="275DCEE9" w14:textId="77777777" w:rsidR="00F008D2" w:rsidRDefault="00F008D2" w:rsidP="000D1D92">
      <w:pPr>
        <w:pStyle w:val="EndnoteText"/>
      </w:pPr>
      <w:r>
        <w:rPr>
          <w:rStyle w:val="EndnoteReference"/>
        </w:rPr>
        <w:endnoteRef/>
      </w:r>
      <w:r>
        <w:t xml:space="preserve"> See Appendix 8.</w:t>
      </w:r>
    </w:p>
  </w:endnote>
  <w:endnote w:id="481">
    <w:p w14:paraId="54D78FEC" w14:textId="77777777" w:rsidR="00F008D2" w:rsidRDefault="00F008D2" w:rsidP="000D1D92">
      <w:pPr>
        <w:pStyle w:val="EndnoteText"/>
      </w:pPr>
      <w:r>
        <w:rPr>
          <w:rStyle w:val="EndnoteReference"/>
        </w:rPr>
        <w:endnoteRef/>
      </w:r>
      <w:r>
        <w:t xml:space="preserve"> See Appendix 9.</w:t>
      </w:r>
    </w:p>
  </w:endnote>
  <w:endnote w:id="482">
    <w:p w14:paraId="6CB921F4" w14:textId="77777777" w:rsidR="00F008D2" w:rsidRDefault="00F008D2" w:rsidP="000D1D92">
      <w:pPr>
        <w:pStyle w:val="EndnoteText"/>
      </w:pPr>
      <w:r>
        <w:rPr>
          <w:rStyle w:val="EndnoteReference"/>
        </w:rPr>
        <w:endnoteRef/>
      </w:r>
      <w:r>
        <w:t xml:space="preserve"> See Appendix 10.</w:t>
      </w:r>
    </w:p>
  </w:endnote>
  <w:endnote w:id="483">
    <w:p w14:paraId="155889F3" w14:textId="77777777" w:rsidR="00F008D2" w:rsidRDefault="00F008D2" w:rsidP="000D1D92">
      <w:pPr>
        <w:pStyle w:val="EndnoteText"/>
      </w:pPr>
      <w:r>
        <w:rPr>
          <w:rStyle w:val="EndnoteReference"/>
        </w:rPr>
        <w:endnoteRef/>
      </w:r>
      <w:r>
        <w:t xml:space="preserve"> See Appendix 11.</w:t>
      </w:r>
    </w:p>
  </w:endnote>
  <w:endnote w:id="484">
    <w:p w14:paraId="00B0EFF2" w14:textId="77777777" w:rsidR="00F008D2" w:rsidRPr="00D277C7" w:rsidRDefault="00F008D2" w:rsidP="000D1D92">
      <w:pPr>
        <w:pStyle w:val="EndnoteText"/>
        <w:rPr>
          <w:lang w:val="en-US"/>
        </w:rPr>
      </w:pPr>
      <w:r>
        <w:rPr>
          <w:rStyle w:val="EndnoteReference"/>
        </w:rPr>
        <w:endnoteRef/>
      </w:r>
      <w:r>
        <w:t xml:space="preserve"> </w:t>
      </w:r>
      <w:r>
        <w:rPr>
          <w:lang w:val="en"/>
        </w:rPr>
        <w:t>Janet Phillips and Penny Vandenbroek, ‘Domestic, family and sexual violence in Australia: an overview of the issues’ (Research Paper Series</w:t>
      </w:r>
      <w:r w:rsidRPr="008C425F">
        <w:rPr>
          <w:lang w:val="en"/>
        </w:rPr>
        <w:t xml:space="preserve"> 2014–15</w:t>
      </w:r>
      <w:r>
        <w:rPr>
          <w:lang w:val="en"/>
        </w:rPr>
        <w:t>, Parliamentary Library, Parliament of Australia, 2014) 1</w:t>
      </w:r>
      <w:r>
        <w:t xml:space="preserve"> </w:t>
      </w:r>
      <w:hyperlink r:id="rId143" w:history="1">
        <w:r w:rsidRPr="00D6108C">
          <w:rPr>
            <w:rStyle w:val="Hyperlink"/>
            <w:lang w:val="en"/>
          </w:rPr>
          <w:t>http://www.aph.gov.au/About_Parliament/Parliamentary_Departments/Parliamentary_Library/pubs/rp/rp1415/ViolenceAust</w:t>
        </w:r>
      </w:hyperlink>
      <w:r>
        <w:rPr>
          <w:lang w:val="en"/>
        </w:rPr>
        <w:t>&gt;.</w:t>
      </w:r>
    </w:p>
  </w:endnote>
  <w:endnote w:id="485">
    <w:p w14:paraId="1EF1C107" w14:textId="77777777" w:rsidR="00F008D2" w:rsidRDefault="00F008D2" w:rsidP="000D1D92">
      <w:pPr>
        <w:pStyle w:val="EndnoteText"/>
      </w:pPr>
      <w:r>
        <w:rPr>
          <w:rStyle w:val="EndnoteReference"/>
        </w:rPr>
        <w:endnoteRef/>
      </w:r>
      <w:r>
        <w:t xml:space="preserve"> </w:t>
      </w:r>
      <w:r w:rsidRPr="00A42570">
        <w:t xml:space="preserve">Queensland Government, </w:t>
      </w:r>
      <w:r w:rsidRPr="00A33846">
        <w:rPr>
          <w:i/>
        </w:rPr>
        <w:t>Not Now, Not Ever – Putting an End to Domestic and Family Violence in Queensland</w:t>
      </w:r>
      <w:r>
        <w:t xml:space="preserve"> (2015) 71 &lt;</w:t>
      </w:r>
      <w:hyperlink r:id="rId144" w:history="1">
        <w:r w:rsidRPr="00D6108C">
          <w:rPr>
            <w:rStyle w:val="Hyperlink"/>
          </w:rPr>
          <w:t>https://www.qld.gov.au/community/getting-support-health-social-issue/dfv-read-report-recommendation/index.html</w:t>
        </w:r>
      </w:hyperlink>
      <w:r>
        <w:t>&gt;.</w:t>
      </w:r>
    </w:p>
  </w:endnote>
  <w:endnote w:id="486">
    <w:p w14:paraId="3B86E02B" w14:textId="77777777" w:rsidR="00F008D2" w:rsidRDefault="00F008D2" w:rsidP="000D1D92">
      <w:pPr>
        <w:pStyle w:val="EndnoteText"/>
      </w:pPr>
      <w:r>
        <w:rPr>
          <w:rStyle w:val="EndnoteReference"/>
        </w:rPr>
        <w:endnoteRef/>
      </w:r>
      <w:r>
        <w:t xml:space="preserve"> Australian Bureau of Statistics, </w:t>
      </w:r>
      <w:r w:rsidRPr="00A33846">
        <w:rPr>
          <w:i/>
        </w:rPr>
        <w:t>Defining the Data Challenge for Family, Domestic and Sexual Violence, 2013</w:t>
      </w:r>
      <w:r>
        <w:t xml:space="preserve"> (</w:t>
      </w:r>
      <w:r w:rsidRPr="0083541E">
        <w:t>2013</w:t>
      </w:r>
      <w:r>
        <w:t xml:space="preserve">) 3. </w:t>
      </w:r>
    </w:p>
  </w:endnote>
  <w:endnote w:id="487">
    <w:p w14:paraId="4052A08F" w14:textId="77777777" w:rsidR="00F008D2" w:rsidRPr="00607DA5" w:rsidRDefault="00F008D2" w:rsidP="000D1D92">
      <w:pPr>
        <w:pStyle w:val="EndnoteText"/>
      </w:pPr>
      <w:r>
        <w:rPr>
          <w:rStyle w:val="EndnoteReference"/>
        </w:rPr>
        <w:endnoteRef/>
      </w:r>
      <w:r>
        <w:t xml:space="preserve"> National Aboriginal and Torres Strait Islander Legal Services (NATSILS), Submission No 10 to Australian Human Rights Commission, </w:t>
      </w:r>
      <w:r>
        <w:rPr>
          <w:i/>
        </w:rPr>
        <w:t xml:space="preserve">National Children’s Commissioner’s examination into children affected by family and domestic violence, </w:t>
      </w:r>
      <w:r w:rsidRPr="00FE544C">
        <w:t>1 June 2015</w:t>
      </w:r>
      <w:r>
        <w:t>, 9.</w:t>
      </w:r>
    </w:p>
  </w:endnote>
  <w:endnote w:id="488">
    <w:p w14:paraId="3CE66252" w14:textId="77777777" w:rsidR="00F008D2" w:rsidRPr="00263FE8" w:rsidRDefault="00F008D2" w:rsidP="000D1D92">
      <w:pPr>
        <w:pStyle w:val="EndnoteText"/>
        <w:jc w:val="both"/>
        <w:rPr>
          <w:lang w:val="en-US"/>
        </w:rPr>
      </w:pPr>
      <w:r>
        <w:rPr>
          <w:rStyle w:val="EndnoteReference"/>
        </w:rPr>
        <w:endnoteRef/>
      </w:r>
      <w:r>
        <w:t xml:space="preserve"> National Aboriginal and Torres Strait Islander Legal Services (NATSILS), Submission No 10 to Australian Human Rights Commission, </w:t>
      </w:r>
      <w:r>
        <w:rPr>
          <w:i/>
        </w:rPr>
        <w:t xml:space="preserve">National Children’s Commissioner’s examination into children affected by family and domestic violence, </w:t>
      </w:r>
      <w:r w:rsidRPr="00FE544C">
        <w:t>1 June 2015</w:t>
      </w:r>
      <w:r>
        <w:t>, 18.</w:t>
      </w:r>
    </w:p>
  </w:endnote>
  <w:endnote w:id="489">
    <w:p w14:paraId="6D56AB7E" w14:textId="77777777" w:rsidR="00F008D2" w:rsidRPr="00B07A37" w:rsidRDefault="00F008D2" w:rsidP="000D1D92">
      <w:pPr>
        <w:pStyle w:val="EndnoteText"/>
        <w:jc w:val="both"/>
        <w:rPr>
          <w:lang w:val="en-US"/>
        </w:rPr>
      </w:pPr>
      <w:r>
        <w:rPr>
          <w:rStyle w:val="EndnoteReference"/>
        </w:rPr>
        <w:endnoteRef/>
      </w:r>
      <w:r>
        <w:t xml:space="preserve"> </w:t>
      </w:r>
      <w:r>
        <w:rPr>
          <w:lang w:val="en-US"/>
        </w:rPr>
        <w:t xml:space="preserve">Relationships Australia (NSW), Submission No 36 </w:t>
      </w:r>
      <w:r>
        <w:t xml:space="preserve">to Australian Human Rights Commission, </w:t>
      </w:r>
      <w:r>
        <w:rPr>
          <w:i/>
        </w:rPr>
        <w:t xml:space="preserve">National Children’s Commissioner’s examination into children affected by family and domestic violence, </w:t>
      </w:r>
      <w:r w:rsidRPr="00A33846">
        <w:t>17 June</w:t>
      </w:r>
      <w:r>
        <w:rPr>
          <w:i/>
        </w:rPr>
        <w:t xml:space="preserve"> </w:t>
      </w:r>
      <w:r>
        <w:t xml:space="preserve">2015, </w:t>
      </w:r>
      <w:r>
        <w:rPr>
          <w:lang w:val="en-US"/>
        </w:rPr>
        <w:t>5.</w:t>
      </w:r>
    </w:p>
  </w:endnote>
  <w:endnote w:id="490">
    <w:p w14:paraId="30FDFA75" w14:textId="77777777" w:rsidR="00F008D2" w:rsidRPr="00A9495D" w:rsidRDefault="00F008D2" w:rsidP="000D1D92">
      <w:pPr>
        <w:pStyle w:val="EndnoteText"/>
        <w:jc w:val="both"/>
        <w:rPr>
          <w:lang w:val="en-US"/>
        </w:rPr>
      </w:pPr>
      <w:r>
        <w:rPr>
          <w:rStyle w:val="EndnoteReference"/>
        </w:rPr>
        <w:endnoteRef/>
      </w:r>
      <w:r>
        <w:t xml:space="preserve"> </w:t>
      </w:r>
      <w:r>
        <w:rPr>
          <w:lang w:val="en-US"/>
        </w:rPr>
        <w:t xml:space="preserve">Children with Disability Australia, </w:t>
      </w:r>
      <w:r>
        <w:rPr>
          <w:rFonts w:cs="Arial"/>
        </w:rPr>
        <w:t xml:space="preserve">Submission No 19 </w:t>
      </w:r>
      <w:r>
        <w:t xml:space="preserve">to Australian Human Rights Commission, </w:t>
      </w:r>
      <w:r>
        <w:rPr>
          <w:i/>
        </w:rPr>
        <w:t xml:space="preserve">National Children’s Commissioner’s examination into children affected by family and domestic violence, </w:t>
      </w:r>
      <w:r>
        <w:t>11 June 2015,</w:t>
      </w:r>
      <w:r w:rsidDel="003A07DF">
        <w:rPr>
          <w:lang w:val="en-US"/>
        </w:rPr>
        <w:t xml:space="preserve"> </w:t>
      </w:r>
      <w:r>
        <w:rPr>
          <w:rFonts w:cs="Arial"/>
        </w:rPr>
        <w:t>1.</w:t>
      </w:r>
    </w:p>
  </w:endnote>
  <w:endnote w:id="491">
    <w:p w14:paraId="1A7E33BF" w14:textId="77777777" w:rsidR="00F008D2" w:rsidRPr="000D0035" w:rsidRDefault="00F008D2" w:rsidP="000D1D92">
      <w:pPr>
        <w:pStyle w:val="EndnoteText"/>
        <w:rPr>
          <w:lang w:val="en-US"/>
        </w:rPr>
      </w:pPr>
      <w:r>
        <w:rPr>
          <w:rStyle w:val="EndnoteReference"/>
        </w:rPr>
        <w:endnoteRef/>
      </w:r>
      <w:r>
        <w:t xml:space="preserve"> </w:t>
      </w:r>
      <w:r w:rsidRPr="00872F87">
        <w:t>Andrew Jackomos, Commissioner for Aboriginal Children and Young people (Victoria)</w:t>
      </w:r>
      <w:r>
        <w:t xml:space="preserve">, </w:t>
      </w:r>
      <w:r w:rsidRPr="008029D3">
        <w:rPr>
          <w:lang w:val="en-US"/>
        </w:rPr>
        <w:t xml:space="preserve">Submission </w:t>
      </w:r>
      <w:r>
        <w:rPr>
          <w:lang w:val="en-US"/>
        </w:rPr>
        <w:t>No 35</w:t>
      </w:r>
      <w:r w:rsidRPr="008029D3">
        <w:rPr>
          <w:lang w:val="en-US"/>
        </w:rPr>
        <w:t xml:space="preserve"> </w:t>
      </w:r>
      <w:r w:rsidRPr="008029D3">
        <w:t xml:space="preserve">to Australian Human Rights Commission, </w:t>
      </w:r>
      <w:r w:rsidRPr="008029D3">
        <w:rPr>
          <w:i/>
        </w:rPr>
        <w:t>National Children’s Commissioner’s examination into children affected b</w:t>
      </w:r>
      <w:r>
        <w:rPr>
          <w:i/>
        </w:rPr>
        <w:t>y family and domestic violence</w:t>
      </w:r>
      <w:r>
        <w:t>, 15 June 2015, 6</w:t>
      </w:r>
      <w:r w:rsidRPr="008029D3">
        <w:rPr>
          <w:lang w:val="en-US"/>
        </w:rPr>
        <w:t>.</w:t>
      </w:r>
    </w:p>
  </w:endnote>
  <w:endnote w:id="492">
    <w:p w14:paraId="7693E6AC" w14:textId="77777777" w:rsidR="00F008D2" w:rsidRPr="00A751F6" w:rsidRDefault="00F008D2" w:rsidP="000D1D92">
      <w:pPr>
        <w:pStyle w:val="EndnoteText"/>
        <w:rPr>
          <w:lang w:val="en-US"/>
        </w:rPr>
      </w:pPr>
      <w:r>
        <w:rPr>
          <w:rStyle w:val="EndnoteReference"/>
        </w:rPr>
        <w:endnoteRef/>
      </w:r>
      <w:r>
        <w:t xml:space="preserve"> </w:t>
      </w:r>
      <w:r w:rsidRPr="008C7DF3">
        <w:t>National Aboriginal and Torres Strait Islander Women’s Alliance (NATSIWA)</w:t>
      </w:r>
      <w:r>
        <w:t xml:space="preserve">, </w:t>
      </w:r>
      <w:r w:rsidRPr="008029D3">
        <w:rPr>
          <w:lang w:val="en-US"/>
        </w:rPr>
        <w:t xml:space="preserve">Submission </w:t>
      </w:r>
      <w:r>
        <w:rPr>
          <w:lang w:val="en-US"/>
        </w:rPr>
        <w:t xml:space="preserve">No 42 </w:t>
      </w:r>
      <w:r w:rsidRPr="008029D3">
        <w:t xml:space="preserve">to Australian Human Rights Commission, </w:t>
      </w:r>
      <w:r w:rsidRPr="008029D3">
        <w:rPr>
          <w:i/>
        </w:rPr>
        <w:t>National Children’s Commissioner’s examination into children affected b</w:t>
      </w:r>
      <w:r>
        <w:rPr>
          <w:i/>
        </w:rPr>
        <w:t>y family and domestic violence</w:t>
      </w:r>
      <w:r>
        <w:t>, 23 June 2015, 17</w:t>
      </w:r>
      <w:r w:rsidRPr="008029D3">
        <w:rPr>
          <w:lang w:val="en-US"/>
        </w:rPr>
        <w:t>.</w:t>
      </w:r>
    </w:p>
  </w:endnote>
  <w:endnote w:id="493">
    <w:p w14:paraId="23054ED8" w14:textId="77777777" w:rsidR="00F008D2" w:rsidRPr="0025523A" w:rsidRDefault="00F008D2" w:rsidP="000D1D92">
      <w:pPr>
        <w:pStyle w:val="EndnoteText"/>
        <w:rPr>
          <w:lang w:val="en-US"/>
        </w:rPr>
      </w:pPr>
      <w:r>
        <w:rPr>
          <w:rStyle w:val="EndnoteReference"/>
        </w:rPr>
        <w:endnoteRef/>
      </w:r>
      <w:r>
        <w:t xml:space="preserve"> </w:t>
      </w:r>
      <w:r w:rsidRPr="00F170F0">
        <w:t>Aboriginal Family Law Services</w:t>
      </w:r>
      <w:r>
        <w:t xml:space="preserve"> (WA), </w:t>
      </w:r>
      <w:r w:rsidRPr="008029D3">
        <w:rPr>
          <w:lang w:val="en-US"/>
        </w:rPr>
        <w:t xml:space="preserve">Submission </w:t>
      </w:r>
      <w:r>
        <w:rPr>
          <w:lang w:val="en-US"/>
        </w:rPr>
        <w:t>No 29</w:t>
      </w:r>
      <w:r w:rsidRPr="008029D3">
        <w:rPr>
          <w:lang w:val="en-US"/>
        </w:rPr>
        <w:t xml:space="preserve"> </w:t>
      </w:r>
      <w:r w:rsidRPr="008029D3">
        <w:t xml:space="preserve">to Australian Human Rights Commission, </w:t>
      </w:r>
      <w:r w:rsidRPr="008029D3">
        <w:rPr>
          <w:i/>
        </w:rPr>
        <w:t>National Children’s Commissioner’s examination into children affected b</w:t>
      </w:r>
      <w:r>
        <w:rPr>
          <w:i/>
        </w:rPr>
        <w:t>y family and domestic violence</w:t>
      </w:r>
      <w:r>
        <w:t>, 15 June 2015, 12</w:t>
      </w:r>
      <w:r w:rsidRPr="008029D3">
        <w:rPr>
          <w:lang w:val="en-US"/>
        </w:rPr>
        <w:t>.</w:t>
      </w:r>
    </w:p>
  </w:endnote>
  <w:endnote w:id="494">
    <w:p w14:paraId="1DAE7FC6" w14:textId="77777777" w:rsidR="00F008D2" w:rsidRPr="00FE544C" w:rsidRDefault="00F008D2" w:rsidP="000D1D92">
      <w:pPr>
        <w:pStyle w:val="EndnoteText"/>
        <w:rPr>
          <w:lang w:val="en-US"/>
        </w:rPr>
      </w:pPr>
      <w:r>
        <w:rPr>
          <w:rStyle w:val="EndnoteReference"/>
        </w:rPr>
        <w:endnoteRef/>
      </w:r>
      <w:r>
        <w:t xml:space="preserve"> </w:t>
      </w:r>
      <w:r w:rsidRPr="00FE544C">
        <w:t>National Aboriginal and Torres Strait Islander Services (NATSILS), Submission</w:t>
      </w:r>
      <w:r>
        <w:t xml:space="preserve"> No</w:t>
      </w:r>
      <w:r w:rsidRPr="00FE544C">
        <w:t xml:space="preserve"> 10 to Australian Human Rights Commission, National Children’s Commissioner’s examination into children affected by family and domestic violence, 1 June 2015, 19.</w:t>
      </w:r>
    </w:p>
  </w:endnote>
  <w:endnote w:id="495">
    <w:p w14:paraId="4A689776" w14:textId="77777777" w:rsidR="00F008D2" w:rsidRPr="0054742E" w:rsidRDefault="00F008D2" w:rsidP="000D1D92">
      <w:pPr>
        <w:pStyle w:val="EndnoteText"/>
        <w:rPr>
          <w:lang w:val="en-US"/>
        </w:rPr>
      </w:pPr>
      <w:r>
        <w:rPr>
          <w:rStyle w:val="EndnoteReference"/>
        </w:rPr>
        <w:endnoteRef/>
      </w:r>
      <w:r>
        <w:t xml:space="preserve"> </w:t>
      </w:r>
      <w:r w:rsidRPr="00F16B66">
        <w:t>National LGBTI Health Alliance</w:t>
      </w:r>
      <w:r>
        <w:t xml:space="preserve">, </w:t>
      </w:r>
      <w:r>
        <w:rPr>
          <w:lang w:val="en-US"/>
        </w:rPr>
        <w:t>Submission No 49</w:t>
      </w:r>
      <w:r w:rsidRPr="00F76AEE">
        <w:rPr>
          <w:lang w:val="en-US"/>
        </w:rPr>
        <w:t xml:space="preserve"> </w:t>
      </w:r>
      <w:r w:rsidRPr="00F76AEE">
        <w:t>to</w:t>
      </w:r>
      <w:r>
        <w:t xml:space="preserve"> Australian Human Rights Commission, </w:t>
      </w:r>
      <w:r>
        <w:rPr>
          <w:i/>
        </w:rPr>
        <w:t xml:space="preserve">National Children’s Commissioner’s examination into children affected by family and domestic violence, </w:t>
      </w:r>
      <w:r>
        <w:t xml:space="preserve">21 July 2015, </w:t>
      </w:r>
      <w:r>
        <w:rPr>
          <w:lang w:val="en-US"/>
        </w:rPr>
        <w:t>7.</w:t>
      </w:r>
    </w:p>
  </w:endnote>
  <w:endnote w:id="496">
    <w:p w14:paraId="29875D1D" w14:textId="77777777" w:rsidR="00F008D2" w:rsidRDefault="00F008D2" w:rsidP="000D1D92">
      <w:pPr>
        <w:pStyle w:val="EndnoteText"/>
        <w:jc w:val="both"/>
      </w:pPr>
      <w:r>
        <w:rPr>
          <w:rStyle w:val="EndnoteReference"/>
        </w:rPr>
        <w:endnoteRef/>
      </w:r>
      <w:r w:rsidRPr="00836B28">
        <w:t xml:space="preserve">Australian Bureau of Statistics, </w:t>
      </w:r>
      <w:r w:rsidRPr="00836B28">
        <w:rPr>
          <w:i/>
        </w:rPr>
        <w:t>Defining the Data Challenge for Family, Domestic and Sexual Violence, Australia</w:t>
      </w:r>
      <w:r>
        <w:t xml:space="preserve">, </w:t>
      </w:r>
      <w:r w:rsidRPr="00A33846">
        <w:rPr>
          <w:i/>
        </w:rPr>
        <w:t>2013</w:t>
      </w:r>
      <w:r>
        <w:t xml:space="preserve"> (2013)</w:t>
      </w:r>
      <w:r w:rsidRPr="002C5FE5">
        <w:t xml:space="preserve"> 9</w:t>
      </w:r>
      <w:r>
        <w:t>.</w:t>
      </w:r>
    </w:p>
  </w:endnote>
  <w:endnote w:id="497">
    <w:p w14:paraId="490BF3CE" w14:textId="77777777" w:rsidR="00F008D2" w:rsidRPr="005904B8" w:rsidRDefault="00F008D2" w:rsidP="000D1D92">
      <w:pPr>
        <w:pStyle w:val="EndnoteText"/>
        <w:jc w:val="both"/>
      </w:pPr>
      <w:r>
        <w:rPr>
          <w:rStyle w:val="EndnoteReference"/>
        </w:rPr>
        <w:endnoteRef/>
      </w:r>
      <w:r>
        <w:t xml:space="preserve"> </w:t>
      </w:r>
      <w:r w:rsidRPr="00836B28">
        <w:t>Australian Bureau of Statistics</w:t>
      </w:r>
      <w:r>
        <w:t>,</w:t>
      </w:r>
      <w:r w:rsidDel="00B46023">
        <w:t xml:space="preserve"> </w:t>
      </w:r>
      <w:r>
        <w:t xml:space="preserve">‘ABS releases a foundation for improved family and domestic violence statistics’ (Media Release, 139/2014, 30 September 2014). </w:t>
      </w:r>
    </w:p>
  </w:endnote>
  <w:endnote w:id="498">
    <w:p w14:paraId="6A95109B" w14:textId="77777777" w:rsidR="00F008D2" w:rsidRDefault="00F008D2" w:rsidP="000D1D92">
      <w:pPr>
        <w:pStyle w:val="EndnoteText"/>
      </w:pPr>
      <w:r>
        <w:rPr>
          <w:rStyle w:val="EndnoteReference"/>
        </w:rPr>
        <w:endnoteRef/>
      </w:r>
      <w:r>
        <w:t xml:space="preserve"> </w:t>
      </w:r>
      <w:r w:rsidRPr="00836B28">
        <w:t xml:space="preserve">Australian Bureau of Statistics, </w:t>
      </w:r>
      <w:r w:rsidRPr="00836B28">
        <w:rPr>
          <w:i/>
        </w:rPr>
        <w:t>Defining the Data Challenge for Family, Domestic and Sexual Violence, Australia</w:t>
      </w:r>
      <w:r>
        <w:t xml:space="preserve">, </w:t>
      </w:r>
      <w:r w:rsidRPr="00212D3C">
        <w:rPr>
          <w:i/>
        </w:rPr>
        <w:t>2013</w:t>
      </w:r>
      <w:r>
        <w:t xml:space="preserve"> (2013) </w:t>
      </w:r>
      <w:r w:rsidRPr="00895A48">
        <w:t>6</w:t>
      </w:r>
      <w:r>
        <w:t>.</w:t>
      </w:r>
    </w:p>
  </w:endnote>
  <w:endnote w:id="499">
    <w:p w14:paraId="73AB044A" w14:textId="77777777" w:rsidR="00F008D2" w:rsidRDefault="00F008D2" w:rsidP="000D1D92">
      <w:pPr>
        <w:pStyle w:val="EndnoteText"/>
      </w:pPr>
      <w:r>
        <w:rPr>
          <w:rStyle w:val="EndnoteReference"/>
        </w:rPr>
        <w:endnoteRef/>
      </w:r>
      <w:r>
        <w:t xml:space="preserve"> </w:t>
      </w:r>
      <w:r w:rsidRPr="00836B28">
        <w:t xml:space="preserve">Australian Bureau of Statistics, </w:t>
      </w:r>
      <w:r w:rsidRPr="00836B28">
        <w:rPr>
          <w:i/>
        </w:rPr>
        <w:t>Defining the Data Challenge for Family, Domestic and Sexual Violence, Australia</w:t>
      </w:r>
      <w:r>
        <w:t xml:space="preserve">, </w:t>
      </w:r>
      <w:r w:rsidRPr="00212D3C">
        <w:rPr>
          <w:i/>
        </w:rPr>
        <w:t>2013</w:t>
      </w:r>
      <w:r>
        <w:t xml:space="preserve"> (2013) </w:t>
      </w:r>
      <w:r w:rsidRPr="00895A48">
        <w:t>2</w:t>
      </w:r>
      <w:r>
        <w:t>.</w:t>
      </w:r>
    </w:p>
  </w:endnote>
  <w:endnote w:id="500">
    <w:p w14:paraId="02D08000" w14:textId="77777777" w:rsidR="00F008D2" w:rsidRPr="007C024A" w:rsidRDefault="00F008D2" w:rsidP="000D1D92">
      <w:pPr>
        <w:pStyle w:val="EndnoteText"/>
        <w:rPr>
          <w:lang w:val="en-US"/>
        </w:rPr>
      </w:pPr>
      <w:r>
        <w:rPr>
          <w:rStyle w:val="EndnoteReference"/>
        </w:rPr>
        <w:endnoteRef/>
      </w:r>
      <w:r>
        <w:t xml:space="preserve"> </w:t>
      </w:r>
      <w:r w:rsidRPr="00212D3C">
        <w:t xml:space="preserve">Australian Bureau of Statistics, </w:t>
      </w:r>
      <w:r w:rsidRPr="00212D3C">
        <w:rPr>
          <w:i/>
        </w:rPr>
        <w:t>Foundation for a National Data Collection and Reporting Framework for family, domestic and sexual violence: Summary</w:t>
      </w:r>
      <w:r w:rsidRPr="00212D3C">
        <w:t xml:space="preserve"> (2014) 2. </w:t>
      </w:r>
    </w:p>
  </w:endnote>
  <w:endnote w:id="501">
    <w:p w14:paraId="13CB2FE2" w14:textId="77777777" w:rsidR="00F008D2" w:rsidRPr="005904B8" w:rsidRDefault="00F008D2" w:rsidP="000D1D92">
      <w:pPr>
        <w:pStyle w:val="EndnoteText"/>
      </w:pPr>
      <w:r>
        <w:rPr>
          <w:rStyle w:val="EndnoteReference"/>
        </w:rPr>
        <w:endnoteRef/>
      </w:r>
      <w:r>
        <w:t xml:space="preserve"> </w:t>
      </w:r>
      <w:r w:rsidRPr="00836B28">
        <w:t>Australian Bureau of Statistics</w:t>
      </w:r>
      <w:r>
        <w:t>,</w:t>
      </w:r>
      <w:r w:rsidDel="00B46023">
        <w:t xml:space="preserve"> </w:t>
      </w:r>
      <w:r>
        <w:t xml:space="preserve">‘ABS releases a foundation for improved family and domestic violence statistics’ (Media Release, 139/2014, 30 September 2014). </w:t>
      </w:r>
    </w:p>
  </w:endnote>
  <w:endnote w:id="502">
    <w:p w14:paraId="74F8A733" w14:textId="77777777" w:rsidR="00F008D2" w:rsidRPr="007C024A" w:rsidRDefault="00F008D2" w:rsidP="000D1D92">
      <w:pPr>
        <w:pStyle w:val="EndnoteText"/>
        <w:rPr>
          <w:lang w:val="en-US"/>
        </w:rPr>
      </w:pPr>
      <w:r>
        <w:rPr>
          <w:rStyle w:val="EndnoteReference"/>
        </w:rPr>
        <w:endnoteRef/>
      </w:r>
      <w:r>
        <w:t xml:space="preserve"> Australian Bureau of Statistics ‘Foundation for a National Data Collection and Reporting Framework for family, domestic and sexual violence, 2014 – The Way Forward’ (</w:t>
      </w:r>
      <w:r w:rsidRPr="001D3BD9">
        <w:t>4529.0.00.003</w:t>
      </w:r>
      <w:r>
        <w:t>, 30 November 2014) &lt;</w:t>
      </w:r>
      <w:hyperlink r:id="rId145" w:history="1">
        <w:r w:rsidRPr="0028701A">
          <w:rPr>
            <w:rStyle w:val="Hyperlink"/>
          </w:rPr>
          <w:t>http://www.abs.gov.au/ausstats/abs@.nsf/Lookup/by%20Subject/4529.0.00.003~2014~Main%20Features~The%20Way%20Forward~8</w:t>
        </w:r>
      </w:hyperlink>
      <w:r>
        <w:t>&gt;</w:t>
      </w:r>
    </w:p>
  </w:endnote>
  <w:endnote w:id="503">
    <w:p w14:paraId="023345EB" w14:textId="77777777" w:rsidR="00F008D2" w:rsidRPr="005904B8" w:rsidRDefault="00F008D2" w:rsidP="000D1D92">
      <w:pPr>
        <w:pStyle w:val="EndnoteText"/>
        <w:jc w:val="both"/>
      </w:pPr>
      <w:r>
        <w:rPr>
          <w:rStyle w:val="EndnoteReference"/>
        </w:rPr>
        <w:endnoteRef/>
      </w:r>
      <w:r>
        <w:t xml:space="preserve"> </w:t>
      </w:r>
      <w:r w:rsidRPr="00836B28">
        <w:t>Australian Bureau of Statistics</w:t>
      </w:r>
      <w:r>
        <w:t>,</w:t>
      </w:r>
      <w:r w:rsidDel="00B46023">
        <w:t xml:space="preserve"> </w:t>
      </w:r>
      <w:r>
        <w:t xml:space="preserve">‘ABS releases a foundation for improved family and domestic violence statistics’ (Media Release, 139/2014, 30 September 2014). </w:t>
      </w:r>
    </w:p>
  </w:endnote>
  <w:endnote w:id="504">
    <w:p w14:paraId="040DFB8D" w14:textId="77777777" w:rsidR="00F008D2" w:rsidRPr="005904B8" w:rsidRDefault="00F008D2" w:rsidP="000D1D92">
      <w:pPr>
        <w:pStyle w:val="EndnoteText"/>
        <w:jc w:val="both"/>
      </w:pPr>
      <w:r w:rsidRPr="001071D7">
        <w:rPr>
          <w:rStyle w:val="EndnoteReference"/>
        </w:rPr>
        <w:endnoteRef/>
      </w:r>
      <w:r w:rsidRPr="001071D7">
        <w:t xml:space="preserve"> </w:t>
      </w:r>
      <w:r w:rsidRPr="00B00E18">
        <w:t xml:space="preserve">Australian Bureau of Statistics, </w:t>
      </w:r>
      <w:r w:rsidRPr="00A33846">
        <w:rPr>
          <w:i/>
        </w:rPr>
        <w:t>Foundation for a National Data Collection and Reporting Framework for family, domestic and sexual violence: Summary</w:t>
      </w:r>
      <w:r w:rsidRPr="001071D7">
        <w:t xml:space="preserve"> </w:t>
      </w:r>
      <w:r w:rsidRPr="00A33846">
        <w:t>(</w:t>
      </w:r>
      <w:r w:rsidRPr="001071D7">
        <w:t>2014</w:t>
      </w:r>
      <w:r w:rsidRPr="00A33846">
        <w:t>)</w:t>
      </w:r>
      <w:r w:rsidRPr="001071D7">
        <w:t xml:space="preserve"> 2</w:t>
      </w:r>
      <w:r>
        <w:t xml:space="preserve">; Senate Finance and Public Administration References Committee, Parliament of Australia, </w:t>
      </w:r>
      <w:r>
        <w:rPr>
          <w:i/>
        </w:rPr>
        <w:t xml:space="preserve">Domestic Violence in Australia: Interim Report, </w:t>
      </w:r>
      <w:r>
        <w:t>(2015), 1.52</w:t>
      </w:r>
    </w:p>
  </w:endnote>
  <w:endnote w:id="505">
    <w:p w14:paraId="27780606" w14:textId="77777777" w:rsidR="00F008D2" w:rsidRPr="007F6F7C" w:rsidRDefault="00F008D2" w:rsidP="000D1D92">
      <w:pPr>
        <w:pStyle w:val="EndnoteText"/>
        <w:rPr>
          <w:lang w:val="en-US"/>
        </w:rPr>
      </w:pPr>
      <w:r>
        <w:rPr>
          <w:rStyle w:val="EndnoteReference"/>
        </w:rPr>
        <w:endnoteRef/>
      </w:r>
      <w:r>
        <w:t xml:space="preserve"> </w:t>
      </w:r>
      <w:r>
        <w:rPr>
          <w:lang w:val="en-US"/>
        </w:rPr>
        <w:t xml:space="preserve">New South Wales Government, </w:t>
      </w:r>
      <w:r w:rsidRPr="00F76AEE">
        <w:rPr>
          <w:lang w:val="en-US"/>
        </w:rPr>
        <w:t>Submission</w:t>
      </w:r>
      <w:r>
        <w:rPr>
          <w:lang w:val="en-US"/>
        </w:rPr>
        <w:t xml:space="preserve"> No</w:t>
      </w:r>
      <w:r w:rsidRPr="00F76AEE">
        <w:rPr>
          <w:lang w:val="en-US"/>
        </w:rPr>
        <w:t xml:space="preserve"> 51 </w:t>
      </w:r>
      <w:r w:rsidRPr="00F76AEE">
        <w:t>to</w:t>
      </w:r>
      <w:r>
        <w:t xml:space="preserve"> Australian Human Rights Commission, </w:t>
      </w:r>
      <w:r>
        <w:rPr>
          <w:i/>
        </w:rPr>
        <w:t xml:space="preserve">National Children’s Commissioner’s examination into children affected by family and domestic violence, </w:t>
      </w:r>
      <w:r>
        <w:t>28 July 2015,</w:t>
      </w:r>
      <w:r>
        <w:rPr>
          <w:lang w:val="en-US"/>
        </w:rPr>
        <w:t xml:space="preserve"> 2.</w:t>
      </w:r>
    </w:p>
  </w:endnote>
  <w:endnote w:id="506">
    <w:p w14:paraId="428BEEAF" w14:textId="77777777" w:rsidR="00F008D2" w:rsidRPr="002F7093" w:rsidRDefault="00F008D2" w:rsidP="000D1D92">
      <w:pPr>
        <w:pStyle w:val="EndnoteText"/>
        <w:rPr>
          <w:lang w:val="en-US"/>
        </w:rPr>
      </w:pPr>
      <w:r>
        <w:rPr>
          <w:rStyle w:val="EndnoteReference"/>
        </w:rPr>
        <w:endnoteRef/>
      </w:r>
      <w:r>
        <w:t xml:space="preserve"> </w:t>
      </w:r>
      <w:r>
        <w:rPr>
          <w:lang w:val="en-US"/>
        </w:rPr>
        <w:t xml:space="preserve">New South Wales Government, </w:t>
      </w:r>
      <w:r w:rsidRPr="00F76AEE">
        <w:rPr>
          <w:lang w:val="en-US"/>
        </w:rPr>
        <w:t>Submission</w:t>
      </w:r>
      <w:r>
        <w:rPr>
          <w:lang w:val="en-US"/>
        </w:rPr>
        <w:t xml:space="preserve"> No</w:t>
      </w:r>
      <w:r w:rsidRPr="00F76AEE">
        <w:rPr>
          <w:lang w:val="en-US"/>
        </w:rPr>
        <w:t xml:space="preserve"> 51 </w:t>
      </w:r>
      <w:r w:rsidRPr="00F76AEE">
        <w:t>to</w:t>
      </w:r>
      <w:r>
        <w:t xml:space="preserve"> Australian Human Rights Commission, </w:t>
      </w:r>
      <w:r>
        <w:rPr>
          <w:i/>
        </w:rPr>
        <w:t xml:space="preserve">National Children’s Commissioner’s examination into children affected by family and domestic violence, </w:t>
      </w:r>
      <w:r>
        <w:t>28 July 2015,</w:t>
      </w:r>
      <w:r>
        <w:rPr>
          <w:lang w:val="en-US"/>
        </w:rPr>
        <w:t xml:space="preserve"> 11.</w:t>
      </w:r>
    </w:p>
  </w:endnote>
  <w:endnote w:id="507">
    <w:p w14:paraId="0D508A5A" w14:textId="77777777" w:rsidR="00F008D2" w:rsidRPr="004D12E9" w:rsidRDefault="00F008D2" w:rsidP="000D1D92">
      <w:pPr>
        <w:pStyle w:val="EndnoteText"/>
        <w:jc w:val="both"/>
        <w:rPr>
          <w:lang w:val="en-US"/>
        </w:rPr>
      </w:pPr>
      <w:r>
        <w:rPr>
          <w:rStyle w:val="EndnoteReference"/>
        </w:rPr>
        <w:endnoteRef/>
      </w:r>
      <w:r>
        <w:t xml:space="preserve"> </w:t>
      </w:r>
      <w:r w:rsidRPr="00F81D87">
        <w:t>Andrew Johnson, Advocate for Children and Young People NSW</w:t>
      </w:r>
      <w:r>
        <w:t>,</w:t>
      </w:r>
      <w:r>
        <w:rPr>
          <w:lang w:val="en-US"/>
        </w:rPr>
        <w:t xml:space="preserve"> Submission No 11 </w:t>
      </w:r>
      <w:r>
        <w:t xml:space="preserve">to Australian Human Rights Commission, </w:t>
      </w:r>
      <w:r>
        <w:rPr>
          <w:i/>
        </w:rPr>
        <w:t xml:space="preserve">National Children’s Commissioner’s examination into children affected by family and domestic violence, </w:t>
      </w:r>
      <w:r w:rsidRPr="00A33846">
        <w:t xml:space="preserve">1 June </w:t>
      </w:r>
      <w:r w:rsidRPr="001071D7">
        <w:t>2015</w:t>
      </w:r>
      <w:r>
        <w:t xml:space="preserve">, </w:t>
      </w:r>
      <w:r>
        <w:rPr>
          <w:lang w:val="en-US"/>
        </w:rPr>
        <w:t>2.</w:t>
      </w:r>
    </w:p>
  </w:endnote>
  <w:endnote w:id="508">
    <w:p w14:paraId="65D86786" w14:textId="77777777" w:rsidR="00F008D2" w:rsidRPr="00E7430E" w:rsidRDefault="00F008D2" w:rsidP="000D1D92">
      <w:pPr>
        <w:pStyle w:val="EndnoteText"/>
        <w:jc w:val="both"/>
        <w:rPr>
          <w:rFonts w:cs="Arial"/>
          <w:lang w:val="en-US"/>
        </w:rPr>
      </w:pPr>
      <w:r w:rsidRPr="00E7430E">
        <w:rPr>
          <w:rStyle w:val="EndnoteReference"/>
          <w:rFonts w:cs="Arial"/>
        </w:rPr>
        <w:endnoteRef/>
      </w:r>
      <w:r w:rsidRPr="00E7430E">
        <w:rPr>
          <w:rFonts w:cs="Arial"/>
        </w:rPr>
        <w:t xml:space="preserve"> N Stanley</w:t>
      </w:r>
      <w:r>
        <w:rPr>
          <w:rFonts w:cs="Arial"/>
        </w:rPr>
        <w:t>,</w:t>
      </w:r>
      <w:r w:rsidRPr="00E7430E">
        <w:rPr>
          <w:rFonts w:cs="Arial"/>
        </w:rPr>
        <w:t xml:space="preserve"> </w:t>
      </w:r>
      <w:r w:rsidRPr="00E7430E">
        <w:rPr>
          <w:rFonts w:cs="Arial"/>
          <w:i/>
          <w:iCs/>
        </w:rPr>
        <w:t xml:space="preserve">Children Experiencing Domestic Violence: A Research Review </w:t>
      </w:r>
      <w:r>
        <w:rPr>
          <w:rFonts w:cs="Arial"/>
          <w:iCs/>
        </w:rPr>
        <w:t>(</w:t>
      </w:r>
      <w:r w:rsidRPr="00E7430E">
        <w:rPr>
          <w:rFonts w:cs="Arial"/>
        </w:rPr>
        <w:t xml:space="preserve">Dartington: </w:t>
      </w:r>
      <w:r>
        <w:rPr>
          <w:rFonts w:cs="Arial"/>
          <w:bCs/>
        </w:rPr>
        <w:t>R</w:t>
      </w:r>
      <w:r w:rsidRPr="00E7430E">
        <w:rPr>
          <w:rFonts w:cs="Arial"/>
          <w:bCs/>
        </w:rPr>
        <w:t xml:space="preserve">esearch in </w:t>
      </w:r>
      <w:r>
        <w:rPr>
          <w:rFonts w:cs="Arial"/>
          <w:bCs/>
        </w:rPr>
        <w:t>P</w:t>
      </w:r>
      <w:r w:rsidRPr="00E7430E">
        <w:rPr>
          <w:rFonts w:cs="Arial"/>
          <w:bCs/>
        </w:rPr>
        <w:t>ractice</w:t>
      </w:r>
      <w:r>
        <w:rPr>
          <w:rFonts w:cs="Arial"/>
          <w:bCs/>
        </w:rPr>
        <w:t>,</w:t>
      </w:r>
      <w:r w:rsidRPr="00E7430E">
        <w:rPr>
          <w:rFonts w:cs="Arial"/>
          <w:bCs/>
        </w:rPr>
        <w:t xml:space="preserve"> </w:t>
      </w:r>
      <w:r w:rsidRPr="00E7430E">
        <w:rPr>
          <w:rFonts w:cs="Arial"/>
        </w:rPr>
        <w:t>2011</w:t>
      </w:r>
      <w:r>
        <w:rPr>
          <w:rFonts w:cs="Arial"/>
        </w:rPr>
        <w:t>)</w:t>
      </w:r>
      <w:r w:rsidRPr="00E7430E">
        <w:rPr>
          <w:rFonts w:cs="Arial"/>
        </w:rPr>
        <w:t xml:space="preserve"> 7.</w:t>
      </w:r>
    </w:p>
  </w:endnote>
  <w:endnote w:id="509">
    <w:p w14:paraId="3A086ECD" w14:textId="77777777" w:rsidR="00F008D2" w:rsidRPr="00BD74A5" w:rsidRDefault="00F008D2" w:rsidP="000D1D92">
      <w:pPr>
        <w:pStyle w:val="EndnoteText"/>
        <w:rPr>
          <w:lang w:val="en-US"/>
        </w:rPr>
      </w:pPr>
      <w:r>
        <w:rPr>
          <w:rStyle w:val="EndnoteReference"/>
        </w:rPr>
        <w:endnoteRef/>
      </w:r>
      <w:r>
        <w:t xml:space="preserve"> </w:t>
      </w:r>
      <w:r w:rsidRPr="004079F2">
        <w:t>Melbourne Research Alliance to End Violence Against Women and their Children, University of Melbourne</w:t>
      </w:r>
      <w:r>
        <w:t>,</w:t>
      </w:r>
      <w:r w:rsidRPr="005B2A9B">
        <w:t xml:space="preserve"> </w:t>
      </w:r>
      <w:r>
        <w:t xml:space="preserve">Submission No 18 </w:t>
      </w:r>
      <w:r w:rsidRPr="00422F51">
        <w:t xml:space="preserve">to Australian Human Rights Commission, </w:t>
      </w:r>
      <w:r w:rsidRPr="0082462D">
        <w:rPr>
          <w:i/>
        </w:rPr>
        <w:t>National Children’s Commissioner’s examination into children affected by family and domestic violence</w:t>
      </w:r>
      <w:r>
        <w:t>, 9 June 2015</w:t>
      </w:r>
      <w:r w:rsidRPr="00422F51">
        <w:t>,</w:t>
      </w:r>
      <w:r>
        <w:rPr>
          <w:lang w:val="en-US"/>
        </w:rPr>
        <w:t xml:space="preserve"> 10.</w:t>
      </w:r>
    </w:p>
  </w:endnote>
  <w:endnote w:id="510">
    <w:p w14:paraId="708F7042" w14:textId="77777777" w:rsidR="00F008D2" w:rsidRDefault="00F008D2" w:rsidP="000D1D92">
      <w:pPr>
        <w:pStyle w:val="EndnoteText"/>
        <w:jc w:val="both"/>
      </w:pPr>
      <w:r>
        <w:rPr>
          <w:rStyle w:val="EndnoteReference"/>
        </w:rPr>
        <w:endnoteRef/>
      </w:r>
      <w:r>
        <w:t xml:space="preserve"> Kristy McKellar, Submission 59 to Australian Human Rights Commission, </w:t>
      </w:r>
      <w:r>
        <w:rPr>
          <w:i/>
        </w:rPr>
        <w:t xml:space="preserve">National Children’s Commissioner’s examination into children affected by family and domestic violence, </w:t>
      </w:r>
      <w:r>
        <w:t xml:space="preserve">13 September </w:t>
      </w:r>
      <w:r w:rsidRPr="001071D7">
        <w:t>2015</w:t>
      </w:r>
      <w:r>
        <w:rPr>
          <w:lang w:val="en-US"/>
        </w:rPr>
        <w:t>.</w:t>
      </w:r>
    </w:p>
  </w:endnote>
  <w:endnote w:id="511">
    <w:p w14:paraId="49D2803F" w14:textId="77777777" w:rsidR="00F008D2" w:rsidRPr="007C024A" w:rsidRDefault="00F008D2" w:rsidP="000D1D92">
      <w:pPr>
        <w:pStyle w:val="EndnoteText"/>
        <w:rPr>
          <w:lang w:val="en-US"/>
        </w:rPr>
      </w:pPr>
      <w:r>
        <w:rPr>
          <w:rStyle w:val="EndnoteReference"/>
        </w:rPr>
        <w:endnoteRef/>
      </w:r>
      <w:r>
        <w:t xml:space="preserve"> </w:t>
      </w:r>
      <w:r w:rsidRPr="00EC3AC7">
        <w:t>Australian Bureau of Statistics ‘Foundation for a National Data Collection and Reporting Framework for family, domestic and sexual violence, 2014 –</w:t>
      </w:r>
      <w:r>
        <w:t xml:space="preserve"> Key Data Items: Sex</w:t>
      </w:r>
      <w:r w:rsidRPr="00EC3AC7">
        <w:t>’ (4529.0.00.003, 30 November 2014) &lt;</w:t>
      </w:r>
      <w:hyperlink r:id="rId146" w:history="1">
        <w:r w:rsidRPr="0028701A">
          <w:rPr>
            <w:rStyle w:val="Hyperlink"/>
          </w:rPr>
          <w:t>http://www.abs.gov.au/ausstats/abs@.nsf/Lookup/4529.0.00.003main+features52014</w:t>
        </w:r>
      </w:hyperlink>
      <w:r w:rsidRPr="00EC3AC7">
        <w:t>&gt;</w:t>
      </w:r>
      <w:r>
        <w:t>.</w:t>
      </w:r>
    </w:p>
  </w:endnote>
  <w:endnote w:id="512">
    <w:p w14:paraId="2B8EDCDC" w14:textId="77777777" w:rsidR="00F008D2" w:rsidRPr="007C024A" w:rsidRDefault="00F008D2" w:rsidP="000D1D92">
      <w:pPr>
        <w:pStyle w:val="EndnoteText"/>
        <w:rPr>
          <w:lang w:val="en-US"/>
        </w:rPr>
      </w:pPr>
      <w:r>
        <w:rPr>
          <w:rStyle w:val="EndnoteReference"/>
        </w:rPr>
        <w:endnoteRef/>
      </w:r>
      <w:r>
        <w:t xml:space="preserve"> </w:t>
      </w:r>
      <w:r w:rsidRPr="00EC3AC7">
        <w:t>Australian Bureau of Statistics ‘Foundation for a National Data Collection and Reporting Framework for family, domestic and sexual violence, 2014 – Key Data Items: Sex’ (4529.0.00.003, 30 November 2014) &lt;</w:t>
      </w:r>
      <w:hyperlink r:id="rId147" w:history="1">
        <w:r w:rsidRPr="00EC3AC7">
          <w:rPr>
            <w:rStyle w:val="Hyperlink"/>
          </w:rPr>
          <w:t>http://www.abs.gov.au/ausstats/abs@.nsf/Lookup/4529.0.00.003main+features52014</w:t>
        </w:r>
      </w:hyperlink>
      <w:r w:rsidRPr="00EC3AC7">
        <w:t>&gt;</w:t>
      </w:r>
      <w:r>
        <w:t>.</w:t>
      </w:r>
    </w:p>
  </w:endnote>
  <w:endnote w:id="513">
    <w:p w14:paraId="22BBB3F3" w14:textId="77777777" w:rsidR="00F008D2" w:rsidRPr="0066368D" w:rsidRDefault="00F008D2" w:rsidP="000D1D92">
      <w:pPr>
        <w:pStyle w:val="EndnoteText"/>
        <w:rPr>
          <w:bCs/>
        </w:rPr>
      </w:pPr>
      <w:r>
        <w:rPr>
          <w:rStyle w:val="EndnoteReference"/>
        </w:rPr>
        <w:endnoteRef/>
      </w:r>
      <w:r>
        <w:t xml:space="preserve"> </w:t>
      </w:r>
      <w:r w:rsidRPr="001C7A0D">
        <w:t xml:space="preserve">Senate </w:t>
      </w:r>
      <w:r w:rsidRPr="00FF0757">
        <w:t>Finance and Public Administration Refer</w:t>
      </w:r>
      <w:r>
        <w:t xml:space="preserve">ences Committee, Parliament of Australia, </w:t>
      </w:r>
      <w:r w:rsidRPr="00212D3C">
        <w:rPr>
          <w:i/>
        </w:rPr>
        <w:t>Domestic violence in Australia</w:t>
      </w:r>
      <w:r>
        <w:t xml:space="preserve"> (2015) ix &lt;</w:t>
      </w:r>
      <w:hyperlink r:id="rId148" w:history="1">
        <w:r w:rsidRPr="0028701A">
          <w:rPr>
            <w:rStyle w:val="Hyperlink"/>
          </w:rPr>
          <w:t>http://www.aph.gov.au/Parliamentary_Business/Committees/Senate/Finance_and_Public_Administration/Domestic_Violence/Report</w:t>
        </w:r>
      </w:hyperlink>
      <w:r>
        <w:t>&gt;</w:t>
      </w:r>
      <w:r w:rsidRPr="00FF0757">
        <w:t>.</w:t>
      </w:r>
    </w:p>
  </w:endnote>
  <w:endnote w:id="514">
    <w:p w14:paraId="15F32475" w14:textId="77777777" w:rsidR="00F008D2" w:rsidRPr="0066368D" w:rsidRDefault="00F008D2" w:rsidP="000D1D92">
      <w:pPr>
        <w:pStyle w:val="EndnoteText"/>
        <w:rPr>
          <w:bCs/>
        </w:rPr>
      </w:pPr>
      <w:r>
        <w:rPr>
          <w:rStyle w:val="EndnoteReference"/>
        </w:rPr>
        <w:endnoteRef/>
      </w:r>
      <w:r>
        <w:t xml:space="preserve"> </w:t>
      </w:r>
      <w:r w:rsidRPr="003A07DF">
        <w:rPr>
          <w:bCs/>
        </w:rPr>
        <w:t xml:space="preserve">Senate Finance and Public Administration References Committee, Parliament of Australia, </w:t>
      </w:r>
      <w:r w:rsidRPr="003A07DF">
        <w:rPr>
          <w:bCs/>
          <w:i/>
        </w:rPr>
        <w:t>Domestic violence in Australia</w:t>
      </w:r>
      <w:r w:rsidRPr="003A07DF">
        <w:rPr>
          <w:bCs/>
        </w:rPr>
        <w:t xml:space="preserve"> (2015) ix &lt;</w:t>
      </w:r>
      <w:hyperlink r:id="rId149" w:history="1">
        <w:r w:rsidRPr="003A07DF">
          <w:rPr>
            <w:rStyle w:val="Hyperlink"/>
            <w:bCs/>
          </w:rPr>
          <w:t>http://www.aph.gov.au/Parliamentary_Business/Committees/Senate/Finance_and_Public_Administration/Domestic_Violence/Report</w:t>
        </w:r>
      </w:hyperlink>
      <w:r w:rsidRPr="003A07DF">
        <w:rPr>
          <w:bCs/>
        </w:rPr>
        <w:t>&gt;.</w:t>
      </w:r>
    </w:p>
  </w:endnote>
  <w:endnote w:id="515">
    <w:p w14:paraId="2BCA524E" w14:textId="77777777" w:rsidR="00F008D2" w:rsidRDefault="00F008D2" w:rsidP="000D1D92">
      <w:pPr>
        <w:pStyle w:val="EndnoteText"/>
      </w:pPr>
      <w:r>
        <w:rPr>
          <w:rStyle w:val="EndnoteReference"/>
        </w:rPr>
        <w:endnoteRef/>
      </w:r>
      <w:r>
        <w:t xml:space="preserve"> S Jeffries, R </w:t>
      </w:r>
      <w:r w:rsidRPr="00D4581D">
        <w:t>Fi</w:t>
      </w:r>
      <w:r>
        <w:t>eld and C E W Bond, ‘</w:t>
      </w:r>
      <w:r w:rsidRPr="00D4581D">
        <w:t>Protecting Australia’s Children: A Cross-Jurisdictional Review of Domestic Violen</w:t>
      </w:r>
      <w:r>
        <w:t>ce Protection Order Legislation’ (2015)</w:t>
      </w:r>
      <w:r w:rsidRPr="00D4581D">
        <w:t xml:space="preserve"> </w:t>
      </w:r>
      <w:r w:rsidRPr="00F5057B">
        <w:rPr>
          <w:i/>
        </w:rPr>
        <w:t>Psychiatry, Psychology and Law</w:t>
      </w:r>
      <w:r>
        <w:t>, 2 &lt;</w:t>
      </w:r>
      <w:hyperlink r:id="rId150" w:history="1">
        <w:r w:rsidRPr="0028701A">
          <w:rPr>
            <w:rStyle w:val="Hyperlink"/>
          </w:rPr>
          <w:t>http://dx.doi.org.ezproxy.lib.uts.edu.au/10.1080/13218719.2015.1015204</w:t>
        </w:r>
      </w:hyperlink>
      <w:r>
        <w:t>&gt;.</w:t>
      </w:r>
    </w:p>
  </w:endnote>
  <w:endnote w:id="516">
    <w:p w14:paraId="0BC43DDA" w14:textId="77777777" w:rsidR="00F008D2" w:rsidRDefault="00F008D2" w:rsidP="000D1D92">
      <w:pPr>
        <w:pStyle w:val="EndnoteText"/>
      </w:pPr>
      <w:r>
        <w:rPr>
          <w:rStyle w:val="EndnoteReference"/>
        </w:rPr>
        <w:endnoteRef/>
      </w:r>
      <w:r>
        <w:t xml:space="preserve"> </w:t>
      </w:r>
      <w:r w:rsidRPr="002E7B37">
        <w:t xml:space="preserve">K Richards, ‘Children’s exposure to domestic violence in Australia’ (Research Paper No 419, Trends and Issues in Crime and Criminal Justice, Australian Institute of Criminology, 2011) </w:t>
      </w:r>
      <w:r>
        <w:t>1</w:t>
      </w:r>
      <w:r w:rsidRPr="002E7B37">
        <w:t xml:space="preserve"> &lt;</w:t>
      </w:r>
      <w:hyperlink r:id="rId151" w:history="1">
        <w:r w:rsidRPr="002E7B37">
          <w:rPr>
            <w:rStyle w:val="Hyperlink"/>
          </w:rPr>
          <w:t>http://aic.gov.au/publications/current%20series/tandi/401-420/tandi419.html</w:t>
        </w:r>
      </w:hyperlink>
      <w:r w:rsidRPr="002E7B37">
        <w:t>&gt;.</w:t>
      </w:r>
    </w:p>
  </w:endnote>
  <w:endnote w:id="517">
    <w:p w14:paraId="02857A90" w14:textId="77777777" w:rsidR="00F008D2" w:rsidRDefault="00F008D2" w:rsidP="000D1D92">
      <w:pPr>
        <w:pStyle w:val="EndnoteText"/>
      </w:pPr>
      <w:r>
        <w:rPr>
          <w:rStyle w:val="EndnoteReference"/>
        </w:rPr>
        <w:endnoteRef/>
      </w:r>
      <w:r>
        <w:t xml:space="preserve"> </w:t>
      </w:r>
      <w:r w:rsidRPr="002E7B37">
        <w:t xml:space="preserve">K Richards, ‘Children’s exposure to domestic violence in Australia’ (Research Paper No 419, Trends and Issues in Crime and Criminal Justice, Australian Institute of Criminology, 2011) </w:t>
      </w:r>
      <w:r>
        <w:t>1–2</w:t>
      </w:r>
    </w:p>
    <w:p w14:paraId="55BB99CA" w14:textId="77777777" w:rsidR="00F008D2" w:rsidRPr="00933E37" w:rsidRDefault="00F008D2" w:rsidP="000D1D92">
      <w:pPr>
        <w:pStyle w:val="EndnoteText"/>
        <w:rPr>
          <w:lang w:val="en-US"/>
        </w:rPr>
      </w:pPr>
      <w:r w:rsidRPr="002E7B37">
        <w:t>&lt;</w:t>
      </w:r>
      <w:hyperlink r:id="rId152" w:history="1">
        <w:r w:rsidRPr="002E7B37">
          <w:rPr>
            <w:rStyle w:val="Hyperlink"/>
          </w:rPr>
          <w:t>http://aic.gov.au/publications/current%20series/tandi/401-420/tandi419.html</w:t>
        </w:r>
      </w:hyperlink>
      <w:r w:rsidRPr="002E7B37">
        <w:t>&gt;.</w:t>
      </w:r>
    </w:p>
  </w:endnote>
  <w:endnote w:id="518">
    <w:p w14:paraId="1907AC0F" w14:textId="77777777" w:rsidR="00F008D2" w:rsidRPr="00376CEA" w:rsidRDefault="00F008D2" w:rsidP="000D1D92">
      <w:pPr>
        <w:pStyle w:val="EndnoteText"/>
      </w:pPr>
      <w:r>
        <w:rPr>
          <w:rStyle w:val="EndnoteReference"/>
        </w:rPr>
        <w:endnoteRef/>
      </w:r>
      <w:r>
        <w:t xml:space="preserve"> The Royal Australian &amp; New Zealand College of Psychiatrists </w:t>
      </w:r>
      <w:r w:rsidRPr="002E7B37">
        <w:t>(RANZCP)</w:t>
      </w:r>
      <w:r>
        <w:t xml:space="preserve">, Submission </w:t>
      </w:r>
      <w:r w:rsidRPr="00987342">
        <w:t>No</w:t>
      </w:r>
      <w:r>
        <w:t xml:space="preserve"> </w:t>
      </w:r>
      <w:r w:rsidRPr="00987342">
        <w:t>37 to</w:t>
      </w:r>
      <w:r>
        <w:t xml:space="preserve"> Australian Human Rights Commission, </w:t>
      </w:r>
      <w:r>
        <w:rPr>
          <w:i/>
        </w:rPr>
        <w:t xml:space="preserve">National Children’s Commissioner’s examination into children affected by family and domestic violence, </w:t>
      </w:r>
      <w:r>
        <w:t>17 June 2015, 5.</w:t>
      </w:r>
    </w:p>
  </w:endnote>
  <w:endnote w:id="519">
    <w:p w14:paraId="5660857A" w14:textId="77777777" w:rsidR="00F008D2" w:rsidRPr="0054382B" w:rsidRDefault="00F008D2" w:rsidP="000D1D92">
      <w:pPr>
        <w:pStyle w:val="EndnoteText"/>
      </w:pPr>
      <w:r>
        <w:rPr>
          <w:rStyle w:val="EndnoteReference"/>
        </w:rPr>
        <w:endnoteRef/>
      </w:r>
      <w:r>
        <w:t xml:space="preserve"> S Jeffries, R </w:t>
      </w:r>
      <w:r w:rsidRPr="00D4581D">
        <w:t>Fi</w:t>
      </w:r>
      <w:r>
        <w:t>eld and C E W Bond, ‘</w:t>
      </w:r>
      <w:r w:rsidRPr="00D4581D">
        <w:t>Protecting Australia’s Children: A Cross-Jurisdictional Review of Domestic Violen</w:t>
      </w:r>
      <w:r>
        <w:t>ce Protection Order Legislation’ (2015)</w:t>
      </w:r>
      <w:r w:rsidRPr="00D4581D">
        <w:t xml:space="preserve"> </w:t>
      </w:r>
      <w:r w:rsidRPr="00F5057B">
        <w:rPr>
          <w:i/>
        </w:rPr>
        <w:t>Psychiatry, Psychology and Law</w:t>
      </w:r>
      <w:r>
        <w:t>, 1 &lt;</w:t>
      </w:r>
      <w:hyperlink r:id="rId153" w:history="1">
        <w:r w:rsidRPr="0028701A">
          <w:rPr>
            <w:rStyle w:val="Hyperlink"/>
          </w:rPr>
          <w:t>http://dx.doi.org.ezproxy.lib.uts.edu.au/10.1080/13218719.2015.1015204</w:t>
        </w:r>
      </w:hyperlink>
      <w:r>
        <w:t>&gt;.</w:t>
      </w:r>
    </w:p>
  </w:endnote>
  <w:endnote w:id="520">
    <w:p w14:paraId="4FED84D7" w14:textId="77777777" w:rsidR="00F008D2" w:rsidRPr="006A7CD0" w:rsidRDefault="00F008D2" w:rsidP="000D1D92">
      <w:pPr>
        <w:pStyle w:val="EndnoteText"/>
        <w:rPr>
          <w:lang w:val="en-US"/>
        </w:rPr>
      </w:pPr>
      <w:r w:rsidRPr="00B00E18">
        <w:rPr>
          <w:rStyle w:val="EndnoteReference"/>
        </w:rPr>
        <w:endnoteRef/>
      </w:r>
      <w:r w:rsidRPr="00B00E18">
        <w:t xml:space="preserve"> </w:t>
      </w:r>
      <w:r w:rsidRPr="00B00E18">
        <w:rPr>
          <w:lang w:val="en-US"/>
        </w:rPr>
        <w:t>M</w:t>
      </w:r>
      <w:r w:rsidRPr="00D54275">
        <w:rPr>
          <w:lang w:val="en-US"/>
        </w:rPr>
        <w:t xml:space="preserve"> Eriksson, L Bruno and E Nasman, </w:t>
      </w:r>
      <w:r w:rsidRPr="00A33846">
        <w:rPr>
          <w:i/>
          <w:lang w:val="en-US"/>
        </w:rPr>
        <w:t>Domestic Violence, Family Law and School: Children’s Right to Participation, Protection and Provision</w:t>
      </w:r>
      <w:r w:rsidRPr="00B00E18">
        <w:rPr>
          <w:lang w:val="en-US"/>
        </w:rPr>
        <w:t xml:space="preserve"> </w:t>
      </w:r>
      <w:r>
        <w:rPr>
          <w:lang w:val="en-US"/>
        </w:rPr>
        <w:t>(</w:t>
      </w:r>
      <w:r w:rsidRPr="00B00E18">
        <w:rPr>
          <w:lang w:val="en-US"/>
        </w:rPr>
        <w:t>Palgrave Macmillan, 2013</w:t>
      </w:r>
      <w:r>
        <w:rPr>
          <w:lang w:val="en-US"/>
        </w:rPr>
        <w:t>)</w:t>
      </w:r>
      <w:r w:rsidRPr="00B00E18">
        <w:rPr>
          <w:lang w:val="en-US"/>
        </w:rPr>
        <w:t xml:space="preserve"> 19.</w:t>
      </w:r>
    </w:p>
  </w:endnote>
  <w:endnote w:id="521">
    <w:p w14:paraId="660E1F0B" w14:textId="77777777" w:rsidR="00F008D2" w:rsidRPr="00376CEA" w:rsidRDefault="00F008D2" w:rsidP="000D1D92">
      <w:pPr>
        <w:pStyle w:val="EndnoteText"/>
      </w:pPr>
      <w:r>
        <w:rPr>
          <w:rStyle w:val="EndnoteReference"/>
        </w:rPr>
        <w:endnoteRef/>
      </w:r>
      <w:r>
        <w:t xml:space="preserve"> The Royal Australian &amp; New Zealand College of Psychiatrists </w:t>
      </w:r>
      <w:r w:rsidRPr="002E7B37">
        <w:t>(RANZCP)</w:t>
      </w:r>
      <w:r>
        <w:t xml:space="preserve">, Submission </w:t>
      </w:r>
      <w:r w:rsidRPr="00987342">
        <w:t>No</w:t>
      </w:r>
      <w:r>
        <w:t xml:space="preserve"> </w:t>
      </w:r>
      <w:r w:rsidRPr="00987342">
        <w:t>37 to</w:t>
      </w:r>
      <w:r>
        <w:t xml:space="preserve"> Australian Human Rights Commission, </w:t>
      </w:r>
      <w:r>
        <w:rPr>
          <w:i/>
        </w:rPr>
        <w:t xml:space="preserve">National Children’s Commissioner’s examination into children affected by family and domestic violence, </w:t>
      </w:r>
      <w:r>
        <w:t>17 June 2015, 5.</w:t>
      </w:r>
    </w:p>
  </w:endnote>
  <w:endnote w:id="522">
    <w:p w14:paraId="46C9DB43" w14:textId="77777777" w:rsidR="00F008D2" w:rsidRPr="002C3A68" w:rsidRDefault="00F008D2" w:rsidP="000D1D92">
      <w:pPr>
        <w:pStyle w:val="EndnoteText"/>
        <w:rPr>
          <w:lang w:val="en-US"/>
        </w:rPr>
      </w:pPr>
      <w:r>
        <w:rPr>
          <w:rStyle w:val="EndnoteReference"/>
        </w:rPr>
        <w:endnoteRef/>
      </w:r>
      <w:r>
        <w:t xml:space="preserve"> Relationships Australia, Submission No 26 to Australian Human Rights Commission, </w:t>
      </w:r>
      <w:r>
        <w:rPr>
          <w:i/>
        </w:rPr>
        <w:t xml:space="preserve">National Children’s Commissioner’s examination into children affected by family and domestic violence, </w:t>
      </w:r>
      <w:r>
        <w:t>11 June 2015, 3.</w:t>
      </w:r>
    </w:p>
  </w:endnote>
  <w:endnote w:id="523">
    <w:p w14:paraId="48ED7341" w14:textId="77777777" w:rsidR="00F008D2" w:rsidRPr="0054382B" w:rsidRDefault="00F008D2" w:rsidP="000D1D92">
      <w:pPr>
        <w:pStyle w:val="EndnoteText"/>
      </w:pPr>
      <w:r>
        <w:rPr>
          <w:rStyle w:val="EndnoteReference"/>
        </w:rPr>
        <w:endnoteRef/>
      </w:r>
      <w:r>
        <w:t xml:space="preserve"> S Jeffries, R </w:t>
      </w:r>
      <w:r w:rsidRPr="00D4581D">
        <w:t>Fi</w:t>
      </w:r>
      <w:r>
        <w:t>eld and C E W Bond, ‘</w:t>
      </w:r>
      <w:r w:rsidRPr="00D4581D">
        <w:t>Protecting Australia’s Children: A Cross-Jurisdictional Review of Domestic Violen</w:t>
      </w:r>
      <w:r>
        <w:t>ce Protection Order Legislation’ (2015)</w:t>
      </w:r>
      <w:r w:rsidRPr="00D4581D">
        <w:t xml:space="preserve"> </w:t>
      </w:r>
      <w:r w:rsidRPr="00F5057B">
        <w:rPr>
          <w:i/>
        </w:rPr>
        <w:t>Psychiatry, Psychology and Law</w:t>
      </w:r>
      <w:r>
        <w:t>, 1 &lt;</w:t>
      </w:r>
      <w:hyperlink r:id="rId154" w:history="1">
        <w:r w:rsidRPr="0028701A">
          <w:rPr>
            <w:rStyle w:val="Hyperlink"/>
          </w:rPr>
          <w:t>http://dx.doi.org.ezproxy.lib.uts.edu.au/10.1080/13218719.2015.1015204</w:t>
        </w:r>
      </w:hyperlink>
      <w:r>
        <w:t>&gt;.</w:t>
      </w:r>
    </w:p>
  </w:endnote>
  <w:endnote w:id="524">
    <w:p w14:paraId="586B5D41" w14:textId="77777777" w:rsidR="00F008D2" w:rsidRDefault="00F008D2" w:rsidP="000D1D92">
      <w:pPr>
        <w:pStyle w:val="EndnoteText"/>
      </w:pPr>
      <w:r>
        <w:rPr>
          <w:rStyle w:val="EndnoteReference"/>
        </w:rPr>
        <w:endnoteRef/>
      </w:r>
      <w:r>
        <w:t xml:space="preserve"> </w:t>
      </w:r>
      <w:r w:rsidRPr="002E7B37">
        <w:t xml:space="preserve">K Richards, ‘Children’s exposure to domestic violence in Australia’ (Research Paper No 419, Trends and Issues in Crime and Criminal Justice, Australian Institute of Criminology, 2011) </w:t>
      </w:r>
      <w:r>
        <w:t>2</w:t>
      </w:r>
    </w:p>
    <w:p w14:paraId="29E55BE2" w14:textId="77777777" w:rsidR="00F008D2" w:rsidRPr="00820494" w:rsidRDefault="00F008D2" w:rsidP="000D1D92">
      <w:pPr>
        <w:pStyle w:val="EndnoteText"/>
        <w:rPr>
          <w:lang w:val="en-US"/>
        </w:rPr>
      </w:pPr>
      <w:r w:rsidRPr="002E7B37">
        <w:t>&lt;</w:t>
      </w:r>
      <w:hyperlink r:id="rId155" w:history="1">
        <w:r w:rsidRPr="002E7B37">
          <w:rPr>
            <w:rStyle w:val="Hyperlink"/>
          </w:rPr>
          <w:t>http://aic.gov.au/publications/current%20series/tandi/401-420/tandi419.html</w:t>
        </w:r>
      </w:hyperlink>
      <w:r w:rsidRPr="002E7B37">
        <w:t>&gt;.</w:t>
      </w:r>
    </w:p>
  </w:endnote>
  <w:endnote w:id="525">
    <w:p w14:paraId="5F02BBB3" w14:textId="77777777" w:rsidR="00F008D2" w:rsidRDefault="00F008D2" w:rsidP="000D1D92">
      <w:pPr>
        <w:pStyle w:val="EndnoteText"/>
      </w:pPr>
      <w:r>
        <w:rPr>
          <w:rStyle w:val="EndnoteReference"/>
        </w:rPr>
        <w:endnoteRef/>
      </w:r>
      <w:r>
        <w:t xml:space="preserve"> </w:t>
      </w:r>
      <w:r w:rsidRPr="002E7B37">
        <w:t xml:space="preserve">K Richards, ‘Children’s exposure to domestic violence in Australia’ (Research Paper No 419, Trends and Issues in Crime and Criminal Justice, Australian Institute of Criminology, 2011) </w:t>
      </w:r>
      <w:r>
        <w:t>2</w:t>
      </w:r>
    </w:p>
    <w:p w14:paraId="06E7B0A0" w14:textId="77777777" w:rsidR="00F008D2" w:rsidRDefault="00F008D2" w:rsidP="000D1D92">
      <w:pPr>
        <w:pStyle w:val="EndnoteText"/>
      </w:pPr>
      <w:r w:rsidRPr="002E7B37">
        <w:t>&lt;</w:t>
      </w:r>
      <w:hyperlink r:id="rId156" w:history="1">
        <w:r w:rsidRPr="002E7B37">
          <w:rPr>
            <w:rStyle w:val="Hyperlink"/>
          </w:rPr>
          <w:t>http://aic.gov.au/publications/current%20series/tandi/401-420/tandi419.html</w:t>
        </w:r>
      </w:hyperlink>
      <w:r w:rsidRPr="002E7B37">
        <w:t>&gt;.</w:t>
      </w:r>
    </w:p>
  </w:endnote>
  <w:endnote w:id="526">
    <w:p w14:paraId="016FA180" w14:textId="77777777" w:rsidR="00F008D2" w:rsidRPr="00BD74A5" w:rsidRDefault="00F008D2" w:rsidP="000D1D92">
      <w:pPr>
        <w:pStyle w:val="EndnoteText"/>
        <w:rPr>
          <w:lang w:val="en-US"/>
        </w:rPr>
      </w:pPr>
      <w:r>
        <w:rPr>
          <w:rStyle w:val="EndnoteReference"/>
        </w:rPr>
        <w:endnoteRef/>
      </w:r>
      <w:r>
        <w:t xml:space="preserve"> </w:t>
      </w:r>
      <w:r w:rsidRPr="004079F2">
        <w:t>Melbourne Research Alliance to End Violence Against Women and their Children, University of Melbourne</w:t>
      </w:r>
      <w:r>
        <w:t>,</w:t>
      </w:r>
      <w:r w:rsidRPr="005B2A9B">
        <w:t xml:space="preserve"> </w:t>
      </w:r>
      <w:r>
        <w:t xml:space="preserve">Submission 18 </w:t>
      </w:r>
      <w:r w:rsidRPr="00422F51">
        <w:t xml:space="preserve">to Australian Human Rights Commission, </w:t>
      </w:r>
      <w:r w:rsidRPr="0082462D">
        <w:rPr>
          <w:i/>
        </w:rPr>
        <w:t>National Children’s Commissioner’s examination into children affected by family and domestic violence</w:t>
      </w:r>
      <w:r>
        <w:t>, 9 June 2015</w:t>
      </w:r>
      <w:r w:rsidRPr="00422F51">
        <w:t>,</w:t>
      </w:r>
      <w:r>
        <w:rPr>
          <w:lang w:val="en-US"/>
        </w:rPr>
        <w:t xml:space="preserve"> 7.</w:t>
      </w:r>
    </w:p>
  </w:endnote>
  <w:endnote w:id="527">
    <w:p w14:paraId="329367E5" w14:textId="77777777" w:rsidR="00F008D2" w:rsidRPr="00441545" w:rsidRDefault="00F008D2" w:rsidP="000D1D92">
      <w:pPr>
        <w:pStyle w:val="EndnoteText"/>
        <w:rPr>
          <w:lang w:val="en-US"/>
        </w:rPr>
      </w:pPr>
      <w:r>
        <w:rPr>
          <w:rStyle w:val="EndnoteReference"/>
        </w:rPr>
        <w:endnoteRef/>
      </w:r>
      <w:r>
        <w:t xml:space="preserve"> </w:t>
      </w:r>
      <w:r w:rsidRPr="004079F2">
        <w:t>Melbourne Research Alliance to End Violence Against Women and their Children, University of Melbourne</w:t>
      </w:r>
      <w:r>
        <w:t>,</w:t>
      </w:r>
      <w:r w:rsidRPr="005B2A9B">
        <w:t xml:space="preserve"> </w:t>
      </w:r>
      <w:r>
        <w:t xml:space="preserve">Submission 18 </w:t>
      </w:r>
      <w:r w:rsidRPr="00422F51">
        <w:t xml:space="preserve">to Australian Human Rights Commission, </w:t>
      </w:r>
      <w:r w:rsidRPr="0082462D">
        <w:rPr>
          <w:i/>
        </w:rPr>
        <w:t>National Children’s Commissioner’s examination into children affected by family and domestic violence</w:t>
      </w:r>
      <w:r>
        <w:t>, 9 June 2015</w:t>
      </w:r>
      <w:r w:rsidRPr="00422F51">
        <w:t>,</w:t>
      </w:r>
      <w:r>
        <w:rPr>
          <w:lang w:val="en-US"/>
        </w:rPr>
        <w:t xml:space="preserve"> 7.</w:t>
      </w:r>
    </w:p>
  </w:endnote>
  <w:endnote w:id="528">
    <w:p w14:paraId="5C057F1A" w14:textId="77777777" w:rsidR="00F008D2" w:rsidRPr="00441545" w:rsidRDefault="00F008D2" w:rsidP="000D1D92">
      <w:pPr>
        <w:pStyle w:val="EndnoteText"/>
        <w:rPr>
          <w:lang w:val="en-US"/>
        </w:rPr>
      </w:pPr>
      <w:r>
        <w:rPr>
          <w:rStyle w:val="EndnoteReference"/>
        </w:rPr>
        <w:endnoteRef/>
      </w:r>
      <w:r>
        <w:t xml:space="preserve"> </w:t>
      </w:r>
      <w:r w:rsidRPr="004079F2">
        <w:t>Melbourne Research Alliance to End Violence Against Women and their Children, University of Melbourne</w:t>
      </w:r>
      <w:r>
        <w:t>,</w:t>
      </w:r>
      <w:r w:rsidRPr="005B2A9B">
        <w:t xml:space="preserve"> </w:t>
      </w:r>
      <w:r>
        <w:t xml:space="preserve">Submission 18 </w:t>
      </w:r>
      <w:r w:rsidRPr="00422F51">
        <w:t xml:space="preserve">to Australian Human Rights Commission, </w:t>
      </w:r>
      <w:r w:rsidRPr="0082462D">
        <w:rPr>
          <w:i/>
        </w:rPr>
        <w:t>National Children’s Commissioner’s examination into children affected by family and domestic violence</w:t>
      </w:r>
      <w:r>
        <w:t>, 9 June 2015</w:t>
      </w:r>
      <w:r w:rsidRPr="00422F51">
        <w:t>,</w:t>
      </w:r>
      <w:r>
        <w:rPr>
          <w:lang w:val="en-US"/>
        </w:rPr>
        <w:t xml:space="preserve"> 7.</w:t>
      </w:r>
    </w:p>
  </w:endnote>
  <w:endnote w:id="529">
    <w:p w14:paraId="59E9F5A7" w14:textId="77777777" w:rsidR="00F008D2" w:rsidRPr="00B849F0" w:rsidRDefault="00F008D2" w:rsidP="000D1D92">
      <w:pPr>
        <w:pStyle w:val="EndnoteText"/>
        <w:rPr>
          <w:lang w:val="en-US"/>
        </w:rPr>
      </w:pPr>
      <w:r>
        <w:rPr>
          <w:rStyle w:val="EndnoteReference"/>
        </w:rPr>
        <w:endnoteRef/>
      </w:r>
      <w:r>
        <w:t xml:space="preserve"> </w:t>
      </w:r>
      <w:r w:rsidRPr="00AC1CA4">
        <w:t xml:space="preserve">Department of Premier and Cabinet (NSW), </w:t>
      </w:r>
      <w:r w:rsidRPr="00AC1CA4">
        <w:rPr>
          <w:i/>
        </w:rPr>
        <w:t xml:space="preserve">Report of the </w:t>
      </w:r>
      <w:r w:rsidRPr="00AC1CA4">
        <w:rPr>
          <w:rFonts w:cs="Arial"/>
          <w:i/>
        </w:rPr>
        <w:t>Special Commission of Inquiry into Child Protection Services in NSW – Vol 3</w:t>
      </w:r>
      <w:r w:rsidRPr="00AC1CA4">
        <w:rPr>
          <w:rFonts w:cs="Arial"/>
        </w:rPr>
        <w:t xml:space="preserve"> (2008) 699.</w:t>
      </w:r>
    </w:p>
  </w:endnote>
  <w:endnote w:id="530">
    <w:p w14:paraId="7F81EAB8" w14:textId="77777777" w:rsidR="00F008D2" w:rsidRPr="00985C45" w:rsidRDefault="00F008D2" w:rsidP="000D1D92">
      <w:pPr>
        <w:pStyle w:val="EndnoteText"/>
        <w:rPr>
          <w:lang w:val="en-US"/>
        </w:rPr>
      </w:pPr>
      <w:r>
        <w:rPr>
          <w:rStyle w:val="EndnoteReference"/>
        </w:rPr>
        <w:endnoteRef/>
      </w:r>
      <w:r>
        <w:t xml:space="preserve"> Leah Bromfield, Fiona Arney, and Daryl Higgins, ‘Contemporary issues in child protection intake, referral and family support’ in Alan </w:t>
      </w:r>
      <w:r w:rsidRPr="00313328">
        <w:t>Hayes,</w:t>
      </w:r>
      <w:r>
        <w:t xml:space="preserve"> and Daryl Higgins</w:t>
      </w:r>
      <w:r w:rsidRPr="00313328">
        <w:t xml:space="preserve"> (</w:t>
      </w:r>
      <w:r>
        <w:t>e</w:t>
      </w:r>
      <w:r w:rsidRPr="00313328">
        <w:t xml:space="preserve">ds) </w:t>
      </w:r>
      <w:r w:rsidRPr="00F71DE3">
        <w:rPr>
          <w:i/>
        </w:rPr>
        <w:t>Families, policy and the law: Selected essays on contemporary issues for Australia</w:t>
      </w:r>
      <w:r w:rsidRPr="00313328">
        <w:t xml:space="preserve"> (Australian Institute of Family Studies</w:t>
      </w:r>
      <w:r>
        <w:t>,</w:t>
      </w:r>
      <w:r w:rsidRPr="00313328">
        <w:t xml:space="preserve"> </w:t>
      </w:r>
      <w:r>
        <w:t>2014)</w:t>
      </w:r>
      <w:r>
        <w:rPr>
          <w:i/>
        </w:rPr>
        <w:t xml:space="preserve"> </w:t>
      </w:r>
      <w:r w:rsidRPr="00A33846">
        <w:t>12</w:t>
      </w:r>
      <w:r w:rsidRPr="00B00E18">
        <w:t>3.</w:t>
      </w:r>
    </w:p>
  </w:endnote>
  <w:endnote w:id="531">
    <w:p w14:paraId="361699FE" w14:textId="77777777" w:rsidR="00F008D2" w:rsidRPr="00D52E4B" w:rsidRDefault="00F008D2" w:rsidP="000D1D92">
      <w:pPr>
        <w:pStyle w:val="EndnoteText"/>
        <w:rPr>
          <w:lang w:val="en-US"/>
        </w:rPr>
      </w:pPr>
      <w:r>
        <w:rPr>
          <w:rStyle w:val="EndnoteReference"/>
        </w:rPr>
        <w:endnoteRef/>
      </w:r>
      <w:r>
        <w:t xml:space="preserve"> </w:t>
      </w:r>
      <w:r w:rsidRPr="000B7DB6">
        <w:t>No To Violence Male Family Violence Prevention Association</w:t>
      </w:r>
      <w:r>
        <w:t xml:space="preserve">, </w:t>
      </w:r>
      <w:r w:rsidRPr="008029D3">
        <w:rPr>
          <w:lang w:val="en-US"/>
        </w:rPr>
        <w:t xml:space="preserve">Submission </w:t>
      </w:r>
      <w:r>
        <w:rPr>
          <w:lang w:val="en-US"/>
        </w:rPr>
        <w:t>No 27</w:t>
      </w:r>
      <w:r w:rsidRPr="008029D3">
        <w:rPr>
          <w:lang w:val="en-US"/>
        </w:rPr>
        <w:t xml:space="preserve"> </w:t>
      </w:r>
      <w:r w:rsidRPr="008029D3">
        <w:t xml:space="preserve">to Australian Human Rights Commission, </w:t>
      </w:r>
      <w:r w:rsidRPr="008029D3">
        <w:rPr>
          <w:i/>
        </w:rPr>
        <w:t>National Children’s Commissioner’s examination into children affected b</w:t>
      </w:r>
      <w:r>
        <w:rPr>
          <w:i/>
        </w:rPr>
        <w:t>y family and domestic violence</w:t>
      </w:r>
      <w:r>
        <w:t xml:space="preserve">, 15 June 2015, </w:t>
      </w:r>
      <w:r>
        <w:rPr>
          <w:lang w:val="en-US"/>
        </w:rPr>
        <w:t>2</w:t>
      </w:r>
      <w:r w:rsidRPr="008029D3">
        <w:rPr>
          <w:lang w:val="en-US"/>
        </w:rPr>
        <w:t>.</w:t>
      </w:r>
    </w:p>
  </w:endnote>
  <w:endnote w:id="532">
    <w:p w14:paraId="1C1E7693" w14:textId="77777777" w:rsidR="00F008D2" w:rsidRPr="00280763" w:rsidRDefault="00F008D2" w:rsidP="000D1D92">
      <w:pPr>
        <w:pStyle w:val="EndnoteText"/>
        <w:rPr>
          <w:lang w:val="en-US"/>
        </w:rPr>
      </w:pPr>
      <w:r>
        <w:rPr>
          <w:rStyle w:val="EndnoteReference"/>
        </w:rPr>
        <w:endnoteRef/>
      </w:r>
      <w:r>
        <w:t xml:space="preserve"> </w:t>
      </w:r>
      <w:r>
        <w:rPr>
          <w:lang w:val="en-US"/>
        </w:rPr>
        <w:t>C</w:t>
      </w:r>
      <w:r w:rsidRPr="00280763">
        <w:rPr>
          <w:lang w:val="en-US"/>
        </w:rPr>
        <w:t xml:space="preserve"> Humphreys</w:t>
      </w:r>
      <w:r>
        <w:rPr>
          <w:lang w:val="en-US"/>
        </w:rPr>
        <w:t>,</w:t>
      </w:r>
      <w:r w:rsidRPr="00280763">
        <w:rPr>
          <w:lang w:val="en-US"/>
        </w:rPr>
        <w:t xml:space="preserve"> </w:t>
      </w:r>
      <w:r>
        <w:rPr>
          <w:lang w:val="en-US"/>
        </w:rPr>
        <w:t>‘</w:t>
      </w:r>
      <w:r w:rsidRPr="00280763">
        <w:rPr>
          <w:lang w:val="en-US"/>
        </w:rPr>
        <w:t xml:space="preserve">Domestic </w:t>
      </w:r>
      <w:r>
        <w:rPr>
          <w:lang w:val="en-US"/>
        </w:rPr>
        <w:t xml:space="preserve">violence and child protection: </w:t>
      </w:r>
      <w:r w:rsidRPr="00280763">
        <w:rPr>
          <w:lang w:val="en-US"/>
        </w:rPr>
        <w:t>challe</w:t>
      </w:r>
      <w:r>
        <w:rPr>
          <w:lang w:val="en-US"/>
        </w:rPr>
        <w:t xml:space="preserve">nging directions for practice’ (Issues Paper 13, </w:t>
      </w:r>
      <w:r w:rsidRPr="00280763">
        <w:rPr>
          <w:lang w:val="en-US"/>
        </w:rPr>
        <w:t>Australian Domestic and Fami</w:t>
      </w:r>
      <w:r>
        <w:rPr>
          <w:lang w:val="en-US"/>
        </w:rPr>
        <w:t>ly Violence Clearinghouse, 2007) 1.</w:t>
      </w:r>
    </w:p>
  </w:endnote>
  <w:endnote w:id="533">
    <w:p w14:paraId="57B79BF3" w14:textId="77777777" w:rsidR="00F008D2" w:rsidRPr="004723F3" w:rsidRDefault="00F008D2" w:rsidP="000D1D92">
      <w:pPr>
        <w:pStyle w:val="EndnoteText"/>
        <w:rPr>
          <w:lang w:val="en-US"/>
        </w:rPr>
      </w:pPr>
      <w:r>
        <w:rPr>
          <w:rStyle w:val="EndnoteReference"/>
        </w:rPr>
        <w:endnoteRef/>
      </w:r>
      <w:r>
        <w:t xml:space="preserve"> National Aboriginal and Torres Strait Islander Legal Services (NATSILS), Submission No 10 to Australian Human Rights Commission, </w:t>
      </w:r>
      <w:r>
        <w:rPr>
          <w:i/>
        </w:rPr>
        <w:t xml:space="preserve">National Children’s Commissioner’s examination into children affected by family and domestic violence, </w:t>
      </w:r>
      <w:r w:rsidRPr="00FE544C">
        <w:t>1 June 2015</w:t>
      </w:r>
      <w:r>
        <w:t>, 12.</w:t>
      </w:r>
    </w:p>
  </w:endnote>
  <w:endnote w:id="534">
    <w:p w14:paraId="39E69C1C" w14:textId="77777777" w:rsidR="00F008D2" w:rsidRPr="00F26087" w:rsidRDefault="00F008D2" w:rsidP="000D1D92">
      <w:pPr>
        <w:pStyle w:val="EndnoteText"/>
        <w:rPr>
          <w:lang w:val="en-US"/>
        </w:rPr>
      </w:pPr>
      <w:r>
        <w:rPr>
          <w:rStyle w:val="EndnoteReference"/>
        </w:rPr>
        <w:endnoteRef/>
      </w:r>
      <w:r>
        <w:t xml:space="preserve"> Australian Psychological Society, Submission No 38 to the Australian Human Rights Commission, </w:t>
      </w:r>
      <w:r>
        <w:rPr>
          <w:i/>
        </w:rPr>
        <w:t xml:space="preserve">National Children’s Commissioner’s examination into children affected by family and domestic violence, </w:t>
      </w:r>
      <w:r>
        <w:t>17 June 2015, 19.</w:t>
      </w:r>
    </w:p>
  </w:endnote>
  <w:endnote w:id="535">
    <w:p w14:paraId="5EFFA80D" w14:textId="77777777" w:rsidR="00F008D2" w:rsidRDefault="00F008D2" w:rsidP="000D1D92">
      <w:pPr>
        <w:pStyle w:val="EndnoteText"/>
      </w:pPr>
      <w:r>
        <w:rPr>
          <w:rStyle w:val="EndnoteReference"/>
        </w:rPr>
        <w:endnoteRef/>
      </w:r>
      <w:r>
        <w:t xml:space="preserve"> Ramona Alaggia et al, ‘Does differential response make a difference: examining domestic violence cases in child protection services’ (2015) 20(1) </w:t>
      </w:r>
      <w:r>
        <w:rPr>
          <w:i/>
        </w:rPr>
        <w:t>Child and Family Social Work</w:t>
      </w:r>
      <w:r w:rsidRPr="00A33846">
        <w:t>,</w:t>
      </w:r>
      <w:r>
        <w:rPr>
          <w:i/>
        </w:rPr>
        <w:t xml:space="preserve"> </w:t>
      </w:r>
      <w:r>
        <w:t>84.</w:t>
      </w:r>
    </w:p>
  </w:endnote>
  <w:endnote w:id="536">
    <w:p w14:paraId="10DED850" w14:textId="77777777" w:rsidR="00F008D2" w:rsidRPr="007757EB" w:rsidRDefault="00F008D2" w:rsidP="000D1D92">
      <w:pPr>
        <w:pStyle w:val="EndnoteText"/>
      </w:pPr>
      <w:r>
        <w:rPr>
          <w:rStyle w:val="EndnoteReference"/>
        </w:rPr>
        <w:endnoteRef/>
      </w:r>
      <w:r>
        <w:t xml:space="preserve"> Leah Bromfield, Fiona Arney, and Daryl Higgins, ‘Contemporary issues in child protection intake, referral and family support’ in Alan </w:t>
      </w:r>
      <w:r w:rsidRPr="00313328">
        <w:t>Hayes,</w:t>
      </w:r>
      <w:r>
        <w:t xml:space="preserve"> and Daryl Higgins</w:t>
      </w:r>
      <w:r w:rsidRPr="00313328">
        <w:t xml:space="preserve"> (</w:t>
      </w:r>
      <w:r>
        <w:t>e</w:t>
      </w:r>
      <w:r w:rsidRPr="00313328">
        <w:t xml:space="preserve">ds) </w:t>
      </w:r>
      <w:r w:rsidRPr="00F71DE3">
        <w:rPr>
          <w:i/>
        </w:rPr>
        <w:t>Families, policy and the law: Selected essays on contemporary issues for Australia</w:t>
      </w:r>
      <w:r w:rsidRPr="00313328">
        <w:t xml:space="preserve"> (Australian Institute of Family Studies</w:t>
      </w:r>
      <w:r>
        <w:t>,</w:t>
      </w:r>
      <w:r w:rsidRPr="00313328">
        <w:t xml:space="preserve"> </w:t>
      </w:r>
      <w:r>
        <w:t>2014)</w:t>
      </w:r>
      <w:r>
        <w:rPr>
          <w:i/>
        </w:rPr>
        <w:t xml:space="preserve"> </w:t>
      </w:r>
      <w:r w:rsidRPr="00212D3C">
        <w:t>123.</w:t>
      </w:r>
    </w:p>
  </w:endnote>
  <w:endnote w:id="537">
    <w:p w14:paraId="501D2384" w14:textId="77777777" w:rsidR="00F008D2" w:rsidRPr="007410D0" w:rsidRDefault="00F008D2" w:rsidP="000D1D92">
      <w:pPr>
        <w:pStyle w:val="EndnoteText"/>
        <w:rPr>
          <w:lang w:val="en-US"/>
        </w:rPr>
      </w:pPr>
      <w:r>
        <w:rPr>
          <w:rStyle w:val="EndnoteReference"/>
        </w:rPr>
        <w:endnoteRef/>
      </w:r>
      <w:r>
        <w:t xml:space="preserve"> Leah Bromfield, Fiona Arney, and Daryl Higgins, ‘Contemporary issues in child protection intake, referral and family support’ in Alan </w:t>
      </w:r>
      <w:r w:rsidRPr="00313328">
        <w:t>Hayes,</w:t>
      </w:r>
      <w:r>
        <w:t xml:space="preserve"> and Daryl Higgins</w:t>
      </w:r>
      <w:r w:rsidRPr="00313328">
        <w:t xml:space="preserve"> (</w:t>
      </w:r>
      <w:r>
        <w:t>e</w:t>
      </w:r>
      <w:r w:rsidRPr="00313328">
        <w:t xml:space="preserve">ds) </w:t>
      </w:r>
      <w:r w:rsidRPr="00F71DE3">
        <w:rPr>
          <w:i/>
        </w:rPr>
        <w:t>Families, policy and the law: Selected essays on contemporary issues for Australia</w:t>
      </w:r>
      <w:r w:rsidRPr="00313328">
        <w:t xml:space="preserve"> (Australian Institute of Family Studies</w:t>
      </w:r>
      <w:r>
        <w:t>,</w:t>
      </w:r>
      <w:r w:rsidRPr="00313328">
        <w:t xml:space="preserve"> </w:t>
      </w:r>
      <w:r>
        <w:t>2014)</w:t>
      </w:r>
      <w:r>
        <w:rPr>
          <w:i/>
        </w:rPr>
        <w:t xml:space="preserve"> </w:t>
      </w:r>
      <w:r w:rsidRPr="00212D3C">
        <w:t>12</w:t>
      </w:r>
      <w:r>
        <w:t>4</w:t>
      </w:r>
      <w:r w:rsidRPr="00212D3C">
        <w:t>.</w:t>
      </w:r>
    </w:p>
  </w:endnote>
  <w:endnote w:id="538">
    <w:p w14:paraId="08E87079" w14:textId="77777777" w:rsidR="00F008D2" w:rsidRPr="00C9473C" w:rsidRDefault="00F008D2" w:rsidP="000D1D92">
      <w:pPr>
        <w:pStyle w:val="EndnoteText"/>
        <w:rPr>
          <w:lang w:val="en-US"/>
        </w:rPr>
      </w:pPr>
      <w:r>
        <w:rPr>
          <w:rStyle w:val="EndnoteReference"/>
        </w:rPr>
        <w:endnoteRef/>
      </w:r>
      <w:r>
        <w:t xml:space="preserve"> Ramona Alaggia et al, ‘Does differential response make a difference: examining domestic violence cases in child protection services’ (2015) 20(1) </w:t>
      </w:r>
      <w:r>
        <w:rPr>
          <w:i/>
        </w:rPr>
        <w:t>Child and Family Social Work</w:t>
      </w:r>
      <w:r w:rsidRPr="00212D3C">
        <w:t>,</w:t>
      </w:r>
      <w:r>
        <w:rPr>
          <w:i/>
        </w:rPr>
        <w:t xml:space="preserve"> </w:t>
      </w:r>
      <w:r>
        <w:t>84.</w:t>
      </w:r>
    </w:p>
  </w:endnote>
  <w:endnote w:id="539">
    <w:p w14:paraId="582F8C8D" w14:textId="77777777" w:rsidR="00F008D2" w:rsidRPr="00441545" w:rsidRDefault="00F008D2" w:rsidP="000D1D92">
      <w:pPr>
        <w:pStyle w:val="EndnoteText"/>
        <w:rPr>
          <w:lang w:val="en-US"/>
        </w:rPr>
      </w:pPr>
      <w:r>
        <w:rPr>
          <w:rStyle w:val="EndnoteReference"/>
        </w:rPr>
        <w:endnoteRef/>
      </w:r>
      <w:r>
        <w:t xml:space="preserve"> </w:t>
      </w:r>
      <w:r w:rsidRPr="004079F2">
        <w:t>Melbourne Research Alliance to End Violence Against Women and their Children, University of Melbourne</w:t>
      </w:r>
      <w:r>
        <w:t>,</w:t>
      </w:r>
      <w:r w:rsidRPr="005B2A9B">
        <w:t xml:space="preserve"> </w:t>
      </w:r>
      <w:r>
        <w:t xml:space="preserve">Submission No 18 </w:t>
      </w:r>
      <w:r w:rsidRPr="00422F51">
        <w:t xml:space="preserve">to Australian Human Rights Commission, </w:t>
      </w:r>
      <w:r w:rsidRPr="0082462D">
        <w:rPr>
          <w:i/>
        </w:rPr>
        <w:t>National Children’s Commissioner’s examination into children affected by family and domestic violence</w:t>
      </w:r>
      <w:r>
        <w:t>, 9 June 2015</w:t>
      </w:r>
      <w:r w:rsidRPr="00422F51">
        <w:t>,</w:t>
      </w:r>
      <w:r>
        <w:rPr>
          <w:lang w:val="en-US"/>
        </w:rPr>
        <w:t xml:space="preserve"> 7.</w:t>
      </w:r>
    </w:p>
  </w:endnote>
  <w:endnote w:id="540">
    <w:p w14:paraId="332FD8B6" w14:textId="77777777" w:rsidR="00F008D2" w:rsidRPr="002D1EAE" w:rsidRDefault="00F008D2" w:rsidP="000D1D92">
      <w:pPr>
        <w:pStyle w:val="EndnoteText"/>
        <w:rPr>
          <w:lang w:val="en-US"/>
        </w:rPr>
      </w:pPr>
      <w:r>
        <w:rPr>
          <w:rStyle w:val="EndnoteReference"/>
        </w:rPr>
        <w:endnoteRef/>
      </w:r>
      <w:r>
        <w:t xml:space="preserve"> </w:t>
      </w:r>
      <w:r w:rsidRPr="002E7B37">
        <w:t xml:space="preserve">K Richards, ‘Children’s exposure to domestic violence in Australia’ (Research Paper No 419, Trends and Issues in Crime and Criminal Justice, Australian Institute of Criminology, 2011) </w:t>
      </w:r>
      <w:r>
        <w:t>3</w:t>
      </w:r>
      <w:r w:rsidRPr="002E7B37">
        <w:t xml:space="preserve"> &lt;</w:t>
      </w:r>
      <w:hyperlink r:id="rId157" w:history="1">
        <w:r w:rsidRPr="002E7B37">
          <w:rPr>
            <w:rStyle w:val="Hyperlink"/>
          </w:rPr>
          <w:t>http://aic.gov.au/publications/current%20series/tandi/401-420/tandi419.html</w:t>
        </w:r>
      </w:hyperlink>
      <w:r w:rsidRPr="002E7B37">
        <w:t>&gt;.</w:t>
      </w:r>
    </w:p>
  </w:endnote>
  <w:endnote w:id="541">
    <w:p w14:paraId="4D998FA3" w14:textId="77777777" w:rsidR="00F008D2" w:rsidRPr="00F05E27" w:rsidRDefault="00F008D2" w:rsidP="000D1D92">
      <w:pPr>
        <w:pStyle w:val="EndnoteText"/>
        <w:jc w:val="both"/>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10</w:t>
      </w:r>
      <w:r w:rsidRPr="00E4369B">
        <w:t xml:space="preserve">. </w:t>
      </w:r>
    </w:p>
  </w:endnote>
  <w:endnote w:id="542">
    <w:p w14:paraId="17285209" w14:textId="77777777" w:rsidR="00F008D2" w:rsidRPr="00E7430E" w:rsidRDefault="00F008D2" w:rsidP="000D1D92">
      <w:pPr>
        <w:autoSpaceDE w:val="0"/>
        <w:autoSpaceDN w:val="0"/>
        <w:adjustRightInd w:val="0"/>
        <w:spacing w:before="0" w:after="0"/>
        <w:jc w:val="both"/>
        <w:rPr>
          <w:rFonts w:cs="Arial"/>
          <w:i/>
          <w:iCs/>
          <w:sz w:val="20"/>
          <w:szCs w:val="20"/>
        </w:rPr>
      </w:pPr>
      <w:r w:rsidRPr="00E7430E">
        <w:rPr>
          <w:rStyle w:val="EndnoteReference"/>
          <w:rFonts w:cs="Arial"/>
        </w:rPr>
        <w:endnoteRef/>
      </w:r>
      <w:r w:rsidRPr="00E7430E">
        <w:rPr>
          <w:rFonts w:cs="Arial"/>
        </w:rPr>
        <w:t xml:space="preserve"> </w:t>
      </w:r>
      <w:r w:rsidRPr="00A33846">
        <w:rPr>
          <w:rFonts w:cs="Arial"/>
          <w:sz w:val="20"/>
          <w:szCs w:val="20"/>
        </w:rPr>
        <w:t xml:space="preserve">N Stanley, </w:t>
      </w:r>
      <w:r w:rsidRPr="00A33846">
        <w:rPr>
          <w:rFonts w:cs="Arial"/>
          <w:i/>
          <w:iCs/>
          <w:sz w:val="20"/>
          <w:szCs w:val="20"/>
        </w:rPr>
        <w:t xml:space="preserve">Children Experiencing Domestic Violence: A Research Review </w:t>
      </w:r>
      <w:r w:rsidRPr="00A33846">
        <w:rPr>
          <w:rFonts w:cs="Arial"/>
          <w:iCs/>
          <w:sz w:val="20"/>
          <w:szCs w:val="20"/>
        </w:rPr>
        <w:t>(</w:t>
      </w:r>
      <w:r w:rsidRPr="00A33846">
        <w:rPr>
          <w:rFonts w:cs="Arial"/>
          <w:sz w:val="20"/>
          <w:szCs w:val="20"/>
        </w:rPr>
        <w:t xml:space="preserve">Dartington: </w:t>
      </w:r>
      <w:r w:rsidRPr="00A33846">
        <w:rPr>
          <w:rFonts w:cs="Arial"/>
          <w:bCs/>
          <w:sz w:val="20"/>
          <w:szCs w:val="20"/>
        </w:rPr>
        <w:t xml:space="preserve">Research in Practice, </w:t>
      </w:r>
      <w:r w:rsidRPr="00A33846">
        <w:rPr>
          <w:rFonts w:cs="Arial"/>
          <w:sz w:val="20"/>
          <w:szCs w:val="20"/>
        </w:rPr>
        <w:t xml:space="preserve">2011) </w:t>
      </w:r>
      <w:r>
        <w:rPr>
          <w:rFonts w:cs="Arial"/>
          <w:sz w:val="20"/>
          <w:szCs w:val="20"/>
        </w:rPr>
        <w:t>26</w:t>
      </w:r>
      <w:r w:rsidRPr="00A33846">
        <w:rPr>
          <w:rFonts w:cs="Arial"/>
          <w:sz w:val="20"/>
          <w:szCs w:val="20"/>
        </w:rPr>
        <w:t>.</w:t>
      </w:r>
    </w:p>
  </w:endnote>
  <w:endnote w:id="543">
    <w:p w14:paraId="00DFD361" w14:textId="77777777" w:rsidR="00F008D2" w:rsidRPr="00043E9C" w:rsidRDefault="00F008D2" w:rsidP="000D1D92">
      <w:pPr>
        <w:autoSpaceDE w:val="0"/>
        <w:autoSpaceDN w:val="0"/>
        <w:adjustRightInd w:val="0"/>
        <w:spacing w:before="0" w:after="0"/>
        <w:jc w:val="both"/>
        <w:rPr>
          <w:rFonts w:ascii="InfoTextBook-Italic" w:hAnsi="InfoTextBook-Italic" w:cs="InfoTextBook-Italic"/>
          <w:i/>
          <w:iCs/>
          <w:sz w:val="20"/>
          <w:szCs w:val="20"/>
        </w:rPr>
      </w:pPr>
      <w:r w:rsidRPr="00E7430E">
        <w:rPr>
          <w:rStyle w:val="EndnoteReference"/>
          <w:rFonts w:cs="Arial"/>
        </w:rPr>
        <w:endnoteRef/>
      </w:r>
      <w:r w:rsidRPr="00E7430E">
        <w:rPr>
          <w:rFonts w:cs="Arial"/>
        </w:rPr>
        <w:t xml:space="preserve"> </w:t>
      </w:r>
      <w:r w:rsidRPr="00212D3C">
        <w:rPr>
          <w:rFonts w:cs="Arial"/>
          <w:sz w:val="20"/>
          <w:szCs w:val="20"/>
        </w:rPr>
        <w:t xml:space="preserve">N Stanley, </w:t>
      </w:r>
      <w:r w:rsidRPr="00212D3C">
        <w:rPr>
          <w:rFonts w:cs="Arial"/>
          <w:i/>
          <w:iCs/>
          <w:sz w:val="20"/>
          <w:szCs w:val="20"/>
        </w:rPr>
        <w:t xml:space="preserve">Children Experiencing Domestic Violence: A Research Review </w:t>
      </w:r>
      <w:r w:rsidRPr="00212D3C">
        <w:rPr>
          <w:rFonts w:cs="Arial"/>
          <w:iCs/>
          <w:sz w:val="20"/>
          <w:szCs w:val="20"/>
        </w:rPr>
        <w:t>(</w:t>
      </w:r>
      <w:r w:rsidRPr="00212D3C">
        <w:rPr>
          <w:rFonts w:cs="Arial"/>
          <w:sz w:val="20"/>
          <w:szCs w:val="20"/>
        </w:rPr>
        <w:t xml:space="preserve">Dartington: </w:t>
      </w:r>
      <w:r w:rsidRPr="00212D3C">
        <w:rPr>
          <w:rFonts w:cs="Arial"/>
          <w:bCs/>
          <w:sz w:val="20"/>
          <w:szCs w:val="20"/>
        </w:rPr>
        <w:t xml:space="preserve">Research in Practice, </w:t>
      </w:r>
      <w:r w:rsidRPr="00212D3C">
        <w:rPr>
          <w:rFonts w:cs="Arial"/>
          <w:sz w:val="20"/>
          <w:szCs w:val="20"/>
        </w:rPr>
        <w:t xml:space="preserve">2011) </w:t>
      </w:r>
      <w:r>
        <w:rPr>
          <w:rFonts w:cs="Arial"/>
          <w:sz w:val="20"/>
          <w:szCs w:val="20"/>
        </w:rPr>
        <w:t>27</w:t>
      </w:r>
      <w:r w:rsidRPr="00212D3C">
        <w:rPr>
          <w:rFonts w:cs="Arial"/>
          <w:sz w:val="20"/>
          <w:szCs w:val="20"/>
        </w:rPr>
        <w:t>.</w:t>
      </w:r>
    </w:p>
  </w:endnote>
  <w:endnote w:id="544">
    <w:p w14:paraId="25BCD4E1" w14:textId="77777777" w:rsidR="00F008D2" w:rsidRPr="00492BEA" w:rsidRDefault="00F008D2" w:rsidP="000D1D92">
      <w:pPr>
        <w:pStyle w:val="EndnoteText"/>
        <w:jc w:val="both"/>
        <w:rPr>
          <w:lang w:val="en-US"/>
        </w:rPr>
      </w:pPr>
      <w:r>
        <w:rPr>
          <w:rStyle w:val="EndnoteReference"/>
        </w:rPr>
        <w:endnoteRef/>
      </w:r>
      <w:r>
        <w:t xml:space="preserve"> Families Australia, Submission No 22 to the Australian Human Rights Commission, </w:t>
      </w:r>
      <w:r>
        <w:rPr>
          <w:i/>
        </w:rPr>
        <w:t xml:space="preserve">National Children’s Commissioner’s examination into children affected by family and domestic violence, </w:t>
      </w:r>
      <w:r>
        <w:t>15 June 2015, 9,13.</w:t>
      </w:r>
    </w:p>
  </w:endnote>
  <w:endnote w:id="545">
    <w:p w14:paraId="583F8EC2" w14:textId="77777777" w:rsidR="00F008D2" w:rsidRPr="00E7430E" w:rsidRDefault="00F008D2" w:rsidP="000D1D92">
      <w:pPr>
        <w:pStyle w:val="EndnoteText"/>
        <w:jc w:val="both"/>
        <w:rPr>
          <w:rFonts w:cs="Arial"/>
          <w:lang w:val="en-US"/>
        </w:rPr>
      </w:pPr>
      <w:r w:rsidRPr="00E7430E">
        <w:rPr>
          <w:rStyle w:val="EndnoteReference"/>
          <w:rFonts w:cs="Arial"/>
        </w:rPr>
        <w:endnoteRef/>
      </w:r>
      <w:r w:rsidRPr="00E7430E">
        <w:rPr>
          <w:rFonts w:cs="Arial"/>
        </w:rPr>
        <w:t xml:space="preserve"> </w:t>
      </w:r>
      <w:r w:rsidRPr="00212D3C">
        <w:rPr>
          <w:rFonts w:cs="Arial"/>
        </w:rPr>
        <w:t xml:space="preserve">N Stanley, </w:t>
      </w:r>
      <w:r w:rsidRPr="00212D3C">
        <w:rPr>
          <w:rFonts w:cs="Arial"/>
          <w:i/>
          <w:iCs/>
        </w:rPr>
        <w:t xml:space="preserve">Children Experiencing Domestic Violence: A Research Review </w:t>
      </w:r>
      <w:r w:rsidRPr="00212D3C">
        <w:rPr>
          <w:rFonts w:cs="Arial"/>
          <w:iCs/>
        </w:rPr>
        <w:t>(</w:t>
      </w:r>
      <w:r w:rsidRPr="00212D3C">
        <w:rPr>
          <w:rFonts w:cs="Arial"/>
        </w:rPr>
        <w:t xml:space="preserve">Dartington: </w:t>
      </w:r>
      <w:r w:rsidRPr="00212D3C">
        <w:rPr>
          <w:rFonts w:cs="Arial"/>
          <w:bCs/>
        </w:rPr>
        <w:t xml:space="preserve">Research in Practice, </w:t>
      </w:r>
      <w:r w:rsidRPr="00212D3C">
        <w:rPr>
          <w:rFonts w:cs="Arial"/>
        </w:rPr>
        <w:t xml:space="preserve">2011) </w:t>
      </w:r>
      <w:r>
        <w:rPr>
          <w:rFonts w:cs="Arial"/>
        </w:rPr>
        <w:t>34</w:t>
      </w:r>
      <w:r w:rsidRPr="00212D3C">
        <w:rPr>
          <w:rFonts w:cs="Arial"/>
        </w:rPr>
        <w:t>.</w:t>
      </w:r>
    </w:p>
  </w:endnote>
  <w:endnote w:id="546">
    <w:p w14:paraId="195497B6" w14:textId="77777777" w:rsidR="00F008D2" w:rsidRPr="007F6F7C" w:rsidRDefault="00F008D2" w:rsidP="000D1D92">
      <w:pPr>
        <w:pStyle w:val="EndnoteText"/>
        <w:jc w:val="both"/>
        <w:rPr>
          <w:lang w:val="en-US"/>
        </w:rPr>
      </w:pPr>
      <w:r>
        <w:rPr>
          <w:rStyle w:val="EndnoteReference"/>
        </w:rPr>
        <w:endnoteRef/>
      </w:r>
      <w:r>
        <w:t xml:space="preserve"> </w:t>
      </w:r>
      <w:r>
        <w:rPr>
          <w:lang w:val="en-US"/>
        </w:rPr>
        <w:t xml:space="preserve">New South Wales Government, Submission No </w:t>
      </w:r>
      <w:r w:rsidRPr="00F76AEE">
        <w:rPr>
          <w:lang w:val="en-US"/>
        </w:rPr>
        <w:t>51</w:t>
      </w:r>
      <w:r>
        <w:rPr>
          <w:lang w:val="en-US"/>
        </w:rPr>
        <w:t xml:space="preserve"> </w:t>
      </w:r>
      <w:r>
        <w:t xml:space="preserve">to Australian Human Rights Commission, </w:t>
      </w:r>
      <w:r>
        <w:rPr>
          <w:i/>
        </w:rPr>
        <w:t xml:space="preserve">National Children’s Commissioner’s examination into children affected by family and domestic violence, </w:t>
      </w:r>
      <w:r>
        <w:t>28 July 2015,</w:t>
      </w:r>
      <w:r>
        <w:rPr>
          <w:lang w:val="en-US"/>
        </w:rPr>
        <w:t xml:space="preserve"> 2.</w:t>
      </w:r>
    </w:p>
  </w:endnote>
  <w:endnote w:id="547">
    <w:p w14:paraId="5D4CDA36" w14:textId="77777777" w:rsidR="00F008D2" w:rsidRPr="00F26087" w:rsidRDefault="00F008D2" w:rsidP="000D1D92">
      <w:pPr>
        <w:pStyle w:val="EndnoteText"/>
        <w:rPr>
          <w:lang w:val="en-US"/>
        </w:rPr>
      </w:pPr>
      <w:r>
        <w:rPr>
          <w:rStyle w:val="EndnoteReference"/>
        </w:rPr>
        <w:endnoteRef/>
      </w:r>
      <w:r>
        <w:t xml:space="preserve"> Australian Psychological Society, Submission No 38 to the Australian Human Rights Commission, </w:t>
      </w:r>
      <w:r>
        <w:rPr>
          <w:i/>
        </w:rPr>
        <w:t xml:space="preserve">National Children’s Commissioner’s examination into children affected by family and domestic violence, </w:t>
      </w:r>
      <w:r>
        <w:t>17 June 2015, 19.</w:t>
      </w:r>
    </w:p>
  </w:endnote>
  <w:endnote w:id="548">
    <w:p w14:paraId="685C3330" w14:textId="77777777" w:rsidR="00F008D2" w:rsidRPr="00376CEA" w:rsidRDefault="00F008D2" w:rsidP="000D1D92">
      <w:pPr>
        <w:pStyle w:val="EndnoteText"/>
      </w:pPr>
      <w:r>
        <w:rPr>
          <w:rStyle w:val="EndnoteReference"/>
        </w:rPr>
        <w:endnoteRef/>
      </w:r>
      <w:r>
        <w:t xml:space="preserve"> The Royal Australian &amp; New Zealand College of Psychiatrists </w:t>
      </w:r>
      <w:r w:rsidRPr="002E7B37">
        <w:t>(RANZCP)</w:t>
      </w:r>
      <w:r>
        <w:t xml:space="preserve">, Submission </w:t>
      </w:r>
      <w:r w:rsidRPr="00987342">
        <w:t>No</w:t>
      </w:r>
      <w:r>
        <w:t xml:space="preserve"> </w:t>
      </w:r>
      <w:r w:rsidRPr="00987342">
        <w:t>37 to</w:t>
      </w:r>
      <w:r>
        <w:t xml:space="preserve"> Australian Human Rights Commission, </w:t>
      </w:r>
      <w:r>
        <w:rPr>
          <w:i/>
        </w:rPr>
        <w:t xml:space="preserve">National Children’s Commissioner’s examination into children affected by family and domestic violence, </w:t>
      </w:r>
      <w:r>
        <w:t>17 June 2015, 5.</w:t>
      </w:r>
    </w:p>
  </w:endnote>
  <w:endnote w:id="549">
    <w:p w14:paraId="3424B605" w14:textId="77777777" w:rsidR="00F008D2" w:rsidRPr="00E7430E" w:rsidRDefault="00F008D2" w:rsidP="000D1D92">
      <w:pPr>
        <w:pStyle w:val="EndnoteText"/>
        <w:jc w:val="both"/>
        <w:rPr>
          <w:rFonts w:cs="Arial"/>
          <w:lang w:val="en-US"/>
        </w:rPr>
      </w:pPr>
      <w:r w:rsidRPr="00E7430E">
        <w:rPr>
          <w:rStyle w:val="EndnoteReference"/>
          <w:rFonts w:cs="Arial"/>
        </w:rPr>
        <w:endnoteRef/>
      </w:r>
      <w:r w:rsidRPr="00E7430E">
        <w:rPr>
          <w:rFonts w:cs="Arial"/>
        </w:rPr>
        <w:t xml:space="preserve"> </w:t>
      </w:r>
      <w:r w:rsidRPr="00212D3C">
        <w:rPr>
          <w:rFonts w:cs="Arial"/>
        </w:rPr>
        <w:t xml:space="preserve">N Stanley, </w:t>
      </w:r>
      <w:r w:rsidRPr="00212D3C">
        <w:rPr>
          <w:rFonts w:cs="Arial"/>
          <w:i/>
          <w:iCs/>
        </w:rPr>
        <w:t xml:space="preserve">Children Experiencing Domestic Violence: A Research Review </w:t>
      </w:r>
      <w:r w:rsidRPr="00212D3C">
        <w:rPr>
          <w:rFonts w:cs="Arial"/>
          <w:iCs/>
        </w:rPr>
        <w:t>(</w:t>
      </w:r>
      <w:r w:rsidRPr="00212D3C">
        <w:rPr>
          <w:rFonts w:cs="Arial"/>
        </w:rPr>
        <w:t xml:space="preserve">Dartington: </w:t>
      </w:r>
      <w:r w:rsidRPr="00212D3C">
        <w:rPr>
          <w:rFonts w:cs="Arial"/>
          <w:bCs/>
        </w:rPr>
        <w:t xml:space="preserve">Research in Practice, </w:t>
      </w:r>
      <w:r w:rsidRPr="00212D3C">
        <w:rPr>
          <w:rFonts w:cs="Arial"/>
        </w:rPr>
        <w:t xml:space="preserve">2011) </w:t>
      </w:r>
      <w:r>
        <w:rPr>
          <w:rFonts w:cs="Arial"/>
        </w:rPr>
        <w:t>34</w:t>
      </w:r>
      <w:r w:rsidRPr="00212D3C">
        <w:rPr>
          <w:rFonts w:cs="Arial"/>
        </w:rPr>
        <w:t>.</w:t>
      </w:r>
    </w:p>
  </w:endnote>
  <w:endnote w:id="550">
    <w:p w14:paraId="7F67A1C6" w14:textId="77777777" w:rsidR="00F008D2" w:rsidRPr="009B5EB8" w:rsidRDefault="00F008D2" w:rsidP="000D1D92">
      <w:pPr>
        <w:pStyle w:val="EndnoteText"/>
        <w:jc w:val="both"/>
        <w:rPr>
          <w:lang w:val="en-US"/>
        </w:rPr>
      </w:pPr>
      <w:r w:rsidRPr="00EA44E8">
        <w:rPr>
          <w:rStyle w:val="EndnoteReference"/>
        </w:rPr>
        <w:endnoteRef/>
      </w:r>
      <w:r w:rsidRPr="00EA44E8">
        <w:t xml:space="preserve"> </w:t>
      </w:r>
      <w:r w:rsidRPr="00EA44E8">
        <w:rPr>
          <w:lang w:val="en-US"/>
        </w:rPr>
        <w:t xml:space="preserve">J Spangaro and J Ruane, University of NSW, </w:t>
      </w:r>
      <w:r w:rsidRPr="00EA44E8">
        <w:rPr>
          <w:i/>
          <w:lang w:val="en-US"/>
        </w:rPr>
        <w:t>Health Interventions for Family and Domestic violence: A Literature Review</w:t>
      </w:r>
      <w:r w:rsidRPr="00EA44E8">
        <w:rPr>
          <w:lang w:val="en-US"/>
        </w:rPr>
        <w:t xml:space="preserve"> (2014) 57 &lt;</w:t>
      </w:r>
      <w:hyperlink r:id="rId158" w:history="1">
        <w:r w:rsidRPr="0028701A">
          <w:rPr>
            <w:rStyle w:val="Hyperlink"/>
            <w:lang w:val="en-US"/>
          </w:rPr>
          <w:t>http://www.kidsfamilies.health.nsw.gov.au/publications/health-interventions-for-family-and-domestic-violence-a-literature-review/</w:t>
        </w:r>
      </w:hyperlink>
      <w:r>
        <w:rPr>
          <w:lang w:val="en-US"/>
        </w:rPr>
        <w:t>&gt;.</w:t>
      </w:r>
    </w:p>
  </w:endnote>
  <w:endnote w:id="551">
    <w:p w14:paraId="45B61F77" w14:textId="77777777" w:rsidR="00F008D2" w:rsidRPr="00E7430E" w:rsidRDefault="00F008D2" w:rsidP="000D1D92">
      <w:pPr>
        <w:pStyle w:val="EndnoteText"/>
        <w:jc w:val="both"/>
        <w:rPr>
          <w:rFonts w:cs="Arial"/>
          <w:lang w:val="en-US"/>
        </w:rPr>
      </w:pPr>
      <w:r w:rsidRPr="00E7430E">
        <w:rPr>
          <w:rStyle w:val="EndnoteReference"/>
          <w:rFonts w:cs="Arial"/>
        </w:rPr>
        <w:endnoteRef/>
      </w:r>
      <w:r w:rsidRPr="00E7430E">
        <w:rPr>
          <w:rFonts w:cs="Arial"/>
        </w:rPr>
        <w:t xml:space="preserve"> </w:t>
      </w:r>
      <w:r w:rsidRPr="00212D3C">
        <w:rPr>
          <w:rFonts w:cs="Arial"/>
        </w:rPr>
        <w:t xml:space="preserve">N Stanley, </w:t>
      </w:r>
      <w:r w:rsidRPr="00212D3C">
        <w:rPr>
          <w:rFonts w:cs="Arial"/>
          <w:i/>
          <w:iCs/>
        </w:rPr>
        <w:t xml:space="preserve">Children Experiencing Domestic Violence: A Research Review </w:t>
      </w:r>
      <w:r w:rsidRPr="00212D3C">
        <w:rPr>
          <w:rFonts w:cs="Arial"/>
          <w:iCs/>
        </w:rPr>
        <w:t>(</w:t>
      </w:r>
      <w:r w:rsidRPr="00212D3C">
        <w:rPr>
          <w:rFonts w:cs="Arial"/>
        </w:rPr>
        <w:t xml:space="preserve">Dartington: </w:t>
      </w:r>
      <w:r w:rsidRPr="00212D3C">
        <w:rPr>
          <w:rFonts w:cs="Arial"/>
          <w:bCs/>
        </w:rPr>
        <w:t xml:space="preserve">Research in Practice, </w:t>
      </w:r>
      <w:r w:rsidRPr="00212D3C">
        <w:rPr>
          <w:rFonts w:cs="Arial"/>
        </w:rPr>
        <w:t xml:space="preserve">2011) </w:t>
      </w:r>
      <w:r>
        <w:rPr>
          <w:rFonts w:cs="Arial"/>
        </w:rPr>
        <w:t>34</w:t>
      </w:r>
      <w:r w:rsidRPr="00212D3C">
        <w:rPr>
          <w:rFonts w:cs="Arial"/>
        </w:rPr>
        <w:t>.</w:t>
      </w:r>
    </w:p>
  </w:endnote>
  <w:endnote w:id="552">
    <w:p w14:paraId="76E1FFDA" w14:textId="77777777" w:rsidR="00F008D2" w:rsidRPr="00E7430E" w:rsidRDefault="00F008D2" w:rsidP="000D1D92">
      <w:pPr>
        <w:pStyle w:val="EndnoteText"/>
        <w:jc w:val="both"/>
        <w:rPr>
          <w:rFonts w:cs="Arial"/>
          <w:lang w:val="en-US"/>
        </w:rPr>
      </w:pPr>
      <w:r w:rsidRPr="00E7430E">
        <w:rPr>
          <w:rStyle w:val="EndnoteReference"/>
          <w:rFonts w:cs="Arial"/>
        </w:rPr>
        <w:endnoteRef/>
      </w:r>
      <w:r w:rsidRPr="00E7430E">
        <w:rPr>
          <w:rFonts w:cs="Arial"/>
        </w:rPr>
        <w:t xml:space="preserve"> </w:t>
      </w:r>
      <w:r w:rsidRPr="00212D3C">
        <w:rPr>
          <w:rFonts w:cs="Arial"/>
        </w:rPr>
        <w:t xml:space="preserve">N Stanley, </w:t>
      </w:r>
      <w:r w:rsidRPr="00212D3C">
        <w:rPr>
          <w:rFonts w:cs="Arial"/>
          <w:i/>
          <w:iCs/>
        </w:rPr>
        <w:t xml:space="preserve">Children Experiencing Domestic Violence: A Research Review </w:t>
      </w:r>
      <w:r w:rsidRPr="00212D3C">
        <w:rPr>
          <w:rFonts w:cs="Arial"/>
          <w:iCs/>
        </w:rPr>
        <w:t>(</w:t>
      </w:r>
      <w:r w:rsidRPr="00212D3C">
        <w:rPr>
          <w:rFonts w:cs="Arial"/>
        </w:rPr>
        <w:t xml:space="preserve">Dartington: </w:t>
      </w:r>
      <w:r w:rsidRPr="00212D3C">
        <w:rPr>
          <w:rFonts w:cs="Arial"/>
          <w:bCs/>
        </w:rPr>
        <w:t xml:space="preserve">Research in Practice, </w:t>
      </w:r>
      <w:r w:rsidRPr="00212D3C">
        <w:rPr>
          <w:rFonts w:cs="Arial"/>
        </w:rPr>
        <w:t xml:space="preserve">2011) </w:t>
      </w:r>
      <w:r>
        <w:rPr>
          <w:rFonts w:cs="Arial"/>
        </w:rPr>
        <w:t>34</w:t>
      </w:r>
      <w:r w:rsidRPr="00212D3C">
        <w:rPr>
          <w:rFonts w:cs="Arial"/>
        </w:rPr>
        <w:t>.</w:t>
      </w:r>
    </w:p>
  </w:endnote>
  <w:endnote w:id="553">
    <w:p w14:paraId="5721566A" w14:textId="77777777" w:rsidR="00F008D2" w:rsidRPr="00E7430E" w:rsidRDefault="00F008D2" w:rsidP="000D1D92">
      <w:pPr>
        <w:pStyle w:val="EndnoteText"/>
        <w:jc w:val="both"/>
        <w:rPr>
          <w:rFonts w:cs="Arial"/>
        </w:rPr>
      </w:pPr>
      <w:r w:rsidRPr="00E7430E">
        <w:rPr>
          <w:rStyle w:val="EndnoteReference"/>
          <w:rFonts w:cs="Arial"/>
        </w:rPr>
        <w:endnoteRef/>
      </w:r>
      <w:r w:rsidRPr="00E7430E">
        <w:rPr>
          <w:rFonts w:cs="Arial"/>
        </w:rPr>
        <w:t xml:space="preserve"> </w:t>
      </w:r>
      <w:r w:rsidRPr="00212D3C">
        <w:rPr>
          <w:rFonts w:cs="Arial"/>
        </w:rPr>
        <w:t xml:space="preserve">N Stanley, </w:t>
      </w:r>
      <w:r w:rsidRPr="00212D3C">
        <w:rPr>
          <w:rFonts w:cs="Arial"/>
          <w:i/>
          <w:iCs/>
        </w:rPr>
        <w:t xml:space="preserve">Children Experiencing Domestic Violence: A Research Review </w:t>
      </w:r>
      <w:r w:rsidRPr="00212D3C">
        <w:rPr>
          <w:rFonts w:cs="Arial"/>
          <w:iCs/>
        </w:rPr>
        <w:t>(</w:t>
      </w:r>
      <w:r w:rsidRPr="00212D3C">
        <w:rPr>
          <w:rFonts w:cs="Arial"/>
        </w:rPr>
        <w:t xml:space="preserve">Dartington: </w:t>
      </w:r>
      <w:r w:rsidRPr="00212D3C">
        <w:rPr>
          <w:rFonts w:cs="Arial"/>
          <w:bCs/>
        </w:rPr>
        <w:t xml:space="preserve">Research in Practice, </w:t>
      </w:r>
      <w:r w:rsidRPr="00212D3C">
        <w:rPr>
          <w:rFonts w:cs="Arial"/>
        </w:rPr>
        <w:t xml:space="preserve">2011) </w:t>
      </w:r>
      <w:r>
        <w:rPr>
          <w:rFonts w:cs="Arial"/>
        </w:rPr>
        <w:t>35</w:t>
      </w:r>
      <w:r w:rsidRPr="00212D3C">
        <w:rPr>
          <w:rFonts w:cs="Arial"/>
        </w:rPr>
        <w:t>.</w:t>
      </w:r>
    </w:p>
  </w:endnote>
  <w:endnote w:id="554">
    <w:p w14:paraId="34FD030A" w14:textId="77777777" w:rsidR="00F008D2" w:rsidRPr="00E7430E" w:rsidRDefault="00F008D2" w:rsidP="000D1D92">
      <w:pPr>
        <w:autoSpaceDE w:val="0"/>
        <w:autoSpaceDN w:val="0"/>
        <w:adjustRightInd w:val="0"/>
        <w:spacing w:before="0" w:after="0"/>
        <w:rPr>
          <w:rFonts w:cs="Arial"/>
          <w:i/>
          <w:iCs/>
          <w:sz w:val="20"/>
          <w:szCs w:val="20"/>
        </w:rPr>
      </w:pPr>
      <w:r w:rsidRPr="00E7430E">
        <w:rPr>
          <w:rStyle w:val="EndnoteReference"/>
          <w:rFonts w:cs="Arial"/>
        </w:rPr>
        <w:endnoteRef/>
      </w:r>
      <w:r w:rsidRPr="00E7430E">
        <w:rPr>
          <w:rFonts w:cs="Arial"/>
        </w:rPr>
        <w:t xml:space="preserve"> </w:t>
      </w:r>
      <w:r w:rsidRPr="00B00E18">
        <w:rPr>
          <w:rFonts w:cs="Arial"/>
          <w:sz w:val="20"/>
          <w:szCs w:val="20"/>
        </w:rPr>
        <w:t xml:space="preserve">N Stanley, </w:t>
      </w:r>
      <w:r w:rsidRPr="00B00E18">
        <w:rPr>
          <w:rFonts w:cs="Arial"/>
          <w:i/>
          <w:iCs/>
          <w:sz w:val="20"/>
          <w:szCs w:val="20"/>
        </w:rPr>
        <w:t>Children Experie</w:t>
      </w:r>
      <w:r w:rsidRPr="00246477">
        <w:rPr>
          <w:rFonts w:cs="Arial"/>
          <w:i/>
          <w:iCs/>
          <w:sz w:val="20"/>
          <w:szCs w:val="20"/>
        </w:rPr>
        <w:t xml:space="preserve">ncing Domestic Violence: A Research Review </w:t>
      </w:r>
      <w:r w:rsidRPr="00246477">
        <w:rPr>
          <w:rFonts w:cs="Arial"/>
          <w:iCs/>
          <w:sz w:val="20"/>
          <w:szCs w:val="20"/>
        </w:rPr>
        <w:t>(</w:t>
      </w:r>
      <w:r w:rsidRPr="00246477">
        <w:rPr>
          <w:rFonts w:cs="Arial"/>
          <w:sz w:val="20"/>
          <w:szCs w:val="20"/>
        </w:rPr>
        <w:t xml:space="preserve">Dartington: </w:t>
      </w:r>
      <w:r w:rsidRPr="00246477">
        <w:rPr>
          <w:rFonts w:cs="Arial"/>
          <w:bCs/>
          <w:sz w:val="20"/>
          <w:szCs w:val="20"/>
        </w:rPr>
        <w:t xml:space="preserve">Research in Practice, </w:t>
      </w:r>
      <w:r w:rsidRPr="00246477">
        <w:rPr>
          <w:rFonts w:cs="Arial"/>
          <w:sz w:val="20"/>
          <w:szCs w:val="20"/>
        </w:rPr>
        <w:t xml:space="preserve">2011) </w:t>
      </w:r>
      <w:r>
        <w:rPr>
          <w:rFonts w:cs="Arial"/>
          <w:sz w:val="20"/>
          <w:szCs w:val="20"/>
        </w:rPr>
        <w:t>26</w:t>
      </w:r>
      <w:r w:rsidRPr="00B00E18">
        <w:rPr>
          <w:rFonts w:cs="Arial"/>
          <w:sz w:val="20"/>
          <w:szCs w:val="20"/>
        </w:rPr>
        <w:t>.</w:t>
      </w:r>
    </w:p>
  </w:endnote>
  <w:endnote w:id="555">
    <w:p w14:paraId="696A6B00" w14:textId="77777777" w:rsidR="00F008D2" w:rsidRDefault="00F008D2" w:rsidP="000D1D92">
      <w:pPr>
        <w:pStyle w:val="EndnoteText"/>
      </w:pPr>
      <w:r>
        <w:rPr>
          <w:rStyle w:val="EndnoteReference"/>
        </w:rPr>
        <w:endnoteRef/>
      </w:r>
      <w:r>
        <w:t xml:space="preserve"> Anita Morris et al, ‘Extending the Reach: A Timely and Tailored Response to Children who Experience Family Violence’ (2011) 24 (8) </w:t>
      </w:r>
      <w:r w:rsidRPr="00A33846">
        <w:rPr>
          <w:i/>
        </w:rPr>
        <w:t>Parity</w:t>
      </w:r>
      <w:r>
        <w:t>, 38.</w:t>
      </w:r>
    </w:p>
  </w:endnote>
  <w:endnote w:id="556">
    <w:p w14:paraId="3297CD12" w14:textId="77777777" w:rsidR="00F008D2" w:rsidRPr="00E7430E" w:rsidRDefault="00F008D2" w:rsidP="000D1D92">
      <w:pPr>
        <w:pStyle w:val="EndnoteText"/>
        <w:jc w:val="both"/>
        <w:rPr>
          <w:rFonts w:cs="Arial"/>
          <w:lang w:val="en-US"/>
        </w:rPr>
      </w:pPr>
      <w:r w:rsidRPr="00E7430E">
        <w:rPr>
          <w:rStyle w:val="EndnoteReference"/>
          <w:rFonts w:cs="Arial"/>
        </w:rPr>
        <w:endnoteRef/>
      </w:r>
      <w:r w:rsidRPr="00E7430E">
        <w:rPr>
          <w:rFonts w:cs="Arial"/>
        </w:rPr>
        <w:t xml:space="preserve"> </w:t>
      </w:r>
      <w:r w:rsidRPr="00212D3C">
        <w:rPr>
          <w:rFonts w:cs="Arial"/>
        </w:rPr>
        <w:t xml:space="preserve">N Stanley, </w:t>
      </w:r>
      <w:r w:rsidRPr="00212D3C">
        <w:rPr>
          <w:rFonts w:cs="Arial"/>
          <w:i/>
          <w:iCs/>
        </w:rPr>
        <w:t xml:space="preserve">Children Experiencing Domestic Violence: A Research Review </w:t>
      </w:r>
      <w:r w:rsidRPr="00212D3C">
        <w:rPr>
          <w:rFonts w:cs="Arial"/>
          <w:iCs/>
        </w:rPr>
        <w:t>(</w:t>
      </w:r>
      <w:r w:rsidRPr="00212D3C">
        <w:rPr>
          <w:rFonts w:cs="Arial"/>
        </w:rPr>
        <w:t xml:space="preserve">Dartington: </w:t>
      </w:r>
      <w:r w:rsidRPr="00212D3C">
        <w:rPr>
          <w:rFonts w:cs="Arial"/>
          <w:bCs/>
        </w:rPr>
        <w:t xml:space="preserve">Research in Practice, </w:t>
      </w:r>
      <w:r w:rsidRPr="00212D3C">
        <w:rPr>
          <w:rFonts w:cs="Arial"/>
        </w:rPr>
        <w:t xml:space="preserve">2011) </w:t>
      </w:r>
      <w:r>
        <w:rPr>
          <w:rFonts w:cs="Arial"/>
        </w:rPr>
        <w:t>29</w:t>
      </w:r>
      <w:r w:rsidRPr="00212D3C">
        <w:rPr>
          <w:rFonts w:cs="Arial"/>
        </w:rPr>
        <w:t>.</w:t>
      </w:r>
    </w:p>
  </w:endnote>
  <w:endnote w:id="557">
    <w:p w14:paraId="04A2FEDD" w14:textId="77777777" w:rsidR="00F008D2" w:rsidRPr="00542F13" w:rsidRDefault="00F008D2" w:rsidP="000D1D92">
      <w:pPr>
        <w:pStyle w:val="EndnoteText"/>
        <w:jc w:val="both"/>
        <w:rPr>
          <w:lang w:val="en-US"/>
        </w:rPr>
      </w:pPr>
      <w:r w:rsidRPr="00E7430E">
        <w:rPr>
          <w:rStyle w:val="EndnoteReference"/>
          <w:rFonts w:cs="Arial"/>
        </w:rPr>
        <w:endnoteRef/>
      </w:r>
      <w:r w:rsidRPr="00E7430E">
        <w:rPr>
          <w:rFonts w:cs="Arial"/>
        </w:rPr>
        <w:t xml:space="preserve"> </w:t>
      </w:r>
      <w:r w:rsidRPr="00212D3C">
        <w:rPr>
          <w:rFonts w:cs="Arial"/>
        </w:rPr>
        <w:t xml:space="preserve">N Stanley, </w:t>
      </w:r>
      <w:r w:rsidRPr="00212D3C">
        <w:rPr>
          <w:rFonts w:cs="Arial"/>
          <w:i/>
          <w:iCs/>
        </w:rPr>
        <w:t xml:space="preserve">Children Experiencing Domestic Violence: A Research Review </w:t>
      </w:r>
      <w:r w:rsidRPr="00212D3C">
        <w:rPr>
          <w:rFonts w:cs="Arial"/>
          <w:iCs/>
        </w:rPr>
        <w:t>(</w:t>
      </w:r>
      <w:r w:rsidRPr="00212D3C">
        <w:rPr>
          <w:rFonts w:cs="Arial"/>
        </w:rPr>
        <w:t xml:space="preserve">Dartington: </w:t>
      </w:r>
      <w:r w:rsidRPr="00212D3C">
        <w:rPr>
          <w:rFonts w:cs="Arial"/>
          <w:bCs/>
        </w:rPr>
        <w:t xml:space="preserve">Research in Practice, </w:t>
      </w:r>
      <w:r w:rsidRPr="00212D3C">
        <w:rPr>
          <w:rFonts w:cs="Arial"/>
        </w:rPr>
        <w:t xml:space="preserve">2011) </w:t>
      </w:r>
      <w:r>
        <w:rPr>
          <w:rFonts w:cs="Arial"/>
        </w:rPr>
        <w:t>27</w:t>
      </w:r>
      <w:r w:rsidRPr="00212D3C">
        <w:rPr>
          <w:rFonts w:cs="Arial"/>
        </w:rPr>
        <w:t>.</w:t>
      </w:r>
    </w:p>
  </w:endnote>
  <w:endnote w:id="558">
    <w:p w14:paraId="7C181728" w14:textId="77777777" w:rsidR="00F008D2" w:rsidRPr="00E7430E" w:rsidRDefault="00F008D2" w:rsidP="000D1D92">
      <w:pPr>
        <w:autoSpaceDE w:val="0"/>
        <w:autoSpaceDN w:val="0"/>
        <w:adjustRightInd w:val="0"/>
        <w:spacing w:before="0" w:after="0"/>
        <w:jc w:val="both"/>
        <w:rPr>
          <w:rFonts w:cs="Arial"/>
          <w:i/>
          <w:iCs/>
          <w:sz w:val="20"/>
          <w:szCs w:val="20"/>
        </w:rPr>
      </w:pPr>
      <w:r w:rsidRPr="00E7430E">
        <w:rPr>
          <w:rStyle w:val="EndnoteReference"/>
          <w:rFonts w:cs="Arial"/>
        </w:rPr>
        <w:endnoteRef/>
      </w:r>
      <w:r w:rsidRPr="00E7430E">
        <w:rPr>
          <w:rFonts w:cs="Arial"/>
        </w:rPr>
        <w:t xml:space="preserve"> </w:t>
      </w:r>
      <w:r w:rsidRPr="00B00E18">
        <w:rPr>
          <w:rFonts w:cs="Arial"/>
          <w:sz w:val="20"/>
          <w:szCs w:val="20"/>
        </w:rPr>
        <w:t xml:space="preserve">N Stanley, </w:t>
      </w:r>
      <w:r w:rsidRPr="00B00E18">
        <w:rPr>
          <w:rFonts w:cs="Arial"/>
          <w:i/>
          <w:iCs/>
          <w:sz w:val="20"/>
          <w:szCs w:val="20"/>
        </w:rPr>
        <w:t xml:space="preserve">Children Experiencing Domestic Violence: A Research Review </w:t>
      </w:r>
      <w:r w:rsidRPr="00D54275">
        <w:rPr>
          <w:rFonts w:cs="Arial"/>
          <w:iCs/>
          <w:sz w:val="20"/>
          <w:szCs w:val="20"/>
        </w:rPr>
        <w:t>(</w:t>
      </w:r>
      <w:r w:rsidRPr="00D54275">
        <w:rPr>
          <w:rFonts w:cs="Arial"/>
          <w:sz w:val="20"/>
          <w:szCs w:val="20"/>
        </w:rPr>
        <w:t xml:space="preserve">Dartington: </w:t>
      </w:r>
      <w:r w:rsidRPr="00D54275">
        <w:rPr>
          <w:rFonts w:cs="Arial"/>
          <w:bCs/>
          <w:sz w:val="20"/>
          <w:szCs w:val="20"/>
        </w:rPr>
        <w:t xml:space="preserve">Research in Practice, </w:t>
      </w:r>
      <w:r w:rsidRPr="00D54275">
        <w:rPr>
          <w:rFonts w:cs="Arial"/>
          <w:sz w:val="20"/>
          <w:szCs w:val="20"/>
        </w:rPr>
        <w:t xml:space="preserve">2011) </w:t>
      </w:r>
      <w:r>
        <w:rPr>
          <w:rFonts w:cs="Arial"/>
          <w:sz w:val="20"/>
          <w:szCs w:val="20"/>
        </w:rPr>
        <w:t>3</w:t>
      </w:r>
      <w:r w:rsidRPr="00B00E18">
        <w:rPr>
          <w:rFonts w:cs="Arial"/>
          <w:sz w:val="20"/>
          <w:szCs w:val="20"/>
        </w:rPr>
        <w:t>.</w:t>
      </w:r>
    </w:p>
  </w:endnote>
  <w:endnote w:id="559">
    <w:p w14:paraId="433D668C" w14:textId="77777777" w:rsidR="00F008D2" w:rsidRPr="00E7430E" w:rsidRDefault="00F008D2" w:rsidP="000D1D92">
      <w:pPr>
        <w:autoSpaceDE w:val="0"/>
        <w:autoSpaceDN w:val="0"/>
        <w:adjustRightInd w:val="0"/>
        <w:spacing w:before="0" w:after="0"/>
        <w:jc w:val="both"/>
        <w:rPr>
          <w:rFonts w:cs="Arial"/>
          <w:i/>
          <w:iCs/>
          <w:sz w:val="20"/>
          <w:szCs w:val="20"/>
        </w:rPr>
      </w:pPr>
      <w:r w:rsidRPr="00E7430E">
        <w:rPr>
          <w:rStyle w:val="EndnoteReference"/>
          <w:rFonts w:cs="Arial"/>
        </w:rPr>
        <w:endnoteRef/>
      </w:r>
      <w:r w:rsidRPr="00E7430E">
        <w:rPr>
          <w:rFonts w:cs="Arial"/>
        </w:rPr>
        <w:t xml:space="preserve"> </w:t>
      </w:r>
      <w:r w:rsidRPr="00212D3C">
        <w:rPr>
          <w:rFonts w:cs="Arial"/>
          <w:sz w:val="20"/>
          <w:szCs w:val="20"/>
        </w:rPr>
        <w:t xml:space="preserve">N Stanley, </w:t>
      </w:r>
      <w:r w:rsidRPr="00212D3C">
        <w:rPr>
          <w:rFonts w:cs="Arial"/>
          <w:i/>
          <w:iCs/>
          <w:sz w:val="20"/>
          <w:szCs w:val="20"/>
        </w:rPr>
        <w:t xml:space="preserve">Children Experiencing Domestic Violence: A Research Review </w:t>
      </w:r>
      <w:r w:rsidRPr="00212D3C">
        <w:rPr>
          <w:rFonts w:cs="Arial"/>
          <w:iCs/>
          <w:sz w:val="20"/>
          <w:szCs w:val="20"/>
        </w:rPr>
        <w:t>(</w:t>
      </w:r>
      <w:r w:rsidRPr="00212D3C">
        <w:rPr>
          <w:rFonts w:cs="Arial"/>
          <w:sz w:val="20"/>
          <w:szCs w:val="20"/>
        </w:rPr>
        <w:t xml:space="preserve">Dartington: </w:t>
      </w:r>
      <w:r w:rsidRPr="00212D3C">
        <w:rPr>
          <w:rFonts w:cs="Arial"/>
          <w:bCs/>
          <w:sz w:val="20"/>
          <w:szCs w:val="20"/>
        </w:rPr>
        <w:t xml:space="preserve">Research in Practice, </w:t>
      </w:r>
      <w:r w:rsidRPr="00212D3C">
        <w:rPr>
          <w:rFonts w:cs="Arial"/>
          <w:sz w:val="20"/>
          <w:szCs w:val="20"/>
        </w:rPr>
        <w:t xml:space="preserve">2011) </w:t>
      </w:r>
      <w:r>
        <w:rPr>
          <w:rFonts w:cs="Arial"/>
          <w:sz w:val="20"/>
          <w:szCs w:val="20"/>
        </w:rPr>
        <w:t>6</w:t>
      </w:r>
      <w:r w:rsidRPr="00212D3C">
        <w:rPr>
          <w:rFonts w:cs="Arial"/>
          <w:sz w:val="20"/>
          <w:szCs w:val="20"/>
        </w:rPr>
        <w:t>.</w:t>
      </w:r>
    </w:p>
  </w:endnote>
  <w:endnote w:id="560">
    <w:p w14:paraId="2593DD01" w14:textId="77777777" w:rsidR="00F008D2" w:rsidRPr="001317EC" w:rsidRDefault="00F008D2" w:rsidP="000D1D92">
      <w:pPr>
        <w:pStyle w:val="EndnoteText"/>
        <w:jc w:val="both"/>
        <w:rPr>
          <w:lang w:val="en-US"/>
        </w:rPr>
      </w:pPr>
      <w:r>
        <w:rPr>
          <w:rStyle w:val="EndnoteReference"/>
        </w:rPr>
        <w:endnoteRef/>
      </w:r>
      <w:r>
        <w:t xml:space="preserve"> </w:t>
      </w:r>
      <w:r w:rsidRPr="00D54275">
        <w:t>Australian Institute of Family Studies (AIFS) and Australia’s National Research Organisation for Women’s Safety (ANROWS)</w:t>
      </w:r>
      <w:r>
        <w:t xml:space="preserve">, </w:t>
      </w:r>
      <w:r>
        <w:rPr>
          <w:rFonts w:cs="Arial"/>
        </w:rPr>
        <w:t xml:space="preserve">Submission No 6 </w:t>
      </w:r>
      <w:r>
        <w:t xml:space="preserve">to Australian Human Rights Commission, </w:t>
      </w:r>
      <w:r>
        <w:rPr>
          <w:i/>
        </w:rPr>
        <w:t xml:space="preserve">National Children’s Commissioner’s examination into children affected by family and domestic violence, </w:t>
      </w:r>
      <w:r>
        <w:t xml:space="preserve">29 May </w:t>
      </w:r>
      <w:r w:rsidRPr="00422F51">
        <w:t>2015,</w:t>
      </w:r>
      <w:r>
        <w:t xml:space="preserve"> </w:t>
      </w:r>
      <w:r>
        <w:rPr>
          <w:rFonts w:cs="Arial"/>
        </w:rPr>
        <w:t>18.</w:t>
      </w:r>
    </w:p>
  </w:endnote>
  <w:endnote w:id="561">
    <w:p w14:paraId="34924887" w14:textId="77777777" w:rsidR="00F008D2" w:rsidRPr="001317EC" w:rsidRDefault="00F008D2" w:rsidP="000D1D92">
      <w:pPr>
        <w:pStyle w:val="EndnoteText"/>
        <w:jc w:val="both"/>
        <w:rPr>
          <w:lang w:val="en-US"/>
        </w:rPr>
      </w:pPr>
      <w:r>
        <w:rPr>
          <w:rStyle w:val="EndnoteReference"/>
        </w:rPr>
        <w:endnoteRef/>
      </w:r>
      <w:r>
        <w:t xml:space="preserve"> </w:t>
      </w:r>
      <w:r w:rsidRPr="00D54275">
        <w:t>Australian Institute of Family Studies (AIFS) and Australia’s National Research Organisation for Women’s Safety (ANROWS)</w:t>
      </w:r>
      <w:r>
        <w:t xml:space="preserve">, </w:t>
      </w:r>
      <w:r>
        <w:rPr>
          <w:rFonts w:cs="Arial"/>
        </w:rPr>
        <w:t xml:space="preserve">Submission No 6 </w:t>
      </w:r>
      <w:r>
        <w:t xml:space="preserve">to Australian Human Rights Commission, </w:t>
      </w:r>
      <w:r>
        <w:rPr>
          <w:i/>
        </w:rPr>
        <w:t xml:space="preserve">National Children’s Commissioner’s examination into children affected by family and domestic violence, </w:t>
      </w:r>
      <w:r>
        <w:t xml:space="preserve">29 May </w:t>
      </w:r>
      <w:r w:rsidRPr="00422F51">
        <w:t>2015,</w:t>
      </w:r>
      <w:r>
        <w:t xml:space="preserve"> 5</w:t>
      </w:r>
      <w:r>
        <w:rPr>
          <w:rFonts w:cs="Arial"/>
        </w:rPr>
        <w:t>.</w:t>
      </w:r>
    </w:p>
  </w:endnote>
  <w:endnote w:id="562">
    <w:p w14:paraId="6AF542B9" w14:textId="77777777" w:rsidR="00F008D2" w:rsidRPr="00851499" w:rsidRDefault="00F008D2" w:rsidP="000D1D92">
      <w:pPr>
        <w:pStyle w:val="EndnoteText"/>
        <w:jc w:val="both"/>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8</w:t>
      </w:r>
      <w:r w:rsidRPr="00E4369B">
        <w:t xml:space="preserve">. </w:t>
      </w:r>
    </w:p>
  </w:endnote>
  <w:endnote w:id="563">
    <w:p w14:paraId="5E0DB1AF" w14:textId="77777777" w:rsidR="00F008D2" w:rsidRPr="00A2152F" w:rsidRDefault="00F008D2" w:rsidP="000D1D92">
      <w:pPr>
        <w:pStyle w:val="EndnoteText"/>
        <w:jc w:val="both"/>
        <w:rPr>
          <w:lang w:val="en-US"/>
        </w:rPr>
      </w:pPr>
      <w:r>
        <w:rPr>
          <w:rStyle w:val="EndnoteReference"/>
        </w:rPr>
        <w:endnoteRef/>
      </w:r>
      <w:r>
        <w:t xml:space="preserve"> </w:t>
      </w:r>
      <w:r w:rsidRPr="00D73476">
        <w:rPr>
          <w:rFonts w:cs="Arial"/>
        </w:rPr>
        <w:t>National Aboriginal &amp; Torres Strait Islander Women’s Alliance</w:t>
      </w:r>
      <w:r>
        <w:rPr>
          <w:rFonts w:cs="Arial"/>
        </w:rPr>
        <w:t xml:space="preserve"> (NATSIWA), Submission No 42 </w:t>
      </w:r>
      <w:r>
        <w:t xml:space="preserve">to Australian Human Rights Commission, </w:t>
      </w:r>
      <w:r>
        <w:rPr>
          <w:i/>
        </w:rPr>
        <w:t xml:space="preserve">National Children’s Commissioner’s examination into children affected by family and domestic violence, </w:t>
      </w:r>
      <w:r>
        <w:t xml:space="preserve">23 June 2015, </w:t>
      </w:r>
      <w:r>
        <w:rPr>
          <w:rFonts w:cs="Arial"/>
        </w:rPr>
        <w:t>2.</w:t>
      </w:r>
    </w:p>
  </w:endnote>
  <w:endnote w:id="564">
    <w:p w14:paraId="4E6677CA" w14:textId="77777777" w:rsidR="00F008D2" w:rsidRPr="00873286" w:rsidRDefault="00F008D2" w:rsidP="000D1D92">
      <w:pPr>
        <w:pStyle w:val="EndnoteText"/>
        <w:jc w:val="both"/>
        <w:rPr>
          <w:lang w:val="en-US"/>
        </w:rPr>
      </w:pPr>
      <w:r>
        <w:rPr>
          <w:rStyle w:val="EndnoteReference"/>
        </w:rPr>
        <w:endnoteRef/>
      </w:r>
      <w:r>
        <w:t xml:space="preserve"> </w:t>
      </w:r>
      <w:r>
        <w:rPr>
          <w:rFonts w:cs="Arial"/>
        </w:rPr>
        <w:t xml:space="preserve">Aboriginal Family Law Services (WA), Submission No 29 </w:t>
      </w:r>
      <w:r>
        <w:t xml:space="preserve">to Australian Human Rights Commission, </w:t>
      </w:r>
      <w:r>
        <w:rPr>
          <w:i/>
        </w:rPr>
        <w:t xml:space="preserve">National Children’s Commissioner’s examination into children affected by family and domestic violence, </w:t>
      </w:r>
      <w:r>
        <w:t xml:space="preserve">15 June 2015, </w:t>
      </w:r>
      <w:r>
        <w:rPr>
          <w:rFonts w:cs="Arial"/>
        </w:rPr>
        <w:t>7.</w:t>
      </w:r>
    </w:p>
  </w:endnote>
  <w:endnote w:id="565">
    <w:p w14:paraId="4C0E6BD4" w14:textId="77777777" w:rsidR="00F008D2" w:rsidRPr="00D458D5" w:rsidRDefault="00F008D2" w:rsidP="000D1D92">
      <w:pPr>
        <w:pStyle w:val="EndnoteText"/>
        <w:jc w:val="both"/>
        <w:rPr>
          <w:lang w:val="en-US"/>
        </w:rPr>
      </w:pPr>
      <w:r>
        <w:rPr>
          <w:rStyle w:val="EndnoteReference"/>
        </w:rPr>
        <w:endnoteRef/>
      </w:r>
      <w:r>
        <w:t xml:space="preserve"> </w:t>
      </w:r>
      <w:r w:rsidRPr="00630200">
        <w:t>inTouch Multicultural Centre against Family Violence</w:t>
      </w:r>
      <w:r>
        <w:rPr>
          <w:rFonts w:cs="Arial"/>
        </w:rPr>
        <w:t xml:space="preserve">, Submission No 3 </w:t>
      </w:r>
      <w:r>
        <w:t xml:space="preserve">to Australian Human Rights Commission, </w:t>
      </w:r>
      <w:r>
        <w:rPr>
          <w:i/>
        </w:rPr>
        <w:t xml:space="preserve">National Children’s Commissioner’s examination into children affected by family and domestic violence, </w:t>
      </w:r>
      <w:r>
        <w:t xml:space="preserve">15 May 2015, </w:t>
      </w:r>
      <w:r>
        <w:rPr>
          <w:rFonts w:cs="Arial"/>
        </w:rPr>
        <w:t>2.</w:t>
      </w:r>
    </w:p>
  </w:endnote>
  <w:endnote w:id="566">
    <w:p w14:paraId="604B8FFC" w14:textId="77777777" w:rsidR="00F008D2" w:rsidRPr="00A9495D" w:rsidRDefault="00F008D2" w:rsidP="000D1D92">
      <w:pPr>
        <w:pStyle w:val="EndnoteText"/>
        <w:jc w:val="both"/>
        <w:rPr>
          <w:lang w:val="en-US"/>
        </w:rPr>
      </w:pPr>
      <w:r>
        <w:rPr>
          <w:rStyle w:val="EndnoteReference"/>
        </w:rPr>
        <w:endnoteRef/>
      </w:r>
      <w:r>
        <w:t xml:space="preserve"> </w:t>
      </w:r>
      <w:r>
        <w:rPr>
          <w:lang w:val="en-US"/>
        </w:rPr>
        <w:t xml:space="preserve">Children with Disability Australia, </w:t>
      </w:r>
      <w:r>
        <w:rPr>
          <w:rFonts w:cs="Arial"/>
        </w:rPr>
        <w:t xml:space="preserve">Submission No 19 </w:t>
      </w:r>
      <w:r>
        <w:t xml:space="preserve">to Australian Human Rights Commission, </w:t>
      </w:r>
      <w:r>
        <w:rPr>
          <w:i/>
        </w:rPr>
        <w:t xml:space="preserve">National Children’s Commissioner’s examination into children affected by family and domestic violence, </w:t>
      </w:r>
      <w:r>
        <w:t xml:space="preserve">11 June 2015, </w:t>
      </w:r>
      <w:r>
        <w:rPr>
          <w:rFonts w:cs="Arial"/>
        </w:rPr>
        <w:t>1.</w:t>
      </w:r>
    </w:p>
  </w:endnote>
  <w:endnote w:id="567">
    <w:p w14:paraId="4DDFACEF" w14:textId="77777777" w:rsidR="00F008D2" w:rsidRPr="00F26087" w:rsidRDefault="00F008D2" w:rsidP="000D1D92">
      <w:pPr>
        <w:pStyle w:val="EndnoteText"/>
        <w:jc w:val="both"/>
        <w:rPr>
          <w:lang w:val="en-US"/>
        </w:rPr>
      </w:pPr>
      <w:r>
        <w:rPr>
          <w:rStyle w:val="EndnoteReference"/>
        </w:rPr>
        <w:endnoteRef/>
      </w:r>
      <w:r>
        <w:t xml:space="preserve"> Australian Psychological Society, Submission No 38 to the Australian Human Rights Commission, </w:t>
      </w:r>
      <w:r>
        <w:rPr>
          <w:i/>
        </w:rPr>
        <w:t xml:space="preserve">National Children’s Commissioner’s examination into children affected by family and domestic violence, </w:t>
      </w:r>
      <w:r>
        <w:t>17 June 2015, 10.</w:t>
      </w:r>
    </w:p>
  </w:endnote>
  <w:endnote w:id="568">
    <w:p w14:paraId="18FA265E" w14:textId="77777777" w:rsidR="00F008D2" w:rsidRPr="00244BC2" w:rsidRDefault="00F008D2" w:rsidP="000D1D92">
      <w:pPr>
        <w:pStyle w:val="EndnoteText"/>
        <w:jc w:val="both"/>
        <w:rPr>
          <w:lang w:val="en-US"/>
        </w:rPr>
      </w:pPr>
      <w:r>
        <w:rPr>
          <w:rStyle w:val="EndnoteReference"/>
        </w:rPr>
        <w:endnoteRef/>
      </w:r>
      <w:r>
        <w:t xml:space="preserve"> </w:t>
      </w:r>
      <w:r w:rsidRPr="00D54275">
        <w:t>Australian Institute of Family Studies (AIFS) and Australia’s National Research Organisation for Women’s Safety (ANROWS)</w:t>
      </w:r>
      <w:r>
        <w:t xml:space="preserve">, </w:t>
      </w:r>
      <w:r>
        <w:rPr>
          <w:rFonts w:cs="Arial"/>
        </w:rPr>
        <w:t xml:space="preserve">Submission No 6 </w:t>
      </w:r>
      <w:r>
        <w:t xml:space="preserve">to Australian Human Rights Commission, </w:t>
      </w:r>
      <w:r>
        <w:rPr>
          <w:i/>
        </w:rPr>
        <w:t xml:space="preserve">National Children’s Commissioner’s examination into children affected by family and domestic violence, </w:t>
      </w:r>
      <w:r>
        <w:t xml:space="preserve">29 May </w:t>
      </w:r>
      <w:r w:rsidRPr="00422F51">
        <w:t>2015,</w:t>
      </w:r>
      <w:r>
        <w:t xml:space="preserve"> 5</w:t>
      </w:r>
      <w:r>
        <w:rPr>
          <w:rFonts w:cs="Arial"/>
        </w:rPr>
        <w:t>.</w:t>
      </w:r>
    </w:p>
  </w:endnote>
  <w:endnote w:id="569">
    <w:p w14:paraId="4F9E99F2" w14:textId="77777777" w:rsidR="00F008D2" w:rsidRPr="00162A9C" w:rsidRDefault="00F008D2" w:rsidP="000D1D92">
      <w:pPr>
        <w:pStyle w:val="EndnoteText"/>
        <w:rPr>
          <w:lang w:val="en-US"/>
        </w:rPr>
      </w:pPr>
      <w:r>
        <w:rPr>
          <w:rStyle w:val="EndnoteReference"/>
        </w:rPr>
        <w:endnoteRef/>
      </w:r>
      <w:r>
        <w:t xml:space="preserve"> </w:t>
      </w:r>
      <w:r w:rsidRPr="000079F7">
        <w:t>Belinda Fehlberg</w:t>
      </w:r>
      <w:r>
        <w:t>,</w:t>
      </w:r>
      <w:r w:rsidRPr="005B2A9B">
        <w:t xml:space="preserve"> </w:t>
      </w:r>
      <w:r>
        <w:t xml:space="preserve">Attachment 2.1 </w:t>
      </w:r>
      <w:r w:rsidRPr="00422F51">
        <w:t xml:space="preserve">to Australian Human Rights Commission, </w:t>
      </w:r>
      <w:r w:rsidRPr="0082462D">
        <w:rPr>
          <w:i/>
        </w:rPr>
        <w:t>National Children’s Commissioner’s examination into children affected by family and domestic violence</w:t>
      </w:r>
      <w:r>
        <w:t>, 8 May 2015</w:t>
      </w:r>
      <w:r w:rsidRPr="00422F51">
        <w:t>,</w:t>
      </w:r>
      <w:r>
        <w:rPr>
          <w:lang w:val="en-US"/>
        </w:rPr>
        <w:t xml:space="preserve"> 153.</w:t>
      </w:r>
    </w:p>
  </w:endnote>
  <w:endnote w:id="570">
    <w:p w14:paraId="1284C2CA" w14:textId="77777777" w:rsidR="00F008D2" w:rsidRPr="003A70C5" w:rsidRDefault="00F008D2" w:rsidP="000D1D92">
      <w:pPr>
        <w:pStyle w:val="EndnoteText"/>
        <w:rPr>
          <w:lang w:val="en-US"/>
        </w:rPr>
      </w:pPr>
      <w:r>
        <w:rPr>
          <w:rStyle w:val="EndnoteReference"/>
        </w:rPr>
        <w:endnoteRef/>
      </w:r>
      <w:r>
        <w:t xml:space="preserve"> </w:t>
      </w:r>
      <w:r w:rsidRPr="0082462D">
        <w:t>Royal Australian and New Zealand College of Psychiatrists (RANZCP)</w:t>
      </w:r>
      <w:r>
        <w:t xml:space="preserve">, </w:t>
      </w:r>
      <w:r w:rsidRPr="00422F51">
        <w:t>Submission</w:t>
      </w:r>
      <w:r>
        <w:t xml:space="preserve"> No</w:t>
      </w:r>
      <w:r w:rsidRPr="00422F51">
        <w:t xml:space="preserve"> </w:t>
      </w:r>
      <w:r>
        <w:t>37</w:t>
      </w:r>
      <w:r w:rsidRPr="00422F51">
        <w:t xml:space="preserve"> to Australian Human Rights Commission, </w:t>
      </w:r>
      <w:r w:rsidRPr="0082462D">
        <w:rPr>
          <w:i/>
        </w:rPr>
        <w:t>National Children’s Commissioner’s examination into children affected by family and domestic violence</w:t>
      </w:r>
      <w:r>
        <w:t xml:space="preserve">, 17 June </w:t>
      </w:r>
      <w:r w:rsidRPr="00422F51">
        <w:t xml:space="preserve">2015, </w:t>
      </w:r>
      <w:r>
        <w:t>16</w:t>
      </w:r>
      <w:r w:rsidRPr="00422F51">
        <w:t>.</w:t>
      </w:r>
    </w:p>
  </w:endnote>
  <w:endnote w:id="571">
    <w:p w14:paraId="0A318C1D" w14:textId="77777777" w:rsidR="00F008D2" w:rsidRPr="00AA45EA" w:rsidRDefault="00F008D2" w:rsidP="000D1D92">
      <w:pPr>
        <w:pStyle w:val="EndnoteText"/>
        <w:jc w:val="both"/>
        <w:rPr>
          <w:lang w:val="en-US"/>
        </w:rPr>
      </w:pPr>
      <w:r>
        <w:rPr>
          <w:rStyle w:val="EndnoteReference"/>
        </w:rPr>
        <w:endnoteRef/>
      </w:r>
      <w:r>
        <w:t xml:space="preserve"> </w:t>
      </w:r>
      <w:r w:rsidRPr="00D54275">
        <w:t>Australian Institute of Family Studies (AIFS) and Australia’s National Research Organisation for Women’s Safety (ANROWS)</w:t>
      </w:r>
      <w:r>
        <w:t xml:space="preserve">, </w:t>
      </w:r>
      <w:r>
        <w:rPr>
          <w:rFonts w:cs="Arial"/>
        </w:rPr>
        <w:t xml:space="preserve">Submission No 6 </w:t>
      </w:r>
      <w:r>
        <w:t xml:space="preserve">to Australian Human Rights Commission, </w:t>
      </w:r>
      <w:r>
        <w:rPr>
          <w:i/>
        </w:rPr>
        <w:t xml:space="preserve">National Children’s Commissioner’s examination into children affected by family and domestic violence, </w:t>
      </w:r>
      <w:r>
        <w:t xml:space="preserve">29 May </w:t>
      </w:r>
      <w:r w:rsidRPr="00422F51">
        <w:t>2015,</w:t>
      </w:r>
      <w:r>
        <w:t xml:space="preserve"> 18</w:t>
      </w:r>
      <w:r>
        <w:rPr>
          <w:rFonts w:cs="Arial"/>
        </w:rPr>
        <w:t>.</w:t>
      </w:r>
    </w:p>
  </w:endnote>
  <w:endnote w:id="572">
    <w:p w14:paraId="29D8E803" w14:textId="77777777" w:rsidR="00F008D2" w:rsidRPr="00DF0C13" w:rsidRDefault="00F008D2" w:rsidP="000D1D92">
      <w:pPr>
        <w:pStyle w:val="EndnoteText"/>
        <w:rPr>
          <w:lang w:val="en-US"/>
        </w:rPr>
      </w:pPr>
      <w:r>
        <w:rPr>
          <w:rStyle w:val="EndnoteReference"/>
        </w:rPr>
        <w:endnoteRef/>
      </w:r>
      <w:r>
        <w:t xml:space="preserve"> </w:t>
      </w:r>
      <w:r w:rsidRPr="005B2A9B">
        <w:t>Department of Children and Families</w:t>
      </w:r>
      <w:r>
        <w:t xml:space="preserve"> (NT),</w:t>
      </w:r>
      <w:r w:rsidRPr="005B2A9B">
        <w:t xml:space="preserve"> </w:t>
      </w:r>
      <w:r w:rsidRPr="00422F51">
        <w:t xml:space="preserve">Submission </w:t>
      </w:r>
      <w:r>
        <w:t xml:space="preserve">No 52 </w:t>
      </w:r>
      <w:r w:rsidRPr="00422F51">
        <w:t xml:space="preserve">to Australian Human Rights Commission, </w:t>
      </w:r>
      <w:r w:rsidRPr="0082462D">
        <w:rPr>
          <w:i/>
        </w:rPr>
        <w:t>National Children’s Commissioner’s examination into children affected by family and domestic violence</w:t>
      </w:r>
      <w:r>
        <w:t xml:space="preserve">, 4 August </w:t>
      </w:r>
      <w:r w:rsidRPr="00422F51">
        <w:t xml:space="preserve">2015, </w:t>
      </w:r>
      <w:r>
        <w:rPr>
          <w:lang w:val="en-US"/>
        </w:rPr>
        <w:t>7.</w:t>
      </w:r>
    </w:p>
  </w:endnote>
  <w:endnote w:id="573">
    <w:p w14:paraId="01498CC4" w14:textId="77777777" w:rsidR="00F008D2" w:rsidRPr="00AB0361" w:rsidRDefault="00F008D2" w:rsidP="000D1D92">
      <w:pPr>
        <w:pStyle w:val="EndnoteText"/>
        <w:jc w:val="both"/>
        <w:rPr>
          <w:rFonts w:cs="Arial"/>
        </w:rPr>
      </w:pPr>
      <w:r w:rsidRPr="00AB0361">
        <w:rPr>
          <w:rStyle w:val="EndnoteReference"/>
          <w:rFonts w:cs="Arial"/>
        </w:rPr>
        <w:endnoteRef/>
      </w:r>
      <w:r w:rsidRPr="00AB0361">
        <w:rPr>
          <w:rFonts w:cs="Arial"/>
        </w:rPr>
        <w:t xml:space="preserve"> N Stanley, </w:t>
      </w:r>
      <w:r w:rsidRPr="00AB0361">
        <w:rPr>
          <w:rFonts w:cs="Arial"/>
          <w:i/>
          <w:iCs/>
        </w:rPr>
        <w:t xml:space="preserve">Children Experiencing Domestic Violence: A Research Review </w:t>
      </w:r>
      <w:r w:rsidRPr="00AB0361">
        <w:rPr>
          <w:rFonts w:cs="Arial"/>
          <w:iCs/>
        </w:rPr>
        <w:t>(</w:t>
      </w:r>
      <w:r w:rsidRPr="00AB0361">
        <w:rPr>
          <w:rFonts w:cs="Arial"/>
        </w:rPr>
        <w:t xml:space="preserve">Dartington: </w:t>
      </w:r>
      <w:r w:rsidRPr="00AB0361">
        <w:rPr>
          <w:rFonts w:cs="Arial"/>
          <w:bCs/>
        </w:rPr>
        <w:t xml:space="preserve">Research in Practice, </w:t>
      </w:r>
      <w:r w:rsidRPr="00AB0361">
        <w:rPr>
          <w:rFonts w:cs="Arial"/>
        </w:rPr>
        <w:t>2011) 36.</w:t>
      </w:r>
    </w:p>
  </w:endnote>
  <w:endnote w:id="574">
    <w:p w14:paraId="7DA9EE3A" w14:textId="77777777" w:rsidR="00F008D2" w:rsidRPr="005B0438" w:rsidRDefault="00F008D2" w:rsidP="000D1D92">
      <w:pPr>
        <w:pStyle w:val="EndnoteText"/>
        <w:rPr>
          <w:lang w:val="en-US"/>
        </w:rPr>
      </w:pPr>
      <w:r w:rsidRPr="00AB0361">
        <w:rPr>
          <w:rStyle w:val="EndnoteReference"/>
        </w:rPr>
        <w:endnoteRef/>
      </w:r>
      <w:r w:rsidRPr="00AB0361">
        <w:t xml:space="preserve"> ALSWH and MatCH are conducted collaboratively by staff and investigators based at the University of Newcastle and the University of Queensland. ALSWH is funded by the Australian Government Department of Health until 30 June 2016 and MatCH is funded by a National Health and Medical Research Council project grant (2014-2017), led by Professor Gita Mishra (University of Queensland ALSWH Director).</w:t>
      </w:r>
    </w:p>
  </w:endnote>
  <w:endnote w:id="575">
    <w:p w14:paraId="7B251BA8" w14:textId="77777777" w:rsidR="00F008D2" w:rsidRPr="008D2DFB" w:rsidRDefault="00F008D2" w:rsidP="000D1D92">
      <w:pPr>
        <w:pStyle w:val="EndnoteText"/>
        <w:rPr>
          <w:i/>
        </w:rPr>
      </w:pPr>
      <w:r w:rsidRPr="007C14E0">
        <w:rPr>
          <w:rStyle w:val="EndnoteReference"/>
        </w:rPr>
        <w:endnoteRef/>
      </w:r>
      <w:r w:rsidRPr="007C14E0">
        <w:t xml:space="preserve"> </w:t>
      </w:r>
      <w:r>
        <w:t xml:space="preserve">St Vincent de Paul, Submission No 9 to Australian Human Rights Commission, </w:t>
      </w:r>
      <w:r>
        <w:rPr>
          <w:i/>
        </w:rPr>
        <w:t>National Children’s Commissioner’s examination into children affected by family and domestic violence,</w:t>
      </w:r>
      <w:r w:rsidRPr="007C14E0">
        <w:t xml:space="preserve"> 5</w:t>
      </w:r>
      <w:r w:rsidRPr="007C14E0">
        <w:rPr>
          <w:rFonts w:cs="Arial"/>
        </w:rPr>
        <w:t>;</w:t>
      </w:r>
      <w:r>
        <w:rPr>
          <w:rFonts w:cs="Arial"/>
        </w:rPr>
        <w:t xml:space="preserve"> </w:t>
      </w:r>
      <w:r>
        <w:t xml:space="preserve">Save the Children, Submission No 7 to Australian Human Rights Commission, </w:t>
      </w:r>
      <w:r>
        <w:rPr>
          <w:i/>
        </w:rPr>
        <w:t>National Children’s Commissioner’s examination into children affected by family and domestic violence,</w:t>
      </w:r>
      <w:r>
        <w:rPr>
          <w:rFonts w:cs="Arial"/>
        </w:rPr>
        <w:t xml:space="preserve"> 11; </w:t>
      </w:r>
      <w:r>
        <w:t xml:space="preserve">National Rural Health Alliance (NHRA), Submission No 12 to Australian Human Rights Commission, </w:t>
      </w:r>
      <w:r>
        <w:rPr>
          <w:i/>
        </w:rPr>
        <w:t xml:space="preserve">National Children’s Commissioner’s examination into children affected by family and domestic violence, </w:t>
      </w:r>
      <w:r>
        <w:rPr>
          <w:rFonts w:cs="Arial"/>
        </w:rPr>
        <w:t xml:space="preserve">9   </w:t>
      </w:r>
    </w:p>
  </w:endnote>
  <w:endnote w:id="576">
    <w:p w14:paraId="59A2F9AF" w14:textId="77777777" w:rsidR="00F008D2" w:rsidRPr="005321A4" w:rsidRDefault="00F008D2" w:rsidP="000D1D92">
      <w:pPr>
        <w:pStyle w:val="EndnoteText"/>
        <w:rPr>
          <w:lang w:val="en-US"/>
        </w:rPr>
      </w:pPr>
      <w:r>
        <w:rPr>
          <w:rStyle w:val="EndnoteReference"/>
        </w:rPr>
        <w:endnoteRef/>
      </w:r>
      <w:r>
        <w:t xml:space="preserve"> </w:t>
      </w:r>
      <w:r>
        <w:rPr>
          <w:lang w:val="en-US"/>
        </w:rPr>
        <w:t xml:space="preserve">Australian Psychological Society, Submission No 38 to </w:t>
      </w:r>
      <w:r w:rsidRPr="005335C9">
        <w:rPr>
          <w:lang w:val="en-US"/>
        </w:rPr>
        <w:t>Australian Human Rights Commission</w:t>
      </w:r>
      <w:r>
        <w:rPr>
          <w:lang w:val="en-US"/>
        </w:rPr>
        <w:t xml:space="preserve">, </w:t>
      </w:r>
      <w:r>
        <w:rPr>
          <w:i/>
          <w:lang w:val="en-US"/>
        </w:rPr>
        <w:t>National Children’s Commissioner’s examination into children affected by family and domestic violence</w:t>
      </w:r>
      <w:r>
        <w:rPr>
          <w:lang w:val="en-US"/>
        </w:rPr>
        <w:t>, 2015, 13.</w:t>
      </w:r>
    </w:p>
  </w:endnote>
  <w:endnote w:id="577">
    <w:p w14:paraId="5C519FF0" w14:textId="77777777" w:rsidR="00F008D2" w:rsidRPr="002C32DA" w:rsidRDefault="00F008D2" w:rsidP="000D1D92">
      <w:pPr>
        <w:pStyle w:val="EndnoteText"/>
      </w:pPr>
      <w:r w:rsidRPr="002C32DA">
        <w:rPr>
          <w:rStyle w:val="EndnoteReference"/>
        </w:rPr>
        <w:endnoteRef/>
      </w:r>
      <w:r w:rsidRPr="002C32DA">
        <w:t xml:space="preserve"> Families Australia, Submission No 22 to Australian Human Rights Commission, </w:t>
      </w:r>
      <w:r w:rsidRPr="002C32DA">
        <w:rPr>
          <w:i/>
        </w:rPr>
        <w:t xml:space="preserve">National Children’s Commissioner’s examination into children affected by family and domestic violence, </w:t>
      </w:r>
      <w:r w:rsidRPr="002C32DA">
        <w:t>15 June 2015, 4.</w:t>
      </w:r>
    </w:p>
  </w:endnote>
  <w:endnote w:id="578">
    <w:p w14:paraId="4271B392" w14:textId="77777777" w:rsidR="00F008D2" w:rsidRDefault="00F008D2" w:rsidP="000D1D92">
      <w:pPr>
        <w:pStyle w:val="EndnoteText"/>
      </w:pPr>
      <w:r w:rsidRPr="002C32DA">
        <w:rPr>
          <w:rStyle w:val="EndnoteReference"/>
        </w:rPr>
        <w:endnoteRef/>
      </w:r>
      <w:r w:rsidRPr="002C32DA">
        <w:t xml:space="preserve"> </w:t>
      </w:r>
      <w:r>
        <w:t>Aboriginal Family Law Services</w:t>
      </w:r>
      <w:r w:rsidRPr="002C32DA">
        <w:t xml:space="preserve">, Submission No </w:t>
      </w:r>
      <w:r>
        <w:t xml:space="preserve">29 to </w:t>
      </w:r>
      <w:r w:rsidRPr="002C32DA">
        <w:t xml:space="preserve">Australian Human Rights Commission, </w:t>
      </w:r>
      <w:r w:rsidRPr="002C32DA">
        <w:rPr>
          <w:i/>
        </w:rPr>
        <w:t xml:space="preserve">National Children’s Commissioner’s examination into children affected by family and domestic violence, </w:t>
      </w:r>
      <w:r>
        <w:t>15 June 2014</w:t>
      </w:r>
      <w:r w:rsidRPr="002C32DA">
        <w:t xml:space="preserve">, </w:t>
      </w:r>
      <w:r>
        <w:t>9</w:t>
      </w:r>
      <w:r w:rsidRPr="002C32DA">
        <w:t>.</w:t>
      </w:r>
    </w:p>
  </w:endnote>
  <w:endnote w:id="579">
    <w:p w14:paraId="1F02CBC5" w14:textId="77777777" w:rsidR="00F008D2" w:rsidRDefault="00F008D2" w:rsidP="000D1D92">
      <w:pPr>
        <w:pStyle w:val="EndnoteText"/>
      </w:pPr>
      <w:r w:rsidRPr="00481CB6">
        <w:rPr>
          <w:rStyle w:val="EndnoteReference"/>
        </w:rPr>
        <w:endnoteRef/>
      </w:r>
      <w:r w:rsidRPr="00481CB6">
        <w:t xml:space="preserve"> Berry Street, Submission No 40 to Australian Human Rights Commission, </w:t>
      </w:r>
      <w:r w:rsidRPr="00481CB6">
        <w:rPr>
          <w:i/>
        </w:rPr>
        <w:t>National Children’s Commissioner’s examination into children affected by family and domestic violence</w:t>
      </w:r>
      <w:r w:rsidRPr="00481CB6">
        <w:t>, 19 June 2015, 42.</w:t>
      </w:r>
    </w:p>
  </w:endnote>
  <w:endnote w:id="580">
    <w:p w14:paraId="49501557" w14:textId="77777777" w:rsidR="00F008D2" w:rsidRDefault="00F008D2" w:rsidP="000D1D92">
      <w:pPr>
        <w:pStyle w:val="EndnoteText"/>
      </w:pPr>
      <w:r w:rsidRPr="00210530">
        <w:rPr>
          <w:rStyle w:val="EndnoteReference"/>
        </w:rPr>
        <w:endnoteRef/>
      </w:r>
      <w:r w:rsidRPr="00210530">
        <w:t xml:space="preserve"> Department for Child Protection and Family Support</w:t>
      </w:r>
      <w:r>
        <w:t xml:space="preserve"> (WA)</w:t>
      </w:r>
      <w:r w:rsidRPr="00210530">
        <w:t xml:space="preserve">, Attachment 34.1 to Australian Human Rights Commission, </w:t>
      </w:r>
      <w:r w:rsidRPr="00210530">
        <w:rPr>
          <w:i/>
        </w:rPr>
        <w:t xml:space="preserve">National Children’s Commissioner’s examination into children affected by family and domestic violence, </w:t>
      </w:r>
      <w:r w:rsidRPr="00210530">
        <w:t>16 June 2015, 10.</w:t>
      </w:r>
    </w:p>
  </w:endnote>
  <w:endnote w:id="581">
    <w:p w14:paraId="204F7D1B" w14:textId="77777777" w:rsidR="00F008D2" w:rsidRPr="00E609E9" w:rsidRDefault="00F008D2" w:rsidP="000D1D92">
      <w:pPr>
        <w:pStyle w:val="EndnoteText"/>
        <w:rPr>
          <w:lang w:val="en-US"/>
        </w:rPr>
      </w:pPr>
      <w:r>
        <w:rPr>
          <w:rStyle w:val="EndnoteReference"/>
        </w:rPr>
        <w:endnoteRef/>
      </w:r>
      <w:r>
        <w:t xml:space="preserve"> </w:t>
      </w:r>
      <w:r w:rsidRPr="00E609E9">
        <w:t xml:space="preserve">Berry Street, Submission No 40 to Australian Human Rights Commission, </w:t>
      </w:r>
      <w:r w:rsidRPr="00E609E9">
        <w:rPr>
          <w:i/>
        </w:rPr>
        <w:t>National Children’s Commissioner’s examination into children affected by family and domestic violence</w:t>
      </w:r>
      <w:r w:rsidRPr="00E609E9">
        <w:t xml:space="preserve"> , 19 June 2015, </w:t>
      </w:r>
      <w:r w:rsidRPr="00E609E9">
        <w:rPr>
          <w:lang w:val="en-US"/>
        </w:rPr>
        <w:t>43</w:t>
      </w:r>
    </w:p>
  </w:endnote>
  <w:endnote w:id="582">
    <w:p w14:paraId="247F27C3" w14:textId="77777777" w:rsidR="00F008D2" w:rsidRDefault="00F008D2" w:rsidP="000D1D92">
      <w:pPr>
        <w:pStyle w:val="EndnoteText"/>
      </w:pPr>
      <w:r w:rsidRPr="00E609E9">
        <w:rPr>
          <w:rStyle w:val="EndnoteReference"/>
        </w:rPr>
        <w:endnoteRef/>
      </w:r>
      <w:r w:rsidRPr="00E609E9">
        <w:t xml:space="preserve"> Berry Street, Berry Street, Submission No 40 to Australian Human Rights Commission, </w:t>
      </w:r>
      <w:r w:rsidRPr="00E609E9">
        <w:rPr>
          <w:i/>
        </w:rPr>
        <w:t>National Children’s Commissioner’s examination into children affected by family and domestic violence</w:t>
      </w:r>
      <w:r w:rsidRPr="00E609E9">
        <w:t>, 19 June 2015, 43.</w:t>
      </w:r>
    </w:p>
  </w:endnote>
  <w:endnote w:id="583">
    <w:p w14:paraId="3D252B19" w14:textId="77777777" w:rsidR="00F008D2" w:rsidRDefault="00F008D2" w:rsidP="000D1D92">
      <w:pPr>
        <w:pStyle w:val="EndnoteText"/>
      </w:pPr>
      <w:r>
        <w:rPr>
          <w:rStyle w:val="EndnoteReference"/>
        </w:rPr>
        <w:endnoteRef/>
      </w:r>
      <w:r>
        <w:t xml:space="preserve"> Senate Standing Committee on Finance and Public Administration, Parliament of Australia, </w:t>
      </w:r>
      <w:r w:rsidRPr="003C1C37">
        <w:rPr>
          <w:i/>
        </w:rPr>
        <w:t>Domestic violence in Australia</w:t>
      </w:r>
      <w:r>
        <w:t xml:space="preserve">: </w:t>
      </w:r>
      <w:r>
        <w:rPr>
          <w:i/>
        </w:rPr>
        <w:t>Interim Report</w:t>
      </w:r>
      <w:r>
        <w:t>, (</w:t>
      </w:r>
      <w:r w:rsidRPr="00FF0757">
        <w:t>2015</w:t>
      </w:r>
      <w:r>
        <w:t>), 10.73.</w:t>
      </w:r>
    </w:p>
  </w:endnote>
  <w:endnote w:id="584">
    <w:p w14:paraId="55F32DF4" w14:textId="77777777" w:rsidR="00F008D2" w:rsidRDefault="00F008D2" w:rsidP="000D1D92">
      <w:pPr>
        <w:pStyle w:val="EndnoteText"/>
      </w:pPr>
      <w:r>
        <w:rPr>
          <w:rStyle w:val="EndnoteReference"/>
        </w:rPr>
        <w:endnoteRef/>
      </w:r>
      <w:r>
        <w:t xml:space="preserve"> Dawn House Women’s Refugee North Territory, Submission 48 to Australian Human Rights Commission, </w:t>
      </w:r>
      <w:r>
        <w:rPr>
          <w:i/>
        </w:rPr>
        <w:t xml:space="preserve">National Children’s Commissioner’s examination into children affected by family and domestic violence, </w:t>
      </w:r>
      <w:r>
        <w:t>8.</w:t>
      </w:r>
    </w:p>
  </w:endnote>
  <w:endnote w:id="585">
    <w:p w14:paraId="6D36DB9B" w14:textId="77777777" w:rsidR="00F008D2" w:rsidRDefault="00F008D2" w:rsidP="000D1D92">
      <w:pPr>
        <w:pStyle w:val="EndnoteText"/>
      </w:pPr>
      <w:r>
        <w:rPr>
          <w:rStyle w:val="EndnoteReference"/>
        </w:rPr>
        <w:endnoteRef/>
      </w:r>
      <w:r>
        <w:t xml:space="preserve"> Dawn House Women’s Refugee North Territory, Submission 48 to Australian Human Rights Commission, </w:t>
      </w:r>
      <w:r>
        <w:rPr>
          <w:i/>
        </w:rPr>
        <w:t xml:space="preserve">National Children’s Commissioner’s examination into children affected by family and domestic violence, </w:t>
      </w:r>
      <w:r>
        <w:t>8.</w:t>
      </w:r>
    </w:p>
  </w:endnote>
  <w:endnote w:id="586">
    <w:p w14:paraId="6C93ADB6" w14:textId="77777777" w:rsidR="00F008D2" w:rsidRDefault="00F008D2" w:rsidP="000D1D92">
      <w:pPr>
        <w:pStyle w:val="EndnoteText"/>
      </w:pPr>
      <w:r>
        <w:rPr>
          <w:rStyle w:val="EndnoteReference"/>
        </w:rPr>
        <w:endnoteRef/>
      </w:r>
      <w:r>
        <w:t xml:space="preserve"> New South Wales Government, Submission No 51 to Australian Human Rights Commission, </w:t>
      </w:r>
      <w:r>
        <w:rPr>
          <w:i/>
        </w:rPr>
        <w:t xml:space="preserve">National Children’s Commissioner’s examination into children affected by family and domestic violence, </w:t>
      </w:r>
      <w:r>
        <w:t>7.</w:t>
      </w:r>
    </w:p>
  </w:endnote>
  <w:endnote w:id="587">
    <w:p w14:paraId="787C083D" w14:textId="77777777" w:rsidR="00F008D2" w:rsidRDefault="00F008D2" w:rsidP="000D1D92">
      <w:pPr>
        <w:pStyle w:val="EndnoteText"/>
      </w:pPr>
      <w:r>
        <w:rPr>
          <w:rStyle w:val="EndnoteReference"/>
        </w:rPr>
        <w:endnoteRef/>
      </w:r>
      <w:r>
        <w:t xml:space="preserve"> </w:t>
      </w:r>
      <w:r w:rsidRPr="00807A3B">
        <w:t xml:space="preserve">Berry Street, Submission No 40 to Australian Human Rights Commission, </w:t>
      </w:r>
      <w:r w:rsidRPr="00807A3B">
        <w:rPr>
          <w:i/>
        </w:rPr>
        <w:t>National Children’s</w:t>
      </w:r>
      <w:r w:rsidRPr="0082462D">
        <w:rPr>
          <w:i/>
        </w:rPr>
        <w:t xml:space="preserve"> Commissioner’s examination into children affected by family and domestic violence</w:t>
      </w:r>
      <w:r>
        <w:t xml:space="preserve">, 19 June </w:t>
      </w:r>
      <w:r w:rsidRPr="00422F51">
        <w:t xml:space="preserve">2015, </w:t>
      </w:r>
      <w:r>
        <w:t xml:space="preserve">32. </w:t>
      </w:r>
    </w:p>
    <w:p w14:paraId="4955065E" w14:textId="77777777" w:rsidR="00F008D2" w:rsidRDefault="00F008D2" w:rsidP="000D1D92">
      <w:pPr>
        <w:pStyle w:val="EndnoteText"/>
      </w:pPr>
      <w:r>
        <w:rPr>
          <w:rStyle w:val="EndnoteReference"/>
        </w:rPr>
        <w:endnoteRef/>
      </w:r>
      <w:r>
        <w:t xml:space="preserve"> </w:t>
      </w:r>
      <w:r>
        <w:rPr>
          <w:lang w:val="en-US"/>
        </w:rPr>
        <w:t xml:space="preserve">New South Wales Government, </w:t>
      </w:r>
      <w:r w:rsidRPr="00F76AEE">
        <w:rPr>
          <w:lang w:val="en-US"/>
        </w:rPr>
        <w:t>Submission</w:t>
      </w:r>
      <w:r>
        <w:rPr>
          <w:lang w:val="en-US"/>
        </w:rPr>
        <w:t xml:space="preserve"> No</w:t>
      </w:r>
      <w:r w:rsidRPr="00F76AEE">
        <w:rPr>
          <w:lang w:val="en-US"/>
        </w:rPr>
        <w:t xml:space="preserve"> 51 </w:t>
      </w:r>
      <w:r w:rsidRPr="00F76AEE">
        <w:t>to</w:t>
      </w:r>
      <w:r>
        <w:t xml:space="preserve"> Australian Human Rights Commission, </w:t>
      </w:r>
      <w:r>
        <w:rPr>
          <w:i/>
        </w:rPr>
        <w:t xml:space="preserve">National Children’s Commissioner’s examination into children affected by family and domestic violence, </w:t>
      </w:r>
      <w:r>
        <w:t>28 July 2015,</w:t>
      </w:r>
      <w:r>
        <w:rPr>
          <w:lang w:val="en-US"/>
        </w:rPr>
        <w:t xml:space="preserve"> </w:t>
      </w:r>
      <w:r>
        <w:t>12.</w:t>
      </w:r>
    </w:p>
  </w:endnote>
  <w:endnote w:id="588">
    <w:p w14:paraId="5DE227E0" w14:textId="77777777" w:rsidR="00F008D2" w:rsidRDefault="00F008D2" w:rsidP="000D1D92">
      <w:pPr>
        <w:pStyle w:val="EndnoteText"/>
      </w:pPr>
      <w:r>
        <w:rPr>
          <w:rStyle w:val="EndnoteReference"/>
        </w:rPr>
        <w:endnoteRef/>
      </w:r>
      <w:r>
        <w:t xml:space="preserve"> </w:t>
      </w:r>
      <w:r w:rsidRPr="00807A3B">
        <w:t xml:space="preserve">Berry Street, Submission No 40 to Australian Human Rights Commission, </w:t>
      </w:r>
      <w:r w:rsidRPr="00807A3B">
        <w:rPr>
          <w:i/>
        </w:rPr>
        <w:t>National Children’s</w:t>
      </w:r>
      <w:r w:rsidRPr="0082462D">
        <w:rPr>
          <w:i/>
        </w:rPr>
        <w:t xml:space="preserve"> Commissioner’s examination into children affected by family and domestic violence</w:t>
      </w:r>
      <w:r>
        <w:t xml:space="preserve">, 19 June </w:t>
      </w:r>
      <w:r w:rsidRPr="00422F51">
        <w:t xml:space="preserve">2015, </w:t>
      </w:r>
      <w:r>
        <w:t xml:space="preserve">32. </w:t>
      </w:r>
    </w:p>
    <w:p w14:paraId="4820B383" w14:textId="77777777" w:rsidR="00F008D2" w:rsidRDefault="00F008D2" w:rsidP="000D1D92">
      <w:pPr>
        <w:pStyle w:val="EndnoteText"/>
      </w:pPr>
      <w:r>
        <w:rPr>
          <w:rStyle w:val="EndnoteReference"/>
        </w:rPr>
        <w:endnoteRef/>
      </w:r>
      <w:r>
        <w:t xml:space="preserve"> </w:t>
      </w:r>
      <w:r>
        <w:rPr>
          <w:lang w:val="en-US"/>
        </w:rPr>
        <w:t xml:space="preserve">New South Wales Government, </w:t>
      </w:r>
      <w:r w:rsidRPr="00F76AEE">
        <w:rPr>
          <w:lang w:val="en-US"/>
        </w:rPr>
        <w:t>Submission</w:t>
      </w:r>
      <w:r>
        <w:rPr>
          <w:lang w:val="en-US"/>
        </w:rPr>
        <w:t xml:space="preserve"> No</w:t>
      </w:r>
      <w:r w:rsidRPr="00F76AEE">
        <w:rPr>
          <w:lang w:val="en-US"/>
        </w:rPr>
        <w:t xml:space="preserve"> 51 </w:t>
      </w:r>
      <w:r w:rsidRPr="00F76AEE">
        <w:t>to</w:t>
      </w:r>
      <w:r>
        <w:t xml:space="preserve"> Australian Human Rights Commission, </w:t>
      </w:r>
      <w:r>
        <w:rPr>
          <w:i/>
        </w:rPr>
        <w:t xml:space="preserve">National Children’s Commissioner’s examination into children affected by family and domestic violence, </w:t>
      </w:r>
      <w:r>
        <w:t>28 July 2015,</w:t>
      </w:r>
      <w:r>
        <w:rPr>
          <w:lang w:val="en-US"/>
        </w:rPr>
        <w:t xml:space="preserve"> </w:t>
      </w:r>
      <w:r>
        <w:t>56.</w:t>
      </w:r>
    </w:p>
  </w:endnote>
  <w:endnote w:id="589">
    <w:p w14:paraId="29937B16" w14:textId="77777777" w:rsidR="00F008D2" w:rsidRDefault="00F008D2" w:rsidP="000D1D92">
      <w:pPr>
        <w:pStyle w:val="EndnoteText"/>
      </w:pPr>
      <w:r>
        <w:rPr>
          <w:rStyle w:val="EndnoteReference"/>
        </w:rPr>
        <w:endnoteRef/>
      </w:r>
      <w:r>
        <w:t xml:space="preserve"> </w:t>
      </w:r>
      <w:r w:rsidRPr="00C370E4">
        <w:t xml:space="preserve">Emma Gierschick, Submission No 50 to Australian Human Rights Commission, National Children’s Commissioner’s examination into children affected by family and domestic violence, 27 July 2015, </w:t>
      </w:r>
      <w:r>
        <w:t>10</w:t>
      </w:r>
      <w:r w:rsidRPr="00C370E4">
        <w:t>.</w:t>
      </w:r>
    </w:p>
  </w:endnote>
  <w:endnote w:id="590">
    <w:p w14:paraId="19E5D44F" w14:textId="77777777" w:rsidR="00F008D2" w:rsidRPr="00CC4F00" w:rsidRDefault="00F008D2" w:rsidP="000D1D92">
      <w:pPr>
        <w:pStyle w:val="EndnoteText"/>
        <w:jc w:val="both"/>
        <w:rPr>
          <w:lang w:val="en-US"/>
        </w:rPr>
      </w:pPr>
      <w:r>
        <w:rPr>
          <w:rStyle w:val="EndnoteReference"/>
        </w:rPr>
        <w:endnoteRef/>
      </w:r>
      <w:r>
        <w:t xml:space="preserve"> </w:t>
      </w:r>
      <w:r>
        <w:rPr>
          <w:lang w:val="en-US"/>
        </w:rPr>
        <w:t xml:space="preserve">New South Wales Government, </w:t>
      </w:r>
      <w:r w:rsidRPr="00F76AEE">
        <w:rPr>
          <w:lang w:val="en-US"/>
        </w:rPr>
        <w:t>Submission</w:t>
      </w:r>
      <w:r>
        <w:rPr>
          <w:lang w:val="en-US"/>
        </w:rPr>
        <w:t xml:space="preserve"> No</w:t>
      </w:r>
      <w:r w:rsidRPr="00F76AEE">
        <w:rPr>
          <w:lang w:val="en-US"/>
        </w:rPr>
        <w:t xml:space="preserve"> 51 </w:t>
      </w:r>
      <w:r w:rsidRPr="00F76AEE">
        <w:t>to</w:t>
      </w:r>
      <w:r>
        <w:t xml:space="preserve"> Australian Human Rights Commission, </w:t>
      </w:r>
      <w:r>
        <w:rPr>
          <w:i/>
        </w:rPr>
        <w:t xml:space="preserve">National Children’s Commissioner’s examination into children affected by family and domestic violence, </w:t>
      </w:r>
      <w:r>
        <w:t>28 July 2015,</w:t>
      </w:r>
      <w:r>
        <w:rPr>
          <w:lang w:val="en-US"/>
        </w:rPr>
        <w:t xml:space="preserve"> 7.</w:t>
      </w:r>
    </w:p>
  </w:endnote>
  <w:endnote w:id="591">
    <w:p w14:paraId="210EA1F5" w14:textId="77777777" w:rsidR="00F008D2" w:rsidRPr="00E7430E" w:rsidRDefault="00F008D2" w:rsidP="000D1D92">
      <w:pPr>
        <w:pStyle w:val="EndnoteText"/>
        <w:jc w:val="both"/>
        <w:rPr>
          <w:rFonts w:cs="Arial"/>
        </w:rPr>
      </w:pPr>
      <w:r w:rsidRPr="00E7430E">
        <w:rPr>
          <w:rStyle w:val="EndnoteReference"/>
          <w:rFonts w:cs="Arial"/>
        </w:rPr>
        <w:endnoteRef/>
      </w:r>
      <w:r w:rsidRPr="00E7430E">
        <w:rPr>
          <w:rFonts w:cs="Arial"/>
        </w:rPr>
        <w:t xml:space="preserve"> </w:t>
      </w:r>
      <w:r w:rsidRPr="00212D3C">
        <w:rPr>
          <w:rFonts w:cs="Arial"/>
        </w:rPr>
        <w:t xml:space="preserve">N Stanley, </w:t>
      </w:r>
      <w:r w:rsidRPr="00212D3C">
        <w:rPr>
          <w:rFonts w:cs="Arial"/>
          <w:i/>
          <w:iCs/>
        </w:rPr>
        <w:t xml:space="preserve">Children Experiencing Domestic Violence: A Research Review </w:t>
      </w:r>
      <w:r w:rsidRPr="00212D3C">
        <w:rPr>
          <w:rFonts w:cs="Arial"/>
          <w:iCs/>
        </w:rPr>
        <w:t>(</w:t>
      </w:r>
      <w:r w:rsidRPr="00212D3C">
        <w:rPr>
          <w:rFonts w:cs="Arial"/>
        </w:rPr>
        <w:t xml:space="preserve">Dartington: </w:t>
      </w:r>
      <w:r w:rsidRPr="00212D3C">
        <w:rPr>
          <w:rFonts w:cs="Arial"/>
          <w:bCs/>
        </w:rPr>
        <w:t xml:space="preserve">Research in Practice, </w:t>
      </w:r>
      <w:r w:rsidRPr="00212D3C">
        <w:rPr>
          <w:rFonts w:cs="Arial"/>
        </w:rPr>
        <w:t xml:space="preserve">2011) </w:t>
      </w:r>
      <w:r>
        <w:rPr>
          <w:rFonts w:cs="Arial"/>
        </w:rPr>
        <w:t>38</w:t>
      </w:r>
      <w:r w:rsidRPr="00212D3C">
        <w:rPr>
          <w:rFonts w:cs="Arial"/>
        </w:rPr>
        <w:t>.</w:t>
      </w:r>
    </w:p>
  </w:endnote>
  <w:endnote w:id="592">
    <w:p w14:paraId="496803E1" w14:textId="77777777" w:rsidR="00F008D2" w:rsidRPr="001B1AF7" w:rsidRDefault="00F008D2" w:rsidP="000D1D92">
      <w:pPr>
        <w:pStyle w:val="EndnoteText"/>
        <w:rPr>
          <w:lang w:val="en-US"/>
        </w:rPr>
      </w:pPr>
      <w:r>
        <w:rPr>
          <w:rStyle w:val="EndnoteReference"/>
        </w:rPr>
        <w:endnoteRef/>
      </w:r>
      <w:r>
        <w:t xml:space="preserve"> Relationships Australia, Submission No 26 to Australian Human Rights Commission, </w:t>
      </w:r>
      <w:r>
        <w:rPr>
          <w:i/>
        </w:rPr>
        <w:t xml:space="preserve">National Children’s Commissioner’s examination into children affected by family and domestic violence, </w:t>
      </w:r>
      <w:r>
        <w:t>11 June 2015, 8.</w:t>
      </w:r>
    </w:p>
  </w:endnote>
  <w:endnote w:id="593">
    <w:p w14:paraId="36699A58" w14:textId="77777777" w:rsidR="00F008D2" w:rsidRPr="00710BAB" w:rsidRDefault="00F008D2" w:rsidP="000D1D92">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9</w:t>
      </w:r>
      <w:r w:rsidRPr="00E4369B">
        <w:t xml:space="preserve">. </w:t>
      </w:r>
    </w:p>
  </w:endnote>
  <w:endnote w:id="594">
    <w:p w14:paraId="0C52E003" w14:textId="77777777" w:rsidR="00F008D2" w:rsidRPr="002F344D" w:rsidRDefault="00F008D2" w:rsidP="000D1D92">
      <w:pPr>
        <w:pStyle w:val="EndnoteText"/>
        <w:rPr>
          <w:lang w:val="en-US"/>
        </w:rPr>
      </w:pPr>
      <w:r>
        <w:rPr>
          <w:rStyle w:val="EndnoteReference"/>
        </w:rPr>
        <w:endnoteRef/>
      </w:r>
      <w:r>
        <w:t xml:space="preserve"> </w:t>
      </w:r>
      <w:r w:rsidRPr="004079F2">
        <w:t>Melbourne Research Alliance to End Violence Against Women and their Children, University of Melbourne</w:t>
      </w:r>
      <w:r>
        <w:t>,</w:t>
      </w:r>
      <w:r w:rsidRPr="005B2A9B">
        <w:t xml:space="preserve"> </w:t>
      </w:r>
      <w:r>
        <w:t xml:space="preserve">Submission No 18 </w:t>
      </w:r>
      <w:r w:rsidRPr="00422F51">
        <w:t xml:space="preserve">to Australian Human Rights Commission, </w:t>
      </w:r>
      <w:r w:rsidRPr="0082462D">
        <w:rPr>
          <w:i/>
        </w:rPr>
        <w:t>National Children’s Commissioner’s examination into children affected by family and domestic violence</w:t>
      </w:r>
      <w:r>
        <w:t>, 9 June 2015</w:t>
      </w:r>
      <w:r w:rsidRPr="00422F51">
        <w:t>,</w:t>
      </w:r>
      <w:r>
        <w:rPr>
          <w:lang w:val="en-US"/>
        </w:rPr>
        <w:t xml:space="preserve"> 9.</w:t>
      </w:r>
    </w:p>
  </w:endnote>
  <w:endnote w:id="595">
    <w:p w14:paraId="626895D9" w14:textId="77777777" w:rsidR="00F008D2" w:rsidRPr="00261AA5" w:rsidRDefault="00F008D2" w:rsidP="000D1D92">
      <w:pPr>
        <w:pStyle w:val="EndnoteText"/>
        <w:rPr>
          <w:lang w:val="en-US"/>
        </w:rPr>
      </w:pPr>
      <w:r>
        <w:rPr>
          <w:rStyle w:val="EndnoteReference"/>
        </w:rPr>
        <w:endnoteRef/>
      </w:r>
      <w:r w:rsidRPr="00261AA5">
        <w:t xml:space="preserve"> </w:t>
      </w:r>
      <w:r>
        <w:t xml:space="preserve">Relationships Australia, Submission No 26 to Australian Human Rights Commission, </w:t>
      </w:r>
      <w:r>
        <w:rPr>
          <w:i/>
        </w:rPr>
        <w:t xml:space="preserve">National Children’s Commissioner’s examination into children affected by family and domestic violence, </w:t>
      </w:r>
      <w:r>
        <w:t>11 June 2015, 19.</w:t>
      </w:r>
    </w:p>
  </w:endnote>
  <w:endnote w:id="596">
    <w:p w14:paraId="61499FF7" w14:textId="77777777" w:rsidR="00F008D2" w:rsidRPr="005C125E" w:rsidRDefault="00F008D2" w:rsidP="000D1D92">
      <w:pPr>
        <w:pStyle w:val="EndnoteText"/>
        <w:rPr>
          <w:lang w:val="en-US"/>
        </w:rPr>
      </w:pPr>
      <w:r>
        <w:rPr>
          <w:rStyle w:val="EndnoteReference"/>
        </w:rPr>
        <w:endnoteRef/>
      </w:r>
      <w:r>
        <w:t xml:space="preserve"> </w:t>
      </w:r>
      <w:r w:rsidRPr="00191F43">
        <w:t>Judith Lumley Centre, La Trobe University</w:t>
      </w:r>
      <w:r>
        <w:t xml:space="preserve">, </w:t>
      </w:r>
      <w:r w:rsidRPr="008029D3">
        <w:rPr>
          <w:lang w:val="en-US"/>
        </w:rPr>
        <w:t xml:space="preserve">Submission </w:t>
      </w:r>
      <w:r>
        <w:rPr>
          <w:lang w:val="en-US"/>
        </w:rPr>
        <w:t>No 30</w:t>
      </w:r>
      <w:r w:rsidRPr="008029D3">
        <w:rPr>
          <w:lang w:val="en-US"/>
        </w:rPr>
        <w:t xml:space="preserve"> </w:t>
      </w:r>
      <w:r w:rsidRPr="008029D3">
        <w:t xml:space="preserve">to Australian Human Rights Commission, </w:t>
      </w:r>
      <w:r w:rsidRPr="008029D3">
        <w:rPr>
          <w:i/>
        </w:rPr>
        <w:t>National Children’s Commissioner’s examination into children affected b</w:t>
      </w:r>
      <w:r>
        <w:rPr>
          <w:i/>
        </w:rPr>
        <w:t>y family and domestic violence</w:t>
      </w:r>
      <w:r>
        <w:t xml:space="preserve">, 15 June 2015, </w:t>
      </w:r>
      <w:r>
        <w:rPr>
          <w:lang w:val="en-US"/>
        </w:rPr>
        <w:t>6</w:t>
      </w:r>
      <w:r w:rsidRPr="008029D3">
        <w:rPr>
          <w:lang w:val="en-US"/>
        </w:rPr>
        <w:t>.</w:t>
      </w:r>
    </w:p>
  </w:endnote>
  <w:endnote w:id="597">
    <w:p w14:paraId="608AA36A" w14:textId="77777777" w:rsidR="00F008D2" w:rsidRPr="006E4632" w:rsidRDefault="00F008D2" w:rsidP="000D1D92">
      <w:pPr>
        <w:pStyle w:val="EndnoteText"/>
        <w:rPr>
          <w:lang w:val="en-US"/>
        </w:rPr>
      </w:pPr>
      <w:r>
        <w:rPr>
          <w:rStyle w:val="EndnoteReference"/>
        </w:rPr>
        <w:endnoteRef/>
      </w:r>
      <w:r>
        <w:t xml:space="preserve"> </w:t>
      </w:r>
      <w:r w:rsidRPr="00314E61">
        <w:t>Dawn House Women’s refuge, Northern Territory</w:t>
      </w:r>
      <w:r>
        <w:t xml:space="preserve">, </w:t>
      </w:r>
      <w:r w:rsidRPr="008029D3">
        <w:rPr>
          <w:lang w:val="en-US"/>
        </w:rPr>
        <w:t xml:space="preserve">Submission </w:t>
      </w:r>
      <w:r>
        <w:rPr>
          <w:lang w:val="en-US"/>
        </w:rPr>
        <w:t>No 48</w:t>
      </w:r>
      <w:r w:rsidRPr="008029D3">
        <w:rPr>
          <w:lang w:val="en-US"/>
        </w:rPr>
        <w:t xml:space="preserve"> </w:t>
      </w:r>
      <w:r w:rsidRPr="008029D3">
        <w:t xml:space="preserve">to Australian Human Rights Commission, </w:t>
      </w:r>
      <w:r w:rsidRPr="008029D3">
        <w:rPr>
          <w:i/>
        </w:rPr>
        <w:t>National Children’s Commissioner’s examination into children affected b</w:t>
      </w:r>
      <w:r>
        <w:rPr>
          <w:i/>
        </w:rPr>
        <w:t>y family and domestic violence</w:t>
      </w:r>
      <w:r>
        <w:t xml:space="preserve">, 15 July 2015, </w:t>
      </w:r>
      <w:r>
        <w:rPr>
          <w:lang w:val="en-US"/>
        </w:rPr>
        <w:t>6</w:t>
      </w:r>
      <w:r w:rsidRPr="008029D3">
        <w:rPr>
          <w:lang w:val="en-US"/>
        </w:rPr>
        <w:t>.</w:t>
      </w:r>
    </w:p>
  </w:endnote>
  <w:endnote w:id="598">
    <w:p w14:paraId="41AC0DCC" w14:textId="77777777" w:rsidR="00F008D2" w:rsidRDefault="00F008D2" w:rsidP="000D1D92">
      <w:pPr>
        <w:pStyle w:val="EndnoteText"/>
      </w:pPr>
      <w:r>
        <w:rPr>
          <w:rStyle w:val="EndnoteReference"/>
        </w:rPr>
        <w:endnoteRef/>
      </w:r>
      <w:r>
        <w:t xml:space="preserve"> </w:t>
      </w:r>
      <w:r w:rsidRPr="00920DDC">
        <w:t>Public Health Association of Australia (PHAA)</w:t>
      </w:r>
      <w:r>
        <w:t xml:space="preserve">, Submission No 8 to the Australian Human Rights Commission, </w:t>
      </w:r>
      <w:r>
        <w:rPr>
          <w:i/>
        </w:rPr>
        <w:t xml:space="preserve">National Children’s Commissioner’s examination into children affected by family and domestic violence, </w:t>
      </w:r>
      <w:r>
        <w:t>29 May 2015, 9.</w:t>
      </w:r>
    </w:p>
  </w:endnote>
  <w:endnote w:id="599">
    <w:p w14:paraId="009A215B" w14:textId="77777777" w:rsidR="00F008D2" w:rsidRPr="00985951" w:rsidRDefault="00F008D2" w:rsidP="000D1D92">
      <w:pPr>
        <w:pStyle w:val="EndnoteText"/>
        <w:rPr>
          <w:lang w:val="en-US"/>
        </w:rPr>
      </w:pPr>
      <w:r>
        <w:rPr>
          <w:rStyle w:val="EndnoteReference"/>
        </w:rPr>
        <w:endnoteRef/>
      </w:r>
      <w:r>
        <w:t xml:space="preserve"> </w:t>
      </w:r>
      <w:r>
        <w:rPr>
          <w:lang w:val="en-US"/>
        </w:rPr>
        <w:t>Boystown, Submission 14, p.10</w:t>
      </w:r>
    </w:p>
  </w:endnote>
  <w:endnote w:id="600">
    <w:p w14:paraId="33FE5628" w14:textId="77777777" w:rsidR="00F008D2" w:rsidRDefault="00F008D2" w:rsidP="000D1D92">
      <w:pPr>
        <w:pStyle w:val="EndnoteText"/>
      </w:pPr>
      <w:r w:rsidRPr="004C16D1">
        <w:rPr>
          <w:rStyle w:val="EndnoteReference"/>
        </w:rPr>
        <w:endnoteRef/>
      </w:r>
      <w:r w:rsidRPr="004C16D1">
        <w:t xml:space="preserve"> Wendy Bunston, </w:t>
      </w:r>
      <w:r>
        <w:t xml:space="preserve">Submission No 4, Attachment A, to the Australian Human Rights Commission, </w:t>
      </w:r>
      <w:r>
        <w:rPr>
          <w:i/>
        </w:rPr>
        <w:t>National Children’s Commissioner’s examination into children affected by family and domestic violence,</w:t>
      </w:r>
      <w:r>
        <w:t xml:space="preserve"> 2015, 1-2.</w:t>
      </w:r>
    </w:p>
  </w:endnote>
  <w:endnote w:id="601">
    <w:p w14:paraId="3F3C1BEB" w14:textId="77777777" w:rsidR="00F008D2" w:rsidRDefault="00F008D2" w:rsidP="000D1D92">
      <w:pPr>
        <w:pStyle w:val="EndnoteText"/>
      </w:pPr>
      <w:r w:rsidRPr="004C16D1">
        <w:rPr>
          <w:rStyle w:val="EndnoteReference"/>
        </w:rPr>
        <w:endnoteRef/>
      </w:r>
      <w:r w:rsidRPr="004C16D1">
        <w:t xml:space="preserve"> Wendy Bunston, </w:t>
      </w:r>
      <w:r>
        <w:t xml:space="preserve">Submission No 4, Attachment A, to the Australian Human Rights Commission, </w:t>
      </w:r>
      <w:r>
        <w:rPr>
          <w:i/>
        </w:rPr>
        <w:t>National Children’s Commissioner’s examination into children affected by family and domestic violence,</w:t>
      </w:r>
      <w:r>
        <w:t xml:space="preserve"> 2015, 1-2.</w:t>
      </w:r>
    </w:p>
  </w:endnote>
  <w:endnote w:id="602">
    <w:p w14:paraId="0007CE1F" w14:textId="77777777" w:rsidR="00F008D2" w:rsidRPr="00822B59" w:rsidRDefault="00F008D2" w:rsidP="000D1D92">
      <w:pPr>
        <w:pStyle w:val="EndnoteText"/>
        <w:rPr>
          <w:i/>
        </w:rPr>
      </w:pPr>
      <w:r>
        <w:rPr>
          <w:rStyle w:val="EndnoteReference"/>
        </w:rPr>
        <w:endnoteRef/>
      </w:r>
      <w:r>
        <w:t xml:space="preserve"> Australian Institute of Family Studies (AIFS) and Australia’s National Research Organisation for Women’s Safety (ANROWS), Submission No 6 to Australian Human Rights Commission, </w:t>
      </w:r>
      <w:r>
        <w:rPr>
          <w:i/>
        </w:rPr>
        <w:t>National Children’s Commissioner’s examination into children affected by family and domestic violence,</w:t>
      </w:r>
      <w:r>
        <w:t>18.</w:t>
      </w:r>
    </w:p>
  </w:endnote>
  <w:endnote w:id="603">
    <w:p w14:paraId="467B187C" w14:textId="77777777" w:rsidR="00F008D2" w:rsidRPr="00A35970" w:rsidRDefault="00F008D2" w:rsidP="000D1D92">
      <w:pPr>
        <w:pStyle w:val="EndnoteText"/>
        <w:jc w:val="both"/>
        <w:rPr>
          <w:lang w:val="en-US"/>
        </w:rPr>
      </w:pPr>
      <w:r>
        <w:rPr>
          <w:rStyle w:val="EndnoteReference"/>
        </w:rPr>
        <w:endnoteRef/>
      </w:r>
      <w:r>
        <w:t xml:space="preserve"> Leah Bromfield, Fiona Arney, and Daryl Higgins, ‘Contemporary issues in child protection intake, referral and family support’ in Alan </w:t>
      </w:r>
      <w:r w:rsidRPr="00313328">
        <w:t>Hayes,</w:t>
      </w:r>
      <w:r>
        <w:t xml:space="preserve"> and Daryl Higgins</w:t>
      </w:r>
      <w:r w:rsidRPr="00313328">
        <w:t xml:space="preserve"> (</w:t>
      </w:r>
      <w:r>
        <w:t>e</w:t>
      </w:r>
      <w:r w:rsidRPr="00313328">
        <w:t xml:space="preserve">ds) </w:t>
      </w:r>
      <w:r w:rsidRPr="00F71DE3">
        <w:rPr>
          <w:i/>
        </w:rPr>
        <w:t>Families, policy and the law: Selected essays on contemporary issues for Australia</w:t>
      </w:r>
      <w:r w:rsidRPr="00313328">
        <w:t xml:space="preserve"> (Australian Institute of Family Studies</w:t>
      </w:r>
      <w:r>
        <w:t>,</w:t>
      </w:r>
      <w:r w:rsidRPr="00313328">
        <w:t xml:space="preserve"> </w:t>
      </w:r>
      <w:r>
        <w:t>2014)</w:t>
      </w:r>
      <w:r>
        <w:rPr>
          <w:i/>
        </w:rPr>
        <w:t xml:space="preserve"> </w:t>
      </w:r>
      <w:r>
        <w:t>127</w:t>
      </w:r>
      <w:r w:rsidRPr="00212D3C">
        <w:t>.</w:t>
      </w:r>
    </w:p>
  </w:endnote>
  <w:endnote w:id="604">
    <w:p w14:paraId="7B6720BD" w14:textId="77777777" w:rsidR="00F008D2" w:rsidRPr="00344B89" w:rsidRDefault="00F008D2" w:rsidP="000D1D92">
      <w:pPr>
        <w:pStyle w:val="EndnoteText"/>
        <w:jc w:val="both"/>
        <w:rPr>
          <w:lang w:val="en-US"/>
        </w:rPr>
      </w:pPr>
      <w:r>
        <w:rPr>
          <w:rStyle w:val="EndnoteReference"/>
        </w:rPr>
        <w:endnoteRef/>
      </w:r>
      <w:r>
        <w:t xml:space="preserve"> </w:t>
      </w:r>
      <w:r w:rsidRPr="00D54275">
        <w:t>Australian Institute of Family Studies (AIFS) and Australia’s National Research Organisation for Women’s Safety (ANROWS)</w:t>
      </w:r>
      <w:r>
        <w:t xml:space="preserve">, </w:t>
      </w:r>
      <w:r>
        <w:rPr>
          <w:rFonts w:cs="Arial"/>
        </w:rPr>
        <w:t xml:space="preserve">Submission No 6 </w:t>
      </w:r>
      <w:r>
        <w:t xml:space="preserve">to Australian Human Rights Commission, </w:t>
      </w:r>
      <w:r>
        <w:rPr>
          <w:i/>
        </w:rPr>
        <w:t xml:space="preserve">National Children’s Commissioner’s examination into children affected by family and domestic violence, </w:t>
      </w:r>
      <w:r>
        <w:t xml:space="preserve">29 May </w:t>
      </w:r>
      <w:r w:rsidRPr="00422F51">
        <w:t>2015,</w:t>
      </w:r>
      <w:r>
        <w:t xml:space="preserve"> 16</w:t>
      </w:r>
      <w:r>
        <w:rPr>
          <w:rFonts w:cs="Arial"/>
        </w:rPr>
        <w:t>.</w:t>
      </w:r>
    </w:p>
  </w:endnote>
  <w:endnote w:id="605">
    <w:p w14:paraId="3E5FFC61" w14:textId="77777777" w:rsidR="00F008D2" w:rsidRPr="00E7430E" w:rsidRDefault="00F008D2" w:rsidP="000D1D92">
      <w:pPr>
        <w:pStyle w:val="EndnoteText"/>
        <w:jc w:val="both"/>
        <w:rPr>
          <w:rFonts w:cs="Arial"/>
          <w:lang w:val="en-US"/>
        </w:rPr>
      </w:pPr>
      <w:r w:rsidRPr="00E7430E">
        <w:rPr>
          <w:rStyle w:val="EndnoteReference"/>
          <w:rFonts w:cs="Arial"/>
        </w:rPr>
        <w:endnoteRef/>
      </w:r>
      <w:r w:rsidRPr="00E7430E">
        <w:rPr>
          <w:rFonts w:cs="Arial"/>
        </w:rPr>
        <w:t xml:space="preserve"> </w:t>
      </w:r>
      <w:r w:rsidRPr="00212D3C">
        <w:rPr>
          <w:rFonts w:cs="Arial"/>
        </w:rPr>
        <w:t xml:space="preserve">N Stanley, </w:t>
      </w:r>
      <w:r w:rsidRPr="00212D3C">
        <w:rPr>
          <w:rFonts w:cs="Arial"/>
          <w:i/>
          <w:iCs/>
        </w:rPr>
        <w:t xml:space="preserve">Children Experiencing Domestic Violence: A Research Review </w:t>
      </w:r>
      <w:r w:rsidRPr="00212D3C">
        <w:rPr>
          <w:rFonts w:cs="Arial"/>
          <w:iCs/>
        </w:rPr>
        <w:t>(</w:t>
      </w:r>
      <w:r w:rsidRPr="00212D3C">
        <w:rPr>
          <w:rFonts w:cs="Arial"/>
        </w:rPr>
        <w:t xml:space="preserve">Dartington: </w:t>
      </w:r>
      <w:r w:rsidRPr="00212D3C">
        <w:rPr>
          <w:rFonts w:cs="Arial"/>
          <w:bCs/>
        </w:rPr>
        <w:t xml:space="preserve">Research in Practice, </w:t>
      </w:r>
      <w:r w:rsidRPr="00212D3C">
        <w:rPr>
          <w:rFonts w:cs="Arial"/>
        </w:rPr>
        <w:t xml:space="preserve">2011) </w:t>
      </w:r>
      <w:r>
        <w:rPr>
          <w:rFonts w:cs="Arial"/>
        </w:rPr>
        <w:t>6</w:t>
      </w:r>
      <w:r w:rsidRPr="00212D3C">
        <w:rPr>
          <w:rFonts w:cs="Arial"/>
        </w:rPr>
        <w:t>.</w:t>
      </w:r>
    </w:p>
  </w:endnote>
  <w:endnote w:id="606">
    <w:p w14:paraId="0361E9B0" w14:textId="77777777" w:rsidR="00F008D2" w:rsidRPr="00E7430E" w:rsidRDefault="00F008D2" w:rsidP="000D1D92">
      <w:pPr>
        <w:pStyle w:val="EndnoteText"/>
        <w:jc w:val="both"/>
        <w:rPr>
          <w:rFonts w:cs="Arial"/>
        </w:rPr>
      </w:pPr>
      <w:r w:rsidRPr="00E7430E">
        <w:rPr>
          <w:rStyle w:val="EndnoteReference"/>
          <w:rFonts w:cs="Arial"/>
        </w:rPr>
        <w:endnoteRef/>
      </w:r>
      <w:r w:rsidRPr="00E7430E">
        <w:rPr>
          <w:rFonts w:cs="Arial"/>
        </w:rPr>
        <w:t xml:space="preserve"> </w:t>
      </w:r>
      <w:r w:rsidRPr="00212D3C">
        <w:rPr>
          <w:rFonts w:cs="Arial"/>
        </w:rPr>
        <w:t xml:space="preserve">N Stanley, </w:t>
      </w:r>
      <w:r w:rsidRPr="00212D3C">
        <w:rPr>
          <w:rFonts w:cs="Arial"/>
          <w:i/>
          <w:iCs/>
        </w:rPr>
        <w:t xml:space="preserve">Children Experiencing Domestic Violence: A Research Review </w:t>
      </w:r>
      <w:r w:rsidRPr="00212D3C">
        <w:rPr>
          <w:rFonts w:cs="Arial"/>
          <w:iCs/>
        </w:rPr>
        <w:t>(</w:t>
      </w:r>
      <w:r w:rsidRPr="00212D3C">
        <w:rPr>
          <w:rFonts w:cs="Arial"/>
        </w:rPr>
        <w:t xml:space="preserve">Dartington: </w:t>
      </w:r>
      <w:r w:rsidRPr="00212D3C">
        <w:rPr>
          <w:rFonts w:cs="Arial"/>
          <w:bCs/>
        </w:rPr>
        <w:t xml:space="preserve">Research in Practice, </w:t>
      </w:r>
      <w:r w:rsidRPr="00212D3C">
        <w:rPr>
          <w:rFonts w:cs="Arial"/>
        </w:rPr>
        <w:t xml:space="preserve">2011) </w:t>
      </w:r>
      <w:r>
        <w:rPr>
          <w:rFonts w:cs="Arial"/>
        </w:rPr>
        <w:t>37</w:t>
      </w:r>
      <w:r w:rsidRPr="00212D3C">
        <w:rPr>
          <w:rFonts w:cs="Arial"/>
        </w:rPr>
        <w:t>.</w:t>
      </w:r>
    </w:p>
  </w:endnote>
  <w:endnote w:id="607">
    <w:p w14:paraId="5E4EAD3F" w14:textId="77777777" w:rsidR="00F008D2" w:rsidRPr="00376067" w:rsidRDefault="00F008D2" w:rsidP="000D1D92">
      <w:pPr>
        <w:pStyle w:val="EndnoteText"/>
      </w:pPr>
      <w:r w:rsidRPr="00B36C6E">
        <w:rPr>
          <w:rStyle w:val="EndnoteReference"/>
        </w:rPr>
        <w:endnoteRef/>
      </w:r>
      <w:r w:rsidRPr="00B36C6E">
        <w:t xml:space="preserve"> Australian Research Council, ARC Grants Search, Project ID LP130100172, Project summary &lt;https://rms.arc.gov.au/RMS/Report/Download/Report/d6b15b2b-3a50-4021-8e6f-6c7ef1cba553/0&gt;.</w:t>
      </w:r>
    </w:p>
  </w:endnote>
  <w:endnote w:id="608">
    <w:p w14:paraId="0B593F74" w14:textId="77777777" w:rsidR="00F008D2" w:rsidRDefault="00F008D2" w:rsidP="000D1D92">
      <w:pPr>
        <w:pStyle w:val="EndnoteText"/>
      </w:pPr>
      <w:r>
        <w:rPr>
          <w:rStyle w:val="EndnoteReference"/>
        </w:rPr>
        <w:endnoteRef/>
      </w:r>
      <w:r>
        <w:t xml:space="preserve"> Relationships Australia, Submission 26 to Australian Human Rights Commission, </w:t>
      </w:r>
      <w:r>
        <w:rPr>
          <w:i/>
        </w:rPr>
        <w:t>National Children’s Commissioner’s examination into children affected by family and domestic violence,</w:t>
      </w:r>
      <w:r>
        <w:t>14.</w:t>
      </w:r>
    </w:p>
  </w:endnote>
  <w:endnote w:id="609">
    <w:p w14:paraId="79E3F863" w14:textId="77777777" w:rsidR="00F008D2" w:rsidRPr="00460242" w:rsidRDefault="00F008D2" w:rsidP="000D1D92">
      <w:pPr>
        <w:pStyle w:val="EndnoteText"/>
        <w:rPr>
          <w:i/>
        </w:rPr>
      </w:pPr>
      <w:r>
        <w:rPr>
          <w:rStyle w:val="EndnoteReference"/>
        </w:rPr>
        <w:endnoteRef/>
      </w:r>
      <w:r>
        <w:t xml:space="preserve"> Melbourne Research Alliance to End Violence Against Women and their Children, University of Melbourne, Submission 18 to Australian Human Rights Commission, </w:t>
      </w:r>
      <w:r>
        <w:rPr>
          <w:i/>
        </w:rPr>
        <w:t xml:space="preserve">National Children’s Commissioner’s examination into children affected by family and domestic violence, </w:t>
      </w:r>
      <w:r>
        <w:t>2.</w:t>
      </w:r>
    </w:p>
  </w:endnote>
  <w:endnote w:id="610">
    <w:p w14:paraId="39BCF775" w14:textId="77777777" w:rsidR="00F008D2" w:rsidRDefault="00F008D2" w:rsidP="000D1D92">
      <w:pPr>
        <w:pStyle w:val="EndnoteText"/>
      </w:pPr>
      <w:r>
        <w:rPr>
          <w:rStyle w:val="EndnoteReference"/>
        </w:rPr>
        <w:endnoteRef/>
      </w:r>
      <w:r>
        <w:t xml:space="preserve"> </w:t>
      </w:r>
      <w:r>
        <w:rPr>
          <w:lang w:val="en-US"/>
        </w:rPr>
        <w:t xml:space="preserve">Relationships Australia (NSW), Submission No 36 </w:t>
      </w:r>
      <w:r>
        <w:t xml:space="preserve">to Australian Human Rights Commission, </w:t>
      </w:r>
      <w:r>
        <w:rPr>
          <w:i/>
        </w:rPr>
        <w:t xml:space="preserve">National Children’s Commissioner’s examination into children affected by family and domestic violence, </w:t>
      </w:r>
      <w:r w:rsidRPr="00A33846">
        <w:t>17 June</w:t>
      </w:r>
      <w:r>
        <w:rPr>
          <w:i/>
        </w:rPr>
        <w:t xml:space="preserve"> </w:t>
      </w:r>
      <w:r>
        <w:t>2015, 18.</w:t>
      </w:r>
    </w:p>
  </w:endnote>
  <w:endnote w:id="611">
    <w:p w14:paraId="216E2955" w14:textId="77777777" w:rsidR="00F008D2" w:rsidRPr="00EE5553" w:rsidRDefault="00F008D2" w:rsidP="000D1D92">
      <w:pPr>
        <w:pStyle w:val="EndnoteText"/>
        <w:rPr>
          <w:lang w:val="en-US"/>
        </w:rPr>
      </w:pPr>
      <w:r>
        <w:rPr>
          <w:rStyle w:val="EndnoteReference"/>
        </w:rPr>
        <w:endnoteRef/>
      </w:r>
      <w:r>
        <w:t xml:space="preserve"> </w:t>
      </w:r>
      <w:r>
        <w:rPr>
          <w:lang w:val="en-US"/>
        </w:rPr>
        <w:t xml:space="preserve">Relationships Australia (NSW), Submission No 36 </w:t>
      </w:r>
      <w:r>
        <w:t xml:space="preserve">to Australian Human Rights Commission, </w:t>
      </w:r>
      <w:r>
        <w:rPr>
          <w:i/>
        </w:rPr>
        <w:t xml:space="preserve">National Children’s Commissioner’s examination into children affected by family and domestic violence, </w:t>
      </w:r>
      <w:r w:rsidRPr="00A33846">
        <w:t>17 June</w:t>
      </w:r>
      <w:r>
        <w:rPr>
          <w:i/>
        </w:rPr>
        <w:t xml:space="preserve"> </w:t>
      </w:r>
      <w:r>
        <w:t xml:space="preserve">2015, </w:t>
      </w:r>
      <w:r>
        <w:rPr>
          <w:lang w:val="en-US"/>
        </w:rPr>
        <w:t>19.</w:t>
      </w:r>
    </w:p>
  </w:endnote>
  <w:endnote w:id="612">
    <w:p w14:paraId="1A3475F3" w14:textId="77777777" w:rsidR="00F008D2" w:rsidRPr="003563BA" w:rsidRDefault="00F008D2" w:rsidP="000D1D92">
      <w:pPr>
        <w:pStyle w:val="EndnoteText"/>
        <w:rPr>
          <w:lang w:val="en-US"/>
        </w:rPr>
      </w:pPr>
      <w:r>
        <w:rPr>
          <w:rStyle w:val="EndnoteReference"/>
        </w:rPr>
        <w:endnoteRef/>
      </w:r>
      <w:r>
        <w:t xml:space="preserve"> </w:t>
      </w:r>
      <w:r>
        <w:rPr>
          <w:lang w:val="en-US"/>
        </w:rPr>
        <w:t xml:space="preserve">North Australian Aboriginal Family Legal Service, </w:t>
      </w:r>
      <w:r>
        <w:rPr>
          <w:rFonts w:cs="Arial"/>
        </w:rPr>
        <w:t xml:space="preserve">Submission No 46 </w:t>
      </w:r>
      <w:r>
        <w:t xml:space="preserve">to Australian Human Rights Commission, </w:t>
      </w:r>
      <w:r>
        <w:rPr>
          <w:i/>
        </w:rPr>
        <w:t xml:space="preserve">National Children’s Commissioner’s examination into children affected by family and domestic violence, </w:t>
      </w:r>
      <w:r>
        <w:t>2015, 8</w:t>
      </w:r>
      <w:r>
        <w:rPr>
          <w:lang w:val="en-US"/>
        </w:rPr>
        <w:t>.</w:t>
      </w:r>
    </w:p>
  </w:endnote>
  <w:endnote w:id="613">
    <w:p w14:paraId="699DBD79" w14:textId="77777777" w:rsidR="00F008D2" w:rsidRPr="00263780" w:rsidRDefault="00F008D2" w:rsidP="000D1D92">
      <w:pPr>
        <w:pStyle w:val="EndnoteText"/>
      </w:pPr>
      <w:r>
        <w:rPr>
          <w:rStyle w:val="EndnoteReference"/>
        </w:rPr>
        <w:endnoteRef/>
      </w:r>
      <w:r>
        <w:t xml:space="preserve"> Australian Association of Social Workers (AASW), Submission No 5 to Australian Human Rights Commission to Australia, </w:t>
      </w:r>
      <w:r>
        <w:rPr>
          <w:i/>
        </w:rPr>
        <w:t xml:space="preserve">National Children’s Commissioner’s examination into children affected by family and domestic violence, </w:t>
      </w:r>
      <w:r>
        <w:t>4</w:t>
      </w:r>
    </w:p>
  </w:endnote>
  <w:endnote w:id="614">
    <w:p w14:paraId="637AAEC2" w14:textId="77777777" w:rsidR="00F008D2" w:rsidRDefault="00F008D2" w:rsidP="000D1D92">
      <w:pPr>
        <w:pStyle w:val="EndnoteText"/>
      </w:pPr>
      <w:r>
        <w:rPr>
          <w:rStyle w:val="EndnoteReference"/>
        </w:rPr>
        <w:endnoteRef/>
      </w:r>
      <w:r>
        <w:t xml:space="preserve"> Australian Association of Social Workers (AASW), Submission No 5 to Australian Human Rights Commission, </w:t>
      </w:r>
      <w:r>
        <w:rPr>
          <w:i/>
        </w:rPr>
        <w:t xml:space="preserve">National Children’s Commissioner’s examination into children affected by family and domestic violence, </w:t>
      </w:r>
      <w:r>
        <w:t>4.</w:t>
      </w:r>
    </w:p>
  </w:endnote>
  <w:endnote w:id="615">
    <w:p w14:paraId="748F4694" w14:textId="77777777" w:rsidR="00F008D2" w:rsidRDefault="00F008D2" w:rsidP="000D1D92">
      <w:pPr>
        <w:pStyle w:val="EndnoteText"/>
      </w:pPr>
      <w:r>
        <w:rPr>
          <w:rStyle w:val="EndnoteReference"/>
        </w:rPr>
        <w:endnoteRef/>
      </w:r>
      <w:r>
        <w:t xml:space="preserve"> Department of Child Protection and Family Support (WA), </w:t>
      </w:r>
      <w:r>
        <w:rPr>
          <w:lang w:val="en-US"/>
        </w:rPr>
        <w:t>Attachment No 34.3</w:t>
      </w:r>
      <w:r w:rsidRPr="00F76AEE">
        <w:rPr>
          <w:lang w:val="en-US"/>
        </w:rPr>
        <w:t xml:space="preserve"> </w:t>
      </w:r>
      <w:r w:rsidRPr="00F76AEE">
        <w:t>to</w:t>
      </w:r>
      <w:r>
        <w:t xml:space="preserve"> Australian Human Rights Commission, </w:t>
      </w:r>
      <w:r>
        <w:rPr>
          <w:i/>
        </w:rPr>
        <w:t>National Children’s Commissioner’s examination into children affected by family and domestic violence,</w:t>
      </w:r>
      <w:r>
        <w:t>16.</w:t>
      </w:r>
    </w:p>
  </w:endnote>
  <w:endnote w:id="616">
    <w:p w14:paraId="37939081" w14:textId="77777777" w:rsidR="00F008D2" w:rsidRDefault="00F008D2" w:rsidP="000D1D92">
      <w:pPr>
        <w:pStyle w:val="EndnoteText"/>
      </w:pPr>
      <w:r>
        <w:rPr>
          <w:rStyle w:val="EndnoteReference"/>
        </w:rPr>
        <w:endnoteRef/>
      </w:r>
      <w:r>
        <w:t xml:space="preserve"> CITATION PLEASE: </w:t>
      </w:r>
      <w:r w:rsidRPr="00AA5821">
        <w:t>https://rms.arc.gov.au/RMS/Report/Download/Report/d6b15b2b-3a50-4021-8e6f-6c7ef1cba553/0</w:t>
      </w:r>
    </w:p>
  </w:endnote>
  <w:endnote w:id="617">
    <w:p w14:paraId="331B7EB4" w14:textId="77777777" w:rsidR="00F008D2" w:rsidRDefault="00F008D2" w:rsidP="000D1D92">
      <w:pPr>
        <w:pStyle w:val="EndnoteText"/>
      </w:pPr>
      <w:r>
        <w:rPr>
          <w:rStyle w:val="EndnoteReference"/>
        </w:rPr>
        <w:endnoteRef/>
      </w:r>
      <w:r>
        <w:t xml:space="preserve"> Melbourne Research Alliance to End Violence Against Women and Their Children, University of Melbourne, </w:t>
      </w:r>
      <w:r w:rsidRPr="00F76AEE">
        <w:rPr>
          <w:lang w:val="en-US"/>
        </w:rPr>
        <w:t>Submission</w:t>
      </w:r>
      <w:r>
        <w:rPr>
          <w:lang w:val="en-US"/>
        </w:rPr>
        <w:t xml:space="preserve"> No</w:t>
      </w:r>
      <w:r w:rsidRPr="00F76AEE">
        <w:rPr>
          <w:lang w:val="en-US"/>
        </w:rPr>
        <w:t xml:space="preserve"> </w:t>
      </w:r>
      <w:r>
        <w:rPr>
          <w:lang w:val="en-US"/>
        </w:rPr>
        <w:t>18</w:t>
      </w:r>
      <w:r w:rsidRPr="00F76AEE">
        <w:rPr>
          <w:lang w:val="en-US"/>
        </w:rPr>
        <w:t xml:space="preserve"> </w:t>
      </w:r>
      <w:r w:rsidRPr="00F76AEE">
        <w:t>to</w:t>
      </w:r>
      <w:r>
        <w:t xml:space="preserve"> Australian Human Rights Commission, </w:t>
      </w:r>
      <w:r>
        <w:rPr>
          <w:i/>
        </w:rPr>
        <w:t>National Children’s Commissioner’s examination into children affected by family and domestic violence,</w:t>
      </w:r>
      <w:r>
        <w:t xml:space="preserve"> 6.</w:t>
      </w:r>
    </w:p>
  </w:endnote>
  <w:endnote w:id="618">
    <w:p w14:paraId="40D89110" w14:textId="77777777" w:rsidR="00F008D2" w:rsidRPr="000C61A3" w:rsidRDefault="00F008D2" w:rsidP="000D1D92">
      <w:pPr>
        <w:pStyle w:val="EndnoteText"/>
        <w:rPr>
          <w:lang w:val="en-US"/>
        </w:rPr>
      </w:pPr>
      <w:r>
        <w:rPr>
          <w:rStyle w:val="EndnoteReference"/>
        </w:rPr>
        <w:endnoteRef/>
      </w:r>
      <w:r>
        <w:t xml:space="preserve"> Leah Bromfield, Fiona Arney, and Daryl Higgins, ‘Contemporary issues in child protection intake, referral and family support’ in Alan </w:t>
      </w:r>
      <w:r w:rsidRPr="00313328">
        <w:t>Hayes,</w:t>
      </w:r>
      <w:r>
        <w:t xml:space="preserve"> and Daryl Higgins</w:t>
      </w:r>
      <w:r w:rsidRPr="00313328">
        <w:t xml:space="preserve"> (</w:t>
      </w:r>
      <w:r>
        <w:t>e</w:t>
      </w:r>
      <w:r w:rsidRPr="00313328">
        <w:t xml:space="preserve">ds) </w:t>
      </w:r>
      <w:r>
        <w:rPr>
          <w:i/>
        </w:rPr>
        <w:t>Families, Policy and the Law: Selected E</w:t>
      </w:r>
      <w:r w:rsidRPr="00F71DE3">
        <w:rPr>
          <w:i/>
        </w:rPr>
        <w:t xml:space="preserve">ssays </w:t>
      </w:r>
      <w:r>
        <w:rPr>
          <w:i/>
        </w:rPr>
        <w:t>on Contemporary I</w:t>
      </w:r>
      <w:r w:rsidRPr="00F71DE3">
        <w:rPr>
          <w:i/>
        </w:rPr>
        <w:t>ssues for Australia</w:t>
      </w:r>
      <w:r w:rsidRPr="00313328">
        <w:t xml:space="preserve"> (Australian Institute of Family Studies</w:t>
      </w:r>
      <w:r>
        <w:t>,</w:t>
      </w:r>
      <w:r w:rsidRPr="00313328">
        <w:t xml:space="preserve"> </w:t>
      </w:r>
      <w:r>
        <w:t>2014)</w:t>
      </w:r>
      <w:r>
        <w:rPr>
          <w:i/>
        </w:rPr>
        <w:t xml:space="preserve"> </w:t>
      </w:r>
      <w:r w:rsidRPr="00212D3C">
        <w:t>12</w:t>
      </w:r>
      <w:r>
        <w:t>7</w:t>
      </w:r>
      <w:r w:rsidRPr="00212D3C">
        <w:t>.</w:t>
      </w:r>
    </w:p>
  </w:endnote>
  <w:endnote w:id="619">
    <w:p w14:paraId="4F41EC34" w14:textId="77777777" w:rsidR="00F008D2" w:rsidRDefault="00F008D2" w:rsidP="000D1D92">
      <w:pPr>
        <w:pStyle w:val="EndnoteText"/>
      </w:pPr>
      <w:r>
        <w:rPr>
          <w:rStyle w:val="EndnoteReference"/>
        </w:rPr>
        <w:endnoteRef/>
      </w:r>
      <w:r>
        <w:t xml:space="preserve"> </w:t>
      </w:r>
      <w:r>
        <w:rPr>
          <w:rStyle w:val="EndnoteReference"/>
        </w:rPr>
        <w:endnoteRef/>
      </w:r>
      <w:r>
        <w:t xml:space="preserve"> Save the Children</w:t>
      </w:r>
      <w:r w:rsidRPr="00825C50">
        <w:t xml:space="preserve">, Submission </w:t>
      </w:r>
      <w:r>
        <w:t>No 7</w:t>
      </w:r>
      <w:r w:rsidRPr="00825C50">
        <w:t xml:space="preserve"> to Australian Human Rights Commission, National Children’s Commissioner’s examination into children affected by family and d</w:t>
      </w:r>
      <w:r>
        <w:t>omestic violence, 11 June 2015,12</w:t>
      </w:r>
    </w:p>
  </w:endnote>
  <w:endnote w:id="620">
    <w:p w14:paraId="2F0F551E" w14:textId="77777777" w:rsidR="00F008D2" w:rsidRDefault="00F008D2" w:rsidP="000D1D92">
      <w:pPr>
        <w:pStyle w:val="EndnoteText"/>
      </w:pPr>
      <w:r>
        <w:rPr>
          <w:rStyle w:val="EndnoteReference"/>
        </w:rPr>
        <w:endnoteRef/>
      </w:r>
      <w:r>
        <w:t xml:space="preserve"> </w:t>
      </w:r>
      <w:r w:rsidRPr="00825C50">
        <w:t xml:space="preserve">Relationships Australia, Submission </w:t>
      </w:r>
      <w:r>
        <w:t xml:space="preserve">No </w:t>
      </w:r>
      <w:r w:rsidRPr="00825C50">
        <w:t>26 to Australian Human Rights Commission, National Children’s Commissioner’s examination into children affected by family and d</w:t>
      </w:r>
      <w:r>
        <w:t>omestic violence, 11 June 2015, 21.</w:t>
      </w:r>
    </w:p>
  </w:endnote>
  <w:endnote w:id="621">
    <w:p w14:paraId="7A412BA6" w14:textId="77777777" w:rsidR="00F008D2" w:rsidRDefault="00F008D2" w:rsidP="000D1D92">
      <w:pPr>
        <w:pStyle w:val="EndnoteText"/>
      </w:pPr>
      <w:r w:rsidRPr="00807A3B">
        <w:rPr>
          <w:rStyle w:val="EndnoteReference"/>
        </w:rPr>
        <w:endnoteRef/>
      </w:r>
      <w:r w:rsidRPr="00807A3B">
        <w:t xml:space="preserve"> Berry Street, Submission No 40 to Australian Human Rights Commission, </w:t>
      </w:r>
      <w:r w:rsidRPr="00807A3B">
        <w:rPr>
          <w:i/>
        </w:rPr>
        <w:t>National Children’s</w:t>
      </w:r>
      <w:r w:rsidRPr="0082462D">
        <w:rPr>
          <w:i/>
        </w:rPr>
        <w:t xml:space="preserve"> Commissioner’s examination into children affected by family and domestic violence</w:t>
      </w:r>
      <w:r>
        <w:t xml:space="preserve">, 19 June </w:t>
      </w:r>
      <w:r w:rsidRPr="00422F51">
        <w:t xml:space="preserve">2015, </w:t>
      </w:r>
      <w:r>
        <w:t xml:space="preserve">32. </w:t>
      </w:r>
    </w:p>
  </w:endnote>
  <w:endnote w:id="622">
    <w:p w14:paraId="313471A6" w14:textId="77777777" w:rsidR="00F008D2" w:rsidRPr="007F6F7C" w:rsidRDefault="00F008D2" w:rsidP="000D1D92">
      <w:pPr>
        <w:pStyle w:val="EndnoteText"/>
        <w:jc w:val="both"/>
        <w:rPr>
          <w:lang w:val="en-US"/>
        </w:rPr>
      </w:pPr>
      <w:r>
        <w:rPr>
          <w:rStyle w:val="EndnoteReference"/>
        </w:rPr>
        <w:endnoteRef/>
      </w:r>
      <w:r>
        <w:t xml:space="preserve"> </w:t>
      </w:r>
      <w:r>
        <w:rPr>
          <w:lang w:val="en-US"/>
        </w:rPr>
        <w:t xml:space="preserve">New South Wales Government, </w:t>
      </w:r>
      <w:r w:rsidRPr="00F76AEE">
        <w:rPr>
          <w:lang w:val="en-US"/>
        </w:rPr>
        <w:t>Submission</w:t>
      </w:r>
      <w:r>
        <w:rPr>
          <w:lang w:val="en-US"/>
        </w:rPr>
        <w:t xml:space="preserve"> No</w:t>
      </w:r>
      <w:r w:rsidRPr="00F76AEE">
        <w:rPr>
          <w:lang w:val="en-US"/>
        </w:rPr>
        <w:t xml:space="preserve"> 51 </w:t>
      </w:r>
      <w:r w:rsidRPr="00F76AEE">
        <w:t>to</w:t>
      </w:r>
      <w:r>
        <w:t xml:space="preserve"> Australian Human Rights Commission, </w:t>
      </w:r>
      <w:r>
        <w:rPr>
          <w:i/>
        </w:rPr>
        <w:t xml:space="preserve">National Children’s Commissioner’s examination into children affected by family and domestic violence, </w:t>
      </w:r>
      <w:r>
        <w:t>28 July 2015,</w:t>
      </w:r>
      <w:r>
        <w:rPr>
          <w:lang w:val="en-US"/>
        </w:rPr>
        <w:t xml:space="preserve"> 7.</w:t>
      </w:r>
    </w:p>
  </w:endnote>
  <w:endnote w:id="623">
    <w:p w14:paraId="43F8A7F9" w14:textId="77777777" w:rsidR="00F008D2" w:rsidRDefault="00F008D2" w:rsidP="000D1D92">
      <w:pPr>
        <w:pStyle w:val="EndnoteText"/>
      </w:pPr>
      <w:r>
        <w:rPr>
          <w:rStyle w:val="EndnoteReference"/>
        </w:rPr>
        <w:endnoteRef/>
      </w:r>
      <w:r>
        <w:t xml:space="preserve"> Australian Institute of Family Studies (AIFS) and Australia’s National Research Organisation for Women’s Safety (ANROWS), </w:t>
      </w:r>
      <w:r w:rsidRPr="00F76AEE">
        <w:rPr>
          <w:lang w:val="en-US"/>
        </w:rPr>
        <w:t>Submission</w:t>
      </w:r>
      <w:r>
        <w:rPr>
          <w:lang w:val="en-US"/>
        </w:rPr>
        <w:t xml:space="preserve"> No 6</w:t>
      </w:r>
      <w:r w:rsidRPr="00F76AEE">
        <w:rPr>
          <w:lang w:val="en-US"/>
        </w:rPr>
        <w:t xml:space="preserve"> </w:t>
      </w:r>
      <w:r w:rsidRPr="00F76AEE">
        <w:t>to</w:t>
      </w:r>
      <w:r>
        <w:t xml:space="preserve"> Australian Human Rights Commission, </w:t>
      </w:r>
      <w:r>
        <w:rPr>
          <w:i/>
        </w:rPr>
        <w:t>National Children’s Commissioner’s examination into children affected by family and domestic violence,</w:t>
      </w:r>
      <w:r>
        <w:t>, AIFS and ANROWS, 2015, 17.</w:t>
      </w:r>
    </w:p>
  </w:endnote>
  <w:endnote w:id="624">
    <w:p w14:paraId="3550DDEA" w14:textId="77777777" w:rsidR="00F008D2" w:rsidRDefault="00F008D2" w:rsidP="000D1D92">
      <w:pPr>
        <w:pStyle w:val="EndnoteText"/>
      </w:pPr>
      <w:r>
        <w:rPr>
          <w:rStyle w:val="EndnoteReference"/>
        </w:rPr>
        <w:endnoteRef/>
      </w:r>
      <w:r>
        <w:t xml:space="preserve"> Australian Institute of Family Studies (AIFS) and Australia’s National Research Organisation for Women’s Safety (ANROWS), </w:t>
      </w:r>
      <w:r w:rsidRPr="00F76AEE">
        <w:rPr>
          <w:lang w:val="en-US"/>
        </w:rPr>
        <w:t>Submission</w:t>
      </w:r>
      <w:r>
        <w:rPr>
          <w:lang w:val="en-US"/>
        </w:rPr>
        <w:t xml:space="preserve"> No 6</w:t>
      </w:r>
      <w:r w:rsidRPr="00F76AEE">
        <w:rPr>
          <w:lang w:val="en-US"/>
        </w:rPr>
        <w:t xml:space="preserve"> </w:t>
      </w:r>
      <w:r w:rsidRPr="00F76AEE">
        <w:t>to</w:t>
      </w:r>
      <w:r>
        <w:t xml:space="preserve"> Australian Human Rights Commission, </w:t>
      </w:r>
      <w:r>
        <w:rPr>
          <w:i/>
        </w:rPr>
        <w:t>National Children’s Commissioner’s examination into children affected by family and domestic violence,</w:t>
      </w:r>
      <w:r>
        <w:t>, AIFS and ANROWS, 17-18.</w:t>
      </w:r>
    </w:p>
  </w:endnote>
  <w:endnote w:id="625">
    <w:p w14:paraId="7A5E2768" w14:textId="77777777" w:rsidR="00F008D2" w:rsidRDefault="00F008D2" w:rsidP="000D1D92">
      <w:pPr>
        <w:pStyle w:val="EndnoteText"/>
        <w:jc w:val="both"/>
      </w:pPr>
      <w:r w:rsidRPr="00F37572">
        <w:rPr>
          <w:rStyle w:val="EndnoteReference"/>
        </w:rPr>
        <w:endnoteRef/>
      </w:r>
      <w:r w:rsidRPr="00F37572">
        <w:t xml:space="preserve"> </w:t>
      </w:r>
      <w:r w:rsidRPr="00A33846">
        <w:t>Council of Australian Governments, ‘Communiqué</w:t>
      </w:r>
      <w:r>
        <w:t xml:space="preserve"> – </w:t>
      </w:r>
      <w:r w:rsidRPr="00ED7B6B">
        <w:t xml:space="preserve">COAG </w:t>
      </w:r>
      <w:r>
        <w:t xml:space="preserve">Special Meeting’ </w:t>
      </w:r>
      <w:r w:rsidRPr="00A33846">
        <w:t>(</w:t>
      </w:r>
      <w:r>
        <w:t>40</w:t>
      </w:r>
      <w:r w:rsidRPr="00A33846">
        <w:rPr>
          <w:vertAlign w:val="superscript"/>
        </w:rPr>
        <w:t>th</w:t>
      </w:r>
      <w:r>
        <w:t xml:space="preserve"> </w:t>
      </w:r>
      <w:r w:rsidRPr="00A33846">
        <w:t>COAG Meeting, 23 July 2015) 1 &lt;</w:t>
      </w:r>
      <w:hyperlink r:id="rId159" w:history="1">
        <w:r w:rsidRPr="00F37572">
          <w:rPr>
            <w:rStyle w:val="Hyperlink"/>
          </w:rPr>
          <w:t>https://www.coag.gov.au/node/524</w:t>
        </w:r>
      </w:hyperlink>
      <w:r w:rsidRPr="00F37572">
        <w:t>&gt;.</w:t>
      </w:r>
    </w:p>
  </w:endnote>
  <w:endnote w:id="626">
    <w:p w14:paraId="091AB2FA" w14:textId="77777777" w:rsidR="00F008D2" w:rsidRDefault="00F008D2" w:rsidP="000D1D92">
      <w:pPr>
        <w:pStyle w:val="EndnoteText"/>
      </w:pPr>
      <w:r>
        <w:rPr>
          <w:rStyle w:val="EndnoteReference"/>
        </w:rPr>
        <w:endnoteRef/>
      </w:r>
      <w:r>
        <w:t xml:space="preserve"> J Ireland, ‘National $30 million campaign to tackle domestic violence’, </w:t>
      </w:r>
      <w:r>
        <w:rPr>
          <w:i/>
        </w:rPr>
        <w:t xml:space="preserve">The Sydney Morning Herald, </w:t>
      </w:r>
      <w:r>
        <w:t>(Sydney), 5 March 2015</w:t>
      </w:r>
    </w:p>
  </w:endnote>
  <w:endnote w:id="627">
    <w:p w14:paraId="6050CD67" w14:textId="77777777" w:rsidR="00F008D2" w:rsidRDefault="00F008D2" w:rsidP="000D1D92">
      <w:pPr>
        <w:pStyle w:val="EndnoteText"/>
      </w:pPr>
      <w:r>
        <w:rPr>
          <w:rStyle w:val="EndnoteReference"/>
        </w:rPr>
        <w:endnoteRef/>
      </w:r>
      <w:r>
        <w:t xml:space="preserve"> Australian Association of Social Workers (AASW), </w:t>
      </w:r>
      <w:r w:rsidRPr="00F76AEE">
        <w:rPr>
          <w:lang w:val="en-US"/>
        </w:rPr>
        <w:t>Submission</w:t>
      </w:r>
      <w:r>
        <w:rPr>
          <w:lang w:val="en-US"/>
        </w:rPr>
        <w:t xml:space="preserve"> No</w:t>
      </w:r>
      <w:r w:rsidRPr="00F76AEE">
        <w:rPr>
          <w:lang w:val="en-US"/>
        </w:rPr>
        <w:t xml:space="preserve"> 5 </w:t>
      </w:r>
      <w:r w:rsidRPr="00F76AEE">
        <w:t>to</w:t>
      </w:r>
      <w:r>
        <w:t xml:space="preserve"> Australian Human Rights Commission, </w:t>
      </w:r>
      <w:r>
        <w:rPr>
          <w:i/>
        </w:rPr>
        <w:t>National Children’s Commissioner’s examination into children affected by family and domestic violence,</w:t>
      </w:r>
      <w:r>
        <w:t xml:space="preserve"> 27 May 2015, 4. </w:t>
      </w:r>
    </w:p>
  </w:endnote>
  <w:endnote w:id="628">
    <w:p w14:paraId="16E4C52F" w14:textId="77777777" w:rsidR="00F008D2" w:rsidRPr="0098140B" w:rsidRDefault="00F008D2" w:rsidP="000D1D92">
      <w:pPr>
        <w:pStyle w:val="EndnoteText"/>
        <w:rPr>
          <w:lang w:val="en-US"/>
        </w:rPr>
      </w:pPr>
      <w:r w:rsidRPr="00E609E9">
        <w:rPr>
          <w:rStyle w:val="EndnoteReference"/>
        </w:rPr>
        <w:endnoteRef/>
      </w:r>
      <w:r w:rsidRPr="00E609E9">
        <w:t xml:space="preserve"> </w:t>
      </w:r>
      <w:r w:rsidRPr="00E609E9">
        <w:rPr>
          <w:lang w:val="en-US"/>
        </w:rPr>
        <w:t>Hall</w:t>
      </w:r>
      <w:r w:rsidRPr="00FB49F7">
        <w:rPr>
          <w:lang w:val="en-US"/>
        </w:rPr>
        <w:t xml:space="preserve"> and Partners (Open Mind), </w:t>
      </w:r>
      <w:r w:rsidRPr="00FB49F7">
        <w:rPr>
          <w:i/>
          <w:lang w:val="en-US"/>
        </w:rPr>
        <w:t>The Line Campaign: Summary of Research Outcomes</w:t>
      </w:r>
      <w:r w:rsidRPr="00FB49F7">
        <w:rPr>
          <w:lang w:val="en-US"/>
        </w:rPr>
        <w:t xml:space="preserve">, May 2015, 4 </w:t>
      </w:r>
    </w:p>
  </w:endnote>
  <w:endnote w:id="629">
    <w:p w14:paraId="616D4A9A" w14:textId="77777777" w:rsidR="00F008D2" w:rsidRDefault="00F008D2" w:rsidP="000D1D92">
      <w:pPr>
        <w:pStyle w:val="EndnoteText"/>
      </w:pPr>
      <w:r>
        <w:rPr>
          <w:rStyle w:val="EndnoteReference"/>
        </w:rPr>
        <w:endnoteRef/>
      </w:r>
      <w:r>
        <w:t xml:space="preserve"> VicHealth media release, ‘Many Young People Ready To Attribute Blame To Victims and Think Tracking a Partner is Acceptable’, (Media Release, 24 September 2015) at </w:t>
      </w:r>
      <w:r w:rsidRPr="002130AD">
        <w:t>https://www.vichealth.vic.gov.au/media-and-resources/media-releases/many-young-people-ready-to-attribute-blame-to-victims-and-think-tracking-a-partner-is-acceptable</w:t>
      </w:r>
    </w:p>
  </w:endnote>
  <w:endnote w:id="630">
    <w:p w14:paraId="38D3EE6E" w14:textId="77777777" w:rsidR="00F008D2" w:rsidRDefault="00F008D2" w:rsidP="000D1D92">
      <w:pPr>
        <w:pStyle w:val="EndnoteText"/>
      </w:pPr>
      <w:r>
        <w:rPr>
          <w:rStyle w:val="EndnoteReference"/>
        </w:rPr>
        <w:endnoteRef/>
      </w:r>
      <w:r>
        <w:t xml:space="preserve"> </w:t>
      </w:r>
      <w:r w:rsidRPr="00825C50">
        <w:t xml:space="preserve">Relationships Australia, Submission </w:t>
      </w:r>
      <w:r>
        <w:t xml:space="preserve">No </w:t>
      </w:r>
      <w:r w:rsidRPr="00825C50">
        <w:t>26 to Australian Human Rights Commission, National Children’s Commissioner’s examination into children affected by family and domestic violence, 11 June 2015, 21.</w:t>
      </w:r>
    </w:p>
  </w:endnote>
  <w:endnote w:id="631">
    <w:p w14:paraId="356ECECC" w14:textId="77777777" w:rsidR="00F008D2" w:rsidRPr="001406FE" w:rsidRDefault="00F008D2" w:rsidP="000D1D92">
      <w:pPr>
        <w:pStyle w:val="EndnoteText"/>
        <w:rPr>
          <w:lang w:val="en-US"/>
        </w:rPr>
      </w:pPr>
      <w:r>
        <w:rPr>
          <w:rStyle w:val="EndnoteReference"/>
        </w:rPr>
        <w:endnoteRef/>
      </w:r>
      <w:r>
        <w:t xml:space="preserve"> </w:t>
      </w:r>
      <w:r>
        <w:rPr>
          <w:lang w:val="en-US"/>
        </w:rPr>
        <w:t xml:space="preserve">Menzies School of Health Research, Centre for Child Development and Education, Submission No 47 </w:t>
      </w:r>
      <w:r>
        <w:t xml:space="preserve">to Australian Human Rights Commission, </w:t>
      </w:r>
      <w:r>
        <w:rPr>
          <w:i/>
        </w:rPr>
        <w:t>National Children’s Commissioner’s examination into children affected by family and domestic violence</w:t>
      </w:r>
      <w:r>
        <w:t>, 2015, 49.</w:t>
      </w:r>
    </w:p>
  </w:endnote>
  <w:endnote w:id="632">
    <w:p w14:paraId="770043F8" w14:textId="77777777" w:rsidR="00F008D2" w:rsidRPr="0049786F" w:rsidRDefault="00F008D2" w:rsidP="000D1D92">
      <w:pPr>
        <w:pStyle w:val="EndnoteText"/>
        <w:jc w:val="both"/>
        <w:rPr>
          <w:lang w:val="en-US"/>
        </w:rPr>
      </w:pPr>
      <w:r>
        <w:rPr>
          <w:rStyle w:val="EndnoteReference"/>
        </w:rPr>
        <w:endnoteRef/>
      </w:r>
      <w:r w:rsidRPr="0049786F">
        <w:t xml:space="preserve"> </w:t>
      </w:r>
      <w:r>
        <w:rPr>
          <w:rFonts w:cs="Arial"/>
        </w:rPr>
        <w:t xml:space="preserve">Aboriginal Family Law Services (WA), Submission No 29 </w:t>
      </w:r>
      <w:r>
        <w:t xml:space="preserve">to Australian Human Rights Commission, </w:t>
      </w:r>
      <w:r>
        <w:rPr>
          <w:i/>
        </w:rPr>
        <w:t xml:space="preserve">National Children’s Commissioner’s examination into children affected by family and domestic violence, </w:t>
      </w:r>
      <w:r>
        <w:t xml:space="preserve">15 June 2015, </w:t>
      </w:r>
      <w:r>
        <w:rPr>
          <w:rFonts w:cs="Arial"/>
        </w:rPr>
        <w:t>1</w:t>
      </w:r>
      <w:r>
        <w:rPr>
          <w:lang w:val="en-US"/>
        </w:rPr>
        <w:t>1.</w:t>
      </w:r>
    </w:p>
  </w:endnote>
  <w:endnote w:id="633">
    <w:p w14:paraId="603C7575" w14:textId="77777777" w:rsidR="00F008D2" w:rsidRPr="000556E2" w:rsidRDefault="00F008D2" w:rsidP="000D1D92">
      <w:pPr>
        <w:pStyle w:val="EndnoteText"/>
        <w:rPr>
          <w:lang w:val="en-US"/>
        </w:rPr>
      </w:pPr>
      <w:r>
        <w:rPr>
          <w:rStyle w:val="EndnoteReference"/>
        </w:rPr>
        <w:endnoteRef/>
      </w:r>
      <w:r>
        <w:t xml:space="preserve"> </w:t>
      </w:r>
      <w:r>
        <w:rPr>
          <w:lang w:val="en-US"/>
        </w:rPr>
        <w:t xml:space="preserve">National LGBTI Health Alliance, Submission No 49 </w:t>
      </w:r>
      <w:r>
        <w:t xml:space="preserve">to Australian Human Rights Commission, </w:t>
      </w:r>
      <w:r>
        <w:rPr>
          <w:i/>
        </w:rPr>
        <w:t>National Children’s Commissioner’s examination into children affected by family and domestic violence,</w:t>
      </w:r>
      <w:r>
        <w:t xml:space="preserve"> 2015, 9.</w:t>
      </w:r>
    </w:p>
  </w:endnote>
  <w:endnote w:id="634">
    <w:p w14:paraId="0A72E6CB" w14:textId="77777777" w:rsidR="00F008D2" w:rsidRDefault="00F008D2" w:rsidP="000D1D92">
      <w:pPr>
        <w:pStyle w:val="EndnoteText"/>
      </w:pPr>
      <w:r>
        <w:rPr>
          <w:rStyle w:val="EndnoteReference"/>
        </w:rPr>
        <w:endnoteRef/>
      </w:r>
      <w:r>
        <w:t xml:space="preserve"> New South Wales Government, Submission No 51 to Australian Human Rights Commission, </w:t>
      </w:r>
      <w:r>
        <w:rPr>
          <w:i/>
        </w:rPr>
        <w:t xml:space="preserve">National Children’s Commissioner’s examination into children affected by family and domestic violence, </w:t>
      </w:r>
      <w:r>
        <w:t>10.</w:t>
      </w:r>
    </w:p>
  </w:endnote>
  <w:endnote w:id="635">
    <w:p w14:paraId="750CB2B0" w14:textId="77777777" w:rsidR="00F008D2" w:rsidRDefault="00F008D2" w:rsidP="000D1D92">
      <w:pPr>
        <w:pStyle w:val="EndnoteText"/>
      </w:pPr>
      <w:r>
        <w:rPr>
          <w:rStyle w:val="EndnoteReference"/>
        </w:rPr>
        <w:endnoteRef/>
      </w:r>
      <w:r>
        <w:t xml:space="preserve"> Senate Standing Committee on Finance and Public Administration, Parliament of Australia, </w:t>
      </w:r>
      <w:r w:rsidRPr="003C1C37">
        <w:rPr>
          <w:i/>
        </w:rPr>
        <w:t>Domestic violence in Australia</w:t>
      </w:r>
      <w:r>
        <w:t xml:space="preserve">: </w:t>
      </w:r>
      <w:r>
        <w:rPr>
          <w:i/>
        </w:rPr>
        <w:t>Interim Report</w:t>
      </w:r>
      <w:r>
        <w:t>, (</w:t>
      </w:r>
      <w:r w:rsidRPr="00FF0757">
        <w:t>2015</w:t>
      </w:r>
      <w:r>
        <w:t>), 191</w:t>
      </w:r>
      <w:r w:rsidRPr="00FF0757">
        <w:t>.</w:t>
      </w:r>
    </w:p>
  </w:endnote>
  <w:endnote w:id="636">
    <w:p w14:paraId="03300BF1" w14:textId="77777777" w:rsidR="00F008D2" w:rsidRDefault="00F008D2" w:rsidP="000D1D92">
      <w:pPr>
        <w:pStyle w:val="EndnoteText"/>
      </w:pPr>
      <w:r>
        <w:rPr>
          <w:rStyle w:val="EndnoteReference"/>
        </w:rPr>
        <w:endnoteRef/>
      </w:r>
      <w:r>
        <w:t xml:space="preserve"> Senate Standing Committee on Finance and Public Administration, Parliament of Australia, </w:t>
      </w:r>
      <w:r w:rsidRPr="003C1C37">
        <w:rPr>
          <w:i/>
        </w:rPr>
        <w:t>Domestic violence in Australia</w:t>
      </w:r>
      <w:r>
        <w:t xml:space="preserve">: </w:t>
      </w:r>
      <w:r>
        <w:rPr>
          <w:i/>
        </w:rPr>
        <w:t>Interim Report</w:t>
      </w:r>
      <w:r>
        <w:t>, (</w:t>
      </w:r>
      <w:r w:rsidRPr="00FF0757">
        <w:t>2015</w:t>
      </w:r>
      <w:r>
        <w:t>),</w:t>
      </w:r>
      <w:r w:rsidRPr="00FF0757">
        <w:t xml:space="preserve"> ix.</w:t>
      </w:r>
    </w:p>
  </w:endnote>
  <w:endnote w:id="637">
    <w:p w14:paraId="6546D5B8" w14:textId="77777777" w:rsidR="00F008D2" w:rsidRDefault="00F008D2" w:rsidP="000D1D92">
      <w:pPr>
        <w:pStyle w:val="EndnoteText"/>
      </w:pPr>
      <w:r>
        <w:rPr>
          <w:rStyle w:val="EndnoteReference"/>
        </w:rPr>
        <w:endnoteRef/>
      </w:r>
      <w:r>
        <w:t xml:space="preserve"> Australian Institute of Family Studies (AIFS) and Australia’s National Research Organisation for Women’s Safety Ltd. (ANROWS), </w:t>
      </w:r>
      <w:r>
        <w:rPr>
          <w:rFonts w:cs="Arial"/>
        </w:rPr>
        <w:t xml:space="preserve">Submission No 6 </w:t>
      </w:r>
      <w:r>
        <w:t xml:space="preserve">to Australian Human Rights Commission, </w:t>
      </w:r>
      <w:r>
        <w:rPr>
          <w:i/>
        </w:rPr>
        <w:t>National Children’s Commissioner’s examination into children affected by family and domestic violence</w:t>
      </w:r>
      <w:r>
        <w:t>, 17.</w:t>
      </w:r>
    </w:p>
  </w:endnote>
  <w:endnote w:id="638">
    <w:p w14:paraId="6981E463" w14:textId="77777777" w:rsidR="00F008D2" w:rsidRPr="005D622F" w:rsidRDefault="00F008D2" w:rsidP="000D1D92">
      <w:pPr>
        <w:pStyle w:val="EndnoteText"/>
        <w:rPr>
          <w:lang w:val="en-US"/>
        </w:rPr>
      </w:pPr>
      <w:r>
        <w:rPr>
          <w:rStyle w:val="EndnoteReference"/>
        </w:rPr>
        <w:endnoteRef/>
      </w:r>
      <w:r>
        <w:t xml:space="preserve"> </w:t>
      </w:r>
      <w:r>
        <w:rPr>
          <w:lang w:val="en-US"/>
        </w:rPr>
        <w:t xml:space="preserve">New South Wales Government, </w:t>
      </w:r>
      <w:r>
        <w:rPr>
          <w:rFonts w:cs="Arial"/>
        </w:rPr>
        <w:t xml:space="preserve">Submission No 51 </w:t>
      </w:r>
      <w:r>
        <w:t xml:space="preserve">to Australian Human Rights Commission, </w:t>
      </w:r>
      <w:r>
        <w:rPr>
          <w:i/>
        </w:rPr>
        <w:t>National Children’s Commissioner’s examination into children affected by family and domestic violence</w:t>
      </w:r>
      <w:r>
        <w:rPr>
          <w:lang w:val="en-US"/>
        </w:rPr>
        <w:t>, 10.</w:t>
      </w:r>
    </w:p>
  </w:endnote>
  <w:endnote w:id="639">
    <w:p w14:paraId="37239410" w14:textId="77777777" w:rsidR="00F008D2" w:rsidRPr="00294A68" w:rsidRDefault="00F008D2" w:rsidP="000D1D92">
      <w:pPr>
        <w:pStyle w:val="EndnoteText"/>
        <w:jc w:val="both"/>
        <w:rPr>
          <w:lang w:val="en-US"/>
        </w:rPr>
      </w:pPr>
      <w:r>
        <w:rPr>
          <w:rStyle w:val="EndnoteReference"/>
        </w:rPr>
        <w:endnoteRef/>
      </w:r>
      <w:r>
        <w:t xml:space="preserve"> </w:t>
      </w:r>
      <w:r>
        <w:rPr>
          <w:lang w:val="en-US"/>
        </w:rPr>
        <w:t xml:space="preserve">North Australian Aboriginal Family Legal Service, </w:t>
      </w:r>
      <w:r>
        <w:rPr>
          <w:rFonts w:cs="Arial"/>
        </w:rPr>
        <w:t xml:space="preserve">Submission No 46 </w:t>
      </w:r>
      <w:r>
        <w:t xml:space="preserve">to Australian Human Rights Commission, </w:t>
      </w:r>
      <w:r>
        <w:rPr>
          <w:i/>
        </w:rPr>
        <w:t>National Children’s Commissioner’s examination into children affected by family and domestic violence,</w:t>
      </w:r>
      <w:r>
        <w:rPr>
          <w:lang w:val="en-US"/>
        </w:rPr>
        <w:t xml:space="preserve"> 2015, 8.</w:t>
      </w:r>
    </w:p>
  </w:endnote>
  <w:endnote w:id="640">
    <w:p w14:paraId="6AF40B71" w14:textId="77777777" w:rsidR="00F008D2" w:rsidRPr="00C925C3" w:rsidRDefault="00F008D2" w:rsidP="000D1D92">
      <w:pPr>
        <w:pStyle w:val="EndnoteText"/>
        <w:rPr>
          <w:highlight w:val="yellow"/>
        </w:rPr>
      </w:pPr>
      <w:r w:rsidRPr="00117265">
        <w:rPr>
          <w:rStyle w:val="EndnoteReference"/>
        </w:rPr>
        <w:endnoteRef/>
      </w:r>
      <w:r w:rsidRPr="00117265">
        <w:t xml:space="preserve"> Michael Flood and Vicki Kendrick, ‘An evaluation of the LOVEBiTES and Respectful Relationships Programs in a Sydney school’ (NAPCAN and University of Wollongong, 2012) 3 &lt;http://growingrespect.org.au/what-we-do/research-evaluation/previous-research/&gt;.</w:t>
      </w:r>
    </w:p>
  </w:endnote>
  <w:endnote w:id="641">
    <w:p w14:paraId="2F67E1E4" w14:textId="77777777" w:rsidR="00F008D2" w:rsidRDefault="00F008D2" w:rsidP="000D1D92">
      <w:pPr>
        <w:pStyle w:val="EndnoteText"/>
      </w:pPr>
      <w:r w:rsidRPr="00117265">
        <w:rPr>
          <w:rStyle w:val="EndnoteReference"/>
        </w:rPr>
        <w:endnoteRef/>
      </w:r>
      <w:r w:rsidRPr="00117265">
        <w:t xml:space="preserve"> Michael Flood and Vicki Kendrick, ‘An evaluation of the LOVEBiTES and Respectful Relationships Programs in a Sydney school’ (NAPCAN and University of Wollongong, 2012) 3 &lt;http://growingrespect.org.au/what-we-do/research-evaluation/previous-research/&gt;.</w:t>
      </w:r>
    </w:p>
  </w:endnote>
  <w:endnote w:id="642">
    <w:p w14:paraId="3F51BAC6" w14:textId="77777777" w:rsidR="00F008D2" w:rsidRDefault="00F008D2" w:rsidP="000D1D92">
      <w:pPr>
        <w:pStyle w:val="EndnoteText"/>
      </w:pPr>
      <w:r w:rsidRPr="00AE0DBF">
        <w:rPr>
          <w:rStyle w:val="EndnoteReference"/>
        </w:rPr>
        <w:endnoteRef/>
      </w:r>
      <w:r w:rsidRPr="00AE0DBF">
        <w:t xml:space="preserve"> Prime Minister’s Office (Cth), ‘Transcript of joint press conference: women’s safety package to stop the violence’</w:t>
      </w:r>
      <w:r>
        <w:t>, 24 September 2015</w:t>
      </w:r>
      <w:r w:rsidRPr="00AE0DBF">
        <w:t xml:space="preserve"> (</w:t>
      </w:r>
      <w:r>
        <w:t>the Hon. Malcolm Turnbull MP, Prime Minister, Senator the Hon Michaelia Cash, Minister for Women, Rosy Batty, Ken Lay, Chief Commissioner of Police (Vic)</w:t>
      </w:r>
      <w:r w:rsidRPr="00AE0DBF">
        <w:t>) &lt;</w:t>
      </w:r>
      <w:r w:rsidRPr="00C533A9">
        <w:t>https://www.pm.gov.au/media/2015-09-24/transcript-joint-press-conference-womens-safety-package-stop-violence&gt;.</w:t>
      </w:r>
    </w:p>
  </w:endnote>
  <w:endnote w:id="643">
    <w:p w14:paraId="3D771AB1" w14:textId="77777777" w:rsidR="00F008D2" w:rsidRDefault="00F008D2" w:rsidP="000D1D92">
      <w:pPr>
        <w:pStyle w:val="EndnoteText"/>
        <w:jc w:val="both"/>
      </w:pPr>
      <w:r>
        <w:rPr>
          <w:rStyle w:val="EndnoteReference"/>
        </w:rPr>
        <w:endnoteRef/>
      </w:r>
      <w:r>
        <w:t xml:space="preserve"> Women’s Legal Services NSW, </w:t>
      </w:r>
      <w:r>
        <w:rPr>
          <w:rFonts w:cs="Arial"/>
        </w:rPr>
        <w:t xml:space="preserve">Submission No 33 </w:t>
      </w:r>
      <w:r>
        <w:t xml:space="preserve">to Australian Human Rights Commission, </w:t>
      </w:r>
      <w:r>
        <w:rPr>
          <w:i/>
        </w:rPr>
        <w:t xml:space="preserve">National Children’s Commissioner’s examination into children affected by family and domestic violence, </w:t>
      </w:r>
      <w:r>
        <w:t>16 June 2015, 3–4.</w:t>
      </w:r>
    </w:p>
  </w:endnote>
  <w:endnote w:id="644">
    <w:p w14:paraId="1D47CD32" w14:textId="77777777" w:rsidR="00F008D2" w:rsidRDefault="00F008D2" w:rsidP="000D1D92">
      <w:pPr>
        <w:pStyle w:val="EndnoteText"/>
      </w:pPr>
      <w:r>
        <w:rPr>
          <w:rStyle w:val="EndnoteReference"/>
        </w:rPr>
        <w:endnoteRef/>
      </w:r>
      <w:r>
        <w:t xml:space="preserve"> </w:t>
      </w:r>
      <w:r w:rsidRPr="00607F7F">
        <w:t>Berry Street</w:t>
      </w:r>
      <w:r>
        <w:t xml:space="preserve">, </w:t>
      </w:r>
      <w:r w:rsidRPr="00422F51">
        <w:t xml:space="preserve">Submission </w:t>
      </w:r>
      <w:r>
        <w:t>No 40</w:t>
      </w:r>
      <w:r w:rsidRPr="00422F51">
        <w:t xml:space="preserve"> to Australian Human Rights Commission, </w:t>
      </w:r>
      <w:r w:rsidRPr="0082462D">
        <w:rPr>
          <w:i/>
        </w:rPr>
        <w:t>National Children’s Commissioner’s examination into children affected by family and domestic violence</w:t>
      </w:r>
      <w:r>
        <w:t xml:space="preserve">, 19 June </w:t>
      </w:r>
      <w:r w:rsidRPr="00422F51">
        <w:t xml:space="preserve">2015, </w:t>
      </w:r>
      <w:r>
        <w:t>22.</w:t>
      </w:r>
    </w:p>
  </w:endnote>
  <w:endnote w:id="645">
    <w:p w14:paraId="6697C949" w14:textId="77777777" w:rsidR="00F008D2" w:rsidRDefault="00F008D2" w:rsidP="000D1D92">
      <w:pPr>
        <w:pStyle w:val="EndnoteText"/>
      </w:pPr>
      <w:r>
        <w:rPr>
          <w:rStyle w:val="EndnoteReference"/>
        </w:rPr>
        <w:endnoteRef/>
      </w:r>
      <w:r>
        <w:t xml:space="preserve"> Queensland Family and Child Commission, Submission No 16</w:t>
      </w:r>
      <w:r w:rsidRPr="00422F51">
        <w:t xml:space="preserve"> to Australian Human Rights Commission, </w:t>
      </w:r>
      <w:r w:rsidRPr="0082462D">
        <w:rPr>
          <w:i/>
        </w:rPr>
        <w:t>National Children’s Commissioner’s examination into children affected by family and domestic violence</w:t>
      </w:r>
      <w:r>
        <w:t xml:space="preserve">, 3 June </w:t>
      </w:r>
      <w:r w:rsidRPr="00422F51">
        <w:t xml:space="preserve">2015, </w:t>
      </w:r>
      <w:r>
        <w:t xml:space="preserve">9. </w:t>
      </w:r>
    </w:p>
  </w:endnote>
  <w:endnote w:id="646">
    <w:p w14:paraId="6811D25B" w14:textId="77777777" w:rsidR="00F008D2" w:rsidRDefault="00F008D2" w:rsidP="000D1D92">
      <w:pPr>
        <w:pStyle w:val="EndnoteText"/>
      </w:pPr>
      <w:r>
        <w:rPr>
          <w:rStyle w:val="EndnoteReference"/>
        </w:rPr>
        <w:endnoteRef/>
      </w:r>
      <w:r>
        <w:t xml:space="preserve"> Australian Psychological Society, Submission No 38 to the Australian Human Rights Commission, </w:t>
      </w:r>
      <w:r>
        <w:rPr>
          <w:i/>
        </w:rPr>
        <w:t xml:space="preserve">National Children’s Commissioner’s examination into children affected by family and domestic violence, </w:t>
      </w:r>
      <w:r>
        <w:t>17 June 2015, 11–14.</w:t>
      </w:r>
    </w:p>
  </w:endnote>
  <w:endnote w:id="647">
    <w:p w14:paraId="0EBFC8ED" w14:textId="77777777" w:rsidR="00F008D2" w:rsidRDefault="00F008D2" w:rsidP="000D1D92">
      <w:pPr>
        <w:pStyle w:val="EndnoteText"/>
      </w:pPr>
      <w:r>
        <w:rPr>
          <w:rStyle w:val="EndnoteReference"/>
        </w:rPr>
        <w:endnoteRef/>
      </w:r>
      <w:r>
        <w:t xml:space="preserve"> </w:t>
      </w:r>
      <w:r w:rsidRPr="004079F2">
        <w:t>Melbourne Research Alliance to End Violence Against Women and their Children, University of Melbourne</w:t>
      </w:r>
      <w:r>
        <w:t>,</w:t>
      </w:r>
      <w:r w:rsidRPr="005B2A9B">
        <w:t xml:space="preserve"> </w:t>
      </w:r>
      <w:r>
        <w:t xml:space="preserve">Submission No 18 </w:t>
      </w:r>
      <w:r w:rsidRPr="00422F51">
        <w:t xml:space="preserve">to Australian Human Rights Commission, </w:t>
      </w:r>
      <w:r w:rsidRPr="0082462D">
        <w:rPr>
          <w:i/>
        </w:rPr>
        <w:t>National Children’s Commissioner’s examination into children affected by family and domestic violence</w:t>
      </w:r>
      <w:r>
        <w:t>, 9 June 2015</w:t>
      </w:r>
      <w:r w:rsidRPr="00422F51">
        <w:t>,</w:t>
      </w:r>
      <w:r>
        <w:rPr>
          <w:lang w:val="en-US"/>
        </w:rPr>
        <w:t xml:space="preserve"> 7–8, 10</w:t>
      </w:r>
      <w:r>
        <w:t>.</w:t>
      </w:r>
    </w:p>
  </w:endnote>
  <w:endnote w:id="648">
    <w:p w14:paraId="6E8BD3BB" w14:textId="77777777" w:rsidR="00F008D2" w:rsidRPr="00A33846" w:rsidRDefault="00F008D2" w:rsidP="000D1D92">
      <w:pPr>
        <w:pStyle w:val="EndnoteText"/>
        <w:rPr>
          <w:lang w:val="en-US"/>
        </w:rPr>
      </w:pPr>
      <w:r>
        <w:rPr>
          <w:rStyle w:val="EndnoteReference"/>
        </w:rPr>
        <w:endnoteRef/>
      </w:r>
      <w:r>
        <w:t xml:space="preserve"> Families Australia, Submission No 22 to the Australian Human Rights Commission, </w:t>
      </w:r>
      <w:r>
        <w:rPr>
          <w:i/>
        </w:rPr>
        <w:t xml:space="preserve">National Children’s Commissioner’s examination into children affected by family and domestic violence, </w:t>
      </w:r>
      <w:r>
        <w:t>15 June 2015, 10.</w:t>
      </w:r>
    </w:p>
  </w:endnote>
  <w:endnote w:id="649">
    <w:p w14:paraId="0546B083" w14:textId="77777777" w:rsidR="00F008D2" w:rsidRDefault="00F008D2" w:rsidP="000D1D92">
      <w:pPr>
        <w:pStyle w:val="EndnoteText"/>
      </w:pPr>
      <w:r>
        <w:rPr>
          <w:rStyle w:val="EndnoteReference"/>
        </w:rPr>
        <w:endnoteRef/>
      </w:r>
      <w:r>
        <w:t xml:space="preserve"> </w:t>
      </w:r>
      <w:r w:rsidRPr="00D77108">
        <w:t>Department for Child Protection and Family Support</w:t>
      </w:r>
      <w:r>
        <w:t xml:space="preserve"> (WA), Attachment 34.1 to Australian Human Rights Commission, </w:t>
      </w:r>
      <w:r>
        <w:rPr>
          <w:i/>
        </w:rPr>
        <w:t xml:space="preserve">National Children’s Commissioner’s examination into children affected by family and domestic violence, </w:t>
      </w:r>
      <w:r>
        <w:t>16 June 2015, 8.</w:t>
      </w:r>
    </w:p>
  </w:endnote>
  <w:endnote w:id="650">
    <w:p w14:paraId="03EE4392" w14:textId="77777777" w:rsidR="00F008D2" w:rsidRDefault="00F008D2" w:rsidP="000D1D92">
      <w:pPr>
        <w:pStyle w:val="EndnoteText"/>
      </w:pPr>
      <w:r>
        <w:rPr>
          <w:rStyle w:val="EndnoteReference"/>
        </w:rPr>
        <w:endnoteRef/>
      </w:r>
      <w:r>
        <w:t xml:space="preserve"> Patricia Easteal, Attachment 1.2 to Australian Human Rights Commission, </w:t>
      </w:r>
      <w:r>
        <w:rPr>
          <w:i/>
        </w:rPr>
        <w:t xml:space="preserve">National Children’s Commissioner’s examination into children affected by family and domestic violence, </w:t>
      </w:r>
      <w:r>
        <w:t xml:space="preserve">1 May 2015, 21. </w:t>
      </w:r>
    </w:p>
  </w:endnote>
  <w:endnote w:id="651">
    <w:p w14:paraId="66A2F16F" w14:textId="77777777" w:rsidR="00F008D2" w:rsidRDefault="00F008D2" w:rsidP="000D1D92">
      <w:pPr>
        <w:pStyle w:val="EndnoteText"/>
      </w:pPr>
      <w:r>
        <w:rPr>
          <w:rStyle w:val="EndnoteReference"/>
        </w:rPr>
        <w:endnoteRef/>
      </w:r>
      <w:r>
        <w:t xml:space="preserve"> </w:t>
      </w:r>
      <w:r w:rsidRPr="00825C50">
        <w:t xml:space="preserve">Relationships Australia, Submission </w:t>
      </w:r>
      <w:r>
        <w:t xml:space="preserve">No </w:t>
      </w:r>
      <w:r w:rsidRPr="00825C50">
        <w:t xml:space="preserve">26 to Australian Human Rights Commission, </w:t>
      </w:r>
      <w:r w:rsidRPr="00E06D5C">
        <w:rPr>
          <w:i/>
        </w:rPr>
        <w:t>National Children’s Commissioner’s examination into children affected by family and domestic violence</w:t>
      </w:r>
      <w:r w:rsidRPr="00825C50">
        <w:t xml:space="preserve">, 11 June 2015, </w:t>
      </w:r>
      <w:r>
        <w:t>6</w:t>
      </w:r>
      <w:r w:rsidRPr="00825C50">
        <w:t>.</w:t>
      </w:r>
    </w:p>
  </w:endnote>
  <w:endnote w:id="652">
    <w:p w14:paraId="14150E69" w14:textId="77777777" w:rsidR="00F008D2" w:rsidRDefault="00F008D2" w:rsidP="000D1D92">
      <w:pPr>
        <w:pStyle w:val="EndnoteText"/>
      </w:pPr>
      <w:r>
        <w:rPr>
          <w:rStyle w:val="EndnoteReference"/>
        </w:rPr>
        <w:endnoteRef/>
      </w:r>
      <w:r>
        <w:t xml:space="preserve"> Queensland Family and Child Commission, Submission No 16</w:t>
      </w:r>
      <w:r w:rsidRPr="00422F51">
        <w:t xml:space="preserve"> to Australian Human Rights Commission, </w:t>
      </w:r>
      <w:r w:rsidRPr="0082462D">
        <w:rPr>
          <w:i/>
        </w:rPr>
        <w:t>National Children’s Commissioner’s examination into children affected by family and domestic violence</w:t>
      </w:r>
      <w:r>
        <w:t xml:space="preserve">, 3 June </w:t>
      </w:r>
      <w:r w:rsidRPr="00422F51">
        <w:t xml:space="preserve">2015, </w:t>
      </w:r>
      <w:r>
        <w:t>9.</w:t>
      </w:r>
    </w:p>
  </w:endnote>
  <w:endnote w:id="653">
    <w:p w14:paraId="06D698E1" w14:textId="77777777" w:rsidR="00F008D2" w:rsidRPr="00A33846" w:rsidRDefault="00F008D2" w:rsidP="000D1D92">
      <w:pPr>
        <w:pStyle w:val="EndnoteText"/>
        <w:rPr>
          <w:lang w:val="en-US"/>
        </w:rPr>
      </w:pPr>
      <w:r>
        <w:rPr>
          <w:rStyle w:val="EndnoteReference"/>
        </w:rPr>
        <w:endnoteRef/>
      </w:r>
      <w:r>
        <w:t xml:space="preserve"> </w:t>
      </w:r>
      <w:r w:rsidRPr="0014436B">
        <w:rPr>
          <w:lang w:val="en-US"/>
        </w:rPr>
        <w:t>C Humphreys, ‘Domestic violence and child protection: challenging directions for practice’ (Issues Paper 13, Australian Domestic and Family Violence Clearinghouse, 2007) 13, 19, 21.</w:t>
      </w:r>
    </w:p>
  </w:endnote>
  <w:endnote w:id="654">
    <w:p w14:paraId="71B3B532" w14:textId="77777777" w:rsidR="00F008D2" w:rsidRPr="002E2EF2" w:rsidRDefault="00F008D2" w:rsidP="000D1D92">
      <w:pPr>
        <w:pStyle w:val="EndnoteText"/>
      </w:pPr>
      <w:r>
        <w:rPr>
          <w:rStyle w:val="EndnoteReference"/>
        </w:rPr>
        <w:endnoteRef/>
      </w:r>
      <w:r>
        <w:t xml:space="preserve"> </w:t>
      </w:r>
      <w:r w:rsidRPr="009D5EC0">
        <w:t>Melbourne Research Alliance to End Violence Against Women and their Children, University of Melbourne</w:t>
      </w:r>
      <w:r>
        <w:t xml:space="preserve">, Attachment 18.1 </w:t>
      </w:r>
      <w:r w:rsidRPr="00422F51">
        <w:t xml:space="preserve">to Australian Human Rights Commission, </w:t>
      </w:r>
      <w:r w:rsidRPr="0082462D">
        <w:rPr>
          <w:i/>
        </w:rPr>
        <w:t>National Children’s Commissioner’s examination into children affected by family and domestic violence</w:t>
      </w:r>
      <w:r>
        <w:t>, 9 June 2015</w:t>
      </w:r>
      <w:r w:rsidRPr="00422F51">
        <w:t>,</w:t>
      </w:r>
      <w:r>
        <w:rPr>
          <w:lang w:val="en-US"/>
        </w:rPr>
        <w:t xml:space="preserve"> 1–9</w:t>
      </w:r>
      <w:r>
        <w:t>.</w:t>
      </w:r>
    </w:p>
  </w:endnote>
  <w:endnote w:id="655">
    <w:p w14:paraId="163B279E" w14:textId="77777777" w:rsidR="00F008D2" w:rsidRDefault="00F008D2" w:rsidP="000D1D92">
      <w:pPr>
        <w:pStyle w:val="EndnoteText"/>
      </w:pPr>
      <w:r>
        <w:rPr>
          <w:rStyle w:val="EndnoteReference"/>
        </w:rPr>
        <w:endnoteRef/>
      </w:r>
      <w:r>
        <w:t xml:space="preserve"> Women’s Legal Services Queensland, Submission No 23 </w:t>
      </w:r>
      <w:r w:rsidRPr="00422F51">
        <w:t xml:space="preserve">to Australian Human Rights Commission, </w:t>
      </w:r>
      <w:r w:rsidRPr="0082462D">
        <w:rPr>
          <w:i/>
        </w:rPr>
        <w:t>National Children’s Commissioner’s examination into children affected by family and domestic violence</w:t>
      </w:r>
      <w:r>
        <w:t>, 15 June 2015, 6–8.</w:t>
      </w:r>
    </w:p>
  </w:endnote>
  <w:endnote w:id="656">
    <w:p w14:paraId="766B93F7" w14:textId="77777777" w:rsidR="00F008D2" w:rsidRDefault="00F008D2" w:rsidP="000D1D92">
      <w:pPr>
        <w:pStyle w:val="EndnoteText"/>
      </w:pPr>
      <w:r>
        <w:rPr>
          <w:rStyle w:val="EndnoteReference"/>
        </w:rPr>
        <w:endnoteRef/>
      </w:r>
      <w:r>
        <w:t xml:space="preserve"> Confidential, Submission 39 </w:t>
      </w:r>
      <w:r w:rsidRPr="00422F51">
        <w:t xml:space="preserve">to Australian Human Rights Commission, </w:t>
      </w:r>
      <w:r w:rsidRPr="0082462D">
        <w:rPr>
          <w:i/>
        </w:rPr>
        <w:t>National Children’s Commissioner’s examination into children affected by family and domestic violence</w:t>
      </w:r>
      <w:r>
        <w:t>, 18 June 2015.</w:t>
      </w:r>
    </w:p>
  </w:endnote>
  <w:endnote w:id="657">
    <w:p w14:paraId="18185415" w14:textId="77777777" w:rsidR="00F008D2" w:rsidRPr="00A33846" w:rsidRDefault="00F008D2" w:rsidP="000D1D92">
      <w:pPr>
        <w:pStyle w:val="EndnoteText"/>
        <w:rPr>
          <w:lang w:val="en-US"/>
        </w:rPr>
      </w:pPr>
      <w:r>
        <w:rPr>
          <w:rStyle w:val="EndnoteReference"/>
        </w:rPr>
        <w:endnoteRef/>
      </w:r>
      <w:r>
        <w:t xml:space="preserve"> </w:t>
      </w:r>
      <w:r w:rsidRPr="00D349DD">
        <w:t xml:space="preserve">Melbourne Research Alliance to End Violence Against Women and their Children, University of Melbourne, Submission No 18 to Australian Human Rights Commission, </w:t>
      </w:r>
      <w:r w:rsidRPr="00D349DD">
        <w:rPr>
          <w:i/>
        </w:rPr>
        <w:t>National Children’s Commissioner’s examination into children affected by family and domestic violence</w:t>
      </w:r>
      <w:r w:rsidRPr="00D349DD">
        <w:t>, 9 June 2015,</w:t>
      </w:r>
      <w:r>
        <w:rPr>
          <w:lang w:val="en-US"/>
        </w:rPr>
        <w:t xml:space="preserve"> 3</w:t>
      </w:r>
      <w:r w:rsidRPr="00D349DD">
        <w:rPr>
          <w:lang w:val="en-US"/>
        </w:rPr>
        <w:t>.</w:t>
      </w:r>
    </w:p>
  </w:endnote>
  <w:endnote w:id="658">
    <w:p w14:paraId="785E6C16" w14:textId="77777777" w:rsidR="00F008D2" w:rsidRPr="002F7093" w:rsidRDefault="00F008D2" w:rsidP="000D1D92">
      <w:pPr>
        <w:pStyle w:val="EndnoteText"/>
        <w:jc w:val="both"/>
        <w:rPr>
          <w:lang w:val="en-US"/>
        </w:rPr>
      </w:pPr>
      <w:r>
        <w:rPr>
          <w:rStyle w:val="EndnoteReference"/>
        </w:rPr>
        <w:endnoteRef/>
      </w:r>
      <w:r>
        <w:t xml:space="preserve"> </w:t>
      </w:r>
      <w:r>
        <w:rPr>
          <w:lang w:val="en-US"/>
        </w:rPr>
        <w:t xml:space="preserve">New South Wales Government, </w:t>
      </w:r>
      <w:r w:rsidRPr="00F76AEE">
        <w:rPr>
          <w:lang w:val="en-US"/>
        </w:rPr>
        <w:t>Submission</w:t>
      </w:r>
      <w:r>
        <w:rPr>
          <w:lang w:val="en-US"/>
        </w:rPr>
        <w:t xml:space="preserve"> No</w:t>
      </w:r>
      <w:r w:rsidRPr="00F76AEE">
        <w:rPr>
          <w:lang w:val="en-US"/>
        </w:rPr>
        <w:t xml:space="preserve"> 51 </w:t>
      </w:r>
      <w:r w:rsidRPr="00F76AEE">
        <w:t>to</w:t>
      </w:r>
      <w:r>
        <w:t xml:space="preserve"> Australian Human Rights Commission, </w:t>
      </w:r>
      <w:r>
        <w:rPr>
          <w:i/>
        </w:rPr>
        <w:t xml:space="preserve">National Children’s Commissioner’s examination into children affected by family and domestic violence, </w:t>
      </w:r>
      <w:r>
        <w:t>28 July 2015,</w:t>
      </w:r>
      <w:r>
        <w:rPr>
          <w:lang w:val="en-US"/>
        </w:rPr>
        <w:t xml:space="preserve"> 9.</w:t>
      </w:r>
    </w:p>
  </w:endnote>
  <w:endnote w:id="659">
    <w:p w14:paraId="59658C9D" w14:textId="77777777" w:rsidR="00F008D2" w:rsidRDefault="00F008D2" w:rsidP="000D1D92">
      <w:pPr>
        <w:pStyle w:val="EndnoteText"/>
      </w:pPr>
      <w:r>
        <w:rPr>
          <w:rStyle w:val="EndnoteReference"/>
        </w:rPr>
        <w:endnoteRef/>
      </w:r>
      <w:r>
        <w:t xml:space="preserve"> Australian Association of Social Workers (AASW), </w:t>
      </w:r>
      <w:r w:rsidRPr="00F76AEE">
        <w:rPr>
          <w:lang w:val="en-US"/>
        </w:rPr>
        <w:t>Submission</w:t>
      </w:r>
      <w:r>
        <w:rPr>
          <w:lang w:val="en-US"/>
        </w:rPr>
        <w:t xml:space="preserve"> No</w:t>
      </w:r>
      <w:r w:rsidRPr="00F76AEE">
        <w:rPr>
          <w:lang w:val="en-US"/>
        </w:rPr>
        <w:t xml:space="preserve"> 5 </w:t>
      </w:r>
      <w:r w:rsidRPr="00F76AEE">
        <w:t>to</w:t>
      </w:r>
      <w:r>
        <w:t xml:space="preserve"> Australian Human Rights Commission, </w:t>
      </w:r>
      <w:r>
        <w:rPr>
          <w:i/>
        </w:rPr>
        <w:t>National Children’s Commissioner’s examination into children affected by family and domestic violence,</w:t>
      </w:r>
      <w:r>
        <w:t xml:space="preserve"> 27 May 2015, 4.</w:t>
      </w:r>
    </w:p>
  </w:endnote>
  <w:endnote w:id="660">
    <w:p w14:paraId="27D0505B" w14:textId="77777777" w:rsidR="00F008D2" w:rsidRDefault="00F008D2" w:rsidP="000D1D92">
      <w:pPr>
        <w:pStyle w:val="EndnoteText"/>
        <w:jc w:val="both"/>
      </w:pPr>
      <w:r>
        <w:rPr>
          <w:rStyle w:val="EndnoteReference"/>
        </w:rPr>
        <w:endnoteRef/>
      </w:r>
      <w:r>
        <w:t xml:space="preserve"> Kristy McKellar, Submission 59 to Australian Human Rights Commission, </w:t>
      </w:r>
      <w:r>
        <w:rPr>
          <w:i/>
        </w:rPr>
        <w:t xml:space="preserve">National Children’s Commissioner’s examination into children affected by family and domestic violence, </w:t>
      </w:r>
      <w:r>
        <w:t xml:space="preserve">13 September </w:t>
      </w:r>
      <w:r w:rsidRPr="001071D7">
        <w:t>2015</w:t>
      </w:r>
      <w:r>
        <w:rPr>
          <w:lang w:val="en-US"/>
        </w:rPr>
        <w:t>.</w:t>
      </w:r>
    </w:p>
  </w:endnote>
  <w:endnote w:id="661">
    <w:p w14:paraId="7DA78D6B" w14:textId="77777777" w:rsidR="00F008D2" w:rsidRPr="00A33846" w:rsidRDefault="00F008D2" w:rsidP="000D1D92">
      <w:pPr>
        <w:pStyle w:val="EndnoteText"/>
        <w:jc w:val="both"/>
      </w:pPr>
      <w:r>
        <w:rPr>
          <w:rStyle w:val="EndnoteReference"/>
        </w:rPr>
        <w:endnoteRef/>
      </w:r>
      <w:r>
        <w:t xml:space="preserve"> </w:t>
      </w:r>
      <w:r w:rsidRPr="000215A6">
        <w:t>Belinda Fehlberg</w:t>
      </w:r>
      <w:r>
        <w:t xml:space="preserve">, Attachment 2.1 </w:t>
      </w:r>
      <w:r w:rsidRPr="00F76AEE">
        <w:t>to</w:t>
      </w:r>
      <w:r>
        <w:t xml:space="preserve"> Australian Human Rights Commission, </w:t>
      </w:r>
      <w:r>
        <w:rPr>
          <w:i/>
        </w:rPr>
        <w:t>National Children’s Commissioner’s examination into children affected by family and domestic violence,</w:t>
      </w:r>
      <w:r>
        <w:t xml:space="preserve"> 7 May 2015, 154.</w:t>
      </w:r>
    </w:p>
  </w:endnote>
  <w:endnote w:id="662">
    <w:p w14:paraId="1091779E" w14:textId="32F26BB0" w:rsidR="00F008D2" w:rsidRPr="001A5BDA" w:rsidRDefault="00F008D2" w:rsidP="00795CDB">
      <w:pPr>
        <w:pStyle w:val="EndnoteText"/>
        <w:rPr>
          <w:lang w:val="en-US"/>
        </w:rPr>
      </w:pPr>
      <w:r>
        <w:rPr>
          <w:rStyle w:val="EndnoteReference"/>
        </w:rPr>
        <w:endnoteRef/>
      </w:r>
      <w:r>
        <w:t xml:space="preserve"> </w:t>
      </w:r>
      <w:r>
        <w:rPr>
          <w:lang w:val="en-US"/>
        </w:rPr>
        <w:t xml:space="preserve">Australian Institute of Family Studies, </w:t>
      </w:r>
      <w:r>
        <w:rPr>
          <w:i/>
          <w:lang w:val="en-US"/>
        </w:rPr>
        <w:t>Evaluation of the 2012 family violence amendments – synthesis report</w:t>
      </w:r>
      <w:r>
        <w:rPr>
          <w:lang w:val="en-US"/>
        </w:rPr>
        <w:t xml:space="preserve"> (2015) 8 &lt;</w:t>
      </w:r>
      <w:r w:rsidRPr="001A5BDA">
        <w:rPr>
          <w:lang w:val="en-US"/>
        </w:rPr>
        <w:t>https://aifs.gov.au/publications/evaluation-2012-family-violence-amendments</w:t>
      </w:r>
      <w:r>
        <w:rPr>
          <w:lang w:val="en-US"/>
        </w:rPr>
        <w:t>&gt;.</w:t>
      </w:r>
    </w:p>
  </w:endnote>
  <w:endnote w:id="663">
    <w:p w14:paraId="6B411556" w14:textId="15CE97D2" w:rsidR="00F008D2" w:rsidRPr="001A5BDA" w:rsidRDefault="00F008D2">
      <w:pPr>
        <w:pStyle w:val="EndnoteText"/>
        <w:rPr>
          <w:lang w:val="en-US"/>
        </w:rPr>
      </w:pPr>
      <w:r>
        <w:rPr>
          <w:rStyle w:val="EndnoteReference"/>
        </w:rPr>
        <w:endnoteRef/>
      </w:r>
      <w:r>
        <w:t xml:space="preserve"> </w:t>
      </w:r>
      <w:r>
        <w:rPr>
          <w:lang w:val="en-US"/>
        </w:rPr>
        <w:t xml:space="preserve">Australian Institute of Family Studies, </w:t>
      </w:r>
      <w:r>
        <w:rPr>
          <w:i/>
          <w:lang w:val="en-US"/>
        </w:rPr>
        <w:t>Evaluation of the 2012 family violence amendments – synthesis report</w:t>
      </w:r>
      <w:r>
        <w:rPr>
          <w:lang w:val="en-US"/>
        </w:rPr>
        <w:t xml:space="preserve"> (2015) 8.4 Summary &lt;</w:t>
      </w:r>
      <w:r w:rsidRPr="001A5BDA">
        <w:rPr>
          <w:lang w:val="en-US"/>
        </w:rPr>
        <w:t>https://aifs.gov.au/publications/evaluation-2012-family-violence-amendments</w:t>
      </w:r>
      <w:r>
        <w:rPr>
          <w:lang w:val="en-US"/>
        </w:rPr>
        <w:t>&gt;.</w:t>
      </w:r>
    </w:p>
  </w:endnote>
  <w:endnote w:id="664">
    <w:p w14:paraId="1FE94453" w14:textId="77777777" w:rsidR="00F008D2" w:rsidRPr="00A33846" w:rsidRDefault="00F008D2" w:rsidP="000D1D92">
      <w:pPr>
        <w:pStyle w:val="EndnoteText"/>
      </w:pPr>
      <w:r>
        <w:rPr>
          <w:rStyle w:val="EndnoteReference"/>
        </w:rPr>
        <w:endnoteRef/>
      </w:r>
      <w:r>
        <w:t xml:space="preserve"> Family Court of Australia, </w:t>
      </w:r>
      <w:r w:rsidRPr="00A33846">
        <w:rPr>
          <w:i/>
        </w:rPr>
        <w:t>Child abuse allegations</w:t>
      </w:r>
      <w:r>
        <w:t xml:space="preserve"> (1 April 2015) &lt;</w:t>
      </w:r>
      <w:hyperlink r:id="rId160" w:history="1">
        <w:r w:rsidRPr="0028701A">
          <w:rPr>
            <w:rStyle w:val="Hyperlink"/>
          </w:rPr>
          <w:t>http://www.familycourt.gov.au/wps/wcm/connect/fcoaweb/family-law-matters/family-violence/child-abuse-allegations/</w:t>
        </w:r>
      </w:hyperlink>
      <w:r>
        <w:t>&gt;.</w:t>
      </w:r>
    </w:p>
  </w:endnote>
  <w:endnote w:id="665">
    <w:p w14:paraId="52EEE0C5" w14:textId="77777777" w:rsidR="00F008D2" w:rsidRDefault="00F008D2" w:rsidP="000D1D92">
      <w:pPr>
        <w:pStyle w:val="EndnoteText"/>
      </w:pPr>
      <w:r>
        <w:rPr>
          <w:rStyle w:val="EndnoteReference"/>
        </w:rPr>
        <w:endnoteRef/>
      </w:r>
      <w:r>
        <w:t xml:space="preserve"> Patricia Easteal, Attachment 1.1 to Australian Human Rights Commission, </w:t>
      </w:r>
      <w:r>
        <w:rPr>
          <w:i/>
        </w:rPr>
        <w:t xml:space="preserve">National Children’s Commissioner’s examination into children affected by family and domestic violence, </w:t>
      </w:r>
      <w:r>
        <w:t xml:space="preserve">1 May 2015, 75. </w:t>
      </w:r>
    </w:p>
  </w:endnote>
  <w:endnote w:id="666">
    <w:p w14:paraId="3131BD62" w14:textId="77777777" w:rsidR="00F008D2" w:rsidRDefault="00F008D2" w:rsidP="000D1D92">
      <w:pPr>
        <w:pStyle w:val="EndnoteText"/>
      </w:pPr>
      <w:r>
        <w:rPr>
          <w:rStyle w:val="EndnoteReference"/>
        </w:rPr>
        <w:endnoteRef/>
      </w:r>
      <w:r>
        <w:t xml:space="preserve"> </w:t>
      </w:r>
      <w:r w:rsidRPr="00A33846">
        <w:t>Family Court of Australia</w:t>
      </w:r>
      <w:r>
        <w:t xml:space="preserve">, </w:t>
      </w:r>
      <w:r w:rsidRPr="00A33846">
        <w:rPr>
          <w:i/>
        </w:rPr>
        <w:t>Annual Report 2013-14</w:t>
      </w:r>
      <w:r>
        <w:t xml:space="preserve"> (2014) 74.</w:t>
      </w:r>
    </w:p>
  </w:endnote>
  <w:endnote w:id="667">
    <w:p w14:paraId="5C3B2DF2" w14:textId="77777777" w:rsidR="00F008D2" w:rsidRDefault="00F008D2" w:rsidP="000D1D92">
      <w:pPr>
        <w:pStyle w:val="EndnoteText"/>
      </w:pPr>
      <w:r>
        <w:rPr>
          <w:rStyle w:val="EndnoteReference"/>
        </w:rPr>
        <w:endnoteRef/>
      </w:r>
      <w:r>
        <w:t xml:space="preserve"> Patricia Easteal, Attachment 1.1 to Australian Human Rights Commission, </w:t>
      </w:r>
      <w:r>
        <w:rPr>
          <w:i/>
        </w:rPr>
        <w:t xml:space="preserve">National Children’s Commissioner’s examination into children affected by family and domestic violence, </w:t>
      </w:r>
      <w:r>
        <w:t xml:space="preserve">1 May 2015, 75. </w:t>
      </w:r>
    </w:p>
  </w:endnote>
  <w:endnote w:id="668">
    <w:p w14:paraId="655E727B" w14:textId="77777777" w:rsidR="00F008D2" w:rsidRDefault="00F008D2" w:rsidP="000D1D92">
      <w:pPr>
        <w:pStyle w:val="EndnoteText"/>
      </w:pPr>
      <w:r>
        <w:rPr>
          <w:rStyle w:val="EndnoteReference"/>
        </w:rPr>
        <w:endnoteRef/>
      </w:r>
      <w:r>
        <w:t xml:space="preserve"> Patricia Easteal, Attachment 1.1 to Australian Human Rights Commission, </w:t>
      </w:r>
      <w:r>
        <w:rPr>
          <w:i/>
        </w:rPr>
        <w:t xml:space="preserve">National Children’s Commissioner’s examination into children affected by family and domestic violence, </w:t>
      </w:r>
      <w:r>
        <w:t>1 May 2015, 77.</w:t>
      </w:r>
    </w:p>
  </w:endnote>
  <w:endnote w:id="669">
    <w:p w14:paraId="735AC327" w14:textId="77777777" w:rsidR="00F008D2" w:rsidRPr="000035B1" w:rsidRDefault="00F008D2" w:rsidP="000D1D92">
      <w:pPr>
        <w:pStyle w:val="EndnoteText"/>
        <w:rPr>
          <w:lang w:val="en-US"/>
        </w:rPr>
      </w:pPr>
      <w:r>
        <w:rPr>
          <w:rStyle w:val="EndnoteReference"/>
        </w:rPr>
        <w:endnoteRef/>
      </w:r>
      <w:r>
        <w:t xml:space="preserve"> </w:t>
      </w:r>
      <w:r w:rsidRPr="000035B1">
        <w:t>Family Law Council</w:t>
      </w:r>
      <w:r>
        <w:t xml:space="preserve">, Attorney-General’s Department (Cth), </w:t>
      </w:r>
      <w:r w:rsidRPr="00A33846">
        <w:rPr>
          <w:i/>
        </w:rPr>
        <w:t>Interim Report on Families with Complex Needs and the Intersection of the Family Law and Child Protection Systems</w:t>
      </w:r>
      <w:r>
        <w:t xml:space="preserve"> (2015) </w:t>
      </w:r>
      <w:r w:rsidRPr="000035B1">
        <w:t>95.</w:t>
      </w:r>
    </w:p>
  </w:endnote>
  <w:endnote w:id="670">
    <w:p w14:paraId="7BFDB3A3" w14:textId="77777777" w:rsidR="00F008D2" w:rsidRPr="004F1488" w:rsidRDefault="00F008D2" w:rsidP="000D1D92">
      <w:pPr>
        <w:pStyle w:val="EndnoteText"/>
        <w:rPr>
          <w:lang w:val="en-US"/>
        </w:rPr>
      </w:pPr>
      <w:r>
        <w:rPr>
          <w:rStyle w:val="EndnoteReference"/>
        </w:rPr>
        <w:endnoteRef/>
      </w:r>
      <w:r>
        <w:t xml:space="preserve"> </w:t>
      </w:r>
      <w:r w:rsidRPr="000035B1">
        <w:t>Family Law Council</w:t>
      </w:r>
      <w:r>
        <w:t xml:space="preserve">, Attorney-General’s Department (Cth), </w:t>
      </w:r>
      <w:r w:rsidRPr="00212D3C">
        <w:rPr>
          <w:i/>
        </w:rPr>
        <w:t>Interim Report on Families with Complex Needs and the Intersection of the Family Law and Child Protection Systems</w:t>
      </w:r>
      <w:r>
        <w:t xml:space="preserve"> (2015) 33</w:t>
      </w:r>
      <w:r w:rsidRPr="000035B1">
        <w:t>.</w:t>
      </w:r>
    </w:p>
  </w:endnote>
  <w:endnote w:id="671">
    <w:p w14:paraId="4EE179D0" w14:textId="77777777" w:rsidR="00F008D2" w:rsidRPr="00C25DFA" w:rsidRDefault="00F008D2" w:rsidP="000D1D92">
      <w:pPr>
        <w:pStyle w:val="EndnoteText"/>
        <w:rPr>
          <w:lang w:val="en-US"/>
        </w:rPr>
      </w:pPr>
      <w:r>
        <w:rPr>
          <w:rStyle w:val="EndnoteReference"/>
        </w:rPr>
        <w:endnoteRef/>
      </w:r>
      <w:r>
        <w:t xml:space="preserve"> </w:t>
      </w:r>
      <w:r w:rsidRPr="000035B1">
        <w:t>Family Law Council</w:t>
      </w:r>
      <w:r>
        <w:t xml:space="preserve">, Attorney-General’s Department (Cth), </w:t>
      </w:r>
      <w:r w:rsidRPr="00212D3C">
        <w:rPr>
          <w:i/>
        </w:rPr>
        <w:t>Interim Report on Families with Complex Needs and the Intersection of the Family Law and Child Protection Systems</w:t>
      </w:r>
      <w:r>
        <w:t xml:space="preserve"> (2015) </w:t>
      </w:r>
      <w:r w:rsidRPr="004979BB">
        <w:t>107.</w:t>
      </w:r>
    </w:p>
  </w:endnote>
  <w:endnote w:id="672">
    <w:p w14:paraId="3B0AF54F" w14:textId="77777777" w:rsidR="00F008D2" w:rsidRPr="004459EB" w:rsidRDefault="00F008D2" w:rsidP="000D1D92">
      <w:pPr>
        <w:pStyle w:val="EndnoteText"/>
        <w:rPr>
          <w:lang w:val="en-US"/>
        </w:rPr>
      </w:pPr>
      <w:r>
        <w:rPr>
          <w:rStyle w:val="EndnoteReference"/>
        </w:rPr>
        <w:endnoteRef/>
      </w:r>
      <w:r>
        <w:t xml:space="preserve"> </w:t>
      </w:r>
      <w:r w:rsidRPr="000035B1">
        <w:t>Family Law Council</w:t>
      </w:r>
      <w:r>
        <w:t xml:space="preserve">, Attorney-General’s Department (Cth), </w:t>
      </w:r>
      <w:r w:rsidRPr="00212D3C">
        <w:rPr>
          <w:i/>
        </w:rPr>
        <w:t>Interim Report on Families with Complex Needs and the Intersection of the Family Law and Child Protection Systems</w:t>
      </w:r>
      <w:r>
        <w:t xml:space="preserve"> (2015) </w:t>
      </w:r>
      <w:r w:rsidRPr="000035B1">
        <w:t>95.</w:t>
      </w:r>
    </w:p>
  </w:endnote>
  <w:endnote w:id="673">
    <w:p w14:paraId="5776122E" w14:textId="77777777" w:rsidR="00F008D2" w:rsidRDefault="00F008D2" w:rsidP="000D1D92">
      <w:pPr>
        <w:pStyle w:val="EndnoteText"/>
        <w:jc w:val="both"/>
      </w:pPr>
      <w:r>
        <w:rPr>
          <w:rStyle w:val="EndnoteReference"/>
        </w:rPr>
        <w:endnoteRef/>
      </w:r>
      <w:r>
        <w:t xml:space="preserve"> </w:t>
      </w:r>
      <w:r w:rsidRPr="00212D3C">
        <w:t>Family Court of Australia</w:t>
      </w:r>
      <w:r>
        <w:t xml:space="preserve">, </w:t>
      </w:r>
      <w:r w:rsidRPr="00212D3C">
        <w:rPr>
          <w:i/>
        </w:rPr>
        <w:t>Annual Report 2013-14</w:t>
      </w:r>
      <w:r>
        <w:t xml:space="preserve"> (2014) 113.</w:t>
      </w:r>
    </w:p>
  </w:endnote>
  <w:endnote w:id="674">
    <w:p w14:paraId="67A449D2" w14:textId="77777777" w:rsidR="00F008D2" w:rsidRPr="00A33846" w:rsidRDefault="00F008D2" w:rsidP="000D1D92">
      <w:pPr>
        <w:pStyle w:val="EndnoteText"/>
        <w:jc w:val="both"/>
        <w:rPr>
          <w:highlight w:val="yellow"/>
        </w:rPr>
      </w:pPr>
      <w:r w:rsidRPr="002E1342">
        <w:rPr>
          <w:rStyle w:val="EndnoteReference"/>
        </w:rPr>
        <w:endnoteRef/>
      </w:r>
      <w:r w:rsidRPr="002E1342">
        <w:t xml:space="preserve"> Family Court of Australia, </w:t>
      </w:r>
      <w:r w:rsidRPr="002E1342">
        <w:rPr>
          <w:i/>
        </w:rPr>
        <w:t xml:space="preserve">Family Court Bulletin </w:t>
      </w:r>
      <w:r w:rsidRPr="002E1342">
        <w:t xml:space="preserve">(2014) 15 (December) </w:t>
      </w:r>
      <w:r>
        <w:t>4.</w:t>
      </w:r>
    </w:p>
  </w:endnote>
  <w:endnote w:id="675">
    <w:p w14:paraId="24B0F8B3" w14:textId="77777777" w:rsidR="00F008D2" w:rsidRDefault="00F008D2" w:rsidP="000D1D92">
      <w:pPr>
        <w:pStyle w:val="EndnoteText"/>
      </w:pPr>
      <w:r>
        <w:rPr>
          <w:rStyle w:val="EndnoteReference"/>
        </w:rPr>
        <w:endnoteRef/>
      </w:r>
      <w:r>
        <w:t xml:space="preserve"> </w:t>
      </w:r>
      <w:r w:rsidRPr="00207BA7">
        <w:t>No funding was available for this project.</w:t>
      </w:r>
    </w:p>
  </w:endnote>
  <w:endnote w:id="676">
    <w:p w14:paraId="3441A4B9" w14:textId="77777777" w:rsidR="00F008D2" w:rsidRPr="001C6238" w:rsidRDefault="00F008D2" w:rsidP="000D1D92">
      <w:pPr>
        <w:pStyle w:val="EndnoteText"/>
        <w:jc w:val="both"/>
        <w:rPr>
          <w:highlight w:val="yellow"/>
        </w:rPr>
      </w:pPr>
      <w:r w:rsidRPr="005A22A0">
        <w:rPr>
          <w:rStyle w:val="EndnoteReference"/>
        </w:rPr>
        <w:endnoteRef/>
      </w:r>
      <w:r w:rsidRPr="005A22A0">
        <w:t xml:space="preserve"> </w:t>
      </w:r>
      <w:r w:rsidRPr="00E016A1">
        <w:t>X.</w:t>
      </w:r>
      <w:r>
        <w:t xml:space="preserve"> </w:t>
      </w:r>
      <w:r w:rsidRPr="00E016A1">
        <w:t>Lin, C</w:t>
      </w:r>
      <w:r>
        <w:t>.</w:t>
      </w:r>
      <w:r w:rsidRPr="00E016A1">
        <w:t xml:space="preserve"> Bryant, J</w:t>
      </w:r>
      <w:r>
        <w:t>.</w:t>
      </w:r>
      <w:r w:rsidRPr="00E016A1">
        <w:t xml:space="preserve"> Boldero and B.</w:t>
      </w:r>
      <w:r>
        <w:t xml:space="preserve"> </w:t>
      </w:r>
      <w:r w:rsidRPr="00E016A1">
        <w:t>Dow, ‘Older parent-child relationships from the older person’s perspective: A comparison of Australian-born people and Chinese immigrant, (Paper presented at the 13</w:t>
      </w:r>
      <w:r w:rsidRPr="00E016A1">
        <w:rPr>
          <w:vertAlign w:val="superscript"/>
        </w:rPr>
        <w:t>th</w:t>
      </w:r>
      <w:r w:rsidRPr="00E016A1">
        <w:t xml:space="preserve"> Australian Institute of Family Studies Conference), Melbourne, 30 July 2014, Slide 9.</w:t>
      </w:r>
    </w:p>
  </w:endnote>
  <w:endnote w:id="677">
    <w:p w14:paraId="555921CD" w14:textId="77777777" w:rsidR="00F008D2" w:rsidRPr="0038145B" w:rsidRDefault="00F008D2" w:rsidP="000D1D92">
      <w:pPr>
        <w:pStyle w:val="EndnoteText"/>
        <w:rPr>
          <w:lang w:val="en-US"/>
        </w:rPr>
      </w:pPr>
      <w:r>
        <w:rPr>
          <w:rStyle w:val="EndnoteReference"/>
        </w:rPr>
        <w:endnoteRef/>
      </w:r>
      <w:r>
        <w:t xml:space="preserve"> </w:t>
      </w:r>
      <w:r w:rsidRPr="0038145B">
        <w:t xml:space="preserve">Family Court of Australia </w:t>
      </w:r>
      <w:r>
        <w:t>and</w:t>
      </w:r>
      <w:r w:rsidRPr="0038145B">
        <w:t xml:space="preserve"> Federal Circuit Court of Australia</w:t>
      </w:r>
      <w:r>
        <w:t>,</w:t>
      </w:r>
      <w:r w:rsidRPr="0038145B">
        <w:t xml:space="preserve"> </w:t>
      </w:r>
      <w:r w:rsidRPr="00A33846">
        <w:rPr>
          <w:i/>
        </w:rPr>
        <w:t>Family Court of Australia &amp; Federal Circuit Court of Australia – Family Violence Plan 2014–16</w:t>
      </w:r>
      <w:r>
        <w:t xml:space="preserve"> (2014) </w:t>
      </w:r>
      <w:r w:rsidRPr="0038145B">
        <w:t>2.</w:t>
      </w:r>
    </w:p>
  </w:endnote>
  <w:endnote w:id="678">
    <w:p w14:paraId="57729215" w14:textId="77777777" w:rsidR="00F008D2" w:rsidRPr="00AE0DBF" w:rsidRDefault="00F008D2" w:rsidP="000D1D92">
      <w:pPr>
        <w:pStyle w:val="EndnoteText"/>
      </w:pPr>
      <w:r>
        <w:rPr>
          <w:rStyle w:val="EndnoteReference"/>
        </w:rPr>
        <w:endnoteRef/>
      </w:r>
      <w:r>
        <w:t xml:space="preserve"> Australian Bureau of Statistics, ‘ABS releases a foundation for improved family and domestic </w:t>
      </w:r>
      <w:r w:rsidRPr="00AE0DBF">
        <w:t>violence statistics’ (Media Release, 139/2014, 30 September 2014).</w:t>
      </w:r>
    </w:p>
  </w:endnote>
  <w:endnote w:id="679">
    <w:p w14:paraId="615B1CF3" w14:textId="77777777" w:rsidR="00F008D2" w:rsidRPr="00AE0DBF" w:rsidRDefault="00F008D2" w:rsidP="000D1D92">
      <w:pPr>
        <w:pStyle w:val="EndnoteText"/>
      </w:pPr>
      <w:r w:rsidRPr="00AE0DBF">
        <w:rPr>
          <w:rStyle w:val="EndnoteReference"/>
        </w:rPr>
        <w:endnoteRef/>
      </w:r>
      <w:r w:rsidRPr="00AE0DBF">
        <w:t xml:space="preserve"> Email from ABS National Centre for Crime and Justice Statistics to Australian Human Rights Commission, 17 March 2015.</w:t>
      </w:r>
    </w:p>
  </w:endnote>
  <w:endnote w:id="680">
    <w:p w14:paraId="7F7270A3" w14:textId="77777777" w:rsidR="00F008D2" w:rsidRDefault="00F008D2" w:rsidP="000D1D92">
      <w:pPr>
        <w:pStyle w:val="EndnoteText"/>
      </w:pPr>
      <w:r w:rsidRPr="00AE0DBF">
        <w:rPr>
          <w:rStyle w:val="EndnoteReference"/>
        </w:rPr>
        <w:endnoteRef/>
      </w:r>
      <w:r w:rsidRPr="00AE0DBF">
        <w:t xml:space="preserve"> Email from ABS National Centre for Crime and Justice Statistics to Australian Human Rights Commission</w:t>
      </w:r>
      <w:r>
        <w:t>, 17 March 2015.</w:t>
      </w:r>
    </w:p>
  </w:endnote>
  <w:endnote w:id="681">
    <w:p w14:paraId="64581FAA" w14:textId="77777777" w:rsidR="00F008D2" w:rsidRDefault="00F008D2" w:rsidP="000D1D92">
      <w:pPr>
        <w:pStyle w:val="EndnoteText"/>
      </w:pPr>
      <w:r>
        <w:rPr>
          <w:rStyle w:val="EndnoteReference"/>
        </w:rPr>
        <w:endnoteRef/>
      </w:r>
      <w:r>
        <w:t xml:space="preserve"> Australian Bureau of Statistics, ‘</w:t>
      </w:r>
      <w:r w:rsidRPr="002E1342">
        <w:t>Recorded Crime - Victims, Australia, 2014</w:t>
      </w:r>
      <w:r>
        <w:t xml:space="preserve"> – Explanatory Notes’ (</w:t>
      </w:r>
      <w:r w:rsidRPr="002E1342">
        <w:t>4510.0</w:t>
      </w:r>
      <w:r>
        <w:t>, 22 July 2015) [60] &lt;</w:t>
      </w:r>
      <w:hyperlink r:id="rId161" w:history="1">
        <w:r w:rsidRPr="00EA5D8E">
          <w:rPr>
            <w:rStyle w:val="Hyperlink"/>
          </w:rPr>
          <w:t>http://www.abs.gov.au/AUSSTATS/abs@.nsf/Latestproducts/4510.0Explanatory%20Notes12014?opendocument&amp;tabname=Notes&amp;prodno=4510.0&amp;issue=2014&amp;num=&amp;view</w:t>
        </w:r>
      </w:hyperlink>
      <w:r>
        <w:t>&gt;.</w:t>
      </w:r>
    </w:p>
  </w:endnote>
  <w:endnote w:id="682">
    <w:p w14:paraId="23C39FBD" w14:textId="77777777" w:rsidR="00F008D2" w:rsidRPr="00A95C86" w:rsidRDefault="00F008D2" w:rsidP="000D1D92">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4.</w:t>
      </w:r>
    </w:p>
  </w:endnote>
  <w:endnote w:id="683">
    <w:p w14:paraId="22D3ED7A" w14:textId="77777777" w:rsidR="00F008D2" w:rsidRPr="00A95C86" w:rsidRDefault="00F008D2" w:rsidP="000D1D92">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4</w:t>
      </w:r>
      <w:r w:rsidRPr="00E4369B">
        <w:t>.</w:t>
      </w:r>
    </w:p>
  </w:endnote>
  <w:endnote w:id="684">
    <w:p w14:paraId="374A36AA" w14:textId="77777777" w:rsidR="00F008D2" w:rsidRPr="00E7430E" w:rsidRDefault="00F008D2" w:rsidP="000D1D92">
      <w:pPr>
        <w:pStyle w:val="EndnoteText"/>
        <w:jc w:val="both"/>
        <w:rPr>
          <w:rFonts w:cs="Arial"/>
        </w:rPr>
      </w:pPr>
      <w:r w:rsidRPr="00E7430E">
        <w:rPr>
          <w:rStyle w:val="EndnoteReference"/>
          <w:rFonts w:cs="Arial"/>
        </w:rPr>
        <w:endnoteRef/>
      </w:r>
      <w:r w:rsidRPr="00E7430E">
        <w:rPr>
          <w:rFonts w:cs="Arial"/>
        </w:rPr>
        <w:t xml:space="preserve"> </w:t>
      </w:r>
      <w:r w:rsidRPr="00212D3C">
        <w:rPr>
          <w:rFonts w:cs="Arial"/>
        </w:rPr>
        <w:t xml:space="preserve">N Stanley, </w:t>
      </w:r>
      <w:r w:rsidRPr="00212D3C">
        <w:rPr>
          <w:rFonts w:cs="Arial"/>
          <w:i/>
          <w:iCs/>
        </w:rPr>
        <w:t xml:space="preserve">Children Experiencing Domestic Violence: A Research Review </w:t>
      </w:r>
      <w:r w:rsidRPr="00212D3C">
        <w:rPr>
          <w:rFonts w:cs="Arial"/>
          <w:iCs/>
        </w:rPr>
        <w:t>(</w:t>
      </w:r>
      <w:r w:rsidRPr="00212D3C">
        <w:rPr>
          <w:rFonts w:cs="Arial"/>
        </w:rPr>
        <w:t xml:space="preserve">Dartington: </w:t>
      </w:r>
      <w:r w:rsidRPr="00212D3C">
        <w:rPr>
          <w:rFonts w:cs="Arial"/>
          <w:bCs/>
        </w:rPr>
        <w:t xml:space="preserve">Research in Practice, </w:t>
      </w:r>
      <w:r w:rsidRPr="00212D3C">
        <w:rPr>
          <w:rFonts w:cs="Arial"/>
        </w:rPr>
        <w:t xml:space="preserve">2011) </w:t>
      </w:r>
      <w:r w:rsidRPr="00E7430E">
        <w:rPr>
          <w:rFonts w:cs="Arial"/>
        </w:rPr>
        <w:t>42.</w:t>
      </w:r>
    </w:p>
  </w:endnote>
  <w:endnote w:id="685">
    <w:p w14:paraId="351FED54" w14:textId="77777777" w:rsidR="00F008D2" w:rsidRPr="00D63ED6" w:rsidRDefault="00F008D2" w:rsidP="000D1D92">
      <w:pPr>
        <w:pStyle w:val="EndnoteText"/>
      </w:pPr>
      <w:r w:rsidRPr="001C7C9D">
        <w:rPr>
          <w:rStyle w:val="EndnoteReference"/>
        </w:rPr>
        <w:endnoteRef/>
      </w:r>
      <w:r w:rsidRPr="001C7C9D">
        <w:t xml:space="preserve"> Centre on the Developing Child, Harvard University, </w:t>
      </w:r>
      <w:r w:rsidRPr="001C7C9D">
        <w:rPr>
          <w:i/>
        </w:rPr>
        <w:t xml:space="preserve">InBrief: The Impact of Early Adversity on Children’s Development </w:t>
      </w:r>
      <w:r w:rsidRPr="001C7C9D">
        <w:t>(2007) &lt;</w:t>
      </w:r>
      <w:hyperlink r:id="rId162" w:history="1">
        <w:r w:rsidRPr="001C7C9D">
          <w:rPr>
            <w:rStyle w:val="Hyperlink"/>
          </w:rPr>
          <w:t>http://developingchild.harvard.edu/resources/inbrief-the-impact-of-early-adversity-on-childrens-development/</w:t>
        </w:r>
      </w:hyperlink>
      <w:r w:rsidRPr="001C7C9D">
        <w:t>&gt;.</w:t>
      </w:r>
    </w:p>
  </w:endnote>
  <w:endnote w:id="686">
    <w:p w14:paraId="24E073A1" w14:textId="77777777" w:rsidR="00F008D2" w:rsidRDefault="00F008D2" w:rsidP="000D1D92">
      <w:pPr>
        <w:pStyle w:val="EndnoteText"/>
        <w:jc w:val="both"/>
      </w:pPr>
      <w:r>
        <w:rPr>
          <w:rStyle w:val="EndnoteReference"/>
        </w:rPr>
        <w:endnoteRef/>
      </w:r>
      <w:r>
        <w:t xml:space="preserve"> Kristy McKellar, Submission 59 to Australian Human Rights Commission, </w:t>
      </w:r>
      <w:r>
        <w:rPr>
          <w:i/>
        </w:rPr>
        <w:t xml:space="preserve">National Children’s Commissioner’s examination into children affected by family and domestic violence, </w:t>
      </w:r>
      <w:r>
        <w:t xml:space="preserve">13 September </w:t>
      </w:r>
      <w:r w:rsidRPr="001071D7">
        <w:t>2015</w:t>
      </w:r>
      <w:r>
        <w:rPr>
          <w:lang w:val="en-US"/>
        </w:rPr>
        <w:t>.</w:t>
      </w:r>
    </w:p>
  </w:endnote>
  <w:endnote w:id="687">
    <w:p w14:paraId="51C09F3C" w14:textId="77777777" w:rsidR="00F008D2" w:rsidRDefault="00F008D2" w:rsidP="000D1D92">
      <w:pPr>
        <w:autoSpaceDE w:val="0"/>
        <w:autoSpaceDN w:val="0"/>
        <w:adjustRightInd w:val="0"/>
        <w:spacing w:before="0" w:after="0"/>
      </w:pPr>
      <w:r>
        <w:rPr>
          <w:rStyle w:val="EndnoteReference"/>
        </w:rPr>
        <w:endnoteRef/>
      </w:r>
      <w:r>
        <w:t xml:space="preserve"> </w:t>
      </w:r>
      <w:r>
        <w:rPr>
          <w:rFonts w:ascii="ArialMT" w:hAnsi="ArialMT" w:cs="ArialMT"/>
          <w:sz w:val="20"/>
          <w:szCs w:val="20"/>
        </w:rPr>
        <w:t xml:space="preserve">Australian Institute of Health and Welfare, </w:t>
      </w:r>
      <w:r w:rsidRPr="00A33846">
        <w:rPr>
          <w:rFonts w:ascii="ArialMT" w:hAnsi="ArialMT" w:cs="ArialMT"/>
          <w:i/>
          <w:sz w:val="20"/>
          <w:szCs w:val="20"/>
        </w:rPr>
        <w:t>Screening for domestic violence during pregnancy: options for future reporting in the National Perinatal Data Collection</w:t>
      </w:r>
      <w:r>
        <w:rPr>
          <w:rFonts w:ascii="ArialMT" w:hAnsi="ArialMT" w:cs="ArialMT"/>
          <w:sz w:val="20"/>
          <w:szCs w:val="20"/>
        </w:rPr>
        <w:t xml:space="preserve"> (2015) </w:t>
      </w:r>
      <w:r w:rsidRPr="00A33846">
        <w:rPr>
          <w:rFonts w:ascii="ArialMT" w:hAnsi="ArialMT" w:cs="ArialMT"/>
          <w:sz w:val="20"/>
          <w:szCs w:val="20"/>
        </w:rPr>
        <w:t>2.</w:t>
      </w:r>
    </w:p>
  </w:endnote>
  <w:endnote w:id="688">
    <w:p w14:paraId="65A9A007" w14:textId="77777777" w:rsidR="00F008D2" w:rsidRPr="00FB4EC6" w:rsidRDefault="00F008D2" w:rsidP="000D1D92">
      <w:pPr>
        <w:autoSpaceDE w:val="0"/>
        <w:autoSpaceDN w:val="0"/>
        <w:adjustRightInd w:val="0"/>
        <w:spacing w:before="0" w:after="0"/>
        <w:rPr>
          <w:lang w:val="en-US"/>
        </w:rPr>
      </w:pPr>
      <w:r>
        <w:rPr>
          <w:rStyle w:val="EndnoteReference"/>
        </w:rPr>
        <w:endnoteRef/>
      </w:r>
      <w:r>
        <w:t xml:space="preserve"> </w:t>
      </w:r>
      <w:r>
        <w:rPr>
          <w:rFonts w:ascii="ArialMT" w:hAnsi="ArialMT" w:cs="ArialMT"/>
          <w:sz w:val="20"/>
          <w:szCs w:val="20"/>
        </w:rPr>
        <w:t xml:space="preserve">Australian Institute of Health and Welfare, </w:t>
      </w:r>
      <w:r w:rsidRPr="00212D3C">
        <w:rPr>
          <w:rFonts w:ascii="ArialMT" w:hAnsi="ArialMT" w:cs="ArialMT"/>
          <w:i/>
          <w:sz w:val="20"/>
          <w:szCs w:val="20"/>
        </w:rPr>
        <w:t>Screening for domestic violence during pregnancy: options for future reporting in the National Perinatal Data Collection</w:t>
      </w:r>
      <w:r>
        <w:rPr>
          <w:rFonts w:ascii="ArialMT" w:hAnsi="ArialMT" w:cs="ArialMT"/>
          <w:sz w:val="20"/>
          <w:szCs w:val="20"/>
        </w:rPr>
        <w:t xml:space="preserve"> (2015) </w:t>
      </w:r>
      <w:r w:rsidRPr="00212D3C">
        <w:rPr>
          <w:rFonts w:ascii="ArialMT" w:hAnsi="ArialMT" w:cs="ArialMT"/>
          <w:sz w:val="20"/>
          <w:szCs w:val="20"/>
        </w:rPr>
        <w:t>2.</w:t>
      </w:r>
    </w:p>
  </w:endnote>
  <w:endnote w:id="689">
    <w:p w14:paraId="376D2793" w14:textId="77777777" w:rsidR="00F008D2" w:rsidRPr="000F0C53" w:rsidRDefault="00F008D2" w:rsidP="000D1D92">
      <w:pPr>
        <w:pStyle w:val="EndnoteText"/>
      </w:pPr>
      <w:r>
        <w:rPr>
          <w:rStyle w:val="EndnoteReference"/>
        </w:rPr>
        <w:endnoteRef/>
      </w:r>
      <w:r>
        <w:t xml:space="preserve"> </w:t>
      </w:r>
      <w:r w:rsidRPr="000F0C53">
        <w:t>Email from Sharon Cooke to Commissioner Mitchell, National Children’s Commissioner,16 August 2015.</w:t>
      </w:r>
    </w:p>
  </w:endnote>
  <w:endnote w:id="690">
    <w:p w14:paraId="719415FB" w14:textId="77777777" w:rsidR="00F008D2" w:rsidRPr="003A70C5" w:rsidRDefault="00F008D2" w:rsidP="000D1D92">
      <w:pPr>
        <w:pStyle w:val="EndnoteText"/>
        <w:rPr>
          <w:lang w:val="en-US"/>
        </w:rPr>
      </w:pPr>
      <w:r>
        <w:rPr>
          <w:rStyle w:val="EndnoteReference"/>
        </w:rPr>
        <w:endnoteRef/>
      </w:r>
      <w:r>
        <w:t xml:space="preserve"> </w:t>
      </w:r>
      <w:r w:rsidRPr="0082462D">
        <w:t>Royal Australian and New Zealand College of Psychiatrists (RANZCP)</w:t>
      </w:r>
      <w:r>
        <w:t xml:space="preserve">, </w:t>
      </w:r>
      <w:r w:rsidRPr="00422F51">
        <w:t xml:space="preserve">Submission </w:t>
      </w:r>
      <w:r>
        <w:t>No 37</w:t>
      </w:r>
      <w:r w:rsidRPr="00422F51">
        <w:t xml:space="preserve"> to Australian Human Rights Commission, </w:t>
      </w:r>
      <w:r w:rsidRPr="0082462D">
        <w:rPr>
          <w:i/>
        </w:rPr>
        <w:t>National Children’s Commissioner’s examination into children affected by family and domestic violence</w:t>
      </w:r>
      <w:r>
        <w:t xml:space="preserve">, 17 June </w:t>
      </w:r>
      <w:r w:rsidRPr="00422F51">
        <w:t xml:space="preserve">2015, </w:t>
      </w:r>
      <w:r>
        <w:t>3</w:t>
      </w:r>
      <w:r w:rsidRPr="00422F51">
        <w:t>.</w:t>
      </w:r>
    </w:p>
  </w:endnote>
  <w:endnote w:id="691">
    <w:p w14:paraId="591C2762" w14:textId="77777777" w:rsidR="00F008D2" w:rsidRPr="000F7D43" w:rsidRDefault="00F008D2" w:rsidP="000D1D92">
      <w:pPr>
        <w:autoSpaceDE w:val="0"/>
        <w:autoSpaceDN w:val="0"/>
        <w:adjustRightInd w:val="0"/>
        <w:spacing w:before="0" w:after="0"/>
        <w:rPr>
          <w:rFonts w:ascii="ArialMT" w:hAnsi="ArialMT" w:cs="ArialMT"/>
          <w:sz w:val="20"/>
          <w:szCs w:val="20"/>
        </w:rPr>
      </w:pPr>
      <w:r>
        <w:rPr>
          <w:rStyle w:val="EndnoteReference"/>
        </w:rPr>
        <w:endnoteRef/>
      </w:r>
      <w:r>
        <w:t xml:space="preserve"> </w:t>
      </w:r>
      <w:r>
        <w:rPr>
          <w:rFonts w:ascii="ArialMT" w:hAnsi="ArialMT" w:cs="ArialMT"/>
          <w:sz w:val="20"/>
          <w:szCs w:val="20"/>
        </w:rPr>
        <w:t xml:space="preserve">Australian Institute of Health and Welfare, </w:t>
      </w:r>
      <w:r w:rsidRPr="00212D3C">
        <w:rPr>
          <w:rFonts w:ascii="ArialMT" w:hAnsi="ArialMT" w:cs="ArialMT"/>
          <w:i/>
          <w:sz w:val="20"/>
          <w:szCs w:val="20"/>
        </w:rPr>
        <w:t>Screening for domestic violence during pregnancy: options for future reporting in the National Perinatal Data Collection</w:t>
      </w:r>
      <w:r>
        <w:rPr>
          <w:rFonts w:ascii="ArialMT" w:hAnsi="ArialMT" w:cs="ArialMT"/>
          <w:sz w:val="20"/>
          <w:szCs w:val="20"/>
        </w:rPr>
        <w:t xml:space="preserve"> (2015)</w:t>
      </w:r>
      <w:r w:rsidRPr="00212D3C">
        <w:rPr>
          <w:rFonts w:ascii="ArialMT" w:hAnsi="ArialMT" w:cs="ArialMT"/>
          <w:sz w:val="20"/>
          <w:szCs w:val="20"/>
        </w:rPr>
        <w:t>.</w:t>
      </w:r>
    </w:p>
  </w:endnote>
  <w:endnote w:id="692">
    <w:p w14:paraId="281FB557" w14:textId="77777777" w:rsidR="00F008D2" w:rsidRPr="005E5127" w:rsidRDefault="00F008D2" w:rsidP="000D1D92">
      <w:pPr>
        <w:pStyle w:val="EndnoteText"/>
        <w:jc w:val="both"/>
        <w:rPr>
          <w:lang w:val="en-US"/>
        </w:rPr>
      </w:pPr>
      <w:r>
        <w:rPr>
          <w:rStyle w:val="EndnoteReference"/>
        </w:rPr>
        <w:endnoteRef/>
      </w:r>
      <w:r>
        <w:t xml:space="preserve"> </w:t>
      </w:r>
      <w:r>
        <w:rPr>
          <w:rFonts w:cs="Arial"/>
        </w:rPr>
        <w:t xml:space="preserve">Emma Gierschick, Submission No 50 </w:t>
      </w:r>
      <w:r>
        <w:t xml:space="preserve">to Australian Human Rights Commission, </w:t>
      </w:r>
      <w:r>
        <w:rPr>
          <w:i/>
        </w:rPr>
        <w:t xml:space="preserve">National Children’s Commissioner’s examination into children affected by family and domestic violence, </w:t>
      </w:r>
      <w:r w:rsidRPr="00A33846">
        <w:t xml:space="preserve">27 July </w:t>
      </w:r>
      <w:r w:rsidRPr="00523AB5">
        <w:t>2015</w:t>
      </w:r>
      <w:r>
        <w:t xml:space="preserve">, </w:t>
      </w:r>
      <w:r>
        <w:rPr>
          <w:rFonts w:cs="Arial"/>
        </w:rPr>
        <w:t>31.</w:t>
      </w:r>
    </w:p>
  </w:endnote>
  <w:endnote w:id="693">
    <w:p w14:paraId="637CA32B" w14:textId="77777777" w:rsidR="00F008D2" w:rsidRPr="00C570B6" w:rsidRDefault="00F008D2" w:rsidP="000D1D92">
      <w:pPr>
        <w:pStyle w:val="EndnoteText"/>
        <w:rPr>
          <w:lang w:val="en-US"/>
        </w:rPr>
      </w:pPr>
      <w:r>
        <w:rPr>
          <w:rStyle w:val="EndnoteReference"/>
        </w:rPr>
        <w:endnoteRef/>
      </w:r>
      <w:r>
        <w:t xml:space="preserve"> </w:t>
      </w:r>
      <w:r>
        <w:rPr>
          <w:rFonts w:cs="Arial"/>
        </w:rPr>
        <w:t>Department for Child Protection and Family Support (WA),</w:t>
      </w:r>
      <w:r>
        <w:t xml:space="preserve"> </w:t>
      </w:r>
      <w:r>
        <w:rPr>
          <w:rFonts w:cs="Arial"/>
        </w:rPr>
        <w:t xml:space="preserve">Submission No 34 </w:t>
      </w:r>
      <w:r>
        <w:t xml:space="preserve">to Australian Human Rights Commission, </w:t>
      </w:r>
      <w:r>
        <w:rPr>
          <w:i/>
        </w:rPr>
        <w:t xml:space="preserve">National Children’s Commissioner’s examination into children affected by family and domestic violence, </w:t>
      </w:r>
      <w:r>
        <w:t xml:space="preserve">16 June 2015, </w:t>
      </w:r>
      <w:r>
        <w:rPr>
          <w:rFonts w:cs="Arial"/>
        </w:rPr>
        <w:t xml:space="preserve">2; </w:t>
      </w:r>
      <w:r w:rsidRPr="0082462D">
        <w:t>Royal Australian and New Zealand College of Psychiatrists (RANZCP)</w:t>
      </w:r>
      <w:r>
        <w:t xml:space="preserve">, </w:t>
      </w:r>
      <w:r w:rsidRPr="00422F51">
        <w:t>Submission</w:t>
      </w:r>
      <w:r>
        <w:t xml:space="preserve"> No</w:t>
      </w:r>
      <w:r w:rsidRPr="00422F51">
        <w:t xml:space="preserve"> </w:t>
      </w:r>
      <w:r>
        <w:t>37</w:t>
      </w:r>
      <w:r w:rsidRPr="00422F51">
        <w:t xml:space="preserve"> to Australian Human Rights Commission, </w:t>
      </w:r>
      <w:r w:rsidRPr="0082462D">
        <w:rPr>
          <w:i/>
        </w:rPr>
        <w:t>National Children’s Commissioner’s examination into children affected by family and domestic violence</w:t>
      </w:r>
      <w:r>
        <w:t xml:space="preserve">, 17 June </w:t>
      </w:r>
      <w:r w:rsidRPr="00422F51">
        <w:t xml:space="preserve">2015, </w:t>
      </w:r>
      <w:r>
        <w:t xml:space="preserve">5; </w:t>
      </w:r>
      <w:r w:rsidRPr="004079F2">
        <w:t>Melbourne Research Alliance to End Violence Against Women and their Children, University of Melbourne</w:t>
      </w:r>
      <w:r>
        <w:t>,</w:t>
      </w:r>
      <w:r w:rsidRPr="005B2A9B">
        <w:t xml:space="preserve"> </w:t>
      </w:r>
      <w:r>
        <w:t xml:space="preserve">Submission No 18 </w:t>
      </w:r>
      <w:r w:rsidRPr="00422F51">
        <w:t xml:space="preserve">to Australian Human Rights Commission, </w:t>
      </w:r>
      <w:r w:rsidRPr="0082462D">
        <w:rPr>
          <w:i/>
        </w:rPr>
        <w:t>National Children’s Commissioner’s examination into children affected by family and domestic violence</w:t>
      </w:r>
      <w:r>
        <w:t>, 9 June 2015</w:t>
      </w:r>
      <w:r w:rsidRPr="00422F51">
        <w:t>,</w:t>
      </w:r>
      <w:r>
        <w:rPr>
          <w:lang w:val="en-US"/>
        </w:rPr>
        <w:t xml:space="preserve"> 10.</w:t>
      </w:r>
    </w:p>
  </w:endnote>
  <w:endnote w:id="694">
    <w:p w14:paraId="3F8C9D49" w14:textId="77777777" w:rsidR="00F008D2" w:rsidRPr="00915E85" w:rsidRDefault="00F008D2" w:rsidP="000D1D92">
      <w:pPr>
        <w:pStyle w:val="EndnoteText"/>
        <w:rPr>
          <w:lang w:val="en-US"/>
        </w:rPr>
      </w:pPr>
      <w:r>
        <w:rPr>
          <w:rStyle w:val="EndnoteReference"/>
        </w:rPr>
        <w:endnoteRef/>
      </w:r>
      <w:r>
        <w:t xml:space="preserve"> Families</w:t>
      </w:r>
      <w:r w:rsidRPr="0051084E">
        <w:t xml:space="preserve"> Australia</w:t>
      </w:r>
      <w:r>
        <w:t xml:space="preserve">, </w:t>
      </w:r>
      <w:r w:rsidRPr="008029D3">
        <w:rPr>
          <w:lang w:val="en-US"/>
        </w:rPr>
        <w:t xml:space="preserve">Submission </w:t>
      </w:r>
      <w:r>
        <w:rPr>
          <w:lang w:val="en-US"/>
        </w:rPr>
        <w:t>No 22</w:t>
      </w:r>
      <w:r w:rsidRPr="008029D3">
        <w:rPr>
          <w:lang w:val="en-US"/>
        </w:rPr>
        <w:t xml:space="preserve"> </w:t>
      </w:r>
      <w:r w:rsidRPr="008029D3">
        <w:t xml:space="preserve">to Australian Human Rights Commission, </w:t>
      </w:r>
      <w:r w:rsidRPr="008029D3">
        <w:rPr>
          <w:i/>
        </w:rPr>
        <w:t>National Children’s Commissioner’s examination into children affected b</w:t>
      </w:r>
      <w:r>
        <w:rPr>
          <w:i/>
        </w:rPr>
        <w:t>y family and domestic violence</w:t>
      </w:r>
      <w:r>
        <w:t xml:space="preserve">, 15 June 2015, 5–6. </w:t>
      </w:r>
    </w:p>
  </w:endnote>
  <w:endnote w:id="695">
    <w:p w14:paraId="107ACC3E" w14:textId="77777777" w:rsidR="00F008D2" w:rsidRDefault="00F008D2" w:rsidP="000D1D92">
      <w:pPr>
        <w:pStyle w:val="EndnoteText"/>
      </w:pPr>
      <w:r>
        <w:rPr>
          <w:rStyle w:val="EndnoteReference"/>
        </w:rPr>
        <w:endnoteRef/>
      </w:r>
      <w:r>
        <w:t xml:space="preserve"> </w:t>
      </w:r>
      <w:r w:rsidRPr="001D4516">
        <w:t>Australian Association for Infant Mental Health, West Australian Branch</w:t>
      </w:r>
      <w:r>
        <w:t xml:space="preserve">, </w:t>
      </w:r>
      <w:r w:rsidRPr="00422F51">
        <w:t xml:space="preserve">Submission </w:t>
      </w:r>
      <w:r>
        <w:t>No 58</w:t>
      </w:r>
      <w:r w:rsidRPr="00422F51">
        <w:t xml:space="preserve"> to Australian Human Rights Commission, </w:t>
      </w:r>
      <w:r w:rsidRPr="0082462D">
        <w:rPr>
          <w:i/>
        </w:rPr>
        <w:t>National Children’s Commissioner’s examination into children affected by family and domestic violence</w:t>
      </w:r>
      <w:r>
        <w:t xml:space="preserve">, 28 August </w:t>
      </w:r>
      <w:r w:rsidRPr="00422F51">
        <w:t xml:space="preserve">2015, </w:t>
      </w:r>
      <w:r>
        <w:t>2</w:t>
      </w:r>
      <w:r w:rsidRPr="00422F51">
        <w:t>.</w:t>
      </w:r>
    </w:p>
  </w:endnote>
  <w:endnote w:id="696">
    <w:p w14:paraId="51FA2E61" w14:textId="77777777" w:rsidR="00F008D2" w:rsidRPr="00162A9C" w:rsidRDefault="00F008D2" w:rsidP="000D1D92">
      <w:pPr>
        <w:pStyle w:val="EndnoteText"/>
        <w:rPr>
          <w:lang w:val="en-US"/>
        </w:rPr>
      </w:pPr>
      <w:r>
        <w:rPr>
          <w:rStyle w:val="EndnoteReference"/>
        </w:rPr>
        <w:endnoteRef/>
      </w:r>
      <w:r>
        <w:t xml:space="preserve"> </w:t>
      </w:r>
      <w:r w:rsidRPr="000079F7">
        <w:t>Belinda Fehlberg</w:t>
      </w:r>
      <w:r>
        <w:t>,</w:t>
      </w:r>
      <w:r w:rsidRPr="005B2A9B">
        <w:t xml:space="preserve"> </w:t>
      </w:r>
      <w:r>
        <w:t xml:space="preserve">Attachment 2.1 </w:t>
      </w:r>
      <w:r w:rsidRPr="00422F51">
        <w:t xml:space="preserve">to Australian Human Rights Commission, </w:t>
      </w:r>
      <w:r w:rsidRPr="0082462D">
        <w:rPr>
          <w:i/>
        </w:rPr>
        <w:t>National Children’s Commissioner’s examination into children affected by family and domestic violence</w:t>
      </w:r>
      <w:r>
        <w:t>, 8 May 2015</w:t>
      </w:r>
      <w:r w:rsidRPr="00422F51">
        <w:t>,</w:t>
      </w:r>
      <w:r>
        <w:rPr>
          <w:lang w:val="en-US"/>
        </w:rPr>
        <w:t xml:space="preserve"> 152.</w:t>
      </w:r>
    </w:p>
  </w:endnote>
  <w:endnote w:id="697">
    <w:p w14:paraId="05D22080" w14:textId="77777777" w:rsidR="00F008D2" w:rsidRDefault="00F008D2" w:rsidP="000D1D92">
      <w:pPr>
        <w:pStyle w:val="EndnoteText"/>
      </w:pPr>
      <w:r>
        <w:rPr>
          <w:rStyle w:val="EndnoteReference"/>
        </w:rPr>
        <w:endnoteRef/>
      </w:r>
      <w:r>
        <w:t xml:space="preserve"> </w:t>
      </w:r>
      <w:r w:rsidRPr="00132FF5">
        <w:t>Australian Bureau of Statistics, ‘Recorded Crime - Victims, Australia, 2013 – Explanator</w:t>
      </w:r>
      <w:r>
        <w:t>y Notes’ 4510.0, 26 June 2014, 2 &lt;</w:t>
      </w:r>
      <w:hyperlink r:id="rId163" w:history="1">
        <w:r w:rsidRPr="00EA5D8E">
          <w:rPr>
            <w:rStyle w:val="Hyperlink"/>
          </w:rPr>
          <w:t>http://www.abs.gov.au/AUSSTATS/abs@.nsf/Lookup/4510.0Explanatory%20Notes12013?OpenDocument</w:t>
        </w:r>
      </w:hyperlink>
      <w:r>
        <w:t>&gt;.</w:t>
      </w:r>
    </w:p>
  </w:endnote>
  <w:endnote w:id="698">
    <w:p w14:paraId="69357922" w14:textId="77777777" w:rsidR="00F008D2" w:rsidRPr="001C6CD5" w:rsidRDefault="00F008D2" w:rsidP="000D1D92">
      <w:pPr>
        <w:pStyle w:val="EndnoteText"/>
      </w:pPr>
      <w:r>
        <w:rPr>
          <w:rStyle w:val="EndnoteReference"/>
        </w:rPr>
        <w:endnoteRef/>
      </w:r>
      <w:r>
        <w:t xml:space="preserve"> Department of Human Services (Vic), </w:t>
      </w:r>
      <w:r w:rsidRPr="00807A3B">
        <w:rPr>
          <w:i/>
        </w:rPr>
        <w:t>Taskforce 1000</w:t>
      </w:r>
      <w:r>
        <w:t xml:space="preserve"> </w:t>
      </w:r>
      <w:r w:rsidRPr="009D16C1">
        <w:t>(</w:t>
      </w:r>
      <w:r>
        <w:t>2015</w:t>
      </w:r>
      <w:r w:rsidRPr="009D16C1">
        <w:t xml:space="preserve">) </w:t>
      </w:r>
      <w:r>
        <w:t>&lt;</w:t>
      </w:r>
      <w:hyperlink r:id="rId164" w:history="1">
        <w:r w:rsidRPr="00EA5D8E">
          <w:rPr>
            <w:rStyle w:val="Hyperlink"/>
          </w:rPr>
          <w:t>http://www.dhs.vic.gov.au/about-the-department/plans,-programs-and-projects/projects-and-initiatives/children,-youth-and-family-services/taskforce-1000</w:t>
        </w:r>
      </w:hyperlink>
      <w:r>
        <w:t>&gt;.</w:t>
      </w:r>
    </w:p>
  </w:endnote>
  <w:endnote w:id="699">
    <w:p w14:paraId="4374F4C1" w14:textId="77777777" w:rsidR="00F008D2" w:rsidRPr="000D0035" w:rsidRDefault="00F008D2" w:rsidP="000D1D92">
      <w:pPr>
        <w:pStyle w:val="EndnoteText"/>
        <w:rPr>
          <w:lang w:val="en-US"/>
        </w:rPr>
      </w:pPr>
      <w:r>
        <w:rPr>
          <w:rStyle w:val="EndnoteReference"/>
        </w:rPr>
        <w:endnoteRef/>
      </w:r>
      <w:r>
        <w:t xml:space="preserve"> </w:t>
      </w:r>
      <w:r w:rsidRPr="00872F87">
        <w:t>Andrew Jackomos, Commissioner for Aboriginal Children and Young people (Victoria)</w:t>
      </w:r>
      <w:r>
        <w:t xml:space="preserve">, </w:t>
      </w:r>
      <w:r w:rsidRPr="008029D3">
        <w:rPr>
          <w:lang w:val="en-US"/>
        </w:rPr>
        <w:t xml:space="preserve">Submission </w:t>
      </w:r>
      <w:r>
        <w:rPr>
          <w:lang w:val="en-US"/>
        </w:rPr>
        <w:t>No 35</w:t>
      </w:r>
      <w:r w:rsidRPr="008029D3">
        <w:rPr>
          <w:lang w:val="en-US"/>
        </w:rPr>
        <w:t xml:space="preserve"> </w:t>
      </w:r>
      <w:r w:rsidRPr="008029D3">
        <w:t xml:space="preserve">to Australian Human Rights Commission, </w:t>
      </w:r>
      <w:r w:rsidRPr="008029D3">
        <w:rPr>
          <w:i/>
        </w:rPr>
        <w:t>National Children’s Commissioner’s examination into children affected b</w:t>
      </w:r>
      <w:r>
        <w:rPr>
          <w:i/>
        </w:rPr>
        <w:t>y family and domestic violence</w:t>
      </w:r>
      <w:r>
        <w:t>, 15 June 2015, 5</w:t>
      </w:r>
      <w:r w:rsidRPr="008029D3">
        <w:rPr>
          <w:lang w:val="en-US"/>
        </w:rPr>
        <w:t>.</w:t>
      </w:r>
    </w:p>
  </w:endnote>
  <w:endnote w:id="700">
    <w:p w14:paraId="78DE5D10" w14:textId="77777777" w:rsidR="00F008D2" w:rsidRPr="00E03D1D" w:rsidRDefault="00F008D2" w:rsidP="000D1D92">
      <w:pPr>
        <w:autoSpaceDE w:val="0"/>
        <w:autoSpaceDN w:val="0"/>
        <w:adjustRightInd w:val="0"/>
        <w:spacing w:before="0" w:after="0"/>
        <w:jc w:val="both"/>
        <w:rPr>
          <w:rFonts w:ascii="MuseoSans-300" w:hAnsi="MuseoSans-300" w:cs="MuseoSans-300"/>
          <w:sz w:val="20"/>
          <w:szCs w:val="20"/>
        </w:rPr>
      </w:pPr>
      <w:r w:rsidRPr="003779E2">
        <w:rPr>
          <w:rStyle w:val="EndnoteReference"/>
        </w:rPr>
        <w:endnoteRef/>
      </w:r>
      <w:r w:rsidRPr="003779E2">
        <w:t xml:space="preserve"> </w:t>
      </w:r>
      <w:r w:rsidRPr="003779E2">
        <w:rPr>
          <w:sz w:val="20"/>
          <w:szCs w:val="20"/>
        </w:rPr>
        <w:t xml:space="preserve">Kerry Arabena et al, </w:t>
      </w:r>
      <w:r w:rsidRPr="003779E2">
        <w:rPr>
          <w:i/>
          <w:sz w:val="20"/>
          <w:szCs w:val="20"/>
        </w:rPr>
        <w:t>University of Melbourne, Making the World of Difference: The First 1000 Days Scientific - Symposium Report</w:t>
      </w:r>
      <w:r w:rsidRPr="003779E2">
        <w:rPr>
          <w:sz w:val="20"/>
          <w:szCs w:val="20"/>
        </w:rPr>
        <w:t xml:space="preserve"> (2015) 31.</w:t>
      </w:r>
    </w:p>
  </w:endnote>
  <w:endnote w:id="701">
    <w:p w14:paraId="05A51D8F" w14:textId="77777777" w:rsidR="00F008D2" w:rsidRPr="00345744" w:rsidRDefault="00F008D2" w:rsidP="000D1D92">
      <w:pPr>
        <w:spacing w:before="0" w:after="0"/>
        <w:rPr>
          <w:sz w:val="20"/>
          <w:szCs w:val="20"/>
        </w:rPr>
      </w:pPr>
      <w:r w:rsidRPr="00753927">
        <w:rPr>
          <w:rStyle w:val="EndnoteReference"/>
          <w:szCs w:val="20"/>
        </w:rPr>
        <w:endnoteRef/>
      </w:r>
      <w:r w:rsidRPr="00753927">
        <w:rPr>
          <w:sz w:val="20"/>
          <w:szCs w:val="20"/>
        </w:rPr>
        <w:t xml:space="preserve"> </w:t>
      </w:r>
      <w:r w:rsidRPr="00482E44">
        <w:rPr>
          <w:sz w:val="20"/>
          <w:szCs w:val="20"/>
        </w:rPr>
        <w:t>Catherine Esposito</w:t>
      </w:r>
      <w:r>
        <w:rPr>
          <w:sz w:val="20"/>
          <w:szCs w:val="20"/>
        </w:rPr>
        <w:t xml:space="preserve">, </w:t>
      </w:r>
      <w:r w:rsidRPr="00753927">
        <w:rPr>
          <w:sz w:val="20"/>
          <w:szCs w:val="20"/>
        </w:rPr>
        <w:t>NSW Family and Community Services</w:t>
      </w:r>
      <w:r>
        <w:rPr>
          <w:sz w:val="20"/>
          <w:szCs w:val="20"/>
        </w:rPr>
        <w:t xml:space="preserve">, </w:t>
      </w:r>
      <w:r w:rsidRPr="00753927">
        <w:rPr>
          <w:i/>
          <w:sz w:val="20"/>
          <w:szCs w:val="20"/>
        </w:rPr>
        <w:t xml:space="preserve">Child sexual abuse and disclosure: What does the research tell us? </w:t>
      </w:r>
      <w:r>
        <w:rPr>
          <w:sz w:val="20"/>
          <w:szCs w:val="20"/>
        </w:rPr>
        <w:t>(2015), 13 &lt;</w:t>
      </w:r>
      <w:hyperlink r:id="rId165" w:history="1">
        <w:r w:rsidRPr="00EA5D8E">
          <w:rPr>
            <w:rStyle w:val="Hyperlink"/>
            <w:sz w:val="20"/>
            <w:szCs w:val="20"/>
          </w:rPr>
          <w:t>http://www.facs.nsw.gov.au/__data/assets/file/0003/306426/Literature_Review_How_Children_Disclose_Sexual_Abuse.pdf</w:t>
        </w:r>
      </w:hyperlink>
      <w:r>
        <w:rPr>
          <w:sz w:val="20"/>
          <w:szCs w:val="20"/>
        </w:rPr>
        <w:t>&gt;.</w:t>
      </w:r>
    </w:p>
  </w:endnote>
  <w:endnote w:id="702">
    <w:p w14:paraId="2A6BBC69" w14:textId="77777777" w:rsidR="00F008D2" w:rsidRPr="00710BAB" w:rsidRDefault="00F008D2" w:rsidP="000D1D92">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xml:space="preserve">, 2 June 2015, </w:t>
      </w:r>
      <w:r>
        <w:rPr>
          <w:lang w:val="en-US"/>
        </w:rPr>
        <w:t>15.</w:t>
      </w:r>
    </w:p>
  </w:endnote>
  <w:endnote w:id="703">
    <w:p w14:paraId="0227CA3C" w14:textId="77777777" w:rsidR="00F008D2" w:rsidRDefault="00F008D2" w:rsidP="000D1D92">
      <w:pPr>
        <w:pStyle w:val="EndnoteText"/>
      </w:pPr>
      <w:r>
        <w:rPr>
          <w:rStyle w:val="EndnoteReference"/>
        </w:rPr>
        <w:endnoteRef/>
      </w:r>
      <w:r>
        <w:t xml:space="preserve"> </w:t>
      </w:r>
      <w:r w:rsidRPr="00447042">
        <w:t>Australian Psychological Society</w:t>
      </w:r>
      <w:r>
        <w:t xml:space="preserve">, </w:t>
      </w:r>
      <w:r w:rsidRPr="008029D3">
        <w:rPr>
          <w:lang w:val="en-US"/>
        </w:rPr>
        <w:t xml:space="preserve">Submission </w:t>
      </w:r>
      <w:r>
        <w:rPr>
          <w:lang w:val="en-US"/>
        </w:rPr>
        <w:t>No 38</w:t>
      </w:r>
      <w:r w:rsidRPr="008029D3">
        <w:rPr>
          <w:lang w:val="en-US"/>
        </w:rPr>
        <w:t xml:space="preserve"> </w:t>
      </w:r>
      <w:r w:rsidRPr="008029D3">
        <w:t xml:space="preserve">to Australian Human Rights Commission, </w:t>
      </w:r>
      <w:r w:rsidRPr="008029D3">
        <w:rPr>
          <w:i/>
        </w:rPr>
        <w:t>National Children’s Commissioner’s examination into children affected b</w:t>
      </w:r>
      <w:r>
        <w:rPr>
          <w:i/>
        </w:rPr>
        <w:t>y family and domestic violence</w:t>
      </w:r>
      <w:r>
        <w:t xml:space="preserve">, 17 June 2015, </w:t>
      </w:r>
      <w:r>
        <w:rPr>
          <w:lang w:val="en-US"/>
        </w:rPr>
        <w:t>7–8</w:t>
      </w:r>
      <w:r w:rsidRPr="008029D3">
        <w:rPr>
          <w:lang w:val="en-US"/>
        </w:rPr>
        <w:t>.</w:t>
      </w:r>
    </w:p>
  </w:endnote>
  <w:endnote w:id="704">
    <w:p w14:paraId="4B861B37" w14:textId="77777777" w:rsidR="00F008D2" w:rsidRDefault="00F008D2" w:rsidP="000D1D92">
      <w:pPr>
        <w:pStyle w:val="EndnoteText"/>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13.</w:t>
      </w:r>
    </w:p>
  </w:endnote>
  <w:endnote w:id="705">
    <w:p w14:paraId="72CEE864" w14:textId="77777777" w:rsidR="00F008D2" w:rsidRDefault="00F008D2" w:rsidP="000D1D92">
      <w:pPr>
        <w:pStyle w:val="EndnoteText"/>
      </w:pPr>
      <w:r>
        <w:rPr>
          <w:rStyle w:val="EndnoteReference"/>
        </w:rPr>
        <w:endnoteRef/>
      </w:r>
      <w:r>
        <w:t xml:space="preserve"> </w:t>
      </w:r>
      <w:r w:rsidRPr="00D858DA">
        <w:t>Australia’s National Research Organisation for Women’s Safety (ANROWS)</w:t>
      </w:r>
      <w:r>
        <w:t xml:space="preserve">, </w:t>
      </w:r>
      <w:r w:rsidRPr="00F34089">
        <w:rPr>
          <w:i/>
        </w:rPr>
        <w:t>National Research Agenda to Reduce Violence against Women and their Children</w:t>
      </w:r>
      <w:r>
        <w:t xml:space="preserve"> (</w:t>
      </w:r>
      <w:r w:rsidRPr="00D858DA">
        <w:t>2014</w:t>
      </w:r>
      <w:r>
        <w:t>)</w:t>
      </w:r>
      <w:r w:rsidRPr="00D858DA">
        <w:t xml:space="preserve"> 21</w:t>
      </w:r>
      <w:r>
        <w:t xml:space="preserve"> &lt;</w:t>
      </w:r>
      <w:hyperlink r:id="rId166" w:history="1">
        <w:r w:rsidRPr="00EA5D8E">
          <w:rPr>
            <w:rStyle w:val="Hyperlink"/>
          </w:rPr>
          <w:t>http://anrows.org.au/about/national-research-agenda</w:t>
        </w:r>
      </w:hyperlink>
      <w:r>
        <w:t>&gt;</w:t>
      </w:r>
      <w:r w:rsidRPr="00D858DA">
        <w:t>.</w:t>
      </w:r>
    </w:p>
  </w:endnote>
  <w:endnote w:id="706">
    <w:p w14:paraId="06B64C40" w14:textId="77777777" w:rsidR="00F008D2" w:rsidRDefault="00F008D2" w:rsidP="000D1D92">
      <w:pPr>
        <w:pStyle w:val="EndnoteText"/>
      </w:pPr>
      <w:r>
        <w:rPr>
          <w:rStyle w:val="EndnoteReference"/>
        </w:rPr>
        <w:endnoteRef/>
      </w:r>
      <w:r>
        <w:t xml:space="preserve"> </w:t>
      </w:r>
      <w:r w:rsidRPr="001618F8">
        <w:t>Department of Children and Families</w:t>
      </w:r>
      <w:r>
        <w:t xml:space="preserve"> (NT), </w:t>
      </w:r>
      <w:r w:rsidRPr="008029D3">
        <w:rPr>
          <w:lang w:val="en-US"/>
        </w:rPr>
        <w:t>Submission</w:t>
      </w:r>
      <w:r>
        <w:rPr>
          <w:lang w:val="en-US"/>
        </w:rPr>
        <w:t xml:space="preserve"> No</w:t>
      </w:r>
      <w:r w:rsidRPr="008029D3">
        <w:rPr>
          <w:lang w:val="en-US"/>
        </w:rPr>
        <w:t xml:space="preserve"> </w:t>
      </w:r>
      <w:r>
        <w:rPr>
          <w:lang w:val="en-US"/>
        </w:rPr>
        <w:t xml:space="preserve">52 </w:t>
      </w:r>
      <w:r w:rsidRPr="008029D3">
        <w:t xml:space="preserve">to Australian Human Rights Commission, </w:t>
      </w:r>
      <w:r w:rsidRPr="008029D3">
        <w:rPr>
          <w:i/>
        </w:rPr>
        <w:t>National Children’s Commissioner’s examination into children affected b</w:t>
      </w:r>
      <w:r>
        <w:rPr>
          <w:i/>
        </w:rPr>
        <w:t>y family and domestic violence</w:t>
      </w:r>
      <w:r>
        <w:t>, 4 August 2015, 5</w:t>
      </w:r>
      <w:r w:rsidRPr="008029D3">
        <w:rPr>
          <w:lang w:val="en-US"/>
        </w:rPr>
        <w:t>.</w:t>
      </w:r>
    </w:p>
  </w:endnote>
  <w:endnote w:id="707">
    <w:p w14:paraId="1A97F9E9" w14:textId="77777777" w:rsidR="00F008D2" w:rsidRDefault="00F008D2" w:rsidP="000D1D92">
      <w:pPr>
        <w:pStyle w:val="EndnoteText"/>
      </w:pPr>
      <w:r>
        <w:rPr>
          <w:rStyle w:val="EndnoteReference"/>
        </w:rPr>
        <w:endnoteRef/>
      </w:r>
      <w:r>
        <w:t xml:space="preserve"> </w:t>
      </w:r>
      <w:r w:rsidRPr="008029D3">
        <w:t>Relationships Australia</w:t>
      </w:r>
      <w:r>
        <w:t xml:space="preserve">, </w:t>
      </w:r>
      <w:r w:rsidRPr="008029D3">
        <w:rPr>
          <w:lang w:val="en-US"/>
        </w:rPr>
        <w:t xml:space="preserve">Submission </w:t>
      </w:r>
      <w:r>
        <w:rPr>
          <w:lang w:val="en-US"/>
        </w:rPr>
        <w:t>No 2</w:t>
      </w:r>
      <w:r w:rsidRPr="008029D3">
        <w:rPr>
          <w:lang w:val="en-US"/>
        </w:rPr>
        <w:t xml:space="preserve">6 </w:t>
      </w:r>
      <w:r w:rsidRPr="008029D3">
        <w:t xml:space="preserve">to Australian Human Rights Commission, </w:t>
      </w:r>
      <w:r w:rsidRPr="008029D3">
        <w:rPr>
          <w:i/>
        </w:rPr>
        <w:t>National Children’s Commissioner’s examination into children affected b</w:t>
      </w:r>
      <w:r>
        <w:rPr>
          <w:i/>
        </w:rPr>
        <w:t>y family and domestic violence</w:t>
      </w:r>
      <w:r>
        <w:t xml:space="preserve">, 11 June 2015, </w:t>
      </w:r>
      <w:r>
        <w:rPr>
          <w:lang w:val="en-US"/>
        </w:rPr>
        <w:t>20</w:t>
      </w:r>
      <w:r w:rsidRPr="008029D3">
        <w:rPr>
          <w:lang w:val="en-US"/>
        </w:rPr>
        <w:t>.</w:t>
      </w:r>
      <w:r w:rsidRPr="00061283">
        <w:t xml:space="preserve"> </w:t>
      </w:r>
    </w:p>
  </w:endnote>
  <w:endnote w:id="708">
    <w:p w14:paraId="535B1E22" w14:textId="77777777" w:rsidR="00F008D2" w:rsidRPr="00F34089" w:rsidRDefault="00F008D2" w:rsidP="000D1D92">
      <w:pPr>
        <w:pStyle w:val="EndnoteText"/>
      </w:pPr>
      <w:r>
        <w:rPr>
          <w:rStyle w:val="EndnoteReference"/>
        </w:rPr>
        <w:endnoteRef/>
      </w:r>
      <w:r>
        <w:t xml:space="preserve"> </w:t>
      </w:r>
      <w:r w:rsidRPr="00D54275">
        <w:t>Australian Institute of Family Studies (AIFS) and Australia’s National Research Organisation for Women’s Safety (ANROWS)</w:t>
      </w:r>
      <w:r>
        <w:t xml:space="preserve">, </w:t>
      </w:r>
      <w:r>
        <w:rPr>
          <w:rFonts w:cs="Arial"/>
        </w:rPr>
        <w:t xml:space="preserve">Submission No 6 </w:t>
      </w:r>
      <w:r>
        <w:t xml:space="preserve">to Australian Human Rights Commission, </w:t>
      </w:r>
      <w:r>
        <w:rPr>
          <w:i/>
        </w:rPr>
        <w:t xml:space="preserve">National Children’s Commissioner’s examination into children affected by family and domestic violence, </w:t>
      </w:r>
      <w:r>
        <w:t xml:space="preserve">29 May </w:t>
      </w:r>
      <w:r w:rsidRPr="00422F51">
        <w:t>2015,</w:t>
      </w:r>
      <w:r>
        <w:t xml:space="preserve"> 18</w:t>
      </w:r>
      <w:r>
        <w:rPr>
          <w:rFonts w:cs="Arial"/>
        </w:rPr>
        <w:t>.</w:t>
      </w:r>
    </w:p>
  </w:endnote>
  <w:endnote w:id="709">
    <w:p w14:paraId="699FEAEC" w14:textId="77777777" w:rsidR="00F008D2" w:rsidRPr="00AA45EA" w:rsidRDefault="00F008D2" w:rsidP="000D1D92">
      <w:pPr>
        <w:pStyle w:val="EndnoteText"/>
        <w:jc w:val="both"/>
        <w:rPr>
          <w:lang w:val="en-US"/>
        </w:rPr>
      </w:pPr>
      <w:r>
        <w:rPr>
          <w:rStyle w:val="EndnoteReference"/>
        </w:rPr>
        <w:endnoteRef/>
      </w:r>
      <w:r>
        <w:t xml:space="preserve"> </w:t>
      </w:r>
      <w:r w:rsidRPr="00D54275">
        <w:t>Australian Institute of Family Studies (AIFS) and Australia’s National Research Organisation for Women’s Safety (ANROWS)</w:t>
      </w:r>
      <w:r>
        <w:t xml:space="preserve">, </w:t>
      </w:r>
      <w:r>
        <w:rPr>
          <w:rFonts w:cs="Arial"/>
        </w:rPr>
        <w:t xml:space="preserve">Submission No 6 </w:t>
      </w:r>
      <w:r>
        <w:t xml:space="preserve">to Australian Human Rights Commission, </w:t>
      </w:r>
      <w:r>
        <w:rPr>
          <w:i/>
        </w:rPr>
        <w:t xml:space="preserve">National Children’s Commissioner’s examination into children affected by family and domestic violence, </w:t>
      </w:r>
      <w:r>
        <w:t xml:space="preserve">29 May </w:t>
      </w:r>
      <w:r w:rsidRPr="00422F51">
        <w:t>2015,</w:t>
      </w:r>
      <w:r>
        <w:t xml:space="preserve"> 18</w:t>
      </w:r>
      <w:r>
        <w:rPr>
          <w:rFonts w:cs="Arial"/>
        </w:rPr>
        <w:t>.</w:t>
      </w:r>
    </w:p>
  </w:endnote>
  <w:endnote w:id="710">
    <w:p w14:paraId="6A5072D9" w14:textId="77777777" w:rsidR="00F008D2" w:rsidRDefault="00F008D2" w:rsidP="00A90ED5">
      <w:pPr>
        <w:pStyle w:val="EndnoteText"/>
      </w:pPr>
      <w:r>
        <w:rPr>
          <w:rStyle w:val="EndnoteReference"/>
        </w:rPr>
        <w:endnoteRef/>
      </w:r>
      <w:r>
        <w:t xml:space="preserve"> Australian Bureau of Statistics, ‘</w:t>
      </w:r>
      <w:r w:rsidRPr="002E1342">
        <w:t>Recorded Crime - Victims, Australia, 2014</w:t>
      </w:r>
      <w:r>
        <w:t xml:space="preserve"> – Introduction’ (</w:t>
      </w:r>
      <w:r w:rsidRPr="002E1342">
        <w:t>4510.0</w:t>
      </w:r>
      <w:r>
        <w:t>, 22 July 2015) &lt;</w:t>
      </w:r>
      <w:hyperlink r:id="rId167" w:history="1">
        <w:r w:rsidRPr="00EA5D8E">
          <w:rPr>
            <w:rStyle w:val="Hyperlink"/>
          </w:rPr>
          <w:t>http://www.abs.gov.au/ausstats/abs@.nsf/Lookup/by%20Subject/4510.0~2014~Main%20Features~Introduction~3</w:t>
        </w:r>
      </w:hyperlink>
      <w:r>
        <w:t>&gt;.</w:t>
      </w:r>
    </w:p>
  </w:endnote>
  <w:endnote w:id="711">
    <w:p w14:paraId="2B52E572" w14:textId="77777777" w:rsidR="00F008D2" w:rsidRDefault="00F008D2" w:rsidP="00A90ED5">
      <w:pPr>
        <w:pStyle w:val="EndnoteText"/>
      </w:pPr>
      <w:r>
        <w:rPr>
          <w:rStyle w:val="EndnoteReference"/>
        </w:rPr>
        <w:endnoteRef/>
      </w:r>
      <w:r>
        <w:t xml:space="preserve"> Australian Bureau of Statistics, ‘</w:t>
      </w:r>
      <w:r w:rsidRPr="002E1342">
        <w:t>Recorded Crime - Victims, Australia, 2014</w:t>
      </w:r>
      <w:r>
        <w:t xml:space="preserve"> – Glossary’ (</w:t>
      </w:r>
      <w:r w:rsidRPr="002E1342">
        <w:t>4510.0</w:t>
      </w:r>
      <w:r>
        <w:t>, 22 July 2015) &lt;</w:t>
      </w:r>
      <w:hyperlink r:id="rId168" w:history="1">
        <w:r w:rsidRPr="00EA5D8E">
          <w:rPr>
            <w:rStyle w:val="Hyperlink"/>
          </w:rPr>
          <w:t>http://www.abs.gov.au/AUSSTATS/abs@.nsf/Latestproducts/4510.0Glossary12014?opendocument&amp;tabname=Notes&amp;prodno=4510.0&amp;issue=2014&amp;num=&amp;view</w:t>
        </w:r>
      </w:hyperlink>
      <w:r>
        <w:t>&gt;</w:t>
      </w:r>
    </w:p>
  </w:endnote>
  <w:endnote w:id="712">
    <w:p w14:paraId="26390E7F" w14:textId="77777777" w:rsidR="00F008D2" w:rsidRDefault="00F008D2" w:rsidP="00A90ED5">
      <w:pPr>
        <w:pStyle w:val="EndnoteText"/>
      </w:pPr>
      <w:r>
        <w:rPr>
          <w:rStyle w:val="EndnoteReference"/>
        </w:rPr>
        <w:endnoteRef/>
      </w:r>
      <w:r>
        <w:t xml:space="preserve"> Australian Bureau of Statistics, ‘</w:t>
      </w:r>
      <w:r w:rsidRPr="002E1342">
        <w:t>Recorded Crime - Victims, Australia, 2014</w:t>
      </w:r>
      <w:r>
        <w:t xml:space="preserve"> – Glossary’ (</w:t>
      </w:r>
      <w:r w:rsidRPr="002E1342">
        <w:t>4510.0</w:t>
      </w:r>
      <w:r>
        <w:t>, 22 July 2015) &lt;</w:t>
      </w:r>
      <w:hyperlink r:id="rId169" w:history="1">
        <w:r w:rsidRPr="00EA5D8E">
          <w:rPr>
            <w:rStyle w:val="Hyperlink"/>
          </w:rPr>
          <w:t>http://www.abs.gov.au/AUSSTATS/abs@.nsf/Latestproducts/4510.0Glossary12014?opendocument&amp;tabname=Notes&amp;prodno=4510.0&amp;issue=2014&amp;num=&amp;view</w:t>
        </w:r>
      </w:hyperlink>
      <w:r>
        <w:t>&gt;</w:t>
      </w:r>
    </w:p>
  </w:endnote>
  <w:endnote w:id="713">
    <w:p w14:paraId="75EDEDEF" w14:textId="77777777" w:rsidR="00F008D2" w:rsidRDefault="00F008D2" w:rsidP="00A90ED5">
      <w:pPr>
        <w:pStyle w:val="EndnoteText"/>
      </w:pPr>
      <w:r>
        <w:rPr>
          <w:rStyle w:val="EndnoteReference"/>
        </w:rPr>
        <w:endnoteRef/>
      </w:r>
      <w:r>
        <w:t xml:space="preserve"> Australian Bureau of Statistics, ‘</w:t>
      </w:r>
      <w:r w:rsidRPr="002E1342">
        <w:t>Recorded Crime - Victims, Australia, 2014</w:t>
      </w:r>
      <w:r>
        <w:t xml:space="preserve"> – Glossary’ (</w:t>
      </w:r>
      <w:r w:rsidRPr="002E1342">
        <w:t>4510.0</w:t>
      </w:r>
      <w:r>
        <w:t>, 22 July 2015) &lt;</w:t>
      </w:r>
      <w:hyperlink r:id="rId170" w:history="1">
        <w:r w:rsidRPr="00EA5D8E">
          <w:rPr>
            <w:rStyle w:val="Hyperlink"/>
          </w:rPr>
          <w:t>http://www.abs.gov.au/AUSSTATS/abs@.nsf/Latestproducts/4510.0Glossary12014?opendocument&amp;tabname=Notes&amp;prodno=4510.0&amp;issue=2014&amp;num=&amp;view</w:t>
        </w:r>
      </w:hyperlink>
      <w:r>
        <w:t>&gt;</w:t>
      </w:r>
    </w:p>
  </w:endnote>
  <w:endnote w:id="714">
    <w:p w14:paraId="43CDD4D2" w14:textId="77777777" w:rsidR="00F008D2" w:rsidRDefault="00F008D2" w:rsidP="00A90ED5">
      <w:pPr>
        <w:pStyle w:val="EndnoteText"/>
      </w:pPr>
      <w:r>
        <w:rPr>
          <w:rStyle w:val="EndnoteReference"/>
        </w:rPr>
        <w:endnoteRef/>
      </w:r>
      <w:r>
        <w:t xml:space="preserve"> Australian Bureau of Statistics, ‘</w:t>
      </w:r>
      <w:r w:rsidRPr="002E1342">
        <w:t>Recorded Crime - Victims, Australia, 2014</w:t>
      </w:r>
      <w:r>
        <w:t xml:space="preserve"> – Explanatory Notes’ (</w:t>
      </w:r>
      <w:r w:rsidRPr="002E1342">
        <w:t>4510.0</w:t>
      </w:r>
      <w:r>
        <w:t>, 22 July 2015) [18] &lt;</w:t>
      </w:r>
      <w:hyperlink r:id="rId171" w:history="1">
        <w:r w:rsidRPr="00EA5D8E">
          <w:rPr>
            <w:rStyle w:val="Hyperlink"/>
          </w:rPr>
          <w:t>http://www.abs.gov.au/AUSSTATS/abs@.nsf/Latestproducts/4510.0Explanatory%20Notes12014?opendocument&amp;tabname=Notes&amp;prodno=4510.0&amp;issue=2014&amp;num=&amp;view</w:t>
        </w:r>
      </w:hyperlink>
      <w:r>
        <w:t>&gt;.</w:t>
      </w:r>
    </w:p>
  </w:endnote>
  <w:endnote w:id="715">
    <w:p w14:paraId="4A6A64D0" w14:textId="77777777" w:rsidR="00F008D2" w:rsidRDefault="00F008D2" w:rsidP="00A90ED5">
      <w:pPr>
        <w:pStyle w:val="EndnoteText"/>
      </w:pPr>
      <w:r>
        <w:rPr>
          <w:rStyle w:val="EndnoteReference"/>
        </w:rPr>
        <w:endnoteRef/>
      </w:r>
      <w:r>
        <w:t xml:space="preserve"> Australian Bureau of Statistics, ‘</w:t>
      </w:r>
      <w:r w:rsidRPr="002E1342">
        <w:t>Recorded Crime - Victims, Australia, 2014</w:t>
      </w:r>
      <w:r>
        <w:t xml:space="preserve"> – Glossary’ (</w:t>
      </w:r>
      <w:r w:rsidRPr="002E1342">
        <w:t>4510.0</w:t>
      </w:r>
      <w:r>
        <w:t>, 22 July 2015) &lt;</w:t>
      </w:r>
      <w:hyperlink r:id="rId172" w:history="1">
        <w:r w:rsidRPr="00EA5D8E">
          <w:rPr>
            <w:rStyle w:val="Hyperlink"/>
          </w:rPr>
          <w:t>http://www.abs.gov.au/AUSSTATS/abs@.nsf/Latestproducts/4510.0Glossary12014?opendocument&amp;tabname=Notes&amp;prodno=4510.0&amp;issue=2014&amp;num=&amp;view</w:t>
        </w:r>
      </w:hyperlink>
      <w:r>
        <w:t>&gt;</w:t>
      </w:r>
    </w:p>
  </w:endnote>
  <w:endnote w:id="716">
    <w:p w14:paraId="6EAA684F" w14:textId="77777777" w:rsidR="00F008D2" w:rsidRDefault="00F008D2" w:rsidP="00A90ED5">
      <w:pPr>
        <w:pStyle w:val="EndnoteText"/>
      </w:pPr>
      <w:r>
        <w:rPr>
          <w:rStyle w:val="EndnoteReference"/>
        </w:rPr>
        <w:endnoteRef/>
      </w:r>
      <w:r>
        <w:t xml:space="preserve"> Australian Bureau of Statistics, ‘</w:t>
      </w:r>
      <w:r w:rsidRPr="002E1342">
        <w:t>Recorded Crime - Victims, Australia, 2014</w:t>
      </w:r>
      <w:r>
        <w:t xml:space="preserve"> – Explanatory Notes’ (</w:t>
      </w:r>
      <w:r w:rsidRPr="002E1342">
        <w:t>4510.0</w:t>
      </w:r>
      <w:r>
        <w:t>, 22 July 2015) [60] &lt;</w:t>
      </w:r>
      <w:hyperlink r:id="rId173" w:history="1">
        <w:r w:rsidRPr="00EA5D8E">
          <w:rPr>
            <w:rStyle w:val="Hyperlink"/>
          </w:rPr>
          <w:t>http://www.abs.gov.au/AUSSTATS/abs@.nsf/Latestproducts/4510.0Explanatory%20Notes12014?opendocument&amp;tabname=Notes&amp;prodno=4510.0&amp;issue=2014&amp;num=&amp;view</w:t>
        </w:r>
      </w:hyperlink>
      <w:r>
        <w:t>&gt;.</w:t>
      </w:r>
    </w:p>
  </w:endnote>
  <w:endnote w:id="717">
    <w:p w14:paraId="1A709C5B" w14:textId="77777777" w:rsidR="00F008D2" w:rsidRDefault="00F008D2" w:rsidP="00A90ED5">
      <w:pPr>
        <w:pStyle w:val="EndnoteText"/>
      </w:pPr>
      <w:r>
        <w:rPr>
          <w:rStyle w:val="EndnoteReference"/>
        </w:rPr>
        <w:endnoteRef/>
      </w:r>
      <w:r>
        <w:t xml:space="preserve"> Australian Bureau of Statistics, ‘</w:t>
      </w:r>
      <w:r w:rsidRPr="002E1342">
        <w:t>Recorded Crime - Victims, Australia, 2014</w:t>
      </w:r>
      <w:r>
        <w:t xml:space="preserve"> – Glossary’ (</w:t>
      </w:r>
      <w:r w:rsidRPr="002E1342">
        <w:t>4510.0</w:t>
      </w:r>
      <w:r>
        <w:t>, 22 July 2015) &lt;</w:t>
      </w:r>
      <w:hyperlink r:id="rId174" w:history="1">
        <w:r w:rsidRPr="00EA5D8E">
          <w:rPr>
            <w:rStyle w:val="Hyperlink"/>
          </w:rPr>
          <w:t>http://www.abs.gov.au/AUSSTATS/abs@.nsf/Latestproducts/4510.0Glossary12014?opendocument&amp;tabname=Notes&amp;prodno=4510.0&amp;issue=2014&amp;num=&amp;view</w:t>
        </w:r>
      </w:hyperlink>
      <w:r>
        <w:t>&gt;</w:t>
      </w:r>
    </w:p>
  </w:endnote>
  <w:endnote w:id="718">
    <w:p w14:paraId="6D2B1A0F" w14:textId="77777777" w:rsidR="00F008D2" w:rsidRDefault="00F008D2" w:rsidP="00A90ED5">
      <w:pPr>
        <w:pStyle w:val="EndnoteText"/>
      </w:pPr>
      <w:r>
        <w:rPr>
          <w:rStyle w:val="EndnoteReference"/>
        </w:rPr>
        <w:endnoteRef/>
      </w:r>
      <w:r>
        <w:t xml:space="preserve"> Australian Bureau of Statistics, ‘</w:t>
      </w:r>
      <w:r w:rsidRPr="002E1342">
        <w:t>Recorded Crime - Victims, Australia, 2014</w:t>
      </w:r>
      <w:r>
        <w:t xml:space="preserve"> – Explanatory Notes’ (</w:t>
      </w:r>
      <w:r w:rsidRPr="002E1342">
        <w:t>4510.0</w:t>
      </w:r>
      <w:r>
        <w:t>, 22 July 2015) [17–21]</w:t>
      </w:r>
    </w:p>
    <w:p w14:paraId="2993AAD6" w14:textId="77777777" w:rsidR="00F008D2" w:rsidRDefault="00F008D2" w:rsidP="00A90ED5">
      <w:pPr>
        <w:pStyle w:val="EndnoteText"/>
      </w:pPr>
      <w:r>
        <w:t>&lt;</w:t>
      </w:r>
      <w:hyperlink r:id="rId175" w:history="1">
        <w:r w:rsidRPr="00EA5D8E">
          <w:rPr>
            <w:rStyle w:val="Hyperlink"/>
          </w:rPr>
          <w:t>http://www.abs.gov.au/AUSSTATS/abs@.nsf/Latestproducts/4510.0Explanatory%20Notes12014?opendocument&amp;tabname=Notes&amp;prodno=4510.0&amp;issue=2014&amp;num=&amp;view</w:t>
        </w:r>
      </w:hyperlink>
      <w:r>
        <w:t>&gt;.</w:t>
      </w:r>
    </w:p>
  </w:endnote>
  <w:endnote w:id="719">
    <w:p w14:paraId="210D911C" w14:textId="77777777" w:rsidR="00F008D2" w:rsidRDefault="00F008D2" w:rsidP="00A90ED5">
      <w:pPr>
        <w:pStyle w:val="EndnoteText"/>
      </w:pPr>
      <w:r>
        <w:rPr>
          <w:rStyle w:val="EndnoteReference"/>
        </w:rPr>
        <w:endnoteRef/>
      </w:r>
      <w:r>
        <w:t xml:space="preserve"> Australian Bureau of Statistics, ‘</w:t>
      </w:r>
      <w:r w:rsidRPr="000C467D">
        <w:t>Personal Safety, Australia, 201</w:t>
      </w:r>
      <w:r>
        <w:t>2 – Introduction’ (4906.0, 11 December 2013) &lt;</w:t>
      </w:r>
      <w:hyperlink r:id="rId176" w:history="1">
        <w:r w:rsidRPr="00EA5D8E">
          <w:rPr>
            <w:rStyle w:val="Hyperlink"/>
          </w:rPr>
          <w:t>http://www.abs.gov.au/ausstats/abs@.nsf/Lookup/4906.0Chapter1002012</w:t>
        </w:r>
      </w:hyperlink>
      <w:r>
        <w:t>&gt;.</w:t>
      </w:r>
    </w:p>
  </w:endnote>
  <w:endnote w:id="720">
    <w:p w14:paraId="2084AFF2" w14:textId="77777777" w:rsidR="00F008D2" w:rsidRDefault="00F008D2" w:rsidP="00A90ED5">
      <w:pPr>
        <w:pStyle w:val="EndnoteText"/>
      </w:pPr>
      <w:r>
        <w:rPr>
          <w:rStyle w:val="EndnoteReference"/>
        </w:rPr>
        <w:endnoteRef/>
      </w:r>
      <w:r>
        <w:t xml:space="preserve"> Australian Bureau of Statistics, ‘</w:t>
      </w:r>
      <w:r w:rsidRPr="000C467D">
        <w:t>Personal Safety, Australia, 201</w:t>
      </w:r>
      <w:r>
        <w:t>2 – Technical Notes’ (4906.0, 11 December 2013) [1] &lt;</w:t>
      </w:r>
      <w:hyperlink r:id="rId177" w:history="1">
        <w:r w:rsidRPr="00EA5D8E">
          <w:rPr>
            <w:rStyle w:val="Hyperlink"/>
          </w:rPr>
          <w:t>http://www.abs.gov.au/ausstats/abs@.nsf/Lookup/4906.0Technical+Note12012</w:t>
        </w:r>
      </w:hyperlink>
      <w:r>
        <w:t>&gt;.</w:t>
      </w:r>
    </w:p>
  </w:endnote>
  <w:endnote w:id="721">
    <w:p w14:paraId="1D5EA96A" w14:textId="77777777" w:rsidR="00F008D2" w:rsidRDefault="00F008D2" w:rsidP="00A90ED5">
      <w:pPr>
        <w:pStyle w:val="EndnoteText"/>
      </w:pPr>
      <w:r>
        <w:rPr>
          <w:rStyle w:val="EndnoteReference"/>
        </w:rPr>
        <w:endnoteRef/>
      </w:r>
      <w:r>
        <w:t xml:space="preserve"> Australian Bureau of Statistics, ‘</w:t>
      </w:r>
      <w:r w:rsidRPr="000C467D">
        <w:t>Personal Safety, Australia, 201</w:t>
      </w:r>
      <w:r>
        <w:t>2 – Introduction’ (4906.0, 11 December 2013) &lt;</w:t>
      </w:r>
      <w:hyperlink r:id="rId178" w:history="1">
        <w:r w:rsidRPr="00EA5D8E">
          <w:rPr>
            <w:rStyle w:val="Hyperlink"/>
          </w:rPr>
          <w:t>http://www.abs.gov.au/ausstats/abs@.nsf/Lookup/4906.0Chapter1002012</w:t>
        </w:r>
      </w:hyperlink>
      <w:r>
        <w:t>&gt;.</w:t>
      </w:r>
    </w:p>
  </w:endnote>
  <w:endnote w:id="722">
    <w:p w14:paraId="5395FA75" w14:textId="77777777" w:rsidR="00F008D2" w:rsidRDefault="00F008D2" w:rsidP="00A90ED5">
      <w:pPr>
        <w:pStyle w:val="EndnoteText"/>
      </w:pPr>
      <w:r>
        <w:rPr>
          <w:rStyle w:val="EndnoteReference"/>
        </w:rPr>
        <w:endnoteRef/>
      </w:r>
      <w:r>
        <w:t xml:space="preserve"> Australian Bureau of Statistics, ‘</w:t>
      </w:r>
      <w:r w:rsidRPr="000C467D">
        <w:t>Personal Safety, Australia, 201</w:t>
      </w:r>
      <w:r>
        <w:t>2 – Introduction’ (4906.0, 11 December 2013) &lt;</w:t>
      </w:r>
      <w:hyperlink r:id="rId179" w:history="1">
        <w:r w:rsidRPr="00EA5D8E">
          <w:rPr>
            <w:rStyle w:val="Hyperlink"/>
          </w:rPr>
          <w:t>http://www.abs.gov.au/ausstats/abs@.nsf/Lookup/4906.0Chapter1002012</w:t>
        </w:r>
      </w:hyperlink>
      <w:r>
        <w:t>&gt;.</w:t>
      </w:r>
    </w:p>
  </w:endnote>
  <w:endnote w:id="723">
    <w:p w14:paraId="3BB64820" w14:textId="77777777" w:rsidR="00F008D2" w:rsidRDefault="00F008D2" w:rsidP="00A90ED5">
      <w:pPr>
        <w:pStyle w:val="EndnoteText"/>
      </w:pPr>
      <w:r>
        <w:rPr>
          <w:rStyle w:val="EndnoteReference"/>
        </w:rPr>
        <w:endnoteRef/>
      </w:r>
      <w:r>
        <w:t xml:space="preserve"> Australian Bureau of Statistics, ‘</w:t>
      </w:r>
      <w:r w:rsidRPr="000C467D">
        <w:t>Personal Safety, Australia, 201</w:t>
      </w:r>
      <w:r>
        <w:t>2 – Glossary’ (4906.0, 11 December 2013) &lt;</w:t>
      </w:r>
      <w:hyperlink r:id="rId180" w:history="1">
        <w:r w:rsidRPr="00EA5D8E">
          <w:rPr>
            <w:rStyle w:val="Hyperlink"/>
          </w:rPr>
          <w:t>http://www.abs.gov.au/AUSSTATS/abs@.nsf/Latestproducts/4906.0Glossary12012?opendocument&amp;tabname=Notes&amp;prodno=4906.0&amp;issue=2012&amp;num=&amp;view</w:t>
        </w:r>
      </w:hyperlink>
      <w:r>
        <w:t>&gt;.</w:t>
      </w:r>
    </w:p>
  </w:endnote>
  <w:endnote w:id="724">
    <w:p w14:paraId="5AF9C37F" w14:textId="77777777" w:rsidR="00F008D2" w:rsidRDefault="00F008D2" w:rsidP="00A90ED5">
      <w:pPr>
        <w:pStyle w:val="EndnoteText"/>
      </w:pPr>
      <w:r>
        <w:rPr>
          <w:rStyle w:val="EndnoteReference"/>
        </w:rPr>
        <w:endnoteRef/>
      </w:r>
      <w:r>
        <w:t xml:space="preserve"> Australian Bureau of Statistics, ‘</w:t>
      </w:r>
      <w:r w:rsidRPr="000C467D">
        <w:t>Personal Safety, Australia, 201</w:t>
      </w:r>
      <w:r>
        <w:t>2 – Glossary’ (4906.0, 11 December 2013) &lt;</w:t>
      </w:r>
      <w:hyperlink r:id="rId181" w:history="1">
        <w:r w:rsidRPr="00EA5D8E">
          <w:rPr>
            <w:rStyle w:val="Hyperlink"/>
          </w:rPr>
          <w:t>http://www.abs.gov.au/AUSSTATS/abs@.nsf/Latestproducts/4906.0Glossary12012?opendocument&amp;tabname=Notes&amp;prodno=4906.0&amp;issue=2012&amp;num=&amp;view</w:t>
        </w:r>
      </w:hyperlink>
      <w:r>
        <w:t>&gt;.</w:t>
      </w:r>
    </w:p>
  </w:endnote>
  <w:endnote w:id="725">
    <w:p w14:paraId="3ACDD11A" w14:textId="77777777" w:rsidR="00F008D2" w:rsidRDefault="00F008D2" w:rsidP="00A90ED5">
      <w:pPr>
        <w:pStyle w:val="EndnoteText"/>
      </w:pPr>
      <w:r>
        <w:rPr>
          <w:rStyle w:val="EndnoteReference"/>
        </w:rPr>
        <w:endnoteRef/>
      </w:r>
      <w:r>
        <w:t xml:space="preserve"> Australian Bureau of Statistics, ‘</w:t>
      </w:r>
      <w:r w:rsidRPr="000C467D">
        <w:t>Personal Safety, Australia, 201</w:t>
      </w:r>
      <w:r>
        <w:t>2 – Glossary’ (4906.0, 11 December 2013) &lt;</w:t>
      </w:r>
      <w:hyperlink r:id="rId182" w:history="1">
        <w:r w:rsidRPr="00EA5D8E">
          <w:rPr>
            <w:rStyle w:val="Hyperlink"/>
          </w:rPr>
          <w:t>http://www.abs.gov.au/AUSSTATS/abs@.nsf/Latestproducts/4906.0Glossary12012?opendocument&amp;tabname=Notes&amp;prodno=4906.0&amp;issue=2012&amp;num=&amp;view</w:t>
        </w:r>
      </w:hyperlink>
      <w:r>
        <w:t>&gt;.</w:t>
      </w:r>
    </w:p>
  </w:endnote>
  <w:endnote w:id="726">
    <w:p w14:paraId="04DBB6DA" w14:textId="77777777" w:rsidR="00F008D2" w:rsidRDefault="00F008D2" w:rsidP="00A90ED5">
      <w:pPr>
        <w:pStyle w:val="EndnoteText"/>
      </w:pPr>
      <w:r w:rsidRPr="00894A66">
        <w:rPr>
          <w:rStyle w:val="EndnoteReference"/>
        </w:rPr>
        <w:endnoteRef/>
      </w:r>
      <w:r w:rsidRPr="00894A66">
        <w:t xml:space="preserve"> Australian Bureau of Statistics, ‘Personal Safety, Australia, 2012 – Glossary’ (4906.0, 11 December</w:t>
      </w:r>
      <w:r>
        <w:t xml:space="preserve"> 2013) &lt;</w:t>
      </w:r>
      <w:hyperlink r:id="rId183" w:history="1">
        <w:r w:rsidRPr="00EA5D8E">
          <w:rPr>
            <w:rStyle w:val="Hyperlink"/>
          </w:rPr>
          <w:t>http://www.abs.gov.au/AUSSTATS/abs@.nsf/Latestproducts/4906.0Glossary12012?opendocument&amp;tabname=Notes&amp;prodno=4906.0&amp;issue=2012&amp;num=&amp;view</w:t>
        </w:r>
      </w:hyperlink>
      <w:r>
        <w:t>&gt;.</w:t>
      </w:r>
    </w:p>
  </w:endnote>
  <w:endnote w:id="727">
    <w:p w14:paraId="7C028BF4" w14:textId="77777777" w:rsidR="00F008D2" w:rsidRPr="003449BE" w:rsidRDefault="00F008D2" w:rsidP="00A90ED5">
      <w:pPr>
        <w:pStyle w:val="EndnoteText"/>
      </w:pPr>
      <w:r w:rsidRPr="003449BE">
        <w:rPr>
          <w:rStyle w:val="EndnoteReference"/>
        </w:rPr>
        <w:endnoteRef/>
      </w:r>
      <w:r w:rsidRPr="003449BE">
        <w:t xml:space="preserve"> Personal communication via email on 10 September 2015 with ABS. </w:t>
      </w:r>
    </w:p>
  </w:endnote>
  <w:endnote w:id="728">
    <w:p w14:paraId="08C009C7" w14:textId="77777777" w:rsidR="00F008D2" w:rsidRDefault="00F008D2" w:rsidP="00A90ED5">
      <w:pPr>
        <w:pStyle w:val="EndnoteText"/>
      </w:pPr>
      <w:r w:rsidRPr="003449BE">
        <w:rPr>
          <w:rStyle w:val="EndnoteReference"/>
        </w:rPr>
        <w:endnoteRef/>
      </w:r>
      <w:r w:rsidRPr="003449BE">
        <w:t xml:space="preserve"> Personal communication via email on 10 September 2015 with ABS.</w:t>
      </w:r>
      <w:r>
        <w:t xml:space="preserve"> </w:t>
      </w:r>
    </w:p>
  </w:endnote>
  <w:endnote w:id="729">
    <w:p w14:paraId="4A43CDC4" w14:textId="77777777" w:rsidR="00F008D2" w:rsidRPr="00001517" w:rsidRDefault="00F008D2" w:rsidP="00A90ED5">
      <w:pPr>
        <w:pStyle w:val="EndnoteText"/>
        <w:rPr>
          <w:lang w:val="en-US"/>
        </w:rPr>
      </w:pPr>
      <w:r>
        <w:rPr>
          <w:rStyle w:val="EndnoteReference"/>
        </w:rPr>
        <w:endnoteRef/>
      </w:r>
      <w:r>
        <w:t xml:space="preserve"> </w:t>
      </w:r>
      <w:r w:rsidRPr="00E4161A">
        <w:t>National Centre for Longitudinal Data,</w:t>
      </w:r>
      <w:r>
        <w:t xml:space="preserve"> Submission No 62 </w:t>
      </w:r>
      <w:r w:rsidRPr="00F76AEE">
        <w:t>to</w:t>
      </w:r>
      <w:r>
        <w:t xml:space="preserve"> Australian Human Rights Commission, </w:t>
      </w:r>
      <w:r>
        <w:rPr>
          <w:i/>
        </w:rPr>
        <w:t xml:space="preserve">National Children’s Commissioner’s examination into children affected by family and domestic violence, </w:t>
      </w:r>
      <w:r>
        <w:t xml:space="preserve">8 September 2015, </w:t>
      </w:r>
      <w:r w:rsidRPr="00001517">
        <w:t>2.</w:t>
      </w:r>
    </w:p>
  </w:endnote>
  <w:endnote w:id="730">
    <w:p w14:paraId="2639B411" w14:textId="77777777" w:rsidR="00F008D2" w:rsidRPr="00001517" w:rsidRDefault="00F008D2" w:rsidP="00A90ED5">
      <w:pPr>
        <w:pStyle w:val="EndnoteText"/>
        <w:rPr>
          <w:lang w:val="en-US"/>
        </w:rPr>
      </w:pPr>
      <w:r>
        <w:rPr>
          <w:rStyle w:val="EndnoteReference"/>
        </w:rPr>
        <w:endnoteRef/>
      </w:r>
      <w:r>
        <w:t xml:space="preserve"> </w:t>
      </w:r>
      <w:r w:rsidRPr="00E4161A">
        <w:t>National Centre for Longitudinal Data, Submission No 62 to Australian Human Rights Commission, National Children’s Commissioner’s examination into children affected by family and domestic violence, 8 September 2015, 2.</w:t>
      </w:r>
    </w:p>
  </w:endnote>
  <w:endnote w:id="731">
    <w:p w14:paraId="0EBDBE2E" w14:textId="77777777" w:rsidR="00F008D2" w:rsidRPr="00D6579F"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8</w:t>
      </w:r>
      <w:r w:rsidRPr="00E4369B">
        <w:t>.</w:t>
      </w:r>
    </w:p>
  </w:endnote>
  <w:endnote w:id="732">
    <w:p w14:paraId="2035A190" w14:textId="77777777" w:rsidR="00F008D2" w:rsidRPr="00E4369B"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3</w:t>
      </w:r>
      <w:r w:rsidRPr="00E4369B">
        <w:t>.</w:t>
      </w:r>
    </w:p>
  </w:endnote>
  <w:endnote w:id="733">
    <w:p w14:paraId="4483C34A" w14:textId="77777777" w:rsidR="00F008D2" w:rsidRPr="00E45EB0"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4</w:t>
      </w:r>
      <w:r w:rsidRPr="00E4369B">
        <w:t xml:space="preserve">. </w:t>
      </w:r>
    </w:p>
  </w:endnote>
  <w:endnote w:id="734">
    <w:p w14:paraId="0DE7CDA5" w14:textId="77777777" w:rsidR="00F008D2" w:rsidRPr="00886BF1"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8</w:t>
      </w:r>
      <w:r w:rsidRPr="00E4369B">
        <w:t xml:space="preserve">. </w:t>
      </w:r>
    </w:p>
  </w:endnote>
  <w:endnote w:id="735">
    <w:p w14:paraId="10C8EBAA" w14:textId="77777777" w:rsidR="00F008D2" w:rsidRPr="00C64CAB"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4</w:t>
      </w:r>
      <w:r w:rsidRPr="00E4369B">
        <w:t xml:space="preserve">. </w:t>
      </w:r>
    </w:p>
  </w:endnote>
  <w:endnote w:id="736">
    <w:p w14:paraId="07059F7E" w14:textId="77777777" w:rsidR="00F008D2" w:rsidRDefault="00F008D2" w:rsidP="00A90ED5">
      <w:pPr>
        <w:pStyle w:val="EndnoteText"/>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4</w:t>
      </w:r>
      <w:r w:rsidRPr="00E4369B">
        <w:t xml:space="preserve">. </w:t>
      </w:r>
    </w:p>
  </w:endnote>
  <w:endnote w:id="737">
    <w:p w14:paraId="7DC46A3B" w14:textId="77777777" w:rsidR="00F008D2" w:rsidRPr="0090704F"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6</w:t>
      </w:r>
      <w:r w:rsidRPr="00E4369B">
        <w:t>.</w:t>
      </w:r>
    </w:p>
  </w:endnote>
  <w:endnote w:id="738">
    <w:p w14:paraId="732C41E1" w14:textId="77777777" w:rsidR="00F008D2" w:rsidRPr="00A33846" w:rsidRDefault="00F008D2" w:rsidP="00A90ED5">
      <w:pPr>
        <w:pStyle w:val="EndnoteText"/>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5</w:t>
      </w:r>
      <w:r w:rsidRPr="00E4369B">
        <w:t>.</w:t>
      </w:r>
    </w:p>
  </w:endnote>
  <w:endnote w:id="739">
    <w:p w14:paraId="03E85D09" w14:textId="77777777" w:rsidR="00F008D2" w:rsidRPr="00A33846" w:rsidRDefault="00F008D2" w:rsidP="00A90ED5">
      <w:pPr>
        <w:pStyle w:val="EndnoteText"/>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6</w:t>
      </w:r>
      <w:r w:rsidRPr="00E4369B">
        <w:t>.</w:t>
      </w:r>
    </w:p>
  </w:endnote>
  <w:endnote w:id="740">
    <w:p w14:paraId="0445E556" w14:textId="77777777" w:rsidR="00F008D2" w:rsidRPr="00810AC6"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6</w:t>
      </w:r>
      <w:r w:rsidRPr="00E4369B">
        <w:t>.</w:t>
      </w:r>
    </w:p>
  </w:endnote>
  <w:endnote w:id="741">
    <w:p w14:paraId="087BB72A" w14:textId="77777777" w:rsidR="00F008D2" w:rsidRPr="00810AC6"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6</w:t>
      </w:r>
      <w:r w:rsidRPr="00E4369B">
        <w:t>.</w:t>
      </w:r>
    </w:p>
  </w:endnote>
  <w:endnote w:id="742">
    <w:p w14:paraId="0D2E6C1A" w14:textId="77777777" w:rsidR="00F008D2" w:rsidRPr="002601B3"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7</w:t>
      </w:r>
      <w:r w:rsidRPr="00E4369B">
        <w:t>.</w:t>
      </w:r>
    </w:p>
  </w:endnote>
  <w:endnote w:id="743">
    <w:p w14:paraId="48F5CA81" w14:textId="77777777" w:rsidR="00F008D2" w:rsidRPr="0067327F"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6</w:t>
      </w:r>
      <w:r w:rsidRPr="00E4369B">
        <w:t>.</w:t>
      </w:r>
    </w:p>
  </w:endnote>
  <w:endnote w:id="744">
    <w:p w14:paraId="1866A563" w14:textId="77777777" w:rsidR="00F008D2" w:rsidRPr="00ED3853"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4.</w:t>
      </w:r>
    </w:p>
  </w:endnote>
  <w:endnote w:id="745">
    <w:p w14:paraId="34E3775F" w14:textId="77777777" w:rsidR="00F008D2" w:rsidRPr="006126DB"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8</w:t>
      </w:r>
      <w:r w:rsidRPr="00E4369B">
        <w:t>.</w:t>
      </w:r>
    </w:p>
  </w:endnote>
  <w:endnote w:id="746">
    <w:p w14:paraId="15673807" w14:textId="77777777" w:rsidR="00F008D2" w:rsidRPr="00874A74"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7</w:t>
      </w:r>
      <w:r w:rsidRPr="00E4369B">
        <w:t>.</w:t>
      </w:r>
    </w:p>
  </w:endnote>
  <w:endnote w:id="747">
    <w:p w14:paraId="33DD2715" w14:textId="77777777" w:rsidR="00F008D2" w:rsidRPr="00AC4829"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7</w:t>
      </w:r>
      <w:r w:rsidRPr="00E4369B">
        <w:t>.</w:t>
      </w:r>
    </w:p>
  </w:endnote>
  <w:endnote w:id="748">
    <w:p w14:paraId="46310F7E" w14:textId="77777777" w:rsidR="00F008D2" w:rsidRPr="00111FF6"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7</w:t>
      </w:r>
      <w:r w:rsidRPr="00E4369B">
        <w:t>.</w:t>
      </w:r>
    </w:p>
  </w:endnote>
  <w:endnote w:id="749">
    <w:p w14:paraId="632C3DD2" w14:textId="77777777" w:rsidR="00F008D2" w:rsidRPr="00D43CB4"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6</w:t>
      </w:r>
      <w:r w:rsidRPr="00E4369B">
        <w:t>.</w:t>
      </w:r>
    </w:p>
  </w:endnote>
  <w:endnote w:id="750">
    <w:p w14:paraId="334C9474" w14:textId="77777777" w:rsidR="00F008D2" w:rsidRPr="00975471"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12.</w:t>
      </w:r>
    </w:p>
  </w:endnote>
  <w:endnote w:id="751">
    <w:p w14:paraId="1BE806F3" w14:textId="77777777" w:rsidR="00F008D2" w:rsidRPr="005F5DBF"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12.</w:t>
      </w:r>
    </w:p>
  </w:endnote>
  <w:endnote w:id="752">
    <w:p w14:paraId="2F5F65D4" w14:textId="77777777" w:rsidR="00F008D2" w:rsidRPr="00F70867"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12.</w:t>
      </w:r>
    </w:p>
  </w:endnote>
  <w:endnote w:id="753">
    <w:p w14:paraId="79D24FC7" w14:textId="77777777" w:rsidR="00F008D2" w:rsidRPr="00714481"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13.</w:t>
      </w:r>
    </w:p>
  </w:endnote>
  <w:endnote w:id="754">
    <w:p w14:paraId="144B765D" w14:textId="77777777" w:rsidR="00F008D2" w:rsidRPr="003C69CF"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12.</w:t>
      </w:r>
    </w:p>
  </w:endnote>
  <w:endnote w:id="755">
    <w:p w14:paraId="2E088502" w14:textId="77777777" w:rsidR="00F008D2" w:rsidRPr="003C69CF"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12.</w:t>
      </w:r>
    </w:p>
  </w:endnote>
  <w:endnote w:id="756">
    <w:p w14:paraId="17E3728C" w14:textId="77777777" w:rsidR="00F008D2" w:rsidRPr="008F7FED"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8.</w:t>
      </w:r>
    </w:p>
  </w:endnote>
  <w:endnote w:id="757">
    <w:p w14:paraId="0BAE3004" w14:textId="77777777" w:rsidR="00F008D2" w:rsidRPr="00946FDE"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8</w:t>
      </w:r>
    </w:p>
  </w:endnote>
  <w:endnote w:id="758">
    <w:p w14:paraId="3474C40C" w14:textId="77777777" w:rsidR="00F008D2" w:rsidRPr="00B502FE" w:rsidRDefault="00F008D2" w:rsidP="00A90ED5">
      <w:pPr>
        <w:pStyle w:val="EndnoteText"/>
        <w:rPr>
          <w:lang w:val="en-US"/>
        </w:rPr>
      </w:pPr>
      <w:r>
        <w:rPr>
          <w:rStyle w:val="EndnoteReference"/>
        </w:rPr>
        <w:endnoteRef/>
      </w:r>
      <w:r>
        <w:t xml:space="preserve"> </w:t>
      </w:r>
      <w:r w:rsidRPr="00E4369B">
        <w:t>BoysTown</w:t>
      </w:r>
      <w:r>
        <w:t xml:space="preserve"> (Kids Helpline), Submission No 14 </w:t>
      </w:r>
      <w:r w:rsidRPr="00422F51">
        <w:t xml:space="preserve">to Australian Human Rights Commission, </w:t>
      </w:r>
      <w:r w:rsidRPr="0082462D">
        <w:rPr>
          <w:i/>
        </w:rPr>
        <w:t>National Children’s Commissioner’s examination into children affected by family and domestic violence</w:t>
      </w:r>
      <w:r>
        <w:t>, 2 June 2015, 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QFXIJ+HelveticaNeue">
    <w:altName w:val="Helvetica Neue"/>
    <w:panose1 w:val="00000000000000000000"/>
    <w:charset w:val="00"/>
    <w:family w:val="swiss"/>
    <w:notTrueType/>
    <w:pitch w:val="default"/>
    <w:sig w:usb0="00000003" w:usb1="00000000" w:usb2="00000000" w:usb3="00000000" w:csb0="00000001" w:csb1="00000000"/>
  </w:font>
  <w:font w:name="Meta-Normal">
    <w:altName w:val="Meta-Normal"/>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ArialUnicodeMS">
    <w:altName w:val="Arial Unicode MS"/>
    <w:charset w:val="00"/>
    <w:family w:val="roman"/>
    <w:pitch w:val="default"/>
  </w:font>
  <w:font w:name="Helvetica 55 Roman">
    <w:altName w:val="Helvetica 55 Roman"/>
    <w:panose1 w:val="00000000000000000000"/>
    <w:charset w:val="00"/>
    <w:family w:val="swiss"/>
    <w:notTrueType/>
    <w:pitch w:val="default"/>
    <w:sig w:usb0="00000003" w:usb1="00000000" w:usb2="00000000" w:usb3="00000000" w:csb0="00000001" w:csb1="00000000"/>
  </w:font>
  <w:font w:name="TT60o00">
    <w:altName w:val="Cambria"/>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nfoTextBook-Italic">
    <w:altName w:val="Cambri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Helvetica Neue">
    <w:altName w:val="Times New Roman"/>
    <w:panose1 w:val="00000000000000000000"/>
    <w:charset w:val="00"/>
    <w:family w:val="roman"/>
    <w:notTrueType/>
    <w:pitch w:val="default"/>
  </w:font>
  <w:font w:name="Trade Gothic LT Std Light">
    <w:altName w:val="Trade Gothic LT Std Light"/>
    <w:panose1 w:val="00000000000000000000"/>
    <w:charset w:val="00"/>
    <w:family w:val="swiss"/>
    <w:notTrueType/>
    <w:pitch w:val="default"/>
    <w:sig w:usb0="00000003" w:usb1="00000000" w:usb2="00000000" w:usb3="00000000" w:csb0="00000001" w:csb1="00000000"/>
  </w:font>
  <w:font w:name="MuseoSans-300">
    <w:altName w:val="Cambria"/>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ucidaGrande">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5BEA4" w14:textId="77777777" w:rsidR="00F008D2" w:rsidRPr="0090165F" w:rsidRDefault="00F008D2" w:rsidP="00162A8D">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FC78C" w14:textId="77777777" w:rsidR="00F008D2" w:rsidRPr="004A187B" w:rsidRDefault="00F008D2" w:rsidP="008B23BC">
    <w:pPr>
      <w:pStyle w:val="Footer"/>
    </w:pPr>
    <w:r>
      <w:rPr>
        <w:noProof/>
      </w:rPr>
      <mc:AlternateContent>
        <mc:Choice Requires="wps">
          <w:drawing>
            <wp:anchor distT="0" distB="0" distL="114300" distR="114300" simplePos="0" relativeHeight="251660288" behindDoc="0" locked="0" layoutInCell="1" allowOverlap="1" wp14:anchorId="607F1FC7" wp14:editId="07F30F21">
              <wp:simplePos x="0" y="0"/>
              <wp:positionH relativeFrom="column">
                <wp:posOffset>-548005</wp:posOffset>
              </wp:positionH>
              <wp:positionV relativeFrom="paragraph">
                <wp:posOffset>-1339215</wp:posOffset>
              </wp:positionV>
              <wp:extent cx="6071235" cy="906780"/>
              <wp:effectExtent l="0" t="0" r="5715" b="762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1235" cy="906780"/>
                      </a:xfrm>
                      <a:prstGeom prst="rect">
                        <a:avLst/>
                      </a:prstGeom>
                      <a:noFill/>
                      <a:ln w="6350">
                        <a:noFill/>
                      </a:ln>
                      <a:effectLst/>
                    </wps:spPr>
                    <wps:txbx>
                      <w:txbxContent>
                        <w:p w14:paraId="7D06F0DC" w14:textId="77777777" w:rsidR="00F008D2" w:rsidRPr="0003606D" w:rsidRDefault="00F008D2" w:rsidP="00730BD2">
                          <w:pPr>
                            <w:pStyle w:val="coveraddress"/>
                          </w:pPr>
                          <w:r w:rsidRPr="0003606D">
                            <w:t>ABN 47 996 232 602</w:t>
                          </w:r>
                        </w:p>
                        <w:p w14:paraId="0E5331A5" w14:textId="77777777" w:rsidR="00F008D2" w:rsidRPr="0003606D" w:rsidRDefault="00F008D2" w:rsidP="00730BD2">
                          <w:pPr>
                            <w:pStyle w:val="coveraddress"/>
                          </w:pPr>
                          <w:r w:rsidRPr="0003606D">
                            <w:t>Level 3, 175 Pitt Street, Sydney NSW 2000</w:t>
                          </w:r>
                        </w:p>
                        <w:p w14:paraId="28A43506" w14:textId="77777777" w:rsidR="00F008D2" w:rsidRPr="0003606D" w:rsidRDefault="00F008D2" w:rsidP="00730BD2">
                          <w:pPr>
                            <w:pStyle w:val="coveraddress"/>
                          </w:pPr>
                          <w:r w:rsidRPr="0003606D">
                            <w:t>GPO Box 5218, Sydney NSW 2001</w:t>
                          </w:r>
                        </w:p>
                        <w:p w14:paraId="3E92F5DB" w14:textId="77777777" w:rsidR="00F008D2" w:rsidRPr="0003606D" w:rsidRDefault="00F008D2" w:rsidP="00730BD2">
                          <w:pPr>
                            <w:pStyle w:val="coveraddress"/>
                          </w:pPr>
                          <w:r w:rsidRPr="0003606D">
                            <w:t>General enquiries 1300 369 711</w:t>
                          </w:r>
                        </w:p>
                        <w:p w14:paraId="26EEA1C2" w14:textId="77777777" w:rsidR="00F008D2" w:rsidRPr="0003606D" w:rsidRDefault="00F008D2" w:rsidP="00730BD2">
                          <w:pPr>
                            <w:pStyle w:val="coveraddress"/>
                          </w:pPr>
                          <w:r w:rsidRPr="0003606D">
                            <w:t>Complaints info line 1300 656 419</w:t>
                          </w:r>
                        </w:p>
                        <w:p w14:paraId="2BC06918" w14:textId="77777777" w:rsidR="00F008D2" w:rsidRPr="0003606D" w:rsidRDefault="00F008D2" w:rsidP="00730BD2">
                          <w:pPr>
                            <w:pStyle w:val="coveraddress"/>
                          </w:pPr>
                          <w:r w:rsidRPr="0003606D">
                            <w:t>TTY 1800 620 241</w:t>
                          </w:r>
                        </w:p>
                        <w:p w14:paraId="0F8C7A7D" w14:textId="77777777" w:rsidR="00F008D2" w:rsidRPr="00B63D24" w:rsidRDefault="00F008D2" w:rsidP="00730BD2">
                          <w:pPr>
                            <w:pStyle w:val="Footer"/>
                          </w:pPr>
                          <w:r w:rsidRPr="00B63D24">
                            <w:tab/>
                          </w:r>
                        </w:p>
                        <w:p w14:paraId="1B43CCCD" w14:textId="77777777" w:rsidR="00F008D2" w:rsidRPr="00B63D24" w:rsidRDefault="00F008D2" w:rsidP="00B63D24">
                          <w:pPr>
                            <w:pStyle w:val="Foo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1FC7" id="_x0000_t202" coordsize="21600,21600" o:spt="202" path="m,l,21600r21600,l21600,xe">
              <v:stroke joinstyle="miter"/>
              <v:path gradientshapeok="t" o:connecttype="rect"/>
            </v:shapetype>
            <v:shape id="Text Box 9" o:spid="_x0000_s1032" type="#_x0000_t202" style="position:absolute;margin-left:-43.15pt;margin-top:-105.45pt;width:478.05pt;height:7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" filled="f" stroked="f" strokeweight=".5pt">
              <v:path arrowok="t"/>
              <v:textbox inset="0,0,0,0">
                <w:txbxContent>
                  <w:p w14:paraId="7D06F0DC" w14:textId="77777777" w:rsidR="00F008D2" w:rsidRPr="0003606D" w:rsidRDefault="00F008D2" w:rsidP="00730BD2">
                    <w:pPr>
                      <w:pStyle w:val="coveraddress"/>
                    </w:pPr>
                    <w:r w:rsidRPr="0003606D">
                      <w:t>ABN 47 996 232 602</w:t>
                    </w:r>
                  </w:p>
                  <w:p w14:paraId="0E5331A5" w14:textId="77777777" w:rsidR="00F008D2" w:rsidRPr="0003606D" w:rsidRDefault="00F008D2" w:rsidP="00730BD2">
                    <w:pPr>
                      <w:pStyle w:val="coveraddress"/>
                    </w:pPr>
                    <w:r w:rsidRPr="0003606D">
                      <w:t>Level 3, 175 Pitt Street, Sydney NSW 2000</w:t>
                    </w:r>
                  </w:p>
                  <w:p w14:paraId="28A43506" w14:textId="77777777" w:rsidR="00F008D2" w:rsidRPr="0003606D" w:rsidRDefault="00F008D2" w:rsidP="00730BD2">
                    <w:pPr>
                      <w:pStyle w:val="coveraddress"/>
                    </w:pPr>
                    <w:r w:rsidRPr="0003606D">
                      <w:t>GPO Box 5218, Sydney NSW 2001</w:t>
                    </w:r>
                  </w:p>
                  <w:p w14:paraId="3E92F5DB" w14:textId="77777777" w:rsidR="00F008D2" w:rsidRPr="0003606D" w:rsidRDefault="00F008D2" w:rsidP="00730BD2">
                    <w:pPr>
                      <w:pStyle w:val="coveraddress"/>
                    </w:pPr>
                    <w:r w:rsidRPr="0003606D">
                      <w:t>General enquiries 1300 369 711</w:t>
                    </w:r>
                  </w:p>
                  <w:p w14:paraId="26EEA1C2" w14:textId="77777777" w:rsidR="00F008D2" w:rsidRPr="0003606D" w:rsidRDefault="00F008D2" w:rsidP="00730BD2">
                    <w:pPr>
                      <w:pStyle w:val="coveraddress"/>
                    </w:pPr>
                    <w:r w:rsidRPr="0003606D">
                      <w:t>Complaints info line 1300 656 419</w:t>
                    </w:r>
                  </w:p>
                  <w:p w14:paraId="2BC06918" w14:textId="77777777" w:rsidR="00F008D2" w:rsidRPr="0003606D" w:rsidRDefault="00F008D2" w:rsidP="00730BD2">
                    <w:pPr>
                      <w:pStyle w:val="coveraddress"/>
                    </w:pPr>
                    <w:r w:rsidRPr="0003606D">
                      <w:t>TTY 1800 620 241</w:t>
                    </w:r>
                  </w:p>
                  <w:p w14:paraId="0F8C7A7D" w14:textId="77777777" w:rsidR="00F008D2" w:rsidRPr="00B63D24" w:rsidRDefault="00F008D2" w:rsidP="00730BD2">
                    <w:pPr>
                      <w:pStyle w:val="Footer"/>
                    </w:pPr>
                    <w:r w:rsidRPr="00B63D24">
                      <w:tab/>
                    </w:r>
                  </w:p>
                  <w:p w14:paraId="1B43CCCD" w14:textId="77777777" w:rsidR="00F008D2" w:rsidRPr="00B63D24" w:rsidRDefault="00F008D2" w:rsidP="00B63D24">
                    <w:pPr>
                      <w:pStyle w:val="Foote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945F7" w14:textId="77777777" w:rsidR="00F008D2" w:rsidRPr="0090165F" w:rsidRDefault="00F008D2" w:rsidP="00162A8D">
    <w:pPr>
      <w:pStyle w:val="Footer"/>
      <w:jc w:val="right"/>
    </w:pPr>
    <w:r>
      <w:rPr>
        <w:rStyle w:val="PageNumber"/>
      </w:rPr>
      <w:fldChar w:fldCharType="begin"/>
    </w:r>
    <w:r>
      <w:rPr>
        <w:rStyle w:val="PageNumber"/>
      </w:rPr>
      <w:instrText xml:space="preserve"> PAGE </w:instrText>
    </w:r>
    <w:r>
      <w:rPr>
        <w:rStyle w:val="PageNumber"/>
      </w:rPr>
      <w:fldChar w:fldCharType="separate"/>
    </w:r>
    <w:r w:rsidR="00185AE1">
      <w:rPr>
        <w:rStyle w:val="PageNumber"/>
        <w:noProof/>
      </w:rPr>
      <w:t>160</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5DF675" w14:textId="77777777" w:rsidR="00F008D2" w:rsidRDefault="00F008D2" w:rsidP="00F14C6D">
      <w:r>
        <w:separator/>
      </w:r>
    </w:p>
  </w:footnote>
  <w:footnote w:type="continuationSeparator" w:id="0">
    <w:p w14:paraId="1D394B79" w14:textId="77777777" w:rsidR="00F008D2" w:rsidRDefault="00F008D2" w:rsidP="00F14C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62077" w14:textId="77777777" w:rsidR="00F008D2" w:rsidRDefault="00185AE1">
    <w:pPr>
      <w:pStyle w:val="Header"/>
    </w:pPr>
    <w:r>
      <w:rPr>
        <w:noProof/>
      </w:rPr>
      <w:pict w14:anchorId="20859F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8" o:spid="_x0000_s2050" type="#_x0000_t75" style="position:absolute;margin-left:0;margin-top:0;width:595.65pt;height:870.15pt;z-index:-251660288;mso-position-horizontal:center;mso-position-horizontal-relative:margin;mso-position-vertical:center;mso-position-vertical-relative:margin" o:allowincell="f">
          <v:imagedata r:id="rId1" o:title="MS word cover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C6CF4" w14:textId="77777777" w:rsidR="00F008D2" w:rsidRPr="00D27262" w:rsidRDefault="00185AE1" w:rsidP="002B1B65">
    <w:pPr>
      <w:spacing w:before="0" w:after="0"/>
      <w:jc w:val="right"/>
      <w:rPr>
        <w:sz w:val="22"/>
        <w:szCs w:val="22"/>
      </w:rPr>
    </w:pPr>
    <w:r>
      <w:rPr>
        <w:noProof/>
        <w:sz w:val="22"/>
        <w:szCs w:val="22"/>
      </w:rPr>
      <w:pict w14:anchorId="4154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9" o:spid="_x0000_s2051" type="#_x0000_t75" style="position:absolute;left:0;text-align:left;margin-left:0;margin-top:0;width:595.65pt;height:870.15pt;z-index:-251659264;mso-position-horizontal:center;mso-position-horizontal-relative:margin;mso-position-vertical:center;mso-position-vertical-relative:margin" o:allowincell="f">
          <v:imagedata r:id="rId1" o:title="MS word cover1"/>
          <w10:wrap anchorx="margin" anchory="margin"/>
        </v:shape>
      </w:pict>
    </w:r>
    <w:r w:rsidR="00F008D2" w:rsidRPr="00D27262">
      <w:rPr>
        <w:sz w:val="22"/>
        <w:szCs w:val="22"/>
      </w:rPr>
      <w:t>Au</w:t>
    </w:r>
    <w:r w:rsidR="00F008D2">
      <w:rPr>
        <w:sz w:val="22"/>
        <w:szCs w:val="22"/>
      </w:rPr>
      <w:t>stralian Human Rights Commission</w:t>
    </w:r>
  </w:p>
  <w:p w14:paraId="288CAE93" w14:textId="77777777" w:rsidR="00F008D2" w:rsidRDefault="00F008D2" w:rsidP="002B1B65">
    <w:pPr>
      <w:pStyle w:val="Footer"/>
      <w:jc w:val="right"/>
      <w:rPr>
        <w:i/>
        <w:szCs w:val="22"/>
      </w:rPr>
    </w:pPr>
    <w:r w:rsidRPr="00D27262">
      <w:rPr>
        <w:b/>
        <w:i/>
        <w:szCs w:val="22"/>
      </w:rPr>
      <w:t>Short document title</w:t>
    </w:r>
    <w:r w:rsidRPr="00D27262">
      <w:rPr>
        <w:i/>
        <w:szCs w:val="22"/>
      </w:rPr>
      <w:t xml:space="preserve">, </w:t>
    </w:r>
    <w:r>
      <w:rPr>
        <w:i/>
        <w:szCs w:val="22"/>
      </w:rPr>
      <w:t>Short description – Date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F008D2" w:rsidRPr="00B85DD4" w14:paraId="04E7EA15" w14:textId="77777777" w:rsidTr="00165E3C">
      <w:trPr>
        <w:trHeight w:val="1276"/>
      </w:trPr>
      <w:tc>
        <w:tcPr>
          <w:tcW w:w="1508" w:type="dxa"/>
        </w:tcPr>
        <w:p w14:paraId="32DE91F8" w14:textId="77777777" w:rsidR="00F008D2" w:rsidRPr="00B85DD4" w:rsidRDefault="00F008D2" w:rsidP="00B520BC">
          <w:pPr>
            <w:pStyle w:val="Header"/>
            <w:tabs>
              <w:tab w:val="left" w:pos="4686"/>
              <w:tab w:val="left" w:pos="7088"/>
              <w:tab w:val="left" w:pos="7242"/>
            </w:tabs>
            <w:ind w:left="-108"/>
            <w:rPr>
              <w:rFonts w:cs="ArialMT"/>
              <w:b/>
              <w:spacing w:val="-20"/>
            </w:rPr>
          </w:pPr>
        </w:p>
      </w:tc>
      <w:tc>
        <w:tcPr>
          <w:tcW w:w="2688" w:type="dxa"/>
          <w:vAlign w:val="center"/>
        </w:tcPr>
        <w:p w14:paraId="1F92A2C6" w14:textId="77777777" w:rsidR="00F008D2" w:rsidRPr="00B85DD4" w:rsidRDefault="00F008D2" w:rsidP="002B1B65">
          <w:pPr>
            <w:spacing w:before="0" w:after="0"/>
            <w:rPr>
              <w:rFonts w:cs="ArialMT"/>
              <w:i/>
              <w:color w:val="808080"/>
              <w:sz w:val="17"/>
            </w:rPr>
          </w:pPr>
        </w:p>
      </w:tc>
      <w:tc>
        <w:tcPr>
          <w:tcW w:w="2302" w:type="dxa"/>
        </w:tcPr>
        <w:p w14:paraId="577B4AF0" w14:textId="77777777" w:rsidR="00F008D2" w:rsidRPr="00B85DD4" w:rsidRDefault="00F008D2" w:rsidP="00B520BC">
          <w:pPr>
            <w:pStyle w:val="HeaderFooter"/>
            <w:rPr>
              <w:b/>
              <w:spacing w:val="-20"/>
              <w:sz w:val="40"/>
            </w:rPr>
          </w:pPr>
        </w:p>
      </w:tc>
      <w:tc>
        <w:tcPr>
          <w:tcW w:w="2130" w:type="dxa"/>
        </w:tcPr>
        <w:p w14:paraId="2FF6BE31" w14:textId="77777777" w:rsidR="00F008D2" w:rsidRPr="00B85DD4" w:rsidRDefault="00F008D2" w:rsidP="00B520BC">
          <w:pPr>
            <w:pStyle w:val="HeaderFooter"/>
            <w:rPr>
              <w:b/>
              <w:spacing w:val="-20"/>
              <w:sz w:val="40"/>
            </w:rPr>
          </w:pPr>
        </w:p>
      </w:tc>
      <w:tc>
        <w:tcPr>
          <w:tcW w:w="1721" w:type="dxa"/>
        </w:tcPr>
        <w:p w14:paraId="27EB31F2" w14:textId="77777777" w:rsidR="00F008D2" w:rsidRPr="00B85DD4" w:rsidRDefault="00F008D2" w:rsidP="00B520BC">
          <w:pPr>
            <w:pStyle w:val="HeaderFooter"/>
            <w:spacing w:before="227" w:after="340"/>
            <w:rPr>
              <w:b/>
              <w:spacing w:val="-20"/>
              <w:sz w:val="40"/>
            </w:rPr>
          </w:pPr>
        </w:p>
      </w:tc>
    </w:tr>
  </w:tbl>
  <w:p w14:paraId="500BE0F3" w14:textId="77777777" w:rsidR="00F008D2" w:rsidRDefault="00185AE1">
    <w:pPr>
      <w:pStyle w:val="Header"/>
    </w:pPr>
    <w:r>
      <w:rPr>
        <w:rFonts w:cs="ArialMT"/>
        <w:b/>
        <w:noProof/>
        <w:spacing w:val="-20"/>
      </w:rPr>
      <w:pict w14:anchorId="731536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7" o:spid="_x0000_s2056" type="#_x0000_t75" style="position:absolute;margin-left:-71.05pt;margin-top:-116pt;width:595.65pt;height:870.15pt;z-index:-251661312;mso-position-horizontal-relative:margin;mso-position-vertical-relative:margin" o:allowincell="f">
          <v:imagedata r:id="rId1" o:title="MS word cover1"/>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E8B65" w14:textId="77777777" w:rsidR="00F008D2" w:rsidRDefault="00185AE1">
    <w:pPr>
      <w:pStyle w:val="Header"/>
    </w:pPr>
    <w:r>
      <w:rPr>
        <w:noProof/>
      </w:rPr>
      <w:pict w14:anchorId="299B7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1" o:spid="_x0000_s2053" type="#_x0000_t75" style="position:absolute;margin-left:0;margin-top:0;width:595.65pt;height:870.15pt;z-index:-251657216;mso-position-horizontal:center;mso-position-horizontal-relative:margin;mso-position-vertical:center;mso-position-vertical-relative:margin" o:allowincell="f">
          <v:imagedata r:id="rId1" o:title="MS word cover1"/>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73A21" w14:textId="77777777" w:rsidR="00F008D2" w:rsidRPr="00D27262" w:rsidRDefault="00F008D2" w:rsidP="00B34946">
    <w:pPr>
      <w:spacing w:before="0" w:after="60"/>
      <w:jc w:val="right"/>
      <w:rPr>
        <w:sz w:val="22"/>
        <w:szCs w:val="22"/>
      </w:rPr>
    </w:pPr>
    <w:r w:rsidRPr="00D27262">
      <w:rPr>
        <w:sz w:val="22"/>
        <w:szCs w:val="22"/>
      </w:rPr>
      <w:t>Au</w:t>
    </w:r>
    <w:r>
      <w:rPr>
        <w:sz w:val="22"/>
        <w:szCs w:val="22"/>
      </w:rPr>
      <w:t>stralian Human Rights Commission</w:t>
    </w:r>
  </w:p>
  <w:p w14:paraId="596E02FE" w14:textId="77777777" w:rsidR="00F008D2" w:rsidRPr="001E5676" w:rsidRDefault="00F008D2" w:rsidP="002F4CE1">
    <w:pPr>
      <w:pStyle w:val="Footer"/>
      <w:spacing w:after="240"/>
      <w:jc w:val="right"/>
      <w:rPr>
        <w:i/>
        <w:sz w:val="18"/>
        <w:szCs w:val="18"/>
      </w:rPr>
    </w:pPr>
    <w:r>
      <w:rPr>
        <w:b/>
        <w:i/>
        <w:sz w:val="18"/>
        <w:szCs w:val="18"/>
      </w:rPr>
      <w:t>Children’s Rights Report 2015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F008D2" w:rsidRPr="00B85DD4" w14:paraId="627CABD7" w14:textId="77777777" w:rsidTr="002B1B65">
      <w:trPr>
        <w:trHeight w:val="1603"/>
      </w:trPr>
      <w:tc>
        <w:tcPr>
          <w:tcW w:w="1508" w:type="dxa"/>
        </w:tcPr>
        <w:p w14:paraId="36BA0BD1" w14:textId="77777777" w:rsidR="00F008D2" w:rsidRPr="00B85DD4" w:rsidRDefault="00F008D2" w:rsidP="00B520BC">
          <w:pPr>
            <w:pStyle w:val="Header"/>
            <w:tabs>
              <w:tab w:val="left" w:pos="4686"/>
              <w:tab w:val="left" w:pos="7088"/>
              <w:tab w:val="left" w:pos="7242"/>
            </w:tabs>
            <w:ind w:left="-108"/>
            <w:rPr>
              <w:rFonts w:cs="ArialMT"/>
              <w:b/>
              <w:spacing w:val="-20"/>
            </w:rPr>
          </w:pPr>
          <w:r w:rsidRPr="00140274">
            <w:rPr>
              <w:rFonts w:cs="ArialMT"/>
              <w:b/>
              <w:noProof/>
              <w:spacing w:val="-20"/>
            </w:rPr>
            <w:drawing>
              <wp:inline distT="0" distB="0" distL="0" distR="0" wp14:anchorId="4D7C4198" wp14:editId="32ED3298">
                <wp:extent cx="819785" cy="819785"/>
                <wp:effectExtent l="0" t="0" r="0" b="0"/>
                <wp:docPr id="673" name="Picture 2" descr="Description: HREOC-Globe_PMS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REOC-Globe_PMS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785" cy="819785"/>
                        </a:xfrm>
                        <a:prstGeom prst="rect">
                          <a:avLst/>
                        </a:prstGeom>
                        <a:noFill/>
                        <a:ln>
                          <a:noFill/>
                        </a:ln>
                      </pic:spPr>
                    </pic:pic>
                  </a:graphicData>
                </a:graphic>
              </wp:inline>
            </w:drawing>
          </w:r>
        </w:p>
      </w:tc>
      <w:tc>
        <w:tcPr>
          <w:tcW w:w="2688" w:type="dxa"/>
          <w:vAlign w:val="center"/>
        </w:tcPr>
        <w:p w14:paraId="1A642EE4" w14:textId="77777777" w:rsidR="00F008D2" w:rsidRPr="00D36BB2" w:rsidRDefault="00F008D2" w:rsidP="002B1B65">
          <w:pPr>
            <w:pStyle w:val="LogoType"/>
            <w:pBdr>
              <w:bottom w:val="single" w:sz="4" w:space="1" w:color="808080"/>
            </w:pBdr>
            <w:spacing w:line="240" w:lineRule="auto"/>
          </w:pPr>
          <w:r w:rsidRPr="00D36BB2">
            <w:t>Australian</w:t>
          </w:r>
        </w:p>
        <w:p w14:paraId="1067A2C5" w14:textId="77777777" w:rsidR="00F008D2" w:rsidRPr="00D36BB2" w:rsidRDefault="00F008D2" w:rsidP="002B1B65">
          <w:pPr>
            <w:pStyle w:val="LogoType"/>
            <w:pBdr>
              <w:bottom w:val="single" w:sz="4" w:space="1" w:color="808080"/>
            </w:pBdr>
            <w:spacing w:line="240" w:lineRule="auto"/>
          </w:pPr>
          <w:r w:rsidRPr="00D36BB2">
            <w:t>Human Rights</w:t>
          </w:r>
        </w:p>
        <w:p w14:paraId="72DC0D0C" w14:textId="77777777" w:rsidR="00F008D2" w:rsidRPr="00D36BB2" w:rsidRDefault="00F008D2" w:rsidP="002B1B65">
          <w:pPr>
            <w:pStyle w:val="LogoType"/>
            <w:pBdr>
              <w:bottom w:val="single" w:sz="4" w:space="1" w:color="808080"/>
            </w:pBdr>
            <w:spacing w:line="240" w:lineRule="auto"/>
          </w:pPr>
          <w:r w:rsidRPr="00D36BB2">
            <w:t>Commission</w:t>
          </w:r>
        </w:p>
        <w:p w14:paraId="7EED6903" w14:textId="77777777" w:rsidR="00F008D2" w:rsidRPr="00B85DD4" w:rsidRDefault="00F008D2" w:rsidP="002B1B65">
          <w:pPr>
            <w:spacing w:before="0" w:after="0"/>
            <w:rPr>
              <w:rFonts w:cs="ArialMT"/>
              <w:i/>
              <w:color w:val="808080"/>
              <w:sz w:val="17"/>
            </w:rPr>
          </w:pPr>
          <w:r w:rsidRPr="00B85DD4">
            <w:rPr>
              <w:rFonts w:cs="ArialMT"/>
              <w:i/>
              <w:color w:val="808080"/>
              <w:sz w:val="17"/>
            </w:rPr>
            <w:t>everyone, everywhere, everyday</w:t>
          </w:r>
        </w:p>
      </w:tc>
      <w:tc>
        <w:tcPr>
          <w:tcW w:w="2302" w:type="dxa"/>
        </w:tcPr>
        <w:p w14:paraId="74E28868" w14:textId="77777777" w:rsidR="00F008D2" w:rsidRPr="00B85DD4" w:rsidRDefault="00F008D2" w:rsidP="00B520BC">
          <w:pPr>
            <w:pStyle w:val="HeaderFooter"/>
            <w:rPr>
              <w:b/>
              <w:spacing w:val="-20"/>
              <w:sz w:val="40"/>
            </w:rPr>
          </w:pPr>
        </w:p>
      </w:tc>
      <w:tc>
        <w:tcPr>
          <w:tcW w:w="2130" w:type="dxa"/>
        </w:tcPr>
        <w:p w14:paraId="3197E269" w14:textId="77777777" w:rsidR="00F008D2" w:rsidRPr="00B85DD4" w:rsidRDefault="00F008D2" w:rsidP="00B520BC">
          <w:pPr>
            <w:pStyle w:val="HeaderFooter"/>
            <w:rPr>
              <w:b/>
              <w:spacing w:val="-20"/>
              <w:sz w:val="40"/>
            </w:rPr>
          </w:pPr>
        </w:p>
      </w:tc>
      <w:tc>
        <w:tcPr>
          <w:tcW w:w="1721" w:type="dxa"/>
        </w:tcPr>
        <w:p w14:paraId="2AD5ADE3" w14:textId="77777777" w:rsidR="00F008D2" w:rsidRPr="00B85DD4" w:rsidRDefault="00F008D2" w:rsidP="00B520BC">
          <w:pPr>
            <w:pStyle w:val="HeaderFooter"/>
            <w:spacing w:before="227" w:after="340"/>
            <w:rPr>
              <w:b/>
              <w:spacing w:val="-20"/>
              <w:sz w:val="40"/>
            </w:rPr>
          </w:pPr>
        </w:p>
      </w:tc>
    </w:tr>
  </w:tbl>
  <w:p w14:paraId="63D930CB" w14:textId="77777777" w:rsidR="00F008D2" w:rsidRDefault="00185AE1">
    <w:pPr>
      <w:pStyle w:val="Header"/>
    </w:pPr>
    <w:r>
      <w:rPr>
        <w:rFonts w:cs="ArialMT"/>
        <w:b/>
        <w:noProof/>
        <w:spacing w:val="-20"/>
      </w:rPr>
      <w:pict w14:anchorId="50BAC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0" o:spid="_x0000_s2055" type="#_x0000_t75" style="position:absolute;margin-left:0;margin-top:0;width:595.65pt;height:870.15pt;z-index:-251658240;mso-position-horizontal:center;mso-position-horizontal-relative:margin;mso-position-vertical:center;mso-position-vertical-relative:margin" o:allowincell="f">
          <v:imagedata r:id="rId2" o:title="MS word cover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D00D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785881"/>
    <w:multiLevelType w:val="multilevel"/>
    <w:tmpl w:val="F0C2FAC6"/>
    <w:lvl w:ilvl="0">
      <w:start w:val="1"/>
      <w:numFmt w:val="decimal"/>
      <w:pStyle w:val="Heading1"/>
      <w:lvlText w:val="Chapter %1"/>
      <w:lvlJc w:val="left"/>
      <w:pPr>
        <w:tabs>
          <w:tab w:val="num" w:pos="851"/>
        </w:tabs>
        <w:ind w:left="2155" w:hanging="2155"/>
      </w:pPr>
      <w:rPr>
        <w:rFonts w:ascii="Arial" w:hAnsi="Arial" w:hint="default"/>
        <w:b/>
        <w:i w:val="0"/>
        <w:sz w:val="36"/>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upperLetter"/>
      <w:pStyle w:val="Heading5"/>
      <w:lvlText w:val="%5"/>
      <w:lvlJc w:val="left"/>
      <w:pPr>
        <w:tabs>
          <w:tab w:val="num" w:pos="0"/>
        </w:tabs>
        <w:ind w:left="1008" w:hanging="1008"/>
      </w:pPr>
      <w:rPr>
        <w:rFonts w:ascii="Arial" w:hAnsi="Arial" w:hint="default"/>
        <w:b/>
        <w:i w:val="0"/>
        <w:caps w:val="0"/>
        <w:strike w:val="0"/>
        <w:dstrike w:val="0"/>
        <w:vanish w:val="0"/>
        <w:color w:val="auto"/>
        <w:sz w:val="24"/>
        <w:vertAlign w:val="baseline"/>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11" w15:restartNumberingAfterBreak="0">
    <w:nsid w:val="02F64488"/>
    <w:multiLevelType w:val="hybridMultilevel"/>
    <w:tmpl w:val="DFD0D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3917609"/>
    <w:multiLevelType w:val="hybridMultilevel"/>
    <w:tmpl w:val="1E5AD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4FA2C11"/>
    <w:multiLevelType w:val="hybridMultilevel"/>
    <w:tmpl w:val="9EF6B04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07962DDE"/>
    <w:multiLevelType w:val="hybridMultilevel"/>
    <w:tmpl w:val="227AEB1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9000178"/>
    <w:multiLevelType w:val="hybridMultilevel"/>
    <w:tmpl w:val="01AA4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96D4328"/>
    <w:multiLevelType w:val="hybridMultilevel"/>
    <w:tmpl w:val="4560EC76"/>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7" w15:restartNumberingAfterBreak="0">
    <w:nsid w:val="0B6C730C"/>
    <w:multiLevelType w:val="hybridMultilevel"/>
    <w:tmpl w:val="DECCE6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0BCF2AAA"/>
    <w:multiLevelType w:val="hybridMultilevel"/>
    <w:tmpl w:val="03A89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C9F716F"/>
    <w:multiLevelType w:val="hybridMultilevel"/>
    <w:tmpl w:val="1C4CEDD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0E272504"/>
    <w:multiLevelType w:val="hybridMultilevel"/>
    <w:tmpl w:val="DF6CB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E2726E9"/>
    <w:multiLevelType w:val="hybridMultilevel"/>
    <w:tmpl w:val="FD6CB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E894584"/>
    <w:multiLevelType w:val="hybridMultilevel"/>
    <w:tmpl w:val="26A60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42F77E1"/>
    <w:multiLevelType w:val="hybridMultilevel"/>
    <w:tmpl w:val="77464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6DF2036"/>
    <w:multiLevelType w:val="hybridMultilevel"/>
    <w:tmpl w:val="C69E4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8BF189B"/>
    <w:multiLevelType w:val="hybridMultilevel"/>
    <w:tmpl w:val="319CB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BC91D67"/>
    <w:multiLevelType w:val="hybridMultilevel"/>
    <w:tmpl w:val="7ACEA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1E485E55"/>
    <w:multiLevelType w:val="hybridMultilevel"/>
    <w:tmpl w:val="D90AE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ED17C14"/>
    <w:multiLevelType w:val="hybridMultilevel"/>
    <w:tmpl w:val="A5926CF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205E67C3"/>
    <w:multiLevelType w:val="hybridMultilevel"/>
    <w:tmpl w:val="03541D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213A6227"/>
    <w:multiLevelType w:val="hybridMultilevel"/>
    <w:tmpl w:val="8D325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15:restartNumberingAfterBreak="0">
    <w:nsid w:val="229C042B"/>
    <w:multiLevelType w:val="hybridMultilevel"/>
    <w:tmpl w:val="3790F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64F67BB"/>
    <w:multiLevelType w:val="hybridMultilevel"/>
    <w:tmpl w:val="992E0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6A6557C"/>
    <w:multiLevelType w:val="hybridMultilevel"/>
    <w:tmpl w:val="85AA3D10"/>
    <w:lvl w:ilvl="0" w:tplc="26AE6A38">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6B079FE"/>
    <w:multiLevelType w:val="hybridMultilevel"/>
    <w:tmpl w:val="CA549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B7E3AC3"/>
    <w:multiLevelType w:val="hybridMultilevel"/>
    <w:tmpl w:val="F8D6ED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2D0E2986"/>
    <w:multiLevelType w:val="hybridMultilevel"/>
    <w:tmpl w:val="54082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E053825"/>
    <w:multiLevelType w:val="hybridMultilevel"/>
    <w:tmpl w:val="540CC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E827406"/>
    <w:multiLevelType w:val="hybridMultilevel"/>
    <w:tmpl w:val="B0BA4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EB75F9A"/>
    <w:multiLevelType w:val="hybridMultilevel"/>
    <w:tmpl w:val="CD90A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4125CFC"/>
    <w:multiLevelType w:val="hybridMultilevel"/>
    <w:tmpl w:val="FB849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5096813"/>
    <w:multiLevelType w:val="hybridMultilevel"/>
    <w:tmpl w:val="D2E08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510538E"/>
    <w:multiLevelType w:val="hybridMultilevel"/>
    <w:tmpl w:val="75FA9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583134F"/>
    <w:multiLevelType w:val="hybridMultilevel"/>
    <w:tmpl w:val="AE382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5A3631D"/>
    <w:multiLevelType w:val="hybridMultilevel"/>
    <w:tmpl w:val="3E221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6EC309A"/>
    <w:multiLevelType w:val="hybridMultilevel"/>
    <w:tmpl w:val="5F2EB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71151AD"/>
    <w:multiLevelType w:val="hybridMultilevel"/>
    <w:tmpl w:val="4F8C33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 w15:restartNumberingAfterBreak="0">
    <w:nsid w:val="371F5455"/>
    <w:multiLevelType w:val="hybridMultilevel"/>
    <w:tmpl w:val="71E62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D982304"/>
    <w:multiLevelType w:val="hybridMultilevel"/>
    <w:tmpl w:val="C3BEF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EB85138"/>
    <w:multiLevelType w:val="hybridMultilevel"/>
    <w:tmpl w:val="0B0AE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15:restartNumberingAfterBreak="0">
    <w:nsid w:val="3FE14985"/>
    <w:multiLevelType w:val="hybridMultilevel"/>
    <w:tmpl w:val="4140C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09141B0"/>
    <w:multiLevelType w:val="hybridMultilevel"/>
    <w:tmpl w:val="8A241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1366423"/>
    <w:multiLevelType w:val="hybridMultilevel"/>
    <w:tmpl w:val="A54A9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52C5941"/>
    <w:multiLevelType w:val="multilevel"/>
    <w:tmpl w:val="FB3823E0"/>
    <w:lvl w:ilvl="0">
      <w:start w:val="1"/>
      <w:numFmt w:val="decimal"/>
      <w:lvlText w:val="%1."/>
      <w:lvlJc w:val="left"/>
      <w:pPr>
        <w:ind w:left="720" w:hanging="360"/>
      </w:pPr>
    </w:lvl>
    <w:lvl w:ilvl="1">
      <w:start w:val="7"/>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15:restartNumberingAfterBreak="0">
    <w:nsid w:val="46197721"/>
    <w:multiLevelType w:val="hybridMultilevel"/>
    <w:tmpl w:val="F6387D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8" w15:restartNumberingAfterBreak="0">
    <w:nsid w:val="492E39AC"/>
    <w:multiLevelType w:val="hybridMultilevel"/>
    <w:tmpl w:val="60F633D4"/>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59" w15:restartNumberingAfterBreak="0">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1" w15:restartNumberingAfterBreak="0">
    <w:nsid w:val="50BE4F8A"/>
    <w:multiLevelType w:val="hybridMultilevel"/>
    <w:tmpl w:val="5486209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2" w15:restartNumberingAfterBreak="0">
    <w:nsid w:val="53203460"/>
    <w:multiLevelType w:val="hybridMultilevel"/>
    <w:tmpl w:val="EFECE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6F665AE"/>
    <w:multiLevelType w:val="hybridMultilevel"/>
    <w:tmpl w:val="1C962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7A6569F"/>
    <w:multiLevelType w:val="hybridMultilevel"/>
    <w:tmpl w:val="BD863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7F52C69"/>
    <w:multiLevelType w:val="hybridMultilevel"/>
    <w:tmpl w:val="EDE04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AC74006"/>
    <w:multiLevelType w:val="hybridMultilevel"/>
    <w:tmpl w:val="6276AB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B6333B8"/>
    <w:multiLevelType w:val="hybridMultilevel"/>
    <w:tmpl w:val="E1D66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CDA53B2"/>
    <w:multiLevelType w:val="hybridMultilevel"/>
    <w:tmpl w:val="1CE28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F230BD2"/>
    <w:multiLevelType w:val="hybridMultilevel"/>
    <w:tmpl w:val="4E48A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12A429B"/>
    <w:multiLevelType w:val="hybridMultilevel"/>
    <w:tmpl w:val="FFE0B76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1" w15:restartNumberingAfterBreak="0">
    <w:nsid w:val="637012C6"/>
    <w:multiLevelType w:val="hybridMultilevel"/>
    <w:tmpl w:val="ADFC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8136441"/>
    <w:multiLevelType w:val="hybridMultilevel"/>
    <w:tmpl w:val="B380E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839235C"/>
    <w:multiLevelType w:val="hybridMultilevel"/>
    <w:tmpl w:val="60AE6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96640DF"/>
    <w:multiLevelType w:val="hybridMultilevel"/>
    <w:tmpl w:val="C850296E"/>
    <w:lvl w:ilvl="0" w:tplc="B0E867D6">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5" w15:restartNumberingAfterBreak="0">
    <w:nsid w:val="69EF3F53"/>
    <w:multiLevelType w:val="hybridMultilevel"/>
    <w:tmpl w:val="4E765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A3A0051"/>
    <w:multiLevelType w:val="hybridMultilevel"/>
    <w:tmpl w:val="9B72F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CD753A9"/>
    <w:multiLevelType w:val="hybridMultilevel"/>
    <w:tmpl w:val="698C9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D6877F8"/>
    <w:multiLevelType w:val="hybridMultilevel"/>
    <w:tmpl w:val="4F388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09B42DF"/>
    <w:multiLevelType w:val="hybridMultilevel"/>
    <w:tmpl w:val="2CFE5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12736FE"/>
    <w:multiLevelType w:val="hybridMultilevel"/>
    <w:tmpl w:val="F1D2C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3206B4E"/>
    <w:multiLevelType w:val="hybridMultilevel"/>
    <w:tmpl w:val="AC42E2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2" w15:restartNumberingAfterBreak="0">
    <w:nsid w:val="7458126C"/>
    <w:multiLevelType w:val="hybridMultilevel"/>
    <w:tmpl w:val="DA464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4617211"/>
    <w:multiLevelType w:val="hybridMultilevel"/>
    <w:tmpl w:val="770A427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4" w15:restartNumberingAfterBreak="0">
    <w:nsid w:val="77095497"/>
    <w:multiLevelType w:val="hybridMultilevel"/>
    <w:tmpl w:val="CEEA72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9557C14"/>
    <w:multiLevelType w:val="hybridMultilevel"/>
    <w:tmpl w:val="A9221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A696C70"/>
    <w:multiLevelType w:val="hybridMultilevel"/>
    <w:tmpl w:val="9A229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AAE3ECC"/>
    <w:multiLevelType w:val="hybridMultilevel"/>
    <w:tmpl w:val="74B85728"/>
    <w:lvl w:ilvl="0" w:tplc="02109E90">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C21601F"/>
    <w:multiLevelType w:val="hybridMultilevel"/>
    <w:tmpl w:val="4DB8ECFA"/>
    <w:lvl w:ilvl="0" w:tplc="A9EAE3A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9" w15:restartNumberingAfterBreak="0">
    <w:nsid w:val="7C785836"/>
    <w:multiLevelType w:val="hybridMultilevel"/>
    <w:tmpl w:val="D2DCF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C9E7E57"/>
    <w:multiLevelType w:val="hybridMultilevel"/>
    <w:tmpl w:val="55809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D4A515B"/>
    <w:multiLevelType w:val="hybridMultilevel"/>
    <w:tmpl w:val="B6DC8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E33475F"/>
    <w:multiLevelType w:val="hybridMultilevel"/>
    <w:tmpl w:val="91A04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1"/>
  </w:num>
  <w:num w:numId="8">
    <w:abstractNumId w:val="0"/>
  </w:num>
  <w:num w:numId="9">
    <w:abstractNumId w:val="3"/>
  </w:num>
  <w:num w:numId="10">
    <w:abstractNumId w:val="2"/>
  </w:num>
  <w:num w:numId="11">
    <w:abstractNumId w:val="60"/>
  </w:num>
  <w:num w:numId="12">
    <w:abstractNumId w:val="52"/>
  </w:num>
  <w:num w:numId="13">
    <w:abstractNumId w:val="32"/>
  </w:num>
  <w:num w:numId="14">
    <w:abstractNumId w:val="27"/>
  </w:num>
  <w:num w:numId="15">
    <w:abstractNumId w:val="10"/>
  </w:num>
  <w:num w:numId="16">
    <w:abstractNumId w:val="84"/>
  </w:num>
  <w:num w:numId="17">
    <w:abstractNumId w:val="42"/>
  </w:num>
  <w:num w:numId="18">
    <w:abstractNumId w:val="40"/>
  </w:num>
  <w:num w:numId="19">
    <w:abstractNumId w:val="59"/>
  </w:num>
  <w:num w:numId="20">
    <w:abstractNumId w:val="11"/>
  </w:num>
  <w:num w:numId="21">
    <w:abstractNumId w:val="53"/>
  </w:num>
  <w:num w:numId="22">
    <w:abstractNumId w:val="44"/>
  </w:num>
  <w:num w:numId="23">
    <w:abstractNumId w:val="18"/>
  </w:num>
  <w:num w:numId="24">
    <w:abstractNumId w:val="76"/>
  </w:num>
  <w:num w:numId="25">
    <w:abstractNumId w:val="75"/>
  </w:num>
  <w:num w:numId="26">
    <w:abstractNumId w:val="35"/>
  </w:num>
  <w:num w:numId="27">
    <w:abstractNumId w:val="45"/>
  </w:num>
  <w:num w:numId="28">
    <w:abstractNumId w:val="14"/>
  </w:num>
  <w:num w:numId="29">
    <w:abstractNumId w:val="87"/>
  </w:num>
  <w:num w:numId="30">
    <w:abstractNumId w:val="70"/>
  </w:num>
  <w:num w:numId="31">
    <w:abstractNumId w:val="17"/>
  </w:num>
  <w:num w:numId="32">
    <w:abstractNumId w:val="19"/>
  </w:num>
  <w:num w:numId="33">
    <w:abstractNumId w:val="13"/>
  </w:num>
  <w:num w:numId="34">
    <w:abstractNumId w:val="73"/>
  </w:num>
  <w:num w:numId="35">
    <w:abstractNumId w:val="29"/>
  </w:num>
  <w:num w:numId="36">
    <w:abstractNumId w:val="56"/>
  </w:num>
  <w:num w:numId="37">
    <w:abstractNumId w:val="61"/>
  </w:num>
  <w:num w:numId="38">
    <w:abstractNumId w:val="88"/>
  </w:num>
  <w:num w:numId="39">
    <w:abstractNumId w:val="46"/>
  </w:num>
  <w:num w:numId="40">
    <w:abstractNumId w:val="66"/>
  </w:num>
  <w:num w:numId="41">
    <w:abstractNumId w:val="28"/>
  </w:num>
  <w:num w:numId="42">
    <w:abstractNumId w:val="21"/>
  </w:num>
  <w:num w:numId="43">
    <w:abstractNumId w:val="74"/>
  </w:num>
  <w:num w:numId="44">
    <w:abstractNumId w:val="48"/>
  </w:num>
  <w:num w:numId="45">
    <w:abstractNumId w:val="81"/>
  </w:num>
  <w:num w:numId="46">
    <w:abstractNumId w:val="64"/>
  </w:num>
  <w:num w:numId="47">
    <w:abstractNumId w:val="12"/>
  </w:num>
  <w:num w:numId="48">
    <w:abstractNumId w:val="55"/>
  </w:num>
  <w:num w:numId="49">
    <w:abstractNumId w:val="39"/>
  </w:num>
  <w:num w:numId="50">
    <w:abstractNumId w:val="86"/>
  </w:num>
  <w:num w:numId="51">
    <w:abstractNumId w:val="22"/>
  </w:num>
  <w:num w:numId="52">
    <w:abstractNumId w:val="24"/>
  </w:num>
  <w:num w:numId="53">
    <w:abstractNumId w:val="77"/>
  </w:num>
  <w:num w:numId="54">
    <w:abstractNumId w:val="33"/>
  </w:num>
  <w:num w:numId="55">
    <w:abstractNumId w:val="43"/>
  </w:num>
  <w:num w:numId="56">
    <w:abstractNumId w:val="36"/>
  </w:num>
  <w:num w:numId="57">
    <w:abstractNumId w:val="91"/>
  </w:num>
  <w:num w:numId="58">
    <w:abstractNumId w:val="34"/>
  </w:num>
  <w:num w:numId="59">
    <w:abstractNumId w:val="62"/>
  </w:num>
  <w:num w:numId="60">
    <w:abstractNumId w:val="67"/>
  </w:num>
  <w:num w:numId="61">
    <w:abstractNumId w:val="16"/>
  </w:num>
  <w:num w:numId="62">
    <w:abstractNumId w:val="83"/>
  </w:num>
  <w:num w:numId="63">
    <w:abstractNumId w:val="71"/>
  </w:num>
  <w:num w:numId="64">
    <w:abstractNumId w:val="65"/>
  </w:num>
  <w:num w:numId="65">
    <w:abstractNumId w:val="80"/>
  </w:num>
  <w:num w:numId="66">
    <w:abstractNumId w:val="58"/>
  </w:num>
  <w:num w:numId="67">
    <w:abstractNumId w:val="38"/>
  </w:num>
  <w:num w:numId="68">
    <w:abstractNumId w:val="69"/>
  </w:num>
  <w:num w:numId="69">
    <w:abstractNumId w:val="23"/>
  </w:num>
  <w:num w:numId="70">
    <w:abstractNumId w:val="78"/>
  </w:num>
  <w:num w:numId="71">
    <w:abstractNumId w:val="92"/>
  </w:num>
  <w:num w:numId="72">
    <w:abstractNumId w:val="20"/>
  </w:num>
  <w:num w:numId="73">
    <w:abstractNumId w:val="49"/>
  </w:num>
  <w:num w:numId="74">
    <w:abstractNumId w:val="54"/>
  </w:num>
  <w:num w:numId="75">
    <w:abstractNumId w:val="63"/>
  </w:num>
  <w:num w:numId="76">
    <w:abstractNumId w:val="31"/>
  </w:num>
  <w:num w:numId="77">
    <w:abstractNumId w:val="50"/>
  </w:num>
  <w:num w:numId="78">
    <w:abstractNumId w:val="89"/>
  </w:num>
  <w:num w:numId="79">
    <w:abstractNumId w:val="47"/>
  </w:num>
  <w:num w:numId="80">
    <w:abstractNumId w:val="90"/>
  </w:num>
  <w:num w:numId="81">
    <w:abstractNumId w:val="72"/>
  </w:num>
  <w:num w:numId="82">
    <w:abstractNumId w:val="79"/>
  </w:num>
  <w:num w:numId="83">
    <w:abstractNumId w:val="26"/>
  </w:num>
  <w:num w:numId="84">
    <w:abstractNumId w:val="51"/>
  </w:num>
  <w:num w:numId="85">
    <w:abstractNumId w:val="82"/>
  </w:num>
  <w:num w:numId="86">
    <w:abstractNumId w:val="41"/>
  </w:num>
  <w:num w:numId="87">
    <w:abstractNumId w:val="15"/>
  </w:num>
  <w:num w:numId="88">
    <w:abstractNumId w:val="68"/>
  </w:num>
  <w:num w:numId="89">
    <w:abstractNumId w:val="25"/>
  </w:num>
  <w:num w:numId="90">
    <w:abstractNumId w:val="37"/>
  </w:num>
  <w:num w:numId="91">
    <w:abstractNumId w:val="57"/>
  </w:num>
  <w:num w:numId="92">
    <w:abstractNumId w:val="30"/>
  </w:num>
  <w:num w:numId="93">
    <w:abstractNumId w:val="8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316"/>
    <w:rsid w:val="0000365A"/>
    <w:rsid w:val="00015289"/>
    <w:rsid w:val="00016638"/>
    <w:rsid w:val="00025254"/>
    <w:rsid w:val="00026EEB"/>
    <w:rsid w:val="00027437"/>
    <w:rsid w:val="000379B5"/>
    <w:rsid w:val="00042C8A"/>
    <w:rsid w:val="000579B1"/>
    <w:rsid w:val="00057A0E"/>
    <w:rsid w:val="00070247"/>
    <w:rsid w:val="000744AA"/>
    <w:rsid w:val="0007612E"/>
    <w:rsid w:val="0008216F"/>
    <w:rsid w:val="00092E8A"/>
    <w:rsid w:val="000958FB"/>
    <w:rsid w:val="000A04FB"/>
    <w:rsid w:val="000A1DB8"/>
    <w:rsid w:val="000A239E"/>
    <w:rsid w:val="000A48AC"/>
    <w:rsid w:val="000B0A5D"/>
    <w:rsid w:val="000B0E2A"/>
    <w:rsid w:val="000B14CA"/>
    <w:rsid w:val="000B25CA"/>
    <w:rsid w:val="000B64BF"/>
    <w:rsid w:val="000B6BDC"/>
    <w:rsid w:val="000C4378"/>
    <w:rsid w:val="000C5FE3"/>
    <w:rsid w:val="000C7937"/>
    <w:rsid w:val="000D08E3"/>
    <w:rsid w:val="000D1D92"/>
    <w:rsid w:val="000D73CC"/>
    <w:rsid w:val="000E130A"/>
    <w:rsid w:val="000E5008"/>
    <w:rsid w:val="000F0F41"/>
    <w:rsid w:val="000F2091"/>
    <w:rsid w:val="000F2B88"/>
    <w:rsid w:val="00101D76"/>
    <w:rsid w:val="00107C87"/>
    <w:rsid w:val="00113512"/>
    <w:rsid w:val="00127373"/>
    <w:rsid w:val="001332CA"/>
    <w:rsid w:val="00134774"/>
    <w:rsid w:val="00140274"/>
    <w:rsid w:val="00145BB7"/>
    <w:rsid w:val="00151263"/>
    <w:rsid w:val="00162A8D"/>
    <w:rsid w:val="00165E3C"/>
    <w:rsid w:val="001715AD"/>
    <w:rsid w:val="00171732"/>
    <w:rsid w:val="00173F83"/>
    <w:rsid w:val="00173FB5"/>
    <w:rsid w:val="00175FFD"/>
    <w:rsid w:val="001820B0"/>
    <w:rsid w:val="00183F34"/>
    <w:rsid w:val="00185AE1"/>
    <w:rsid w:val="00190C0D"/>
    <w:rsid w:val="00196F57"/>
    <w:rsid w:val="001A5BDA"/>
    <w:rsid w:val="001A6DCE"/>
    <w:rsid w:val="001B0353"/>
    <w:rsid w:val="001B0A2E"/>
    <w:rsid w:val="001B5E8F"/>
    <w:rsid w:val="001C1F8B"/>
    <w:rsid w:val="001D3E48"/>
    <w:rsid w:val="001E12CF"/>
    <w:rsid w:val="001E2CF5"/>
    <w:rsid w:val="001E5676"/>
    <w:rsid w:val="001F0C3F"/>
    <w:rsid w:val="001F2BBB"/>
    <w:rsid w:val="001F360D"/>
    <w:rsid w:val="001F69FB"/>
    <w:rsid w:val="001F6D70"/>
    <w:rsid w:val="00200677"/>
    <w:rsid w:val="00202039"/>
    <w:rsid w:val="002028CE"/>
    <w:rsid w:val="002048CF"/>
    <w:rsid w:val="00207236"/>
    <w:rsid w:val="00215705"/>
    <w:rsid w:val="0022499A"/>
    <w:rsid w:val="002256BB"/>
    <w:rsid w:val="0022654F"/>
    <w:rsid w:val="002301B1"/>
    <w:rsid w:val="00231ED1"/>
    <w:rsid w:val="00234434"/>
    <w:rsid w:val="00242624"/>
    <w:rsid w:val="00243307"/>
    <w:rsid w:val="0024557E"/>
    <w:rsid w:val="00247959"/>
    <w:rsid w:val="002521C1"/>
    <w:rsid w:val="002522CF"/>
    <w:rsid w:val="00267D4E"/>
    <w:rsid w:val="00272DD5"/>
    <w:rsid w:val="00275C03"/>
    <w:rsid w:val="002809BF"/>
    <w:rsid w:val="00283AB8"/>
    <w:rsid w:val="002863D7"/>
    <w:rsid w:val="0028672A"/>
    <w:rsid w:val="002873B4"/>
    <w:rsid w:val="00294875"/>
    <w:rsid w:val="002973DE"/>
    <w:rsid w:val="002A267F"/>
    <w:rsid w:val="002B0F6B"/>
    <w:rsid w:val="002B1B65"/>
    <w:rsid w:val="002B2EF5"/>
    <w:rsid w:val="002C1866"/>
    <w:rsid w:val="002C38E7"/>
    <w:rsid w:val="002C4A3B"/>
    <w:rsid w:val="002E1661"/>
    <w:rsid w:val="002E30E0"/>
    <w:rsid w:val="002E7FD6"/>
    <w:rsid w:val="002F46A1"/>
    <w:rsid w:val="002F4C1C"/>
    <w:rsid w:val="002F4CE1"/>
    <w:rsid w:val="002F5C2F"/>
    <w:rsid w:val="00300F22"/>
    <w:rsid w:val="003036FD"/>
    <w:rsid w:val="00304A37"/>
    <w:rsid w:val="00310ED4"/>
    <w:rsid w:val="00312301"/>
    <w:rsid w:val="0031492A"/>
    <w:rsid w:val="0031522F"/>
    <w:rsid w:val="00316C1A"/>
    <w:rsid w:val="00317FA0"/>
    <w:rsid w:val="00321840"/>
    <w:rsid w:val="00323C73"/>
    <w:rsid w:val="003243AE"/>
    <w:rsid w:val="00331141"/>
    <w:rsid w:val="00335A2C"/>
    <w:rsid w:val="00344758"/>
    <w:rsid w:val="003449BE"/>
    <w:rsid w:val="003455FC"/>
    <w:rsid w:val="00347142"/>
    <w:rsid w:val="00354AA1"/>
    <w:rsid w:val="003565A8"/>
    <w:rsid w:val="003566EA"/>
    <w:rsid w:val="003575AF"/>
    <w:rsid w:val="00366829"/>
    <w:rsid w:val="00372C79"/>
    <w:rsid w:val="003735B7"/>
    <w:rsid w:val="00377B04"/>
    <w:rsid w:val="003A09B4"/>
    <w:rsid w:val="003B2D20"/>
    <w:rsid w:val="003B4324"/>
    <w:rsid w:val="003B5A3B"/>
    <w:rsid w:val="003B7164"/>
    <w:rsid w:val="003C501F"/>
    <w:rsid w:val="003F7BF2"/>
    <w:rsid w:val="004053D1"/>
    <w:rsid w:val="0041068B"/>
    <w:rsid w:val="00410D46"/>
    <w:rsid w:val="00413960"/>
    <w:rsid w:val="00422417"/>
    <w:rsid w:val="004224B6"/>
    <w:rsid w:val="00424233"/>
    <w:rsid w:val="00427826"/>
    <w:rsid w:val="004333C4"/>
    <w:rsid w:val="004375C0"/>
    <w:rsid w:val="00440C68"/>
    <w:rsid w:val="00442634"/>
    <w:rsid w:val="00451823"/>
    <w:rsid w:val="00455AA2"/>
    <w:rsid w:val="004712FB"/>
    <w:rsid w:val="00472EFF"/>
    <w:rsid w:val="00474063"/>
    <w:rsid w:val="00476793"/>
    <w:rsid w:val="00477BD6"/>
    <w:rsid w:val="004800BE"/>
    <w:rsid w:val="00482666"/>
    <w:rsid w:val="004833CA"/>
    <w:rsid w:val="00485821"/>
    <w:rsid w:val="004875C6"/>
    <w:rsid w:val="0049472D"/>
    <w:rsid w:val="0049484F"/>
    <w:rsid w:val="004A187B"/>
    <w:rsid w:val="004A2D3C"/>
    <w:rsid w:val="004B4BE8"/>
    <w:rsid w:val="004B620D"/>
    <w:rsid w:val="004C7412"/>
    <w:rsid w:val="004D04BF"/>
    <w:rsid w:val="004D3B06"/>
    <w:rsid w:val="004E0DFF"/>
    <w:rsid w:val="004F0023"/>
    <w:rsid w:val="004F1C7C"/>
    <w:rsid w:val="004F61F7"/>
    <w:rsid w:val="00500549"/>
    <w:rsid w:val="00507BE9"/>
    <w:rsid w:val="00507EC0"/>
    <w:rsid w:val="005123F0"/>
    <w:rsid w:val="005132EE"/>
    <w:rsid w:val="00513540"/>
    <w:rsid w:val="005136CD"/>
    <w:rsid w:val="00513941"/>
    <w:rsid w:val="00513F4F"/>
    <w:rsid w:val="0053051D"/>
    <w:rsid w:val="0053584F"/>
    <w:rsid w:val="00560BF3"/>
    <w:rsid w:val="00564208"/>
    <w:rsid w:val="005667EB"/>
    <w:rsid w:val="0056730F"/>
    <w:rsid w:val="00571CEB"/>
    <w:rsid w:val="0057418F"/>
    <w:rsid w:val="00590E8C"/>
    <w:rsid w:val="00591951"/>
    <w:rsid w:val="00594893"/>
    <w:rsid w:val="00597805"/>
    <w:rsid w:val="005A33DA"/>
    <w:rsid w:val="005B4E3D"/>
    <w:rsid w:val="005C495C"/>
    <w:rsid w:val="005C5D41"/>
    <w:rsid w:val="005D1F34"/>
    <w:rsid w:val="005D383D"/>
    <w:rsid w:val="005D5059"/>
    <w:rsid w:val="005E7E49"/>
    <w:rsid w:val="005F009D"/>
    <w:rsid w:val="005F2183"/>
    <w:rsid w:val="005F34DA"/>
    <w:rsid w:val="005F7541"/>
    <w:rsid w:val="005F7828"/>
    <w:rsid w:val="00607A44"/>
    <w:rsid w:val="00610B79"/>
    <w:rsid w:val="00616FE0"/>
    <w:rsid w:val="00636E3C"/>
    <w:rsid w:val="00636FE7"/>
    <w:rsid w:val="00644976"/>
    <w:rsid w:val="006533E2"/>
    <w:rsid w:val="00654793"/>
    <w:rsid w:val="00662BEE"/>
    <w:rsid w:val="0067743C"/>
    <w:rsid w:val="0068086E"/>
    <w:rsid w:val="006829ED"/>
    <w:rsid w:val="00684616"/>
    <w:rsid w:val="00685F59"/>
    <w:rsid w:val="00693249"/>
    <w:rsid w:val="006970D8"/>
    <w:rsid w:val="006A5F73"/>
    <w:rsid w:val="006A687A"/>
    <w:rsid w:val="006A6BB3"/>
    <w:rsid w:val="006C67A6"/>
    <w:rsid w:val="006D279E"/>
    <w:rsid w:val="006D5EE5"/>
    <w:rsid w:val="006D68F9"/>
    <w:rsid w:val="006E6D3B"/>
    <w:rsid w:val="006E7973"/>
    <w:rsid w:val="006F6917"/>
    <w:rsid w:val="006F7AE8"/>
    <w:rsid w:val="007036A3"/>
    <w:rsid w:val="00706D80"/>
    <w:rsid w:val="0071112F"/>
    <w:rsid w:val="007202CB"/>
    <w:rsid w:val="00727707"/>
    <w:rsid w:val="00730BD2"/>
    <w:rsid w:val="00732BD5"/>
    <w:rsid w:val="0073631C"/>
    <w:rsid w:val="007469A7"/>
    <w:rsid w:val="007540BF"/>
    <w:rsid w:val="0076210B"/>
    <w:rsid w:val="0076347E"/>
    <w:rsid w:val="00767733"/>
    <w:rsid w:val="00770DCB"/>
    <w:rsid w:val="0077207A"/>
    <w:rsid w:val="00775485"/>
    <w:rsid w:val="00792337"/>
    <w:rsid w:val="0079295B"/>
    <w:rsid w:val="007959A3"/>
    <w:rsid w:val="00795CDB"/>
    <w:rsid w:val="007A644A"/>
    <w:rsid w:val="007B54A8"/>
    <w:rsid w:val="007C0AE4"/>
    <w:rsid w:val="007C1817"/>
    <w:rsid w:val="007D74F3"/>
    <w:rsid w:val="007E5B88"/>
    <w:rsid w:val="007E63C4"/>
    <w:rsid w:val="007F0D0B"/>
    <w:rsid w:val="007F1F53"/>
    <w:rsid w:val="007F61B9"/>
    <w:rsid w:val="008007A8"/>
    <w:rsid w:val="008033BC"/>
    <w:rsid w:val="008042D9"/>
    <w:rsid w:val="00810876"/>
    <w:rsid w:val="00814FC0"/>
    <w:rsid w:val="008254A6"/>
    <w:rsid w:val="00826652"/>
    <w:rsid w:val="00832E72"/>
    <w:rsid w:val="008337BE"/>
    <w:rsid w:val="00835B68"/>
    <w:rsid w:val="008405A7"/>
    <w:rsid w:val="00840640"/>
    <w:rsid w:val="00840673"/>
    <w:rsid w:val="00840BEA"/>
    <w:rsid w:val="00842C10"/>
    <w:rsid w:val="00850DA2"/>
    <w:rsid w:val="0085165D"/>
    <w:rsid w:val="0086430A"/>
    <w:rsid w:val="0086587F"/>
    <w:rsid w:val="008724DE"/>
    <w:rsid w:val="00872643"/>
    <w:rsid w:val="00876214"/>
    <w:rsid w:val="00876695"/>
    <w:rsid w:val="0088790E"/>
    <w:rsid w:val="00893305"/>
    <w:rsid w:val="008935E2"/>
    <w:rsid w:val="008A3D57"/>
    <w:rsid w:val="008B23BC"/>
    <w:rsid w:val="008B4819"/>
    <w:rsid w:val="008C045D"/>
    <w:rsid w:val="008C2A31"/>
    <w:rsid w:val="008D7326"/>
    <w:rsid w:val="008E2C94"/>
    <w:rsid w:val="008E3D60"/>
    <w:rsid w:val="008E3F4C"/>
    <w:rsid w:val="008E681F"/>
    <w:rsid w:val="008E691B"/>
    <w:rsid w:val="008E6CB4"/>
    <w:rsid w:val="008E7D14"/>
    <w:rsid w:val="008F6630"/>
    <w:rsid w:val="0090165F"/>
    <w:rsid w:val="00901B82"/>
    <w:rsid w:val="00907EDE"/>
    <w:rsid w:val="00912B09"/>
    <w:rsid w:val="00926B3A"/>
    <w:rsid w:val="0093038B"/>
    <w:rsid w:val="00934EF7"/>
    <w:rsid w:val="00957C72"/>
    <w:rsid w:val="00961FFF"/>
    <w:rsid w:val="00966C2F"/>
    <w:rsid w:val="00972B1A"/>
    <w:rsid w:val="00973CAC"/>
    <w:rsid w:val="0097512B"/>
    <w:rsid w:val="00982B64"/>
    <w:rsid w:val="00990761"/>
    <w:rsid w:val="0099126A"/>
    <w:rsid w:val="009922CF"/>
    <w:rsid w:val="009A3138"/>
    <w:rsid w:val="009B1EFE"/>
    <w:rsid w:val="009C70B1"/>
    <w:rsid w:val="009C7483"/>
    <w:rsid w:val="009C7505"/>
    <w:rsid w:val="009D1695"/>
    <w:rsid w:val="009D1F82"/>
    <w:rsid w:val="009D67F6"/>
    <w:rsid w:val="009E0FE1"/>
    <w:rsid w:val="009E4CF0"/>
    <w:rsid w:val="009F099B"/>
    <w:rsid w:val="009F2764"/>
    <w:rsid w:val="009F2C41"/>
    <w:rsid w:val="009F6831"/>
    <w:rsid w:val="009F70AB"/>
    <w:rsid w:val="009F7E40"/>
    <w:rsid w:val="00A01F6B"/>
    <w:rsid w:val="00A0406E"/>
    <w:rsid w:val="00A07596"/>
    <w:rsid w:val="00A11307"/>
    <w:rsid w:val="00A113E9"/>
    <w:rsid w:val="00A13AF3"/>
    <w:rsid w:val="00A14079"/>
    <w:rsid w:val="00A14457"/>
    <w:rsid w:val="00A15796"/>
    <w:rsid w:val="00A15F34"/>
    <w:rsid w:val="00A1620C"/>
    <w:rsid w:val="00A20CBC"/>
    <w:rsid w:val="00A21388"/>
    <w:rsid w:val="00A27791"/>
    <w:rsid w:val="00A41355"/>
    <w:rsid w:val="00A42890"/>
    <w:rsid w:val="00A43B92"/>
    <w:rsid w:val="00A44F5B"/>
    <w:rsid w:val="00A52881"/>
    <w:rsid w:val="00A54251"/>
    <w:rsid w:val="00A54544"/>
    <w:rsid w:val="00A5639C"/>
    <w:rsid w:val="00A565D2"/>
    <w:rsid w:val="00A6179E"/>
    <w:rsid w:val="00A64316"/>
    <w:rsid w:val="00A71192"/>
    <w:rsid w:val="00A804D9"/>
    <w:rsid w:val="00A83493"/>
    <w:rsid w:val="00A90ED5"/>
    <w:rsid w:val="00A92915"/>
    <w:rsid w:val="00A92F92"/>
    <w:rsid w:val="00A96892"/>
    <w:rsid w:val="00AA2051"/>
    <w:rsid w:val="00AA2C8B"/>
    <w:rsid w:val="00AA3994"/>
    <w:rsid w:val="00AA4A9C"/>
    <w:rsid w:val="00AA5931"/>
    <w:rsid w:val="00AE0B34"/>
    <w:rsid w:val="00AE3185"/>
    <w:rsid w:val="00AE3B97"/>
    <w:rsid w:val="00AE7848"/>
    <w:rsid w:val="00B03243"/>
    <w:rsid w:val="00B165B4"/>
    <w:rsid w:val="00B2374A"/>
    <w:rsid w:val="00B24B1D"/>
    <w:rsid w:val="00B277E0"/>
    <w:rsid w:val="00B33908"/>
    <w:rsid w:val="00B341A4"/>
    <w:rsid w:val="00B34946"/>
    <w:rsid w:val="00B36BA2"/>
    <w:rsid w:val="00B44877"/>
    <w:rsid w:val="00B44CBD"/>
    <w:rsid w:val="00B51505"/>
    <w:rsid w:val="00B517A9"/>
    <w:rsid w:val="00B519FD"/>
    <w:rsid w:val="00B520BC"/>
    <w:rsid w:val="00B524BA"/>
    <w:rsid w:val="00B52852"/>
    <w:rsid w:val="00B55A05"/>
    <w:rsid w:val="00B63D24"/>
    <w:rsid w:val="00B63D90"/>
    <w:rsid w:val="00B67BDF"/>
    <w:rsid w:val="00B70F1C"/>
    <w:rsid w:val="00B733DA"/>
    <w:rsid w:val="00B77005"/>
    <w:rsid w:val="00B77009"/>
    <w:rsid w:val="00B924E6"/>
    <w:rsid w:val="00B96B12"/>
    <w:rsid w:val="00BA262D"/>
    <w:rsid w:val="00BA2D97"/>
    <w:rsid w:val="00BA5698"/>
    <w:rsid w:val="00BC20C4"/>
    <w:rsid w:val="00BC79EB"/>
    <w:rsid w:val="00BD178A"/>
    <w:rsid w:val="00BD4D0A"/>
    <w:rsid w:val="00BD58FF"/>
    <w:rsid w:val="00BD7FCF"/>
    <w:rsid w:val="00BE0641"/>
    <w:rsid w:val="00BF796A"/>
    <w:rsid w:val="00BF7D23"/>
    <w:rsid w:val="00C04F73"/>
    <w:rsid w:val="00C064DC"/>
    <w:rsid w:val="00C12E1E"/>
    <w:rsid w:val="00C1617E"/>
    <w:rsid w:val="00C22C51"/>
    <w:rsid w:val="00C25BDA"/>
    <w:rsid w:val="00C33104"/>
    <w:rsid w:val="00C332D4"/>
    <w:rsid w:val="00C335E7"/>
    <w:rsid w:val="00C370E4"/>
    <w:rsid w:val="00C40B26"/>
    <w:rsid w:val="00C44BBC"/>
    <w:rsid w:val="00C550A3"/>
    <w:rsid w:val="00C7175B"/>
    <w:rsid w:val="00C760C3"/>
    <w:rsid w:val="00C77150"/>
    <w:rsid w:val="00C854D4"/>
    <w:rsid w:val="00C90556"/>
    <w:rsid w:val="00CA0D78"/>
    <w:rsid w:val="00CA4855"/>
    <w:rsid w:val="00CA4B7A"/>
    <w:rsid w:val="00CB24FE"/>
    <w:rsid w:val="00CB666E"/>
    <w:rsid w:val="00CB7B43"/>
    <w:rsid w:val="00CC0C31"/>
    <w:rsid w:val="00CC2BA8"/>
    <w:rsid w:val="00CC40FA"/>
    <w:rsid w:val="00CC7DB1"/>
    <w:rsid w:val="00CD58FD"/>
    <w:rsid w:val="00CE1139"/>
    <w:rsid w:val="00CF3C89"/>
    <w:rsid w:val="00D01D06"/>
    <w:rsid w:val="00D03019"/>
    <w:rsid w:val="00D158F8"/>
    <w:rsid w:val="00D32172"/>
    <w:rsid w:val="00D343FA"/>
    <w:rsid w:val="00D36D62"/>
    <w:rsid w:val="00D36FDD"/>
    <w:rsid w:val="00D418FF"/>
    <w:rsid w:val="00D442FD"/>
    <w:rsid w:val="00D457AC"/>
    <w:rsid w:val="00D51877"/>
    <w:rsid w:val="00D52314"/>
    <w:rsid w:val="00D5428A"/>
    <w:rsid w:val="00D64DFD"/>
    <w:rsid w:val="00D65C76"/>
    <w:rsid w:val="00D734C7"/>
    <w:rsid w:val="00D8018B"/>
    <w:rsid w:val="00D815EB"/>
    <w:rsid w:val="00D94316"/>
    <w:rsid w:val="00DA19E7"/>
    <w:rsid w:val="00DA2F73"/>
    <w:rsid w:val="00DA5F6B"/>
    <w:rsid w:val="00DC3CD3"/>
    <w:rsid w:val="00DC462F"/>
    <w:rsid w:val="00DC64E0"/>
    <w:rsid w:val="00DD6A21"/>
    <w:rsid w:val="00DE57C1"/>
    <w:rsid w:val="00DE60CA"/>
    <w:rsid w:val="00DF1155"/>
    <w:rsid w:val="00DF1C4A"/>
    <w:rsid w:val="00DF6619"/>
    <w:rsid w:val="00E00380"/>
    <w:rsid w:val="00E04B65"/>
    <w:rsid w:val="00E05E66"/>
    <w:rsid w:val="00E0649C"/>
    <w:rsid w:val="00E17C19"/>
    <w:rsid w:val="00E17F93"/>
    <w:rsid w:val="00E23AA4"/>
    <w:rsid w:val="00E24FA3"/>
    <w:rsid w:val="00E26B28"/>
    <w:rsid w:val="00E279B2"/>
    <w:rsid w:val="00E31465"/>
    <w:rsid w:val="00E328CD"/>
    <w:rsid w:val="00E329FB"/>
    <w:rsid w:val="00E36B95"/>
    <w:rsid w:val="00E4003F"/>
    <w:rsid w:val="00E447DB"/>
    <w:rsid w:val="00E458F6"/>
    <w:rsid w:val="00E45954"/>
    <w:rsid w:val="00E51B5E"/>
    <w:rsid w:val="00E573E1"/>
    <w:rsid w:val="00E60C6B"/>
    <w:rsid w:val="00E767C7"/>
    <w:rsid w:val="00E77051"/>
    <w:rsid w:val="00E84AAD"/>
    <w:rsid w:val="00E91F7E"/>
    <w:rsid w:val="00E94B0F"/>
    <w:rsid w:val="00EA44D9"/>
    <w:rsid w:val="00EB2943"/>
    <w:rsid w:val="00EB4D82"/>
    <w:rsid w:val="00EB54B6"/>
    <w:rsid w:val="00EB6A76"/>
    <w:rsid w:val="00EB7E2C"/>
    <w:rsid w:val="00EC3AB3"/>
    <w:rsid w:val="00ED1722"/>
    <w:rsid w:val="00ED275D"/>
    <w:rsid w:val="00EE7E50"/>
    <w:rsid w:val="00F008D2"/>
    <w:rsid w:val="00F03EFD"/>
    <w:rsid w:val="00F068BC"/>
    <w:rsid w:val="00F14C6D"/>
    <w:rsid w:val="00F21E8E"/>
    <w:rsid w:val="00F32C88"/>
    <w:rsid w:val="00F33648"/>
    <w:rsid w:val="00F34BC9"/>
    <w:rsid w:val="00F51BD1"/>
    <w:rsid w:val="00F55E9E"/>
    <w:rsid w:val="00F60D11"/>
    <w:rsid w:val="00F766EA"/>
    <w:rsid w:val="00F77787"/>
    <w:rsid w:val="00F80C0F"/>
    <w:rsid w:val="00F8296D"/>
    <w:rsid w:val="00F82E67"/>
    <w:rsid w:val="00F8302E"/>
    <w:rsid w:val="00F84502"/>
    <w:rsid w:val="00FA2408"/>
    <w:rsid w:val="00FA4916"/>
    <w:rsid w:val="00FC09C5"/>
    <w:rsid w:val="00FC69EE"/>
    <w:rsid w:val="00FD01B5"/>
    <w:rsid w:val="00FD7F10"/>
    <w:rsid w:val="00FE2EC2"/>
    <w:rsid w:val="00FE4A7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4:docId w14:val="094A0BAC"/>
  <w15:docId w15:val="{3CA0C8D2-DC56-4916-8086-A4D18439C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lsdException w:name="index 3" w:locked="1"/>
    <w:lsdException w:name="index 4" w:locked="1"/>
    <w:lsdException w:name="index 5" w:locked="1"/>
    <w:lsdException w:name="index 6" w:lock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nhideWhenUsed="1"/>
    <w:lsdException w:name="annotation text" w:locked="1" w:semiHidden="1" w:unhideWhenUsed="1"/>
    <w:lsdException w:name="header" w:semiHidden="1" w:unhideWhenUsed="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semiHidden="1" w:unhideWhenUsed="1"/>
    <w:lsdException w:name="endnote text"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lsdException w:name="List Number 3" w:locked="1" w:semiHidden="1" w:unhideWhenUsed="1"/>
    <w:lsdException w:name="List Number 4" w:locked="1" w:semiHidden="1" w:unhideWhenUsed="1"/>
    <w:lsdException w:name="List Number 5" w:locked="1"/>
    <w:lsdException w:name="Title" w:locked="1"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lsdException w:name="Block Text" w:locked="1"/>
    <w:lsdException w:name="Hyperlink" w:uiPriority="99"/>
    <w:lsdException w:name="FollowedHyperlink" w:locked="1"/>
    <w:lsdException w:name="Strong"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B65"/>
    <w:pPr>
      <w:spacing w:before="240" w:after="240"/>
    </w:pPr>
    <w:rPr>
      <w:rFonts w:ascii="Arial" w:eastAsia="MS Mincho" w:hAnsi="Arial"/>
      <w:sz w:val="24"/>
      <w:szCs w:val="24"/>
    </w:rPr>
  </w:style>
  <w:style w:type="paragraph" w:styleId="Heading1">
    <w:name w:val="heading 1"/>
    <w:basedOn w:val="Normal"/>
    <w:next w:val="Normal"/>
    <w:link w:val="Heading1Char"/>
    <w:qFormat/>
    <w:rsid w:val="00D94316"/>
    <w:pPr>
      <w:keepNext/>
      <w:keepLines/>
      <w:numPr>
        <w:numId w:val="15"/>
      </w:numPr>
      <w:spacing w:before="360"/>
      <w:outlineLvl w:val="0"/>
    </w:pPr>
    <w:rPr>
      <w:b/>
      <w:bCs/>
      <w:sz w:val="36"/>
      <w:szCs w:val="36"/>
    </w:rPr>
  </w:style>
  <w:style w:type="paragraph" w:styleId="Heading2">
    <w:name w:val="heading 2"/>
    <w:basedOn w:val="Heading1"/>
    <w:next w:val="Normal"/>
    <w:link w:val="Heading2Char"/>
    <w:qFormat/>
    <w:rsid w:val="008007A8"/>
    <w:pPr>
      <w:numPr>
        <w:ilvl w:val="1"/>
      </w:numPr>
      <w:outlineLvl w:val="1"/>
    </w:pPr>
    <w:rPr>
      <w:bCs w:val="0"/>
      <w:i/>
      <w:color w:val="000000"/>
      <w:szCs w:val="26"/>
    </w:rPr>
  </w:style>
  <w:style w:type="paragraph" w:styleId="Heading3">
    <w:name w:val="heading 3"/>
    <w:basedOn w:val="Heading2"/>
    <w:next w:val="Normal"/>
    <w:link w:val="Heading3Char"/>
    <w:qFormat/>
    <w:rsid w:val="00607A44"/>
    <w:pPr>
      <w:numPr>
        <w:ilvl w:val="2"/>
      </w:numPr>
      <w:outlineLvl w:val="2"/>
    </w:pPr>
    <w:rPr>
      <w:bCs/>
      <w:i w:val="0"/>
      <w:color w:val="auto"/>
      <w:sz w:val="24"/>
    </w:rPr>
  </w:style>
  <w:style w:type="paragraph" w:styleId="Heading4">
    <w:name w:val="heading 4"/>
    <w:basedOn w:val="Heading3"/>
    <w:next w:val="Normal"/>
    <w:link w:val="Heading4Char"/>
    <w:qFormat/>
    <w:rsid w:val="00507EC0"/>
    <w:pPr>
      <w:numPr>
        <w:ilvl w:val="3"/>
      </w:numPr>
      <w:outlineLvl w:val="3"/>
    </w:pPr>
    <w:rPr>
      <w:bCs w:val="0"/>
      <w:i/>
      <w:iCs/>
    </w:rPr>
  </w:style>
  <w:style w:type="paragraph" w:styleId="Heading5">
    <w:name w:val="heading 5"/>
    <w:basedOn w:val="Normal"/>
    <w:next w:val="Normal"/>
    <w:link w:val="Heading5Char"/>
    <w:qFormat/>
    <w:locked/>
    <w:rsid w:val="00507EC0"/>
    <w:pPr>
      <w:keepNext/>
      <w:keepLines/>
      <w:numPr>
        <w:ilvl w:val="4"/>
        <w:numId w:val="15"/>
      </w:numPr>
      <w:spacing w:before="200"/>
      <w:outlineLvl w:val="4"/>
    </w:pPr>
    <w:rPr>
      <w:rFonts w:cs="Arial"/>
      <w:b/>
    </w:rPr>
  </w:style>
  <w:style w:type="paragraph" w:styleId="Heading6">
    <w:name w:val="heading 6"/>
    <w:basedOn w:val="Normal"/>
    <w:next w:val="Normal"/>
    <w:link w:val="Heading6Char"/>
    <w:qFormat/>
    <w:locked/>
    <w:rsid w:val="008007A8"/>
    <w:pPr>
      <w:keepNext/>
      <w:keepLines/>
      <w:numPr>
        <w:ilvl w:val="5"/>
        <w:numId w:val="15"/>
      </w:numPr>
      <w:spacing w:before="200"/>
      <w:outlineLvl w:val="5"/>
    </w:pPr>
    <w:rPr>
      <w:rFonts w:ascii="Cambria" w:hAnsi="Cambria"/>
      <w:i/>
      <w:iCs/>
      <w:color w:val="243F60"/>
    </w:rPr>
  </w:style>
  <w:style w:type="paragraph" w:styleId="Heading7">
    <w:name w:val="heading 7"/>
    <w:basedOn w:val="Normal"/>
    <w:next w:val="Normal"/>
    <w:link w:val="Heading7Char"/>
    <w:qFormat/>
    <w:locked/>
    <w:rsid w:val="008007A8"/>
    <w:pPr>
      <w:keepNext/>
      <w:keepLines/>
      <w:numPr>
        <w:ilvl w:val="6"/>
        <w:numId w:val="15"/>
      </w:numPr>
      <w:spacing w:before="200"/>
      <w:outlineLvl w:val="6"/>
    </w:pPr>
    <w:rPr>
      <w:rFonts w:ascii="Cambria" w:hAnsi="Cambria"/>
      <w:i/>
      <w:iCs/>
      <w:color w:val="404040"/>
    </w:rPr>
  </w:style>
  <w:style w:type="paragraph" w:styleId="Heading8">
    <w:name w:val="heading 8"/>
    <w:basedOn w:val="Normal"/>
    <w:next w:val="Normal"/>
    <w:link w:val="Heading8Char"/>
    <w:qFormat/>
    <w:locked/>
    <w:rsid w:val="008007A8"/>
    <w:pPr>
      <w:keepNext/>
      <w:keepLines/>
      <w:numPr>
        <w:ilvl w:val="7"/>
        <w:numId w:val="15"/>
      </w:numPr>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8007A8"/>
    <w:pPr>
      <w:keepNext/>
      <w:keepLines/>
      <w:numPr>
        <w:ilvl w:val="8"/>
        <w:numId w:val="15"/>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94316"/>
    <w:rPr>
      <w:rFonts w:ascii="Arial" w:eastAsia="MS Mincho" w:hAnsi="Arial"/>
      <w:b/>
      <w:bCs/>
      <w:sz w:val="36"/>
      <w:szCs w:val="36"/>
    </w:rPr>
  </w:style>
  <w:style w:type="character" w:customStyle="1" w:styleId="Heading2Char">
    <w:name w:val="Heading 2 Char"/>
    <w:link w:val="Heading2"/>
    <w:rsid w:val="008007A8"/>
    <w:rPr>
      <w:rFonts w:ascii="Arial" w:eastAsia="MS Mincho" w:hAnsi="Arial"/>
      <w:b/>
      <w:i/>
      <w:color w:val="000000"/>
      <w:sz w:val="36"/>
      <w:szCs w:val="26"/>
    </w:rPr>
  </w:style>
  <w:style w:type="character" w:customStyle="1" w:styleId="Heading3Char">
    <w:name w:val="Heading 3 Char"/>
    <w:link w:val="Heading3"/>
    <w:rsid w:val="00607A44"/>
    <w:rPr>
      <w:rFonts w:ascii="Arial" w:eastAsia="MS Mincho" w:hAnsi="Arial"/>
      <w:b/>
      <w:bCs/>
      <w:sz w:val="24"/>
      <w:szCs w:val="26"/>
    </w:rPr>
  </w:style>
  <w:style w:type="character" w:customStyle="1" w:styleId="Heading4Char">
    <w:name w:val="Heading 4 Char"/>
    <w:link w:val="Heading4"/>
    <w:rsid w:val="00507EC0"/>
    <w:rPr>
      <w:rFonts w:ascii="Arial" w:eastAsia="MS Mincho" w:hAnsi="Arial"/>
      <w:b/>
      <w:i/>
      <w:iCs/>
      <w:sz w:val="24"/>
      <w:szCs w:val="26"/>
    </w:rPr>
  </w:style>
  <w:style w:type="character" w:styleId="Strong">
    <w:name w:val="Strong"/>
    <w:qFormat/>
    <w:locked/>
    <w:rsid w:val="000B0A5D"/>
    <w:rPr>
      <w:b/>
      <w:bCs/>
    </w:rPr>
  </w:style>
  <w:style w:type="character" w:customStyle="1" w:styleId="Heading5Char">
    <w:name w:val="Heading 5 Char"/>
    <w:link w:val="Heading5"/>
    <w:rsid w:val="00507EC0"/>
    <w:rPr>
      <w:rFonts w:ascii="Arial" w:eastAsia="MS Mincho" w:hAnsi="Arial" w:cs="Arial"/>
      <w:b/>
      <w:sz w:val="24"/>
      <w:szCs w:val="24"/>
    </w:rPr>
  </w:style>
  <w:style w:type="character" w:customStyle="1" w:styleId="Heading6Char">
    <w:name w:val="Heading 6 Char"/>
    <w:link w:val="Heading6"/>
    <w:rsid w:val="008007A8"/>
    <w:rPr>
      <w:rFonts w:ascii="Cambria" w:eastAsia="MS Mincho" w:hAnsi="Cambria"/>
      <w:i/>
      <w:iCs/>
      <w:color w:val="243F60"/>
      <w:sz w:val="24"/>
      <w:szCs w:val="24"/>
    </w:rPr>
  </w:style>
  <w:style w:type="character" w:customStyle="1" w:styleId="Heading7Char">
    <w:name w:val="Heading 7 Char"/>
    <w:link w:val="Heading7"/>
    <w:rsid w:val="008007A8"/>
    <w:rPr>
      <w:rFonts w:ascii="Cambria" w:eastAsia="MS Mincho" w:hAnsi="Cambria"/>
      <w:i/>
      <w:iCs/>
      <w:color w:val="404040"/>
      <w:sz w:val="24"/>
      <w:szCs w:val="24"/>
    </w:rPr>
  </w:style>
  <w:style w:type="character" w:customStyle="1" w:styleId="Heading8Char">
    <w:name w:val="Heading 8 Char"/>
    <w:link w:val="Heading8"/>
    <w:rsid w:val="008007A8"/>
    <w:rPr>
      <w:rFonts w:ascii="Cambria" w:eastAsia="MS Mincho" w:hAnsi="Cambria"/>
      <w:color w:val="404040"/>
    </w:rPr>
  </w:style>
  <w:style w:type="character" w:customStyle="1" w:styleId="Heading9Char">
    <w:name w:val="Heading 9 Char"/>
    <w:link w:val="Heading9"/>
    <w:rsid w:val="008007A8"/>
    <w:rPr>
      <w:rFonts w:ascii="Cambria" w:eastAsia="MS Mincho" w:hAnsi="Cambria"/>
      <w:i/>
      <w:iCs/>
      <w:color w:val="404040"/>
    </w:rPr>
  </w:style>
  <w:style w:type="paragraph" w:styleId="Header">
    <w:name w:val="header"/>
    <w:basedOn w:val="Normal"/>
    <w:link w:val="HeaderChar"/>
    <w:semiHidden/>
    <w:rsid w:val="0090165F"/>
    <w:pPr>
      <w:tabs>
        <w:tab w:val="center" w:pos="4513"/>
        <w:tab w:val="right" w:pos="9026"/>
      </w:tabs>
      <w:spacing w:after="0"/>
    </w:pPr>
    <w:rPr>
      <w:sz w:val="22"/>
    </w:rPr>
  </w:style>
  <w:style w:type="character" w:customStyle="1" w:styleId="HeaderChar">
    <w:name w:val="Header Char"/>
    <w:link w:val="Header"/>
    <w:rsid w:val="0090165F"/>
    <w:rPr>
      <w:rFonts w:ascii="Arial" w:hAnsi="Arial"/>
      <w:sz w:val="22"/>
      <w:szCs w:val="24"/>
      <w:lang w:val="en-AU" w:eastAsia="en-AU" w:bidi="ar-SA"/>
    </w:rPr>
  </w:style>
  <w:style w:type="paragraph" w:styleId="Footer">
    <w:name w:val="footer"/>
    <w:basedOn w:val="Normal"/>
    <w:link w:val="FooterChar"/>
    <w:uiPriority w:val="99"/>
    <w:semiHidden/>
    <w:rsid w:val="00B34946"/>
    <w:pPr>
      <w:tabs>
        <w:tab w:val="right" w:pos="2835"/>
        <w:tab w:val="right" w:pos="5670"/>
      </w:tabs>
      <w:spacing w:before="0" w:after="60"/>
    </w:pPr>
    <w:rPr>
      <w:color w:val="404040"/>
      <w:sz w:val="16"/>
    </w:rPr>
  </w:style>
  <w:style w:type="character" w:customStyle="1" w:styleId="FooterChar">
    <w:name w:val="Footer Char"/>
    <w:link w:val="Footer"/>
    <w:uiPriority w:val="99"/>
    <w:semiHidden/>
    <w:rsid w:val="00B34946"/>
    <w:rPr>
      <w:rFonts w:ascii="Arial" w:eastAsia="MS Mincho" w:hAnsi="Arial"/>
      <w:color w:val="404040"/>
      <w:sz w:val="16"/>
      <w:szCs w:val="24"/>
    </w:rPr>
  </w:style>
  <w:style w:type="paragraph" w:styleId="TOC3">
    <w:name w:val="toc 3"/>
    <w:basedOn w:val="Normal"/>
    <w:next w:val="Normal"/>
    <w:autoRedefine/>
    <w:uiPriority w:val="39"/>
    <w:qFormat/>
    <w:locked/>
    <w:rsid w:val="00607A44"/>
    <w:pPr>
      <w:spacing w:before="0" w:after="0"/>
      <w:ind w:left="480"/>
    </w:pPr>
    <w:rPr>
      <w:iCs/>
      <w:szCs w:val="20"/>
    </w:rPr>
  </w:style>
  <w:style w:type="character" w:styleId="PlaceholderText">
    <w:name w:val="Placeholder Tex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1"/>
      </w:numPr>
    </w:pPr>
  </w:style>
  <w:style w:type="paragraph" w:styleId="TOC1">
    <w:name w:val="toc 1"/>
    <w:basedOn w:val="Normal"/>
    <w:next w:val="Normal"/>
    <w:autoRedefine/>
    <w:uiPriority w:val="39"/>
    <w:qFormat/>
    <w:locked/>
    <w:rsid w:val="00607A44"/>
    <w:pPr>
      <w:tabs>
        <w:tab w:val="left" w:pos="1440"/>
        <w:tab w:val="right" w:pos="9060"/>
      </w:tabs>
      <w:spacing w:before="120" w:after="120"/>
    </w:pPr>
    <w:rPr>
      <w:bCs/>
      <w:szCs w:val="20"/>
    </w:rPr>
  </w:style>
  <w:style w:type="paragraph" w:styleId="TOC2">
    <w:name w:val="toc 2"/>
    <w:basedOn w:val="Normal"/>
    <w:next w:val="Normal"/>
    <w:autoRedefine/>
    <w:uiPriority w:val="39"/>
    <w:qFormat/>
    <w:locked/>
    <w:rsid w:val="00972B1A"/>
    <w:pPr>
      <w:spacing w:before="0" w:after="0"/>
      <w:ind w:left="240"/>
    </w:pPr>
    <w:rPr>
      <w:szCs w:val="20"/>
    </w:rPr>
  </w:style>
  <w:style w:type="paragraph" w:styleId="TOC4">
    <w:name w:val="toc 4"/>
    <w:basedOn w:val="Normal"/>
    <w:next w:val="Normal"/>
    <w:autoRedefine/>
    <w:uiPriority w:val="39"/>
    <w:locked/>
    <w:rsid w:val="00814FC0"/>
    <w:pPr>
      <w:spacing w:before="0" w:after="0"/>
      <w:ind w:left="720"/>
    </w:pPr>
    <w:rPr>
      <w:rFonts w:asciiTheme="minorHAnsi" w:hAnsiTheme="minorHAnsi"/>
      <w:sz w:val="18"/>
      <w:szCs w:val="18"/>
    </w:rPr>
  </w:style>
  <w:style w:type="character" w:styleId="Hyperlink">
    <w:name w:val="Hyperlink"/>
    <w:uiPriority w:val="99"/>
    <w:unhideWhenUsed/>
    <w:locked/>
    <w:rsid w:val="0024557E"/>
    <w:rPr>
      <w:color w:val="0000FF"/>
      <w:u w:val="single"/>
    </w:rPr>
  </w:style>
  <w:style w:type="paragraph" w:styleId="TOCHeading">
    <w:name w:val="TOC Heading"/>
    <w:basedOn w:val="Normal"/>
    <w:next w:val="Normal"/>
    <w:uiPriority w:val="39"/>
    <w:qFormat/>
    <w:locked/>
    <w:rsid w:val="007540BF"/>
    <w:pPr>
      <w:spacing w:before="0" w:after="360"/>
    </w:pPr>
    <w:rPr>
      <w:b/>
      <w:color w:val="000000"/>
      <w:lang w:val="en-US" w:eastAsia="en-US"/>
    </w:rPr>
  </w:style>
  <w:style w:type="paragraph" w:styleId="EndnoteText">
    <w:name w:val="endnote text"/>
    <w:basedOn w:val="Normal"/>
    <w:link w:val="EndnoteTextChar1"/>
    <w:rsid w:val="000E130A"/>
    <w:pPr>
      <w:spacing w:before="0" w:after="0"/>
    </w:pPr>
    <w:rPr>
      <w:sz w:val="20"/>
      <w:szCs w:val="20"/>
    </w:rPr>
  </w:style>
  <w:style w:type="character" w:customStyle="1" w:styleId="EndnoteTextChar1">
    <w:name w:val="Endnote Text Char1"/>
    <w:link w:val="EndnoteText"/>
    <w:rsid w:val="000E130A"/>
    <w:rPr>
      <w:rFonts w:ascii="Arial" w:eastAsia="MS Mincho" w:hAnsi="Arial"/>
      <w:lang w:val="en-AU" w:eastAsia="en-AU" w:bidi="ar-SA"/>
    </w:rPr>
  </w:style>
  <w:style w:type="character" w:styleId="EndnoteReference">
    <w:name w:val="endnote reference"/>
    <w:rsid w:val="000A1DB8"/>
    <w:rPr>
      <w:rFonts w:ascii="Arial" w:hAnsi="Arial"/>
      <w:sz w:val="20"/>
      <w:vertAlign w:val="superscript"/>
    </w:rPr>
  </w:style>
  <w:style w:type="numbering" w:styleId="1ai">
    <w:name w:val="Outline List 1"/>
    <w:basedOn w:val="NoList"/>
    <w:semiHidden/>
    <w:locked/>
    <w:rsid w:val="00E45954"/>
    <w:pPr>
      <w:numPr>
        <w:numId w:val="12"/>
      </w:numPr>
    </w:pPr>
  </w:style>
  <w:style w:type="numbering" w:styleId="ArticleSection">
    <w:name w:val="Outline List 3"/>
    <w:basedOn w:val="NoList"/>
    <w:semiHidden/>
    <w:locked/>
    <w:rsid w:val="00E45954"/>
    <w:pPr>
      <w:numPr>
        <w:numId w:val="13"/>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C33104"/>
    <w:pPr>
      <w:spacing w:before="120" w:after="120"/>
      <w:jc w:val="right"/>
    </w:pPr>
    <w:rPr>
      <w:color w:val="595959"/>
      <w:sz w:val="26"/>
    </w:rPr>
  </w:style>
  <w:style w:type="paragraph" w:styleId="E-mailSignature">
    <w:name w:val="E-mail Signature"/>
    <w:basedOn w:val="Normal"/>
    <w:semiHidden/>
    <w:locked/>
    <w:rsid w:val="00E45954"/>
  </w:style>
  <w:style w:type="character" w:styleId="Emphasis">
    <w:name w:val="Emphasis"/>
    <w:qFormat/>
    <w:locked/>
    <w:rsid w:val="00E45954"/>
    <w:rPr>
      <w:i/>
      <w:iCs/>
    </w:rPr>
  </w:style>
  <w:style w:type="paragraph" w:styleId="EnvelopeAddress">
    <w:name w:val="envelope address"/>
    <w:basedOn w:val="Normal"/>
    <w:semiHidden/>
    <w:locked/>
    <w:rsid w:val="000A1DB8"/>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rsid w:val="000A1DB8"/>
    <w:rPr>
      <w:rFonts w:ascii="Arial" w:hAnsi="Arial"/>
      <w:sz w:val="20"/>
      <w:vertAlign w:val="superscript"/>
    </w:rPr>
  </w:style>
  <w:style w:type="paragraph" w:styleId="FootnoteText">
    <w:name w:val="footnote text"/>
    <w:basedOn w:val="Normal"/>
    <w:link w:val="FootnoteTextChar"/>
    <w:rsid w:val="000E130A"/>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semiHidden/>
    <w:locked/>
    <w:rsid w:val="00E45954"/>
    <w:rPr>
      <w:i/>
      <w:iCs/>
    </w:rPr>
  </w:style>
  <w:style w:type="character" w:styleId="HTMLCode">
    <w:name w:val="HTML Code"/>
    <w:semiHidden/>
    <w:locked/>
    <w:rsid w:val="00E45954"/>
    <w:rPr>
      <w:rFonts w:ascii="Courier New" w:hAnsi="Courier New" w:cs="Courier New"/>
      <w:sz w:val="20"/>
      <w:szCs w:val="20"/>
    </w:rPr>
  </w:style>
  <w:style w:type="character" w:styleId="HTMLDefinition">
    <w:name w:val="HTML Definition"/>
    <w:semiHidden/>
    <w:locked/>
    <w:rsid w:val="00E45954"/>
    <w:rPr>
      <w:i/>
      <w:iCs/>
    </w:rPr>
  </w:style>
  <w:style w:type="character" w:styleId="HTMLKeyboard">
    <w:name w:val="HTML Keyboard"/>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semiHidden/>
    <w:locked/>
    <w:rsid w:val="00E45954"/>
    <w:rPr>
      <w:rFonts w:ascii="Courier New" w:hAnsi="Courier New" w:cs="Courier New"/>
    </w:rPr>
  </w:style>
  <w:style w:type="character" w:styleId="HTMLTypewriter">
    <w:name w:val="HTML Typewriter"/>
    <w:semiHidden/>
    <w:locked/>
    <w:rsid w:val="00E45954"/>
    <w:rPr>
      <w:rFonts w:ascii="Courier New" w:hAnsi="Courier New" w:cs="Courier New"/>
      <w:sz w:val="20"/>
      <w:szCs w:val="20"/>
    </w:rPr>
  </w:style>
  <w:style w:type="character" w:styleId="HTMLVariable">
    <w:name w:val="HTML Variable"/>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paragraph" w:styleId="ListBullet">
    <w:name w:val="List Bullet"/>
    <w:basedOn w:val="Normal"/>
    <w:semiHidden/>
    <w:locked/>
    <w:rsid w:val="00E45954"/>
    <w:pPr>
      <w:numPr>
        <w:numId w:val="1"/>
      </w:numPr>
    </w:pPr>
  </w:style>
  <w:style w:type="paragraph" w:styleId="ListBullet2">
    <w:name w:val="List Bullet 2"/>
    <w:basedOn w:val="Normal"/>
    <w:semiHidden/>
    <w:locked/>
    <w:rsid w:val="00E45954"/>
    <w:pPr>
      <w:numPr>
        <w:numId w:val="2"/>
      </w:numPr>
    </w:pPr>
  </w:style>
  <w:style w:type="paragraph" w:styleId="ListBullet3">
    <w:name w:val="List Bullet 3"/>
    <w:basedOn w:val="Normal"/>
    <w:semiHidden/>
    <w:locked/>
    <w:rsid w:val="00E45954"/>
    <w:pPr>
      <w:numPr>
        <w:numId w:val="3"/>
      </w:numPr>
    </w:pPr>
  </w:style>
  <w:style w:type="paragraph" w:styleId="ListBullet4">
    <w:name w:val="List Bullet 4"/>
    <w:basedOn w:val="Normal"/>
    <w:semiHidden/>
    <w:locked/>
    <w:rsid w:val="00E45954"/>
    <w:pPr>
      <w:numPr>
        <w:numId w:val="4"/>
      </w:numPr>
    </w:pPr>
  </w:style>
  <w:style w:type="paragraph" w:styleId="ListBullet5">
    <w:name w:val="List Bullet 5"/>
    <w:basedOn w:val="Normal"/>
    <w:semiHidden/>
    <w:locked/>
    <w:rsid w:val="00E45954"/>
    <w:pPr>
      <w:numPr>
        <w:numId w:val="5"/>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6"/>
      </w:numPr>
    </w:pPr>
  </w:style>
  <w:style w:type="paragraph" w:styleId="ListNumber2">
    <w:name w:val="List Number 2"/>
    <w:basedOn w:val="Normal"/>
    <w:semiHidden/>
    <w:locked/>
    <w:rsid w:val="00E45954"/>
    <w:pPr>
      <w:numPr>
        <w:numId w:val="9"/>
      </w:numPr>
    </w:pPr>
  </w:style>
  <w:style w:type="paragraph" w:styleId="ListNumber3">
    <w:name w:val="List Number 3"/>
    <w:basedOn w:val="Normal"/>
    <w:semiHidden/>
    <w:locked/>
    <w:rsid w:val="00E45954"/>
    <w:pPr>
      <w:numPr>
        <w:numId w:val="10"/>
      </w:numPr>
    </w:pPr>
  </w:style>
  <w:style w:type="paragraph" w:styleId="ListNumber4">
    <w:name w:val="List Number 4"/>
    <w:basedOn w:val="Normal"/>
    <w:semiHidden/>
    <w:locked/>
    <w:rsid w:val="00E45954"/>
    <w:pPr>
      <w:numPr>
        <w:numId w:val="7"/>
      </w:numPr>
    </w:pPr>
  </w:style>
  <w:style w:type="paragraph" w:styleId="ListNumber5">
    <w:name w:val="List Number 5"/>
    <w:basedOn w:val="Normal"/>
    <w:semiHidden/>
    <w:locked/>
    <w:rsid w:val="00E45954"/>
    <w:pPr>
      <w:numPr>
        <w:numId w:val="8"/>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link w:val="SubtitleChar"/>
    <w:qFormat/>
    <w:locked/>
    <w:rsid w:val="00323C73"/>
    <w:pPr>
      <w:spacing w:before="40" w:after="0"/>
      <w:jc w:val="right"/>
      <w:outlineLvl w:val="1"/>
    </w:pPr>
    <w:rPr>
      <w:rFonts w:cs="Arial"/>
      <w:b/>
      <w:caps/>
      <w:sz w:val="26"/>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semiHidden/>
    <w:locked/>
    <w:rsid w:val="00E45954"/>
    <w:rPr>
      <w:color w:val="800080"/>
      <w:u w:val="single"/>
    </w:rPr>
  </w:style>
  <w:style w:type="paragraph" w:customStyle="1" w:styleId="MainTitle">
    <w:name w:val="Main Title"/>
    <w:semiHidden/>
    <w:qFormat/>
    <w:rsid w:val="00FD01B5"/>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
    <w:semiHidden/>
    <w:rsid w:val="00591951"/>
    <w:pPr>
      <w:spacing w:line="200" w:lineRule="exact"/>
      <w:jc w:val="both"/>
    </w:pPr>
    <w:rPr>
      <w:rFonts w:eastAsia="Times New Roman" w:cs="ArialMT"/>
      <w:color w:val="000000"/>
      <w:sz w:val="16"/>
      <w:lang w:eastAsia="en-US"/>
    </w:rPr>
  </w:style>
  <w:style w:type="paragraph" w:customStyle="1" w:styleId="LogoType">
    <w:name w:val="Logo Type"/>
    <w:basedOn w:val="Header"/>
    <w:semiHidden/>
    <w:rsid w:val="00591951"/>
    <w:pPr>
      <w:pBdr>
        <w:bottom w:val="single" w:sz="4" w:space="4" w:color="auto"/>
      </w:pBdr>
      <w:tabs>
        <w:tab w:val="clear" w:pos="4513"/>
        <w:tab w:val="clear" w:pos="9026"/>
        <w:tab w:val="left" w:pos="4686"/>
        <w:tab w:val="left" w:pos="7088"/>
        <w:tab w:val="left" w:pos="7242"/>
      </w:tabs>
      <w:spacing w:before="0" w:line="320" w:lineRule="exact"/>
    </w:pPr>
    <w:rPr>
      <w:rFonts w:cs="ArialMT"/>
      <w:b/>
      <w:color w:val="808080"/>
      <w:spacing w:val="-20"/>
      <w:sz w:val="32"/>
      <w:lang w:eastAsia="en-US"/>
    </w:rPr>
  </w:style>
  <w:style w:type="paragraph" w:styleId="BalloonText">
    <w:name w:val="Balloon Text"/>
    <w:basedOn w:val="Normal"/>
    <w:link w:val="BalloonTextChar"/>
    <w:semiHidden/>
    <w:locked/>
    <w:rsid w:val="00A96892"/>
    <w:pPr>
      <w:spacing w:before="0" w:after="0"/>
    </w:pPr>
    <w:rPr>
      <w:rFonts w:ascii="Tahoma" w:hAnsi="Tahoma" w:cs="Tahoma"/>
      <w:sz w:val="16"/>
      <w:szCs w:val="16"/>
    </w:rPr>
  </w:style>
  <w:style w:type="character" w:customStyle="1" w:styleId="BalloonTextChar">
    <w:name w:val="Balloon Text Char"/>
    <w:link w:val="BalloonText"/>
    <w:rsid w:val="00A96892"/>
    <w:rPr>
      <w:rFonts w:ascii="Tahoma" w:eastAsia="MS Mincho" w:hAnsi="Tahoma" w:cs="Tahoma"/>
      <w:sz w:val="16"/>
      <w:szCs w:val="16"/>
    </w:rPr>
  </w:style>
  <w:style w:type="character" w:customStyle="1" w:styleId="CharChar">
    <w:name w:val="Char Char"/>
    <w:semiHidden/>
    <w:locked/>
    <w:rsid w:val="000A48AC"/>
    <w:rPr>
      <w:rFonts w:ascii="Arial" w:hAnsi="Arial" w:cs="Arial"/>
      <w:lang w:val="en-AU" w:eastAsia="en-AU" w:bidi="ar-SA"/>
    </w:rPr>
  </w:style>
  <w:style w:type="character" w:customStyle="1" w:styleId="EndnoteTextChar">
    <w:name w:val="Endnote Text Char"/>
    <w:locked/>
    <w:rsid w:val="00EB6A76"/>
    <w:rPr>
      <w:rFonts w:ascii="Arial" w:hAnsi="Arial"/>
      <w:lang w:bidi="ar-SA"/>
    </w:rPr>
  </w:style>
  <w:style w:type="character" w:customStyle="1" w:styleId="SubtitleChar">
    <w:name w:val="Subtitle Char"/>
    <w:link w:val="Subtitle"/>
    <w:rsid w:val="00323C73"/>
    <w:rPr>
      <w:rFonts w:ascii="Arial" w:eastAsia="MS Mincho" w:hAnsi="Arial" w:cs="Arial"/>
      <w:b/>
      <w:caps/>
      <w:sz w:val="26"/>
      <w:szCs w:val="24"/>
    </w:rPr>
  </w:style>
  <w:style w:type="paragraph" w:customStyle="1" w:styleId="SubmissionNormal">
    <w:name w:val="Submission Normal"/>
    <w:basedOn w:val="Normal"/>
    <w:link w:val="SubmissionNormalChar"/>
    <w:rsid w:val="00B34946"/>
    <w:pPr>
      <w:numPr>
        <w:numId w:val="14"/>
      </w:numPr>
      <w:tabs>
        <w:tab w:val="clear" w:pos="720"/>
      </w:tabs>
      <w:ind w:hanging="720"/>
    </w:pPr>
    <w:rPr>
      <w:rFonts w:eastAsia="Times New Roman"/>
    </w:rPr>
  </w:style>
  <w:style w:type="character" w:customStyle="1" w:styleId="SubmissionNormalChar">
    <w:name w:val="Submission Normal Char"/>
    <w:link w:val="SubmissionNormal"/>
    <w:rsid w:val="00B34946"/>
    <w:rPr>
      <w:rFonts w:ascii="Arial" w:hAnsi="Arial"/>
      <w:sz w:val="24"/>
      <w:szCs w:val="24"/>
    </w:rPr>
  </w:style>
  <w:style w:type="paragraph" w:customStyle="1" w:styleId="coveraddresses">
    <w:name w:val="cover addresses"/>
    <w:basedOn w:val="Footer"/>
    <w:qFormat/>
    <w:rsid w:val="00730BD2"/>
    <w:pPr>
      <w:spacing w:after="40"/>
    </w:pPr>
    <w:rPr>
      <w:szCs w:val="16"/>
    </w:rPr>
  </w:style>
  <w:style w:type="paragraph" w:customStyle="1" w:styleId="coveraddress">
    <w:name w:val="cover address"/>
    <w:basedOn w:val="coveraddresses"/>
    <w:qFormat/>
    <w:rsid w:val="00730BD2"/>
  </w:style>
  <w:style w:type="paragraph" w:styleId="TOC5">
    <w:name w:val="toc 5"/>
    <w:basedOn w:val="Normal"/>
    <w:next w:val="Normal"/>
    <w:autoRedefine/>
    <w:uiPriority w:val="39"/>
    <w:locked/>
    <w:rsid w:val="00961FFF"/>
    <w:pPr>
      <w:spacing w:before="0" w:after="0"/>
      <w:ind w:left="960"/>
    </w:pPr>
    <w:rPr>
      <w:rFonts w:asciiTheme="minorHAnsi" w:hAnsiTheme="minorHAnsi"/>
      <w:sz w:val="18"/>
      <w:szCs w:val="18"/>
    </w:rPr>
  </w:style>
  <w:style w:type="paragraph" w:styleId="TOC6">
    <w:name w:val="toc 6"/>
    <w:basedOn w:val="Normal"/>
    <w:next w:val="Normal"/>
    <w:autoRedefine/>
    <w:uiPriority w:val="39"/>
    <w:locked/>
    <w:rsid w:val="00961FFF"/>
    <w:pPr>
      <w:spacing w:before="0" w:after="0"/>
      <w:ind w:left="1200"/>
    </w:pPr>
    <w:rPr>
      <w:rFonts w:asciiTheme="minorHAnsi" w:hAnsiTheme="minorHAnsi"/>
      <w:sz w:val="18"/>
      <w:szCs w:val="18"/>
    </w:rPr>
  </w:style>
  <w:style w:type="paragraph" w:styleId="TOC7">
    <w:name w:val="toc 7"/>
    <w:basedOn w:val="Normal"/>
    <w:next w:val="Normal"/>
    <w:autoRedefine/>
    <w:uiPriority w:val="39"/>
    <w:locked/>
    <w:rsid w:val="00961FFF"/>
    <w:pPr>
      <w:spacing w:before="0" w:after="0"/>
      <w:ind w:left="1440"/>
    </w:pPr>
    <w:rPr>
      <w:rFonts w:asciiTheme="minorHAnsi" w:hAnsiTheme="minorHAnsi"/>
      <w:sz w:val="18"/>
      <w:szCs w:val="18"/>
    </w:rPr>
  </w:style>
  <w:style w:type="paragraph" w:styleId="TOC8">
    <w:name w:val="toc 8"/>
    <w:basedOn w:val="Normal"/>
    <w:next w:val="Normal"/>
    <w:autoRedefine/>
    <w:uiPriority w:val="39"/>
    <w:locked/>
    <w:rsid w:val="00961FFF"/>
    <w:pPr>
      <w:spacing w:before="0" w:after="0"/>
      <w:ind w:left="1680"/>
    </w:pPr>
    <w:rPr>
      <w:rFonts w:asciiTheme="minorHAnsi" w:hAnsiTheme="minorHAnsi"/>
      <w:sz w:val="18"/>
      <w:szCs w:val="18"/>
    </w:rPr>
  </w:style>
  <w:style w:type="paragraph" w:styleId="TOC9">
    <w:name w:val="toc 9"/>
    <w:basedOn w:val="Normal"/>
    <w:next w:val="Normal"/>
    <w:autoRedefine/>
    <w:uiPriority w:val="39"/>
    <w:locked/>
    <w:rsid w:val="00961FFF"/>
    <w:pPr>
      <w:spacing w:before="0" w:after="0"/>
      <w:ind w:left="1920"/>
    </w:pPr>
    <w:rPr>
      <w:rFonts w:asciiTheme="minorHAnsi" w:hAnsiTheme="minorHAnsi"/>
      <w:sz w:val="18"/>
      <w:szCs w:val="18"/>
    </w:rPr>
  </w:style>
  <w:style w:type="paragraph" w:styleId="ListParagraph">
    <w:name w:val="List Paragraph"/>
    <w:aliases w:val="List Paragraph1,Recommendation,List Paragraph11,Bullet point,Bullets,NAST Quote,L,CV text,Table text,F5 List Paragraph,Dot pt,List Paragraph111,Medium Grid 1 - Accent 21,Numbered Paragraph,List Paragraph2,NFP GP Bulleted List,FooterText,列"/>
    <w:basedOn w:val="Normal"/>
    <w:link w:val="ListParagraphChar"/>
    <w:uiPriority w:val="34"/>
    <w:qFormat/>
    <w:rsid w:val="0022654F"/>
    <w:pPr>
      <w:ind w:left="720"/>
      <w:contextualSpacing/>
    </w:pPr>
  </w:style>
  <w:style w:type="character" w:customStyle="1" w:styleId="ListParagraphChar">
    <w:name w:val="List Paragraph Char"/>
    <w:aliases w:val="List Paragraph1 Char,Recommendation Char,List Paragraph11 Char,Bullet point Char,Bullets Char,NAST Quote Char,L Char,CV text Char,Table text Char,F5 List Paragraph Char,Dot pt Char,List Paragraph111 Char,Numbered Paragraph Char"/>
    <w:link w:val="ListParagraph"/>
    <w:uiPriority w:val="34"/>
    <w:rsid w:val="0022654F"/>
    <w:rPr>
      <w:rFonts w:ascii="Arial" w:eastAsia="MS Mincho" w:hAnsi="Arial"/>
      <w:sz w:val="24"/>
      <w:szCs w:val="24"/>
    </w:rPr>
  </w:style>
  <w:style w:type="paragraph" w:styleId="CommentText">
    <w:name w:val="annotation text"/>
    <w:basedOn w:val="Normal"/>
    <w:link w:val="CommentTextChar"/>
    <w:unhideWhenUsed/>
    <w:locked/>
    <w:rsid w:val="00442634"/>
    <w:rPr>
      <w:rFonts w:eastAsia="Times New Roman"/>
      <w:sz w:val="20"/>
      <w:szCs w:val="20"/>
    </w:rPr>
  </w:style>
  <w:style w:type="character" w:customStyle="1" w:styleId="CommentTextChar">
    <w:name w:val="Comment Text Char"/>
    <w:basedOn w:val="DefaultParagraphFont"/>
    <w:link w:val="CommentText"/>
    <w:rsid w:val="00442634"/>
    <w:rPr>
      <w:rFonts w:ascii="Arial" w:hAnsi="Arial"/>
    </w:rPr>
  </w:style>
  <w:style w:type="table" w:customStyle="1" w:styleId="GridTable4-Accent11">
    <w:name w:val="Grid Table 4 - Accent 11"/>
    <w:basedOn w:val="TableNormal"/>
    <w:uiPriority w:val="49"/>
    <w:rsid w:val="00442634"/>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StyleNumbered">
    <w:name w:val="Style Numbered"/>
    <w:basedOn w:val="NoList"/>
    <w:semiHidden/>
    <w:rsid w:val="00AA3994"/>
    <w:pPr>
      <w:numPr>
        <w:numId w:val="19"/>
      </w:numPr>
    </w:pPr>
  </w:style>
  <w:style w:type="paragraph" w:customStyle="1" w:styleId="Contactdetails">
    <w:name w:val="Contact details"/>
    <w:basedOn w:val="Normal"/>
    <w:semiHidden/>
    <w:rsid w:val="00AA3994"/>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eastAsia="Times New Roman" w:hAnsi="ArialMT" w:cs="ArialMT"/>
      <w:sz w:val="20"/>
      <w:lang w:val="en-US" w:bidi="en-US"/>
    </w:rPr>
  </w:style>
  <w:style w:type="character" w:customStyle="1" w:styleId="CharChar9">
    <w:name w:val="Char Char9"/>
    <w:basedOn w:val="DefaultParagraphFont"/>
    <w:semiHidden/>
    <w:locked/>
    <w:rsid w:val="00AA3994"/>
    <w:rPr>
      <w:rFonts w:ascii="Arial" w:hAnsi="Arial"/>
      <w:bCs/>
      <w:i/>
      <w:sz w:val="24"/>
      <w:szCs w:val="26"/>
      <w:lang w:val="en-AU" w:eastAsia="en-AU" w:bidi="ar-SA"/>
    </w:rPr>
  </w:style>
  <w:style w:type="character" w:customStyle="1" w:styleId="CharChar8">
    <w:name w:val="Char Char8"/>
    <w:basedOn w:val="DefaultParagraphFont"/>
    <w:semiHidden/>
    <w:locked/>
    <w:rsid w:val="00AA3994"/>
    <w:rPr>
      <w:rFonts w:ascii="Arial" w:hAnsi="Arial"/>
      <w:iCs/>
      <w:sz w:val="24"/>
      <w:szCs w:val="26"/>
      <w:lang w:val="en-AU" w:eastAsia="en-AU" w:bidi="ar-SA"/>
    </w:rPr>
  </w:style>
  <w:style w:type="character" w:customStyle="1" w:styleId="FootnoteTextChar">
    <w:name w:val="Footnote Text Char"/>
    <w:basedOn w:val="DefaultParagraphFont"/>
    <w:link w:val="FootnoteText"/>
    <w:locked/>
    <w:rsid w:val="00AA3994"/>
    <w:rPr>
      <w:rFonts w:ascii="Arial" w:eastAsia="MS Mincho" w:hAnsi="Arial"/>
    </w:rPr>
  </w:style>
  <w:style w:type="paragraph" w:customStyle="1" w:styleId="Pa6">
    <w:name w:val="Pa6"/>
    <w:basedOn w:val="Normal"/>
    <w:next w:val="Normal"/>
    <w:uiPriority w:val="99"/>
    <w:rsid w:val="00AA3994"/>
    <w:pPr>
      <w:autoSpaceDE w:val="0"/>
      <w:autoSpaceDN w:val="0"/>
      <w:adjustRightInd w:val="0"/>
      <w:spacing w:before="0" w:after="0" w:line="171" w:lineRule="atLeast"/>
    </w:pPr>
    <w:rPr>
      <w:rFonts w:ascii="GQFXIJ+HelveticaNeue" w:eastAsia="Times New Roman" w:hAnsi="GQFXIJ+HelveticaNeue"/>
    </w:rPr>
  </w:style>
  <w:style w:type="character" w:customStyle="1" w:styleId="A13">
    <w:name w:val="A13"/>
    <w:uiPriority w:val="99"/>
    <w:rsid w:val="00AA3994"/>
    <w:rPr>
      <w:rFonts w:cs="GQFXIJ+HelveticaNeue"/>
      <w:color w:val="000000"/>
      <w:sz w:val="10"/>
      <w:szCs w:val="10"/>
    </w:rPr>
  </w:style>
  <w:style w:type="paragraph" w:customStyle="1" w:styleId="Default">
    <w:name w:val="Default"/>
    <w:rsid w:val="00AA3994"/>
    <w:pPr>
      <w:autoSpaceDE w:val="0"/>
      <w:autoSpaceDN w:val="0"/>
      <w:adjustRightInd w:val="0"/>
    </w:pPr>
    <w:rPr>
      <w:rFonts w:ascii="Calibri" w:hAnsi="Calibri" w:cs="Calibri"/>
      <w:color w:val="000000"/>
      <w:sz w:val="24"/>
      <w:szCs w:val="24"/>
    </w:rPr>
  </w:style>
  <w:style w:type="character" w:customStyle="1" w:styleId="A9">
    <w:name w:val="A9"/>
    <w:uiPriority w:val="99"/>
    <w:rsid w:val="00AA3994"/>
    <w:rPr>
      <w:rFonts w:cs="Meta-Normal"/>
      <w:color w:val="000000"/>
      <w:sz w:val="18"/>
      <w:szCs w:val="18"/>
    </w:rPr>
  </w:style>
  <w:style w:type="paragraph" w:customStyle="1" w:styleId="citation-authorstring">
    <w:name w:val="citation-authorstring"/>
    <w:basedOn w:val="Normal"/>
    <w:rsid w:val="00AA3994"/>
    <w:pPr>
      <w:spacing w:before="100" w:beforeAutospacing="1" w:after="100" w:afterAutospacing="1"/>
    </w:pPr>
    <w:rPr>
      <w:rFonts w:ascii="Times New Roman" w:eastAsia="Times New Roman" w:hAnsi="Times New Roman"/>
    </w:rPr>
  </w:style>
  <w:style w:type="character" w:customStyle="1" w:styleId="st1">
    <w:name w:val="st1"/>
    <w:basedOn w:val="DefaultParagraphFont"/>
    <w:rsid w:val="00AA3994"/>
  </w:style>
  <w:style w:type="character" w:customStyle="1" w:styleId="apple-converted-space">
    <w:name w:val="apple-converted-space"/>
    <w:basedOn w:val="DefaultParagraphFont"/>
    <w:rsid w:val="00AA3994"/>
  </w:style>
  <w:style w:type="character" w:styleId="CommentReference">
    <w:name w:val="annotation reference"/>
    <w:basedOn w:val="DefaultParagraphFont"/>
    <w:unhideWhenUsed/>
    <w:locked/>
    <w:rsid w:val="00AA3994"/>
    <w:rPr>
      <w:sz w:val="16"/>
      <w:szCs w:val="16"/>
    </w:rPr>
  </w:style>
  <w:style w:type="paragraph" w:styleId="DocumentMap">
    <w:name w:val="Document Map"/>
    <w:basedOn w:val="Normal"/>
    <w:link w:val="DocumentMapChar"/>
    <w:unhideWhenUsed/>
    <w:locked/>
    <w:rsid w:val="00AA3994"/>
    <w:pPr>
      <w:spacing w:before="0" w:after="0"/>
    </w:pPr>
    <w:rPr>
      <w:rFonts w:ascii="Lucida Grande" w:eastAsia="Times New Roman" w:hAnsi="Lucida Grande" w:cs="Lucida Grande"/>
    </w:rPr>
  </w:style>
  <w:style w:type="character" w:customStyle="1" w:styleId="DocumentMapChar">
    <w:name w:val="Document Map Char"/>
    <w:basedOn w:val="DefaultParagraphFont"/>
    <w:link w:val="DocumentMap"/>
    <w:rsid w:val="00AA3994"/>
    <w:rPr>
      <w:rFonts w:ascii="Lucida Grande" w:hAnsi="Lucida Grande" w:cs="Lucida Grande"/>
      <w:sz w:val="24"/>
      <w:szCs w:val="24"/>
    </w:rPr>
  </w:style>
  <w:style w:type="paragraph" w:styleId="CommentSubject">
    <w:name w:val="annotation subject"/>
    <w:basedOn w:val="CommentText"/>
    <w:next w:val="CommentText"/>
    <w:link w:val="CommentSubjectChar"/>
    <w:unhideWhenUsed/>
    <w:locked/>
    <w:rsid w:val="00AA3994"/>
    <w:rPr>
      <w:b/>
      <w:bCs/>
    </w:rPr>
  </w:style>
  <w:style w:type="character" w:customStyle="1" w:styleId="CommentSubjectChar">
    <w:name w:val="Comment Subject Char"/>
    <w:basedOn w:val="CommentTextChar"/>
    <w:link w:val="CommentSubject"/>
    <w:rsid w:val="00AA3994"/>
    <w:rPr>
      <w:rFonts w:ascii="Arial" w:hAnsi="Arial"/>
      <w:b/>
      <w:bCs/>
    </w:rPr>
  </w:style>
  <w:style w:type="paragraph" w:styleId="Revision">
    <w:name w:val="Revision"/>
    <w:hidden/>
    <w:uiPriority w:val="99"/>
    <w:semiHidden/>
    <w:rsid w:val="00AA3994"/>
    <w:rPr>
      <w:rFonts w:ascii="Arial" w:hAnsi="Arial"/>
      <w:sz w:val="24"/>
      <w:szCs w:val="24"/>
    </w:rPr>
  </w:style>
  <w:style w:type="paragraph" w:styleId="Caption">
    <w:name w:val="caption"/>
    <w:basedOn w:val="Normal"/>
    <w:next w:val="Normal"/>
    <w:unhideWhenUsed/>
    <w:qFormat/>
    <w:locked/>
    <w:rsid w:val="00AA3994"/>
    <w:pPr>
      <w:spacing w:before="0" w:after="200"/>
    </w:pPr>
    <w:rPr>
      <w:i/>
      <w:iCs/>
      <w:color w:val="44546A" w:themeColor="text2"/>
      <w:sz w:val="18"/>
      <w:szCs w:val="18"/>
    </w:rPr>
  </w:style>
  <w:style w:type="character" w:customStyle="1" w:styleId="selectable">
    <w:name w:val="selectable"/>
    <w:basedOn w:val="DefaultParagraphFont"/>
    <w:rsid w:val="00AA3994"/>
  </w:style>
  <w:style w:type="paragraph" w:customStyle="1" w:styleId="Body">
    <w:name w:val="Body"/>
    <w:rsid w:val="00AA3994"/>
    <w:pPr>
      <w:pBdr>
        <w:top w:val="nil"/>
        <w:left w:val="nil"/>
        <w:bottom w:val="nil"/>
        <w:right w:val="nil"/>
        <w:between w:val="nil"/>
        <w:bar w:val="nil"/>
      </w:pBdr>
      <w:spacing w:before="240" w:after="240"/>
    </w:pPr>
    <w:rPr>
      <w:rFonts w:ascii="Arial" w:eastAsia="Arial Unicode MS" w:hAnsi="Arial Unicode MS" w:cs="Arial Unicode MS"/>
      <w:color w:val="000000"/>
      <w:sz w:val="24"/>
      <w:szCs w:val="24"/>
      <w:u w:color="000000"/>
      <w:bdr w:val="nil"/>
    </w:rPr>
  </w:style>
  <w:style w:type="paragraph" w:styleId="TableofFigures">
    <w:name w:val="table of figures"/>
    <w:basedOn w:val="Normal"/>
    <w:next w:val="Normal"/>
    <w:uiPriority w:val="99"/>
    <w:unhideWhenUsed/>
    <w:locked/>
    <w:rsid w:val="009F099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935017998">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0.png"/><Relationship Id="rId21" Type="http://schemas.openxmlformats.org/officeDocument/2006/relationships/image" Target="media/image10.png"/><Relationship Id="rId34" Type="http://schemas.openxmlformats.org/officeDocument/2006/relationships/footer" Target="footer3.xml"/><Relationship Id="rId42" Type="http://schemas.openxmlformats.org/officeDocument/2006/relationships/chart" Target="charts/chart1.xml"/><Relationship Id="rId47" Type="http://schemas.openxmlformats.org/officeDocument/2006/relationships/chart" Target="charts/chart6.xml"/><Relationship Id="rId50" Type="http://schemas.openxmlformats.org/officeDocument/2006/relationships/chart" Target="charts/chart9.xml"/><Relationship Id="rId55" Type="http://schemas.openxmlformats.org/officeDocument/2006/relationships/chart" Target="charts/chart14.xml"/><Relationship Id="rId63" Type="http://schemas.openxmlformats.org/officeDocument/2006/relationships/chart" Target="charts/chart22.xml"/><Relationship Id="rId68" Type="http://schemas.openxmlformats.org/officeDocument/2006/relationships/chart" Target="charts/chart27.xml"/><Relationship Id="rId7" Type="http://schemas.openxmlformats.org/officeDocument/2006/relationships/endnotes" Target="endnotes.xml"/><Relationship Id="rId71" Type="http://schemas.openxmlformats.org/officeDocument/2006/relationships/chart" Target="charts/chart30.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emf"/><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header" Target="header4.xml"/><Relationship Id="rId37" Type="http://schemas.openxmlformats.org/officeDocument/2006/relationships/hyperlink" Target="http://www.1800respect.org.au" TargetMode="External"/><Relationship Id="rId40" Type="http://schemas.openxmlformats.org/officeDocument/2006/relationships/image" Target="media/image21.png"/><Relationship Id="rId45" Type="http://schemas.openxmlformats.org/officeDocument/2006/relationships/chart" Target="charts/chart4.xml"/><Relationship Id="rId53" Type="http://schemas.openxmlformats.org/officeDocument/2006/relationships/chart" Target="charts/chart12.xml"/><Relationship Id="rId58" Type="http://schemas.openxmlformats.org/officeDocument/2006/relationships/chart" Target="charts/chart17.xml"/><Relationship Id="rId66" Type="http://schemas.openxmlformats.org/officeDocument/2006/relationships/chart" Target="charts/chart25.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kidshelp.com.au" TargetMode="External"/><Relationship Id="rId49" Type="http://schemas.openxmlformats.org/officeDocument/2006/relationships/chart" Target="charts/chart8.xml"/><Relationship Id="rId57" Type="http://schemas.openxmlformats.org/officeDocument/2006/relationships/chart" Target="charts/chart16.xml"/><Relationship Id="rId61" Type="http://schemas.openxmlformats.org/officeDocument/2006/relationships/chart" Target="charts/chart20.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www.humanrights.gov.au/our-work/childrens-rights" TargetMode="External"/><Relationship Id="rId44" Type="http://schemas.openxmlformats.org/officeDocument/2006/relationships/chart" Target="charts/chart3.xml"/><Relationship Id="rId52" Type="http://schemas.openxmlformats.org/officeDocument/2006/relationships/chart" Target="charts/chart11.xml"/><Relationship Id="rId60" Type="http://schemas.openxmlformats.org/officeDocument/2006/relationships/chart" Target="charts/chart19.xml"/><Relationship Id="rId65" Type="http://schemas.openxmlformats.org/officeDocument/2006/relationships/chart" Target="charts/chart24.xml"/><Relationship Id="rId73" Type="http://schemas.openxmlformats.org/officeDocument/2006/relationships/chart" Target="charts/chart3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humanrights.gov.au/" TargetMode="External"/><Relationship Id="rId35" Type="http://schemas.openxmlformats.org/officeDocument/2006/relationships/header" Target="header6.xml"/><Relationship Id="rId43" Type="http://schemas.openxmlformats.org/officeDocument/2006/relationships/chart" Target="charts/chart2.xml"/><Relationship Id="rId48" Type="http://schemas.openxmlformats.org/officeDocument/2006/relationships/chart" Target="charts/chart7.xml"/><Relationship Id="rId56" Type="http://schemas.openxmlformats.org/officeDocument/2006/relationships/chart" Target="charts/chart15.xml"/><Relationship Id="rId64" Type="http://schemas.openxmlformats.org/officeDocument/2006/relationships/chart" Target="charts/chart23.xml"/><Relationship Id="rId69" Type="http://schemas.openxmlformats.org/officeDocument/2006/relationships/chart" Target="charts/chart28.xml"/><Relationship Id="rId8" Type="http://schemas.openxmlformats.org/officeDocument/2006/relationships/header" Target="header1.xml"/><Relationship Id="rId51" Type="http://schemas.openxmlformats.org/officeDocument/2006/relationships/chart" Target="charts/chart10.xml"/><Relationship Id="rId72" Type="http://schemas.openxmlformats.org/officeDocument/2006/relationships/chart" Target="charts/chart3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5.xml"/><Relationship Id="rId38" Type="http://schemas.openxmlformats.org/officeDocument/2006/relationships/hyperlink" Target="http://www.mensline.org.au" TargetMode="External"/><Relationship Id="rId46" Type="http://schemas.openxmlformats.org/officeDocument/2006/relationships/chart" Target="charts/chart5.xml"/><Relationship Id="rId59" Type="http://schemas.openxmlformats.org/officeDocument/2006/relationships/chart" Target="charts/chart18.xml"/><Relationship Id="rId67" Type="http://schemas.openxmlformats.org/officeDocument/2006/relationships/chart" Target="charts/chart26.xml"/><Relationship Id="rId20" Type="http://schemas.openxmlformats.org/officeDocument/2006/relationships/image" Target="media/image9.png"/><Relationship Id="rId41" Type="http://schemas.openxmlformats.org/officeDocument/2006/relationships/image" Target="media/image22.tmp"/><Relationship Id="rId54" Type="http://schemas.openxmlformats.org/officeDocument/2006/relationships/chart" Target="charts/chart13.xml"/><Relationship Id="rId62" Type="http://schemas.openxmlformats.org/officeDocument/2006/relationships/chart" Target="charts/chart21.xml"/><Relationship Id="rId70" Type="http://schemas.openxmlformats.org/officeDocument/2006/relationships/chart" Target="charts/chart29.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endnotes.xml.rels><?xml version="1.0" encoding="UTF-8" standalone="yes"?>
<Relationships xmlns="http://schemas.openxmlformats.org/package/2006/relationships"><Relationship Id="rId26" Type="http://schemas.openxmlformats.org/officeDocument/2006/relationships/hyperlink" Target="http://www.aihw.gov.au/publication-detail/?id=60129552564" TargetMode="External"/><Relationship Id="rId117" Type="http://schemas.openxmlformats.org/officeDocument/2006/relationships/hyperlink" Target="http://www.oaic.gov.au/news-and-events/media-releases/privacy-media-releases/survey-of-child-targeted-websites-and-apps-reveals-progress-on-privacy-protection-but-parental-involvement-still-the-key" TargetMode="External"/><Relationship Id="rId21" Type="http://schemas.openxmlformats.org/officeDocument/2006/relationships/hyperlink" Target="http://www.aph.gov.au/Parliamentary_Business/Committees/Senate/Legal_and_Constitutional_Affairs/Power_and_Offences_Bill/Submissions" TargetMode="External"/><Relationship Id="rId42" Type="http://schemas.openxmlformats.org/officeDocument/2006/relationships/hyperlink" Target="http://www.aph.gov.au/Parliamentary_Business/Committees/Senate/Legal_and_Constitutional_Affairs/Guardian_for_children/Report" TargetMode="External"/><Relationship Id="rId47" Type="http://schemas.openxmlformats.org/officeDocument/2006/relationships/hyperlink" Target="http://www.liberal.org.au/our-policies" TargetMode="External"/><Relationship Id="rId63" Type="http://schemas.openxmlformats.org/officeDocument/2006/relationships/hyperlink" Target="http://www.aph.gov.au/Parliamentary_Business/Committees/Senate/Legal_and_Constitutional_Affairs/Character_and_Visa_Cancellation_Bill_2014/Submissions" TargetMode="External"/><Relationship Id="rId68" Type="http://schemas.openxmlformats.org/officeDocument/2006/relationships/hyperlink" Target="http://www.aph.gov.au/Parliamentary_Business/Bills_Legislation/Bills_Search_Results/Result?bId=r5345" TargetMode="External"/><Relationship Id="rId84" Type="http://schemas.openxmlformats.org/officeDocument/2006/relationships/hyperlink" Target="http://www.aph.gov.au/Parliamentary_Business/Bills_LEGislation/Bills_Search_Results/Result?bId=r5421" TargetMode="External"/><Relationship Id="rId89" Type="http://schemas.openxmlformats.org/officeDocument/2006/relationships/hyperlink" Target="http://www.aph.gov.au/Parliamentary_Business/Bills_LEGislation/Bills_Search_Results/Result?bId=r5421" TargetMode="External"/><Relationship Id="rId112" Type="http://schemas.openxmlformats.org/officeDocument/2006/relationships/hyperlink" Target="http://www.oaic.gov.au/news-and-events/media-releases/privacy-media-releases/survey-of-child-targeted-websites-and-apps-reveals-progress-on-privacy-protection-but-parental-involvement-still-the-key" TargetMode="External"/><Relationship Id="rId133" Type="http://schemas.openxmlformats.org/officeDocument/2006/relationships/hyperlink" Target="http://www.aihw.gov.au/WorkArea/DownloadAsset.aspx?id=60129550859" TargetMode="External"/><Relationship Id="rId138" Type="http://schemas.openxmlformats.org/officeDocument/2006/relationships/hyperlink" Target="http://www.aic.gov.au/publications/current%20series/rip/21-40/rip38.html" TargetMode="External"/><Relationship Id="rId154" Type="http://schemas.openxmlformats.org/officeDocument/2006/relationships/hyperlink" Target="http://dx.doi.org.ezproxy.lib.uts.edu.au/10.1080/13218719.2015.1015204" TargetMode="External"/><Relationship Id="rId159" Type="http://schemas.openxmlformats.org/officeDocument/2006/relationships/hyperlink" Target="https://www.coag.gov.au/node/524" TargetMode="External"/><Relationship Id="rId175" Type="http://schemas.openxmlformats.org/officeDocument/2006/relationships/hyperlink" Target="http://www.abs.gov.au/AUSSTATS/abs@.nsf/Latestproducts/4510.0Explanatory%20Notes12014?opendocument&amp;tabname=Notes&amp;prodno=4510.0&amp;issue=2014&amp;num=&amp;view" TargetMode="External"/><Relationship Id="rId170" Type="http://schemas.openxmlformats.org/officeDocument/2006/relationships/hyperlink" Target="http://www.abs.gov.au/AUSSTATS/abs@.nsf/Latestproducts/4510.0Glossary12014?opendocument&amp;tabname=Notes&amp;prodno=4510.0&amp;issue=2014&amp;num=&amp;view" TargetMode="External"/><Relationship Id="rId16" Type="http://schemas.openxmlformats.org/officeDocument/2006/relationships/hyperlink" Target="http://www.aph.gov.au/Parliamentary_Business/Committees/Senate/Legal_and_Constitutional_Affairs/Character_and_Visa_Cancellation_Bill_2014/Submissions" TargetMode="External"/><Relationship Id="rId107" Type="http://schemas.openxmlformats.org/officeDocument/2006/relationships/hyperlink" Target="http://www.business-standard.com/india/news/catch-them-youngadvergaming/381926/" TargetMode="External"/><Relationship Id="rId11" Type="http://schemas.openxmlformats.org/officeDocument/2006/relationships/hyperlink" Target="https://www.humanrights.gov.au/our-work/childrens-rights/projects/model-charter-rights-children-and-young-people-detained-youth" TargetMode="External"/><Relationship Id="rId32" Type="http://schemas.openxmlformats.org/officeDocument/2006/relationships/hyperlink" Target="http://www.aph.gov.au/Parliamentary_Business/Committees/Joint/Human_Rights/Guidance_Notes_and_Resources" TargetMode="External"/><Relationship Id="rId37" Type="http://schemas.openxmlformats.org/officeDocument/2006/relationships/hyperlink" Target="http://www.aph.gov.au/Parliamentary_Business/Committees/Senate/Legal_and_Constitutional_Affairs/Guardian_for_children" TargetMode="External"/><Relationship Id="rId53" Type="http://schemas.openxmlformats.org/officeDocument/2006/relationships/hyperlink" Target="http://www.aph.gov.au/Parliamentary_Business/Committees/Senate/Environment_and_Communications/Online_safety/Report" TargetMode="External"/><Relationship Id="rId58" Type="http://schemas.openxmlformats.org/officeDocument/2006/relationships/hyperlink" Target="http://www.aph.gov.au/Parliamentary_Business/Committees/Senate/Legal_and_Constitutional_Affairs/Power_and_Offences_Bill/Submissions" TargetMode="External"/><Relationship Id="rId74" Type="http://schemas.openxmlformats.org/officeDocument/2006/relationships/hyperlink" Target="http://www.aph.gov.au/Parliamentary_Business/Committees/Senate/Legal_and_Constitutional_Affairs/Asylum_Legacy_Caseload_Bill_2014/Report" TargetMode="External"/><Relationship Id="rId79" Type="http://schemas.openxmlformats.org/officeDocument/2006/relationships/hyperlink" Target="http://www.aph.gov.au/Parliamentary_Business/Committees/Senate/Legal_and_Constitutional_Affairs/Australian_Citizenship/Submissions" TargetMode="External"/><Relationship Id="rId102" Type="http://schemas.openxmlformats.org/officeDocument/2006/relationships/hyperlink" Target="http://www.abs.gov.au/ausstats/abs@.nsf/Products/4901.0~Apr+2012~Main+Features~Internet+and+mobile+phones?OpenDocument" TargetMode="External"/><Relationship Id="rId123" Type="http://schemas.openxmlformats.org/officeDocument/2006/relationships/hyperlink" Target="http://www.aic.gov.au/publications/current%20series/rip/1-10/10.html" TargetMode="External"/><Relationship Id="rId128" Type="http://schemas.openxmlformats.org/officeDocument/2006/relationships/hyperlink" Target="http://www.researchgate.net/publication/23219462_The_impact_of_exposure_to_domestic_violence_on_children_and_young_people_A_review_of_the_literature" TargetMode="External"/><Relationship Id="rId144" Type="http://schemas.openxmlformats.org/officeDocument/2006/relationships/hyperlink" Target="https://www.qld.gov.au/community/getting-support-health-social-issue/dfv-read-report-recommendation/index.html" TargetMode="External"/><Relationship Id="rId149" Type="http://schemas.openxmlformats.org/officeDocument/2006/relationships/hyperlink" Target="http://www.aph.gov.au/Parliamentary_Business/Committees/Senate/Finance_and_Public_Administration/Domestic_Violence/Report" TargetMode="External"/><Relationship Id="rId5" Type="http://schemas.openxmlformats.org/officeDocument/2006/relationships/hyperlink" Target="http://www.aihw.gov.au/publication-detail/?id=60129550762" TargetMode="External"/><Relationship Id="rId90" Type="http://schemas.openxmlformats.org/officeDocument/2006/relationships/hyperlink" Target="http://www.aph.gov.au/Parliamentary_Business/Committees/Joint/Intelligence_and_Security/Counter-Terrorism_Legislation_Amendment_Foreign_Fighters_Bill_2014" TargetMode="External"/><Relationship Id="rId95" Type="http://schemas.openxmlformats.org/officeDocument/2006/relationships/hyperlink" Target="https://www.humanrights.gov.au/intervention-court-proceedings-australian-human-rights-commission-guidelines" TargetMode="External"/><Relationship Id="rId160" Type="http://schemas.openxmlformats.org/officeDocument/2006/relationships/hyperlink" Target="http://www.familycourt.gov.au/wps/wcm/connect/fcoaweb/family-law-matters/family-violence/child-abuse-allegations/" TargetMode="External"/><Relationship Id="rId165" Type="http://schemas.openxmlformats.org/officeDocument/2006/relationships/hyperlink" Target="http://www.facs.nsw.gov.au/__data/assets/file/0003/306426/Literature_Review_How_Children_Disclose_Sexual_Abuse.pdf" TargetMode="External"/><Relationship Id="rId181" Type="http://schemas.openxmlformats.org/officeDocument/2006/relationships/hyperlink" Target="http://www.abs.gov.au/AUSSTATS/abs@.nsf/Latestproducts/4906.0Glossary12012?opendocument&amp;tabname=Notes&amp;prodno=4906.0&amp;issue=2012&amp;num=&amp;view" TargetMode="External"/><Relationship Id="rId22" Type="http://schemas.openxmlformats.org/officeDocument/2006/relationships/hyperlink" Target="http://www.aph.gov.au/Parliamentary_Business/Committees/Senate/Finance_and_Public_Administration/Legal_assistance_services/Submissions" TargetMode="External"/><Relationship Id="rId27" Type="http://schemas.openxmlformats.org/officeDocument/2006/relationships/hyperlink" Target="http://www.aihw.gov.au/nyif/" TargetMode="External"/><Relationship Id="rId43" Type="http://schemas.openxmlformats.org/officeDocument/2006/relationships/hyperlink" Target="http://www.aph.gov.au/Parliamentary_Business/Committees/Senate/Legal_and_Constitutional_Affairs/Guardian_for_children/Report" TargetMode="External"/><Relationship Id="rId48" Type="http://schemas.openxmlformats.org/officeDocument/2006/relationships/hyperlink" Target="http://www.aph.gov.au/Parliamentary_Business/Bills_Legislation/Bills_Search_Results/Result?bId=r5387" TargetMode="External"/><Relationship Id="rId64" Type="http://schemas.openxmlformats.org/officeDocument/2006/relationships/hyperlink" Target="http://www.aph.gov.au/Parliamentary_Business/Committees/Senate/Legal_and_Constitutional_Affairs/Character_and_Visa_Cancellation_Bill_2014/Submissions" TargetMode="External"/><Relationship Id="rId69" Type="http://schemas.openxmlformats.org/officeDocument/2006/relationships/hyperlink" Target="http://www.aph.gov.au/Parliamentary_Business/Committees/Senate/Legal_and_Constitutional_Affairs/Asylum_Legacy_Caseload_Bill_2014" TargetMode="External"/><Relationship Id="rId113" Type="http://schemas.openxmlformats.org/officeDocument/2006/relationships/hyperlink" Target="http://www.oaic.gov.au/news-and-events/media-releases/privacy-media-releases/survey-of-child-targeted-websites-and-apps-reveals-progress-on-privacy-protection-but-parental-involvement-still-the-key" TargetMode="External"/><Relationship Id="rId118" Type="http://schemas.openxmlformats.org/officeDocument/2006/relationships/hyperlink" Target="http://www.abstract.lib-ebook.com/a1-medicine/1547858-1-a-thesis-presented-partial-fulfilment-the-requirements-for-the-deg.php" TargetMode="External"/><Relationship Id="rId134" Type="http://schemas.openxmlformats.org/officeDocument/2006/relationships/hyperlink" Target="http://www.aic.gov.au/publications/current%20series/rip/21-40/rip38.html" TargetMode="External"/><Relationship Id="rId139" Type="http://schemas.openxmlformats.org/officeDocument/2006/relationships/hyperlink" Target="http://www.ohchr.org/EN/HRBodies/CRC/Study/Pages/StudyViolenceChildren.aspx" TargetMode="External"/><Relationship Id="rId80" Type="http://schemas.openxmlformats.org/officeDocument/2006/relationships/hyperlink" Target="http://www.aph.gov.au/Parliamentary_Business/Committees/Senate/Legal_and_Constitutional_Affairs/Australian_Citizenship/Report" TargetMode="External"/><Relationship Id="rId85" Type="http://schemas.openxmlformats.org/officeDocument/2006/relationships/hyperlink" Target="http://www.aph.gov.au/Parliamentary_Business/Committees/Senate/Legal_and_Constitutional_Affairs/Biometrics/Report" TargetMode="External"/><Relationship Id="rId150" Type="http://schemas.openxmlformats.org/officeDocument/2006/relationships/hyperlink" Target="http://dx.doi.org.ezproxy.lib.uts.edu.au/10.1080/13218719.2015.1015204" TargetMode="External"/><Relationship Id="rId155" Type="http://schemas.openxmlformats.org/officeDocument/2006/relationships/hyperlink" Target="http://aic.gov.au/publications/current%20series/tandi/401-420/tandi419.html" TargetMode="External"/><Relationship Id="rId171" Type="http://schemas.openxmlformats.org/officeDocument/2006/relationships/hyperlink" Target="http://www.abs.gov.au/AUSSTATS/abs@.nsf/Latestproducts/4510.0Explanatory%20Notes12014?opendocument&amp;tabname=Notes&amp;prodno=4510.0&amp;issue=2014&amp;num=&amp;view" TargetMode="External"/><Relationship Id="rId176" Type="http://schemas.openxmlformats.org/officeDocument/2006/relationships/hyperlink" Target="http://www.abs.gov.au/ausstats/abs@.nsf/Lookup/4906.0Chapter1002012" TargetMode="External"/><Relationship Id="rId12" Type="http://schemas.openxmlformats.org/officeDocument/2006/relationships/hyperlink" Target="http://www.aihw.gov.au/publication-detail/?id=60129550638" TargetMode="External"/><Relationship Id="rId17" Type="http://schemas.openxmlformats.org/officeDocument/2006/relationships/hyperlink" Target="http://www.aph.gov.au/Parliamentary_Business/Committees/Senate/Legal_and_Constitutional_Affairs/Asylum_Legacy_Caseload_Bill_2014/Submissions" TargetMode="External"/><Relationship Id="rId33" Type="http://schemas.openxmlformats.org/officeDocument/2006/relationships/hyperlink" Target="http://www.aph.gov.au/Parliamentary_Business/Committees/Joint/Human_Rights/Guidance_Notes_and_Resources" TargetMode="External"/><Relationship Id="rId38" Type="http://schemas.openxmlformats.org/officeDocument/2006/relationships/hyperlink" Target="http://www.aph.gov.au/Parliamentary_Business/Committees/Senate/Legal_and_Constitutional_Affairs/Guardian_for_children/Submissions" TargetMode="External"/><Relationship Id="rId59" Type="http://schemas.openxmlformats.org/officeDocument/2006/relationships/hyperlink" Target="http://www.aph.gov.au/Parliamentary_Business/Committees/Senate/Legal_and_Constitutional_Affairs/Power_and_Offences_Bill/Report" TargetMode="External"/><Relationship Id="rId103" Type="http://schemas.openxmlformats.org/officeDocument/2006/relationships/hyperlink" Target="http://www.nytimes.com/2011/12/12/technology/one-million-apps-and-counting.html?_r=0" TargetMode="External"/><Relationship Id="rId108" Type="http://schemas.openxmlformats.org/officeDocument/2006/relationships/hyperlink" Target="http://eprints.lse.ac.uk/13476/1/The_changing_nature_and_uses_of_media_literacy.pdf" TargetMode="External"/><Relationship Id="rId124" Type="http://schemas.openxmlformats.org/officeDocument/2006/relationships/hyperlink" Target="http://www.abs.gov.au/ausstats/abs@.nsf/Lookup/4906.0Chapter7002012" TargetMode="External"/><Relationship Id="rId129" Type="http://schemas.openxmlformats.org/officeDocument/2006/relationships/hyperlink" Target="http://aic.gov.au/publications/current%20series/tandi/401-420/tandi419.html" TargetMode="External"/><Relationship Id="rId54" Type="http://schemas.openxmlformats.org/officeDocument/2006/relationships/hyperlink" Target="http://www.aph.gov.au/Parliamentary_Business/Bills_Legislation/Bills_Search_Results/Result?bId=r5387" TargetMode="External"/><Relationship Id="rId70" Type="http://schemas.openxmlformats.org/officeDocument/2006/relationships/hyperlink" Target="http://www.aph.gov.au/Parliamentary_Business/Committees/Senate/Legal_and_Constitutional_Affairs/Asylum_Legacy_Caseload_Bill_2014/Submissions" TargetMode="External"/><Relationship Id="rId75" Type="http://schemas.openxmlformats.org/officeDocument/2006/relationships/hyperlink" Target="http://www.aph.gov.au/Parliamentary_Business/Committees/Senate/Legal_and_Constitutional_Affairs/Asylum_Legacy_Caseload_Bill_2014/Report" TargetMode="External"/><Relationship Id="rId91" Type="http://schemas.openxmlformats.org/officeDocument/2006/relationships/hyperlink" Target="http://www.aph.gov.au/Parliamentary_Business/Committees/Joint/Intelligence_and_Security/Counter-Terrorism_Legislation_Amendment_Foreign_Fighters_Bill_2014/Submissions" TargetMode="External"/><Relationship Id="rId96" Type="http://schemas.openxmlformats.org/officeDocument/2006/relationships/hyperlink" Target="http://www.aph.gov.au/Parliamentary_Business/Committees/Joint/Human_Rights/Guidance_Notes_and_Resources" TargetMode="External"/><Relationship Id="rId140" Type="http://schemas.openxmlformats.org/officeDocument/2006/relationships/hyperlink" Target="http://www.abs.gov.au/ausstats/abs@.nsf/mf/4529.0.00.002" TargetMode="External"/><Relationship Id="rId145" Type="http://schemas.openxmlformats.org/officeDocument/2006/relationships/hyperlink" Target="http://www.abs.gov.au/ausstats/abs@.nsf/Lookup/by%20Subject/4529.0.00.003~2014~Main%20Features~The%20Way%20Forward~8" TargetMode="External"/><Relationship Id="rId161" Type="http://schemas.openxmlformats.org/officeDocument/2006/relationships/hyperlink" Target="http://www.abs.gov.au/AUSSTATS/abs@.nsf/Latestproducts/4510.0Explanatory%20Notes12014?opendocument&amp;tabname=Notes&amp;prodno=4510.0&amp;issue=2014&amp;num=&amp;view" TargetMode="External"/><Relationship Id="rId166" Type="http://schemas.openxmlformats.org/officeDocument/2006/relationships/hyperlink" Target="http://anrows.org.au/about/national-research-agenda" TargetMode="External"/><Relationship Id="rId182" Type="http://schemas.openxmlformats.org/officeDocument/2006/relationships/hyperlink" Target="http://www.abs.gov.au/AUSSTATS/abs@.nsf/Latestproducts/4906.0Glossary12012?opendocument&amp;tabname=Notes&amp;prodno=4906.0&amp;issue=2012&amp;num=&amp;view" TargetMode="External"/><Relationship Id="rId1" Type="http://schemas.openxmlformats.org/officeDocument/2006/relationships/hyperlink" Target="http://www.aihw.gov.au/publication-detail/?id=60129552016" TargetMode="External"/><Relationship Id="rId6" Type="http://schemas.openxmlformats.org/officeDocument/2006/relationships/hyperlink" Target="http://www.aihw.gov.au/publication-detail/?id=60129550762" TargetMode="External"/><Relationship Id="rId23" Type="http://schemas.openxmlformats.org/officeDocument/2006/relationships/hyperlink" Target="http://suicidepreventionaust.org/statement/national-research-action-plan-for-suicide-prevention/" TargetMode="External"/><Relationship Id="rId28" Type="http://schemas.openxmlformats.org/officeDocument/2006/relationships/hyperlink" Target="http://www.aph.gov.au/Parliamentary_Business/Committees/Joint/Human_Rights/Guidance_Notes_and_Resources" TargetMode="External"/><Relationship Id="rId49" Type="http://schemas.openxmlformats.org/officeDocument/2006/relationships/hyperlink" Target="http://www.aph.gov.au/Parliamentary_Business/Bills_Legislation/Bills_Search_Results/Result?bId=r5388" TargetMode="External"/><Relationship Id="rId114" Type="http://schemas.openxmlformats.org/officeDocument/2006/relationships/hyperlink" Target="http://www.oaic.gov.au/news-and-events/media-releases/privacy-media-releases/survey-of-child-targeted-websites-and-apps-reveals-progress-on-privacy-protection-but-parental-involvement-still-the-key" TargetMode="External"/><Relationship Id="rId119" Type="http://schemas.openxmlformats.org/officeDocument/2006/relationships/hyperlink" Target="http://www.abs.gov.au/ausstats/abs@.nsf/Lookup/4533.0Main+Features72013" TargetMode="External"/><Relationship Id="rId44" Type="http://schemas.openxmlformats.org/officeDocument/2006/relationships/hyperlink" Target="http://www.aph.gov.au/Parliamentary_Business/Bills_LEGislation/Bills_Search_Results/Result?bId=s968" TargetMode="External"/><Relationship Id="rId60" Type="http://schemas.openxmlformats.org/officeDocument/2006/relationships/hyperlink" Target="http://www.aph.gov.au/Parliamentary_Business/Bills_Legislation/Bills_Search_Results/Result?bId=r5430" TargetMode="External"/><Relationship Id="rId65" Type="http://schemas.openxmlformats.org/officeDocument/2006/relationships/hyperlink" Target="http://www.aph.gov.au/Parliamentary_Business/Committees/Senate/Legal_and_Constitutional_Affairs/Australian_Citizenship/Report" TargetMode="External"/><Relationship Id="rId81" Type="http://schemas.openxmlformats.org/officeDocument/2006/relationships/hyperlink" Target="http://www.aph.gov.au/Parliamentary_Business/Committees/Senate/Legal_and_Constitutional_Affairs/Australian_Citizenship/Report" TargetMode="External"/><Relationship Id="rId86" Type="http://schemas.openxmlformats.org/officeDocument/2006/relationships/hyperlink" Target="http://www.aph.gov.au/Parliamentary_Business/Committees/Senate/Legal_and_Constitutional_Affairs/Biometrics/Report" TargetMode="External"/><Relationship Id="rId130" Type="http://schemas.openxmlformats.org/officeDocument/2006/relationships/hyperlink" Target="http://aic.gov.au/publications/current%20series/tandi/401-420/tandi419.html" TargetMode="External"/><Relationship Id="rId135" Type="http://schemas.openxmlformats.org/officeDocument/2006/relationships/hyperlink" Target="http://www.aic.gov.au/publications/current%20series/rip/21-40/rip38.html" TargetMode="External"/><Relationship Id="rId151" Type="http://schemas.openxmlformats.org/officeDocument/2006/relationships/hyperlink" Target="http://aic.gov.au/publications/current%20series/tandi/401-420/tandi419.html" TargetMode="External"/><Relationship Id="rId156" Type="http://schemas.openxmlformats.org/officeDocument/2006/relationships/hyperlink" Target="http://aic.gov.au/publications/current%20series/tandi/401-420/tandi419.html" TargetMode="External"/><Relationship Id="rId177" Type="http://schemas.openxmlformats.org/officeDocument/2006/relationships/hyperlink" Target="http://www.abs.gov.au/ausstats/abs@.nsf/Lookup/4906.0Technical+Note12012" TargetMode="External"/><Relationship Id="rId4" Type="http://schemas.openxmlformats.org/officeDocument/2006/relationships/hyperlink" Target="https://www.humanrights.gov.au/our-work/childrens-rights/publications/childrens-rights-report-2014" TargetMode="External"/><Relationship Id="rId9" Type="http://schemas.openxmlformats.org/officeDocument/2006/relationships/hyperlink" Target="http://www.pc.gov.au/research/recurring/report-on-government-services/2015/community-services/child-protection" TargetMode="External"/><Relationship Id="rId172" Type="http://schemas.openxmlformats.org/officeDocument/2006/relationships/hyperlink" Target="http://www.abs.gov.au/AUSSTATS/abs@.nsf/Latestproducts/4510.0Glossary12014?opendocument&amp;tabname=Notes&amp;prodno=4510.0&amp;issue=2014&amp;num=&amp;view" TargetMode="External"/><Relationship Id="rId180" Type="http://schemas.openxmlformats.org/officeDocument/2006/relationships/hyperlink" Target="http://www.abs.gov.au/AUSSTATS/abs@.nsf/Latestproducts/4906.0Glossary12012?opendocument&amp;tabname=Notes&amp;prodno=4906.0&amp;issue=2012&amp;num=&amp;view" TargetMode="External"/><Relationship Id="rId13" Type="http://schemas.openxmlformats.org/officeDocument/2006/relationships/hyperlink" Target="http://www.aihw.gov.au/publication-detail/?id=60129550762" TargetMode="External"/><Relationship Id="rId18" Type="http://schemas.openxmlformats.org/officeDocument/2006/relationships/hyperlink" Target="http://www.aph.gov.au/Parliamentary_Business/Committees/Senate/Legal_and_Constitutional_Affairs/Australian_Citizenship/Submissions" TargetMode="External"/><Relationship Id="rId39" Type="http://schemas.openxmlformats.org/officeDocument/2006/relationships/hyperlink" Target="https://www.humanrights.gov.au/our-work/childrens-rights/publications/childrens-rights-report-2013" TargetMode="External"/><Relationship Id="rId109" Type="http://schemas.openxmlformats.org/officeDocument/2006/relationships/hyperlink" Target="http://eprints.lse.ac.uk/13476/1/The_changing_nature_and_uses_of_media_literacy.pdf" TargetMode="External"/><Relationship Id="rId34" Type="http://schemas.openxmlformats.org/officeDocument/2006/relationships/hyperlink" Target="http://www.aph.gov.au/Parliamentary_Business/Committees/Joint/Human_Rights/Guidance_Notes_and_Resources" TargetMode="External"/><Relationship Id="rId50" Type="http://schemas.openxmlformats.org/officeDocument/2006/relationships/hyperlink" Target="http://www.aph.gov.au/Parliamentary_Business/Bills_Legislation/Bills_Search_Results/Result?bId=r5387" TargetMode="External"/><Relationship Id="rId55" Type="http://schemas.openxmlformats.org/officeDocument/2006/relationships/hyperlink" Target="http://www.aph.gov.au/Parliamentary_Business/Bills_Legislation/Bills_Search_Results/Result?bId=r5388" TargetMode="External"/><Relationship Id="rId76" Type="http://schemas.openxmlformats.org/officeDocument/2006/relationships/hyperlink" Target="http://www.aph.gov.au/Parliamentary_Business/Bills_Legislation/Bills_Search_Results/Result?bId=r5346" TargetMode="External"/><Relationship Id="rId97" Type="http://schemas.openxmlformats.org/officeDocument/2006/relationships/hyperlink" Target="http://www.aph.gov.au/Parliamentary_Business/Committees/Joint/Human_Rights/Guidance_Notes_and_Resources" TargetMode="External"/><Relationship Id="rId104" Type="http://schemas.openxmlformats.org/officeDocument/2006/relationships/hyperlink" Target="http://www.alrc.gov.au/publications/ip-17" TargetMode="External"/><Relationship Id="rId120" Type="http://schemas.openxmlformats.org/officeDocument/2006/relationships/hyperlink" Target="http://www.abs.gov.au/ausstats/abs@.nsf/Lookup/4533.0Main+Features72013" TargetMode="External"/><Relationship Id="rId125" Type="http://schemas.openxmlformats.org/officeDocument/2006/relationships/hyperlink" Target="http://www.abs.gov.au/AUSSTATS/abs@.nsf/DetailsPage/4906.02012?OpenDocument" TargetMode="External"/><Relationship Id="rId141" Type="http://schemas.openxmlformats.org/officeDocument/2006/relationships/hyperlink" Target="http://www.abs.gov.au/AUSSTATS/abs@.nsf/Lookup/4510.0Explanatory%20Notes12013?OpenDocument" TargetMode="External"/><Relationship Id="rId146" Type="http://schemas.openxmlformats.org/officeDocument/2006/relationships/hyperlink" Target="http://www.abs.gov.au/ausstats/abs@.nsf/Lookup/4529.0.00.003main+features52014" TargetMode="External"/><Relationship Id="rId167" Type="http://schemas.openxmlformats.org/officeDocument/2006/relationships/hyperlink" Target="http://www.abs.gov.au/ausstats/abs@.nsf/Lookup/by%20Subject/4510.0~2014~Main%20Features~Introduction~3" TargetMode="External"/><Relationship Id="rId7" Type="http://schemas.openxmlformats.org/officeDocument/2006/relationships/hyperlink" Target="http://www.aihw.gov.au/publication-detail/?id=60129550762" TargetMode="External"/><Relationship Id="rId71" Type="http://schemas.openxmlformats.org/officeDocument/2006/relationships/hyperlink" Target="http://www.aph.gov.au/Parliamentary_Business/Committees/Senate/Legal_and_Constitutional_Affairs/Asylum_Legacy_Caseload_Bill_2014/Submissions" TargetMode="External"/><Relationship Id="rId92" Type="http://schemas.openxmlformats.org/officeDocument/2006/relationships/hyperlink" Target="http://www.aph.gov.au/Parliamentary_Business/Committees/Joint/Intelligence_and_Security/Counter-Terrorism_Legislation_Amendment_Foreign_Fighters_Bill_2014/Submissions" TargetMode="External"/><Relationship Id="rId162" Type="http://schemas.openxmlformats.org/officeDocument/2006/relationships/hyperlink" Target="http://developingchild.harvard.edu/resources/inbrief-the-impact-of-early-adversity-on-childrens-development/" TargetMode="External"/><Relationship Id="rId183" Type="http://schemas.openxmlformats.org/officeDocument/2006/relationships/hyperlink" Target="http://www.abs.gov.au/AUSSTATS/abs@.nsf/Latestproducts/4906.0Glossary12012?opendocument&amp;tabname=Notes&amp;prodno=4906.0&amp;issue=2012&amp;num=&amp;view" TargetMode="External"/><Relationship Id="rId2" Type="http://schemas.openxmlformats.org/officeDocument/2006/relationships/hyperlink" Target="https://www.humanrights.gov.au/our-work/childrens-rights/publications/childrens-rights-report-2014" TargetMode="External"/><Relationship Id="rId29" Type="http://schemas.openxmlformats.org/officeDocument/2006/relationships/hyperlink" Target="http://www.aph.gov.au/Parliamentary_Business/Committees/Joint/Human_Rights/Guidance_Notes_and_Resources" TargetMode="External"/><Relationship Id="rId24" Type="http://schemas.openxmlformats.org/officeDocument/2006/relationships/hyperlink" Target="http://www.abs.gov.au/ausstats/abs@.nsf/mf/3303.0" TargetMode="External"/><Relationship Id="rId40" Type="http://schemas.openxmlformats.org/officeDocument/2006/relationships/hyperlink" Target="https://www.humanrights.gov.au/our-work/asylum-seekers-and-refugees/publications/forgotten-children-national-inquiry-children" TargetMode="External"/><Relationship Id="rId45" Type="http://schemas.openxmlformats.org/officeDocument/2006/relationships/hyperlink" Target="http://www.aph.gov.au/Parliamentary_Business/Bills_Legislation/Bills_Search_Results/Result?bId=r5335" TargetMode="External"/><Relationship Id="rId66" Type="http://schemas.openxmlformats.org/officeDocument/2006/relationships/hyperlink" Target="http://www.aph.gov.au/Parliamentary_Business/Committees/Senate/Legal_and_Constitutional_Affairs/Australian_Citizenship/Report" TargetMode="External"/><Relationship Id="rId87" Type="http://schemas.openxmlformats.org/officeDocument/2006/relationships/hyperlink" Target="http://www.aph.gov.au/Parliamentary_Business/Committees/Senate/Legal_and_Constitutional_Affairs/Biometrics/Report" TargetMode="External"/><Relationship Id="rId110" Type="http://schemas.openxmlformats.org/officeDocument/2006/relationships/hyperlink" Target="http://europa.eu/rapid/press-release_SPEECH-10-22_en.pdf" TargetMode="External"/><Relationship Id="rId115" Type="http://schemas.openxmlformats.org/officeDocument/2006/relationships/hyperlink" Target="http://www.oaic.gov.au/news-and-events/media-releases/privacy-media-releases/survey-of-child-targeted-websites-and-apps-reveals-progress-on-privacy-protection-but-parental-involvement-still-the-key" TargetMode="External"/><Relationship Id="rId131" Type="http://schemas.openxmlformats.org/officeDocument/2006/relationships/hyperlink" Target="http://www.aihw.gov.au/publication-detail/?id=60129550762" TargetMode="External"/><Relationship Id="rId136" Type="http://schemas.openxmlformats.org/officeDocument/2006/relationships/hyperlink" Target="http://www.aic.gov.au/publications/current%20series/rip/21-40/rip38.html" TargetMode="External"/><Relationship Id="rId157" Type="http://schemas.openxmlformats.org/officeDocument/2006/relationships/hyperlink" Target="http://aic.gov.au/publications/current%20series/tandi/401-420/tandi419.html" TargetMode="External"/><Relationship Id="rId178" Type="http://schemas.openxmlformats.org/officeDocument/2006/relationships/hyperlink" Target="http://www.abs.gov.au/ausstats/abs@.nsf/Lookup/4906.0Chapter1002012" TargetMode="External"/><Relationship Id="rId61" Type="http://schemas.openxmlformats.org/officeDocument/2006/relationships/hyperlink" Target="http://www.aph.gov.au/Parliamentary_Business/Committees/Senate/Legal_and_Constitutional_Affairs/Character_and_Visa_Cancellation_Bill_2014" TargetMode="External"/><Relationship Id="rId82" Type="http://schemas.openxmlformats.org/officeDocument/2006/relationships/hyperlink" Target="http://www.aph.gov.au/Parliamentary_Business/Bills_LEGislation/Bills_Search_Results/Result?bId=r5181" TargetMode="External"/><Relationship Id="rId152" Type="http://schemas.openxmlformats.org/officeDocument/2006/relationships/hyperlink" Target="http://aic.gov.au/publications/current%20series/tandi/401-420/tandi419.html" TargetMode="External"/><Relationship Id="rId173" Type="http://schemas.openxmlformats.org/officeDocument/2006/relationships/hyperlink" Target="http://www.abs.gov.au/AUSSTATS/abs@.nsf/Latestproducts/4510.0Explanatory%20Notes12014?opendocument&amp;tabname=Notes&amp;prodno=4510.0&amp;issue=2014&amp;num=&amp;view" TargetMode="External"/><Relationship Id="rId19" Type="http://schemas.openxmlformats.org/officeDocument/2006/relationships/hyperlink" Target="http://www.aph.gov.au/Parliamentary_Business/Committees/Senate/Community_Affairs/Young_people_in_aged_care/Submissions" TargetMode="External"/><Relationship Id="rId14" Type="http://schemas.openxmlformats.org/officeDocument/2006/relationships/hyperlink" Target="http://www.aph.gov.au/Parliamentary_Business/Committees/Joint/Intelligence_and_Security/Counter-Terrorism_Legislation_Amendment_Foreign_Fighters_Bill_2014/Submissions" TargetMode="External"/><Relationship Id="rId30" Type="http://schemas.openxmlformats.org/officeDocument/2006/relationships/hyperlink" Target="http://www.aph.gov.au/Parliamentary_Business/Committees/Joint/Human_Rights/Committee_Membership" TargetMode="External"/><Relationship Id="rId35" Type="http://schemas.openxmlformats.org/officeDocument/2006/relationships/hyperlink" Target="http://www.aph.gov.au/Parliamentary_Business/Committees/Joint/Human_Rights/Completed_inquiries" TargetMode="External"/><Relationship Id="rId56" Type="http://schemas.openxmlformats.org/officeDocument/2006/relationships/hyperlink" Target="http://parlinfo.aph.gov.au/parlInfo/search/display/display.w3p;query=Id%3A%22legislation%2Fems%2Fr5430_ems_eb308543-0f14-43e8-aef5-ccdc42fa0d63%22" TargetMode="External"/><Relationship Id="rId77" Type="http://schemas.openxmlformats.org/officeDocument/2006/relationships/hyperlink" Target="http://www.aph.gov.au/Parliamentary_Business/Committees/Senate/Legal_and_Constitutional_Affairs/Australian_Citizenship" TargetMode="External"/><Relationship Id="rId100" Type="http://schemas.openxmlformats.org/officeDocument/2006/relationships/hyperlink" Target="http://www.abs.gov.au/ausstats/abs@.nsf/Products/4901.0~Apr+2012~Main+Features~Internet+and+mobile+phones?OpenDocument" TargetMode="External"/><Relationship Id="rId105" Type="http://schemas.openxmlformats.org/officeDocument/2006/relationships/hyperlink" Target="http://content.time.com/time/world/article/0,8599,2050979,00.html" TargetMode="External"/><Relationship Id="rId126" Type="http://schemas.openxmlformats.org/officeDocument/2006/relationships/hyperlink" Target="http://www.ohchr.org/EN/HRBodies/CRC/Study/Pages/StudyViolenceChildren.aspx" TargetMode="External"/><Relationship Id="rId147" Type="http://schemas.openxmlformats.org/officeDocument/2006/relationships/hyperlink" Target="http://www.abs.gov.au/ausstats/abs@.nsf/Lookup/4529.0.00.003main+features52014" TargetMode="External"/><Relationship Id="rId168" Type="http://schemas.openxmlformats.org/officeDocument/2006/relationships/hyperlink" Target="http://www.abs.gov.au/AUSSTATS/abs@.nsf/Latestproducts/4510.0Glossary12014?opendocument&amp;tabname=Notes&amp;prodno=4510.0&amp;issue=2014&amp;num=&amp;view" TargetMode="External"/><Relationship Id="rId8" Type="http://schemas.openxmlformats.org/officeDocument/2006/relationships/hyperlink" Target="http://www.aph.gov.au/Parliamentary_Business/Committees/Senate/Community_Affairs/Out_of_home_care/Report" TargetMode="External"/><Relationship Id="rId51" Type="http://schemas.openxmlformats.org/officeDocument/2006/relationships/hyperlink" Target="http://parlinfo.aph.gov.au/parlInfo/search/display/display.w3p;query=Id%3A%22legislation%2Fems%2Fr5387_ems_d2990172-46c7-4b35-9eff-364175a7fbef%22" TargetMode="External"/><Relationship Id="rId72" Type="http://schemas.openxmlformats.org/officeDocument/2006/relationships/hyperlink" Target="http://www.aph.gov.au/Parliamentary_Business/Committees/Senate/Legal_and_Constitutional_Affairs/Asylum_Legacy_Caseload_Bill_2014/Report" TargetMode="External"/><Relationship Id="rId93" Type="http://schemas.openxmlformats.org/officeDocument/2006/relationships/hyperlink" Target="http://www.aph.gov.au/Parliamentary_Business/Committees/Joint/Intelligence_and_Security/Counter-Terrorism_Legislation_Amendment_Foreign_Fighters_Bill_2014/Report1" TargetMode="External"/><Relationship Id="rId98" Type="http://schemas.openxmlformats.org/officeDocument/2006/relationships/hyperlink" Target="http://www.ohchr.org/EN/HRBodies/Pages/TBGeneralComments.aspx" TargetMode="External"/><Relationship Id="rId121" Type="http://schemas.openxmlformats.org/officeDocument/2006/relationships/hyperlink" Target="http://www.liberal.org.au/latest-news/2014/06/27/prime-minister-joint-press-release-addressing-violence-against-women-and" TargetMode="External"/><Relationship Id="rId142" Type="http://schemas.openxmlformats.org/officeDocument/2006/relationships/hyperlink" Target="http://www.abs.gov.au/ausstats/abs@.nsf/Lookup/4906.0Chapter1002012" TargetMode="External"/><Relationship Id="rId163" Type="http://schemas.openxmlformats.org/officeDocument/2006/relationships/hyperlink" Target="http://www.abs.gov.au/AUSSTATS/abs@.nsf/Lookup/4510.0Explanatory%20Notes12013?OpenDocument" TargetMode="External"/><Relationship Id="rId3" Type="http://schemas.openxmlformats.org/officeDocument/2006/relationships/hyperlink" Target="https://www.humanrights.gov.au/our-work/childrens-rights/publications/childrens-rights-report-2014" TargetMode="External"/><Relationship Id="rId25" Type="http://schemas.openxmlformats.org/officeDocument/2006/relationships/hyperlink" Target="https://www.humanrights.gov.au/our-work/childrens-rights/publications/childrens-rights-report-2014" TargetMode="External"/><Relationship Id="rId46" Type="http://schemas.openxmlformats.org/officeDocument/2006/relationships/hyperlink" Target="http://www.aph.gov.au/Parliamentary_Business/Bills_Legislation/Bills_Search_Results/Result?bId=s979" TargetMode="External"/><Relationship Id="rId67" Type="http://schemas.openxmlformats.org/officeDocument/2006/relationships/hyperlink" Target="http://www.aph.gov.au/Parliamentary_Business/Committees/Senate/Legal_and_Constitutional_Affairs/Australian_Citizenship/Report" TargetMode="External"/><Relationship Id="rId116" Type="http://schemas.openxmlformats.org/officeDocument/2006/relationships/hyperlink" Target="http://www.oaic.gov.au/news-and-events/media-releases/privacy-media-releases/survey-of-child-targeted-websites-and-apps-reveals-progress-on-privacy-protection-but-parental-involvement-still-the-key" TargetMode="External"/><Relationship Id="rId137" Type="http://schemas.openxmlformats.org/officeDocument/2006/relationships/hyperlink" Target="http://www.aic.gov.au/publications/current%20series/rip/21-40/rip38.html" TargetMode="External"/><Relationship Id="rId158" Type="http://schemas.openxmlformats.org/officeDocument/2006/relationships/hyperlink" Target="http://www.kidsfamilies.health.nsw.gov.au/publications/health-interventions-for-family-and-domestic-violence-a-literature-review/" TargetMode="External"/><Relationship Id="rId20" Type="http://schemas.openxmlformats.org/officeDocument/2006/relationships/hyperlink" Target="https://www.humanrights.gov.au/submissions/australia-s-second-universal-periodic-review" TargetMode="External"/><Relationship Id="rId41" Type="http://schemas.openxmlformats.org/officeDocument/2006/relationships/hyperlink" Target="http://www.aph.gov.au/Parliamentary_Business/Committees/Senate/Legal_and_Constitutional_Affairs/Guardian_for_children/Report" TargetMode="External"/><Relationship Id="rId62" Type="http://schemas.openxmlformats.org/officeDocument/2006/relationships/hyperlink" Target="http://www.aph.gov.au/Parliamentary_Business/Committees/Senate/Legal_and_Constitutional_Affairs/Character_and_Visa_Cancellation_Bill_2014/Submissions" TargetMode="External"/><Relationship Id="rId83" Type="http://schemas.openxmlformats.org/officeDocument/2006/relationships/hyperlink" Target="http://www.aph.gov.au/Parliamentary_Business/Bills_LEGislation/Bills_Search_Results/Result?bId=r5367" TargetMode="External"/><Relationship Id="rId88" Type="http://schemas.openxmlformats.org/officeDocument/2006/relationships/hyperlink" Target="http://www.aph.gov.au/Parliamentary_Business/Committees/Senate/Legal_and_Constitutional_Affairs/Biometrics/Report" TargetMode="External"/><Relationship Id="rId111" Type="http://schemas.openxmlformats.org/officeDocument/2006/relationships/hyperlink" Target="http://www.oaic.gov.au/news-and-events/media-releases/privacy-media-releases/survey-of-child-targeted-websites-and-apps-reveals-progress-on-privacy-protection-but-parental-involvement-still-the-key" TargetMode="External"/><Relationship Id="rId132" Type="http://schemas.openxmlformats.org/officeDocument/2006/relationships/hyperlink" Target="http://www.aph.gov.au/Parliamentary_Business/Committees/Senate/Finance_and_Public_Administration/Domestic_Violence/Submissions" TargetMode="External"/><Relationship Id="rId153" Type="http://schemas.openxmlformats.org/officeDocument/2006/relationships/hyperlink" Target="http://dx.doi.org.ezproxy.lib.uts.edu.au/10.1080/13218719.2015.1015204" TargetMode="External"/><Relationship Id="rId174" Type="http://schemas.openxmlformats.org/officeDocument/2006/relationships/hyperlink" Target="http://www.abs.gov.au/AUSSTATS/abs@.nsf/Latestproducts/4510.0Glossary12014?opendocument&amp;tabname=Notes&amp;prodno=4510.0&amp;issue=2014&amp;num=&amp;view" TargetMode="External"/><Relationship Id="rId179" Type="http://schemas.openxmlformats.org/officeDocument/2006/relationships/hyperlink" Target="http://www.abs.gov.au/ausstats/abs@.nsf/Lookup/4906.0Chapter1002012" TargetMode="External"/><Relationship Id="rId15" Type="http://schemas.openxmlformats.org/officeDocument/2006/relationships/hyperlink" Target="http://www.aph.gov.au/Parliamentary_Business/Committees/Senate/Legal_and_Constitutional_Affairs/Guardian_for_children/Submissions" TargetMode="External"/><Relationship Id="rId36" Type="http://schemas.openxmlformats.org/officeDocument/2006/relationships/hyperlink" Target="https://www.ag.gov.au/RightsAndProtections/HumanRights/PublicSector/Pages/Toolforassessinghumanrightscompatibility.aspx" TargetMode="External"/><Relationship Id="rId57" Type="http://schemas.openxmlformats.org/officeDocument/2006/relationships/hyperlink" Target="http://www.aph.gov.au/Parliamentary_Business/Committees/Senate/Legal_and_Constitutional_Affairs/Power_and_Offences_Bill" TargetMode="External"/><Relationship Id="rId106" Type="http://schemas.openxmlformats.org/officeDocument/2006/relationships/hyperlink" Target="http://www.business-standard.com/india/news/catch-them-youngadvergaming/381926/" TargetMode="External"/><Relationship Id="rId127" Type="http://schemas.openxmlformats.org/officeDocument/2006/relationships/hyperlink" Target="http://aic.gov.au/publications/current%20series/tandi/401-420/tandi419.html" TargetMode="External"/><Relationship Id="rId10" Type="http://schemas.openxmlformats.org/officeDocument/2006/relationships/hyperlink" Target="http://www.childabuseroyalcommission.gov.au/policy-and-research/working-with-children-checks.aspx" TargetMode="External"/><Relationship Id="rId31" Type="http://schemas.openxmlformats.org/officeDocument/2006/relationships/hyperlink" Target="http://www.aph.gov.au/Parliamentary_Business/Committees/Joint/Human_Rights/Guidance_Notes_and_Resources" TargetMode="External"/><Relationship Id="rId52" Type="http://schemas.openxmlformats.org/officeDocument/2006/relationships/hyperlink" Target="http://www.aph.gov.au/Parliamentary_Business/Committees/Senate/Environment_and_Communications/Online_safety" TargetMode="External"/><Relationship Id="rId73" Type="http://schemas.openxmlformats.org/officeDocument/2006/relationships/hyperlink" Target="http://www.aph.gov.au/Parliamentary_Business/Committees/Senate/Legal_and_Constitutional_Affairs/Asylum_Legacy_Caseload_Bill_2014/Report" TargetMode="External"/><Relationship Id="rId78" Type="http://schemas.openxmlformats.org/officeDocument/2006/relationships/hyperlink" Target="http://www.aph.gov.au/Parliamentary_Business/Committees/Senate/Legal_and_Constitutional_Affairs/Australian_Citizenship/Submissions" TargetMode="External"/><Relationship Id="rId94" Type="http://schemas.openxmlformats.org/officeDocument/2006/relationships/hyperlink" Target="http://www.aph.gov.au/Parliamentary_Business/Bills_LEGislation/Bills_Search_Results/Result?bId=s976" TargetMode="External"/><Relationship Id="rId99" Type="http://schemas.openxmlformats.org/officeDocument/2006/relationships/hyperlink" Target="http://www.alrc.gov.au/publications/ip-17" TargetMode="External"/><Relationship Id="rId101" Type="http://schemas.openxmlformats.org/officeDocument/2006/relationships/hyperlink" Target="http://www.abs.gov.au/ausstats/abs@.nsf/Products/4901.0~Apr+2012~Main+Features~Internet+and+mobile+phones?OpenDocument" TargetMode="External"/><Relationship Id="rId122" Type="http://schemas.openxmlformats.org/officeDocument/2006/relationships/hyperlink" Target="https://www.coag.gov.au/node/522" TargetMode="External"/><Relationship Id="rId143" Type="http://schemas.openxmlformats.org/officeDocument/2006/relationships/hyperlink" Target="http://www.aph.gov.au/About_Parliament/Parliamentary_Departments/Parliamentary_Library/pubs/rp/rp1415/ViolenceAust" TargetMode="External"/><Relationship Id="rId148" Type="http://schemas.openxmlformats.org/officeDocument/2006/relationships/hyperlink" Target="http://www.aph.gov.au/Parliamentary_Business/Committees/Senate/Finance_and_Public_Administration/Domestic_Violence/Report" TargetMode="External"/><Relationship Id="rId164" Type="http://schemas.openxmlformats.org/officeDocument/2006/relationships/hyperlink" Target="http://www.dhs.vic.gov.au/about-the-department/plans,-programs-and-projects/projects-and-initiatives/children,-youth-and-family-services/taskforce-1000" TargetMode="External"/><Relationship Id="rId169" Type="http://schemas.openxmlformats.org/officeDocument/2006/relationships/hyperlink" Target="http://www.abs.gov.au/AUSSTATS/abs@.nsf/Latestproducts/4510.0Glossary12014?opendocument&amp;tabname=Notes&amp;prodno=4510.0&amp;issue=2014&amp;num=&amp;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fileshare\applications\Templates\Commission\Report.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tables%20in%20what%20did%20data%20tell%20us%20sectio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ileshare\users\ballo\Desktop\AHRC%20data%20completed.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ileshare\users\ballo\Desktop\AHRC%20data%20completed.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ileshare\users\ballo\Desktop\AHRC%20data%20completed.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ileshare\groups\spt\Commission%20Processes\Team%20Work%20Planning%20Space\CRT\9.%20CRR%202015\C4.%20Violence\DATA\ABS\15.09.09%20ABS%20Recorded%20Crime%20-%20Victims%20data_FINAL%20DRAFT%20PART%20TWO.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Recorded%20Crime%20-%20Victims%20data_FINAL%20DRAF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Recorded%20Crime%20-%20Victims%20data_FINAL%20DRAF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Recorded%20Crime%20-%20Victims%20data_FINAL%20DRAF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Recorded%20Crime%20-%20Victims%20data_FINAL%20DRAF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Recorded%20Crime%20-%20Victims%20data_FINAL%20DRAFT.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Recorded%20Crime%20-%20Victims%20data_FINAL%20DRAFT.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AHRC-FS-SYD\Groups\SPT\Commission%20Processes\Team%20Work%20Planning%20Space\CRT\Projects\CRR%202015\C4.%20Violence\DATA\ABS\15.09.09%20ABS%20tables%20in%20what%20did%20data%20tell%20us%20section.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Recorded%20Crime%20-%20Victims%20data_FINAL%20DRAFT.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Recorded%20Crime%20-%20Victims%20data_FINAL%20DRAFT.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Recorded%20Crime%20-%20Victims%20data_FINAL%20DRAFT.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fileshare\users\ballo\Desktop\AHRC%20data%20completed.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fileshare\users\ballo\Desktop\AHRC%20data%20completed.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fileshare\users\ballo\Desktop\AHRC%20data%20completed.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fileshare\groups\spt\Commission%20Processes\Team%20Work%20Planning%20Space\CRT\9.%20CRR%202015\C4.%20Violence\DATA\ABS\15.09.09%20ABS%20PSS%20data_FINAL%20DRAFT.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PSS%20data_FINAL%20DRAFT.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fileshare\groups\spt\Commission%20Processes\Team%20Work%20Planning%20Space\CRT\9.%20CRR%202015\C4.%20Violence\DATA\ABS\15.09.09%20ABS%20PSS%20data_FINAL%20DRAFT.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PSS%20data_FINAL%20DRAF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tables%20in%20what%20did%20data%20tell%20us%20section.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PSS%20data_FINAL%20DRAFT.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PSS%20data_FINAL%20DRAFT.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fileshare\groups\spt\Commission%20Processes\Team%20Work%20Planning%20Space\CRT\9.%20CRR%202015\C4.%20Violence\DATA\ABS\15.09.09%20ABS%20PSS%20data_FINAL%20DRAF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tables%20in%20what%20did%20data%20tell%20us%20sect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Recorded%20Crime%20-%20Victims%20data_FINAL%20DRAF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Recorded%20Crime%20-%20Victims%20data_FINAL%20DRAF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Recorded%20Crime%20-%20Victims%20data_FINAL%20DRAF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Recorded%20Crime%20-%20Victims%20data_FINAL%20DRAF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AHRC-FS-SYD\Groups\SPT\Commission%20Processes\Team%20Work%20Planning%20Space\CRT\9.%20CRR%202015\C4.%20Violence\DATA\ABS\15.09.09%20ABS%20Recorded%20Crime%20-%20Victims%20data_FINAL%20DRAF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Figure 1: Proportion of child victims who reported the offender was their parent,</a:t>
            </a:r>
            <a:r>
              <a:rPr lang="en-AU" baseline="0"/>
              <a:t> by child victims aged 0 to 9, by the victim's sex and and by Indigenous status (New South Wales, 2010-2013)</a:t>
            </a:r>
            <a:endParaRPr lang="en-AU"/>
          </a:p>
        </c:rich>
      </c:tx>
      <c:overlay val="0"/>
      <c:spPr>
        <a:noFill/>
        <a:ln>
          <a:noFill/>
        </a:ln>
        <a:effectLst/>
      </c:spPr>
    </c:title>
    <c:autoTitleDeleted val="0"/>
    <c:plotArea>
      <c:layout/>
      <c:barChart>
        <c:barDir val="col"/>
        <c:grouping val="stacked"/>
        <c:varyColors val="0"/>
        <c:ser>
          <c:idx val="0"/>
          <c:order val="0"/>
          <c:tx>
            <c:strRef>
              <c:f>Sheet1!$B$11:$B$12</c:f>
              <c:strCache>
                <c:ptCount val="2"/>
                <c:pt idx="1">
                  <c:v>Males 0 to 9</c:v>
                </c:pt>
              </c:strCache>
            </c:strRef>
          </c:tx>
          <c:spPr>
            <a:solidFill>
              <a:schemeClr val="bg1">
                <a:lumMod val="65000"/>
              </a:schemeClr>
            </a:solidFill>
            <a:ln>
              <a:noFill/>
            </a:ln>
            <a:effectLst/>
          </c:spPr>
          <c:invertIfNegative val="0"/>
          <c:dLbls>
            <c:dLbl>
              <c:idx val="0"/>
              <c:tx>
                <c:rich>
                  <a:bodyPr/>
                  <a:lstStyle/>
                  <a:p>
                    <a:fld id="{24407A6F-F890-47CF-8D5C-C2EDADD8FC2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2DC5397B-C268-4973-86A0-BDABD7CBC57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5AD39382-83AC-40E5-B848-7139F9901BB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B49EEB10-6351-48BD-8EAC-B24A45A4ED1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Sheet1!$A$13:$A$17</c:f>
              <c:strCache>
                <c:ptCount val="5"/>
                <c:pt idx="0">
                  <c:v>Indigenous child victims of physical assault</c:v>
                </c:pt>
                <c:pt idx="1">
                  <c:v>non-Indigenous child victims of physical assault</c:v>
                </c:pt>
                <c:pt idx="3">
                  <c:v>Indigenous child victims of sexual assault</c:v>
                </c:pt>
                <c:pt idx="4">
                  <c:v>non-Indigenous child victims of sexual assault</c:v>
                </c:pt>
              </c:strCache>
            </c:strRef>
          </c:cat>
          <c:val>
            <c:numRef>
              <c:f>Sheet1!$B$13:$B$17</c:f>
              <c:numCache>
                <c:formatCode>General</c:formatCode>
                <c:ptCount val="5"/>
                <c:pt idx="0">
                  <c:v>21.88</c:v>
                </c:pt>
                <c:pt idx="1">
                  <c:v>18.47</c:v>
                </c:pt>
                <c:pt idx="3">
                  <c:v>14.35</c:v>
                </c:pt>
                <c:pt idx="4">
                  <c:v>14.83</c:v>
                </c:pt>
              </c:numCache>
            </c:numRef>
          </c:val>
        </c:ser>
        <c:ser>
          <c:idx val="1"/>
          <c:order val="1"/>
          <c:tx>
            <c:strRef>
              <c:f>Sheet1!$C$11:$C$12</c:f>
              <c:strCache>
                <c:ptCount val="2"/>
                <c:pt idx="1">
                  <c:v>Females 0 to 9</c:v>
                </c:pt>
              </c:strCache>
            </c:strRef>
          </c:tx>
          <c:spPr>
            <a:solidFill>
              <a:schemeClr val="bg2"/>
            </a:solidFill>
            <a:ln>
              <a:noFill/>
            </a:ln>
            <a:effectLst/>
          </c:spPr>
          <c:invertIfNegative val="0"/>
          <c:dLbls>
            <c:dLbl>
              <c:idx val="0"/>
              <c:tx>
                <c:rich>
                  <a:bodyPr/>
                  <a:lstStyle/>
                  <a:p>
                    <a:fld id="{3F8B28D0-A642-4E71-9EFC-39715CC3C26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B8E14189-E198-48AA-8E13-1C5C5871367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0A405121-27E0-4714-BAD3-06C5A24F9F4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B5A8034F-2A03-43AC-B4A4-AB0A5BCF3F5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Sheet1!$A$13:$A$17</c:f>
              <c:strCache>
                <c:ptCount val="5"/>
                <c:pt idx="0">
                  <c:v>Indigenous child victims of physical assault</c:v>
                </c:pt>
                <c:pt idx="1">
                  <c:v>non-Indigenous child victims of physical assault</c:v>
                </c:pt>
                <c:pt idx="3">
                  <c:v>Indigenous child victims of sexual assault</c:v>
                </c:pt>
                <c:pt idx="4">
                  <c:v>non-Indigenous child victims of sexual assault</c:v>
                </c:pt>
              </c:strCache>
            </c:strRef>
          </c:cat>
          <c:val>
            <c:numRef>
              <c:f>Sheet1!$C$13:$C$17</c:f>
              <c:numCache>
                <c:formatCode>General</c:formatCode>
                <c:ptCount val="5"/>
                <c:pt idx="0">
                  <c:v>17.72</c:v>
                </c:pt>
                <c:pt idx="1">
                  <c:v>14.13</c:v>
                </c:pt>
                <c:pt idx="3">
                  <c:v>33.36</c:v>
                </c:pt>
                <c:pt idx="4">
                  <c:v>36.04</c:v>
                </c:pt>
              </c:numCache>
            </c:numRef>
          </c:val>
        </c:ser>
        <c:dLbls>
          <c:showLegendKey val="0"/>
          <c:showVal val="0"/>
          <c:showCatName val="0"/>
          <c:showSerName val="0"/>
          <c:showPercent val="0"/>
          <c:showBubbleSize val="0"/>
        </c:dLbls>
        <c:gapWidth val="150"/>
        <c:overlap val="100"/>
        <c:axId val="141347952"/>
        <c:axId val="139554544"/>
      </c:barChart>
      <c:catAx>
        <c:axId val="14134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554544"/>
        <c:crosses val="autoZero"/>
        <c:auto val="1"/>
        <c:lblAlgn val="ctr"/>
        <c:lblOffset val="100"/>
        <c:noMultiLvlLbl val="0"/>
      </c:catAx>
      <c:valAx>
        <c:axId val="139554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34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 6: Number of child victims of physical assault where Aboriginal and Torres Strait Islander status is unknown, by offender type, by the victim's sex and by the victim's age (South Australia, 2010-2013)</a:t>
            </a:r>
          </a:p>
        </c:rich>
      </c:tx>
      <c:overlay val="0"/>
      <c:spPr>
        <a:noFill/>
        <a:ln>
          <a:noFill/>
        </a:ln>
        <a:effectLst/>
      </c:spPr>
    </c:title>
    <c:autoTitleDeleted val="0"/>
    <c:plotArea>
      <c:layout/>
      <c:barChart>
        <c:barDir val="col"/>
        <c:grouping val="clustered"/>
        <c:varyColors val="0"/>
        <c:ser>
          <c:idx val="0"/>
          <c:order val="0"/>
          <c:tx>
            <c:strRef>
              <c:f>'Table 2'!$AV$45</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2'!$AU$46:$AU$48,'Table 2'!$AU$50,'Table 2'!$AU$51:$AU$53)</c:f>
              <c:strCache>
                <c:ptCount val="7"/>
                <c:pt idx="0">
                  <c:v>Males 0 to 9</c:v>
                </c:pt>
                <c:pt idx="1">
                  <c:v>Males 10 to 14</c:v>
                </c:pt>
                <c:pt idx="2">
                  <c:v>Males 15 to 17</c:v>
                </c:pt>
                <c:pt idx="4">
                  <c:v>Females 0 to 9</c:v>
                </c:pt>
                <c:pt idx="5">
                  <c:v>Females 10 to 14</c:v>
                </c:pt>
                <c:pt idx="6">
                  <c:v>Females 15 to 17</c:v>
                </c:pt>
              </c:strCache>
            </c:strRef>
          </c:cat>
          <c:val>
            <c:numRef>
              <c:f>('Table 2'!$AV$46:$AV$48,'Table 2'!$AV$50,'Table 2'!$AV$51:$AV$53)</c:f>
              <c:numCache>
                <c:formatCode>General</c:formatCode>
                <c:ptCount val="7"/>
                <c:pt idx="0">
                  <c:v>12</c:v>
                </c:pt>
                <c:pt idx="1">
                  <c:v>3</c:v>
                </c:pt>
                <c:pt idx="2">
                  <c:v>3</c:v>
                </c:pt>
                <c:pt idx="4">
                  <c:v>8</c:v>
                </c:pt>
                <c:pt idx="5">
                  <c:v>10</c:v>
                </c:pt>
                <c:pt idx="6">
                  <c:v>3</c:v>
                </c:pt>
              </c:numCache>
            </c:numRef>
          </c:val>
        </c:ser>
        <c:ser>
          <c:idx val="1"/>
          <c:order val="1"/>
          <c:tx>
            <c:strRef>
              <c:f>'Table 2'!$AW$45</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2'!$AU$46:$AU$48,'Table 2'!$AU$50,'Table 2'!$AU$51:$AU$53)</c:f>
              <c:strCache>
                <c:ptCount val="7"/>
                <c:pt idx="0">
                  <c:v>Males 0 to 9</c:v>
                </c:pt>
                <c:pt idx="1">
                  <c:v>Males 10 to 14</c:v>
                </c:pt>
                <c:pt idx="2">
                  <c:v>Males 15 to 17</c:v>
                </c:pt>
                <c:pt idx="4">
                  <c:v>Females 0 to 9</c:v>
                </c:pt>
                <c:pt idx="5">
                  <c:v>Females 10 to 14</c:v>
                </c:pt>
                <c:pt idx="6">
                  <c:v>Females 15 to 17</c:v>
                </c:pt>
              </c:strCache>
            </c:strRef>
          </c:cat>
          <c:val>
            <c:numRef>
              <c:f>('Table 2'!$AW$46:$AW$48,'Table 2'!$AW$50,'Table 2'!$AW$51:$AW$53)</c:f>
              <c:numCache>
                <c:formatCode>General</c:formatCode>
                <c:ptCount val="7"/>
                <c:pt idx="0">
                  <c:v>0</c:v>
                </c:pt>
                <c:pt idx="1">
                  <c:v>0</c:v>
                </c:pt>
                <c:pt idx="2">
                  <c:v>0</c:v>
                </c:pt>
                <c:pt idx="4">
                  <c:v>0</c:v>
                </c:pt>
                <c:pt idx="5">
                  <c:v>0</c:v>
                </c:pt>
                <c:pt idx="6">
                  <c:v>6</c:v>
                </c:pt>
              </c:numCache>
            </c:numRef>
          </c:val>
        </c:ser>
        <c:ser>
          <c:idx val="2"/>
          <c:order val="2"/>
          <c:tx>
            <c:strRef>
              <c:f>'Table 2'!$AX$45</c:f>
              <c:strCache>
                <c:ptCount val="1"/>
                <c:pt idx="0">
                  <c:v>Sibling</c:v>
                </c:pt>
              </c:strCache>
            </c:strRef>
          </c:tx>
          <c:spPr>
            <a:solidFill>
              <a:schemeClr val="bg1">
                <a:lumMod val="50000"/>
              </a:schemeClr>
            </a:solid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2'!$AU$46:$AU$48,'Table 2'!$AU$50,'Table 2'!$AU$51:$AU$53)</c:f>
              <c:strCache>
                <c:ptCount val="7"/>
                <c:pt idx="0">
                  <c:v>Males 0 to 9</c:v>
                </c:pt>
                <c:pt idx="1">
                  <c:v>Males 10 to 14</c:v>
                </c:pt>
                <c:pt idx="2">
                  <c:v>Males 15 to 17</c:v>
                </c:pt>
                <c:pt idx="4">
                  <c:v>Females 0 to 9</c:v>
                </c:pt>
                <c:pt idx="5">
                  <c:v>Females 10 to 14</c:v>
                </c:pt>
                <c:pt idx="6">
                  <c:v>Females 15 to 17</c:v>
                </c:pt>
              </c:strCache>
            </c:strRef>
          </c:cat>
          <c:val>
            <c:numRef>
              <c:f>('Table 2'!$AX$46:$AX$48,'Table 2'!$AX$50,'Table 2'!$AX$51:$AX$53)</c:f>
              <c:numCache>
                <c:formatCode>General</c:formatCode>
                <c:ptCount val="7"/>
                <c:pt idx="0">
                  <c:v>0</c:v>
                </c:pt>
                <c:pt idx="1">
                  <c:v>0</c:v>
                </c:pt>
                <c:pt idx="2">
                  <c:v>0</c:v>
                </c:pt>
                <c:pt idx="4">
                  <c:v>0</c:v>
                </c:pt>
                <c:pt idx="5">
                  <c:v>6</c:v>
                </c:pt>
                <c:pt idx="6">
                  <c:v>3</c:v>
                </c:pt>
              </c:numCache>
            </c:numRef>
          </c:val>
        </c:ser>
        <c:ser>
          <c:idx val="3"/>
          <c:order val="3"/>
          <c:tx>
            <c:strRef>
              <c:f>'Table 2'!$AY$45</c:f>
              <c:strCache>
                <c:ptCount val="1"/>
                <c:pt idx="0">
                  <c:v>Other family member</c:v>
                </c:pt>
              </c:strCache>
            </c:strRef>
          </c:tx>
          <c:spPr>
            <a:pattFill prst="ltDnDiag">
              <a:fgClr>
                <a:schemeClr val="tx1"/>
              </a:fgClr>
              <a:bgClr>
                <a:schemeClr val="bg1"/>
              </a:bgClr>
            </a:pattFill>
            <a:ln>
              <a:solidFill>
                <a:schemeClr val="tx1"/>
              </a:solidFill>
            </a:ln>
            <a:effectLst/>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2'!$AU$46:$AU$48,'Table 2'!$AU$50,'Table 2'!$AU$51:$AU$53)</c:f>
              <c:strCache>
                <c:ptCount val="7"/>
                <c:pt idx="0">
                  <c:v>Males 0 to 9</c:v>
                </c:pt>
                <c:pt idx="1">
                  <c:v>Males 10 to 14</c:v>
                </c:pt>
                <c:pt idx="2">
                  <c:v>Males 15 to 17</c:v>
                </c:pt>
                <c:pt idx="4">
                  <c:v>Females 0 to 9</c:v>
                </c:pt>
                <c:pt idx="5">
                  <c:v>Females 10 to 14</c:v>
                </c:pt>
                <c:pt idx="6">
                  <c:v>Females 15 to 17</c:v>
                </c:pt>
              </c:strCache>
            </c:strRef>
          </c:cat>
          <c:val>
            <c:numRef>
              <c:f>('Table 2'!$AY$46:$AY$48,'Table 2'!$AY$50,'Table 2'!$AY$51:$AY$53)</c:f>
              <c:numCache>
                <c:formatCode>General</c:formatCode>
                <c:ptCount val="7"/>
                <c:pt idx="0">
                  <c:v>3</c:v>
                </c:pt>
                <c:pt idx="1">
                  <c:v>0</c:v>
                </c:pt>
                <c:pt idx="2">
                  <c:v>0</c:v>
                </c:pt>
                <c:pt idx="4">
                  <c:v>0</c:v>
                </c:pt>
                <c:pt idx="5">
                  <c:v>0</c:v>
                </c:pt>
                <c:pt idx="6">
                  <c:v>0</c:v>
                </c:pt>
              </c:numCache>
            </c:numRef>
          </c:val>
        </c:ser>
        <c:ser>
          <c:idx val="4"/>
          <c:order val="4"/>
          <c:tx>
            <c:strRef>
              <c:f>'Table 2'!$AZ$45</c:f>
              <c:strCache>
                <c:ptCount val="1"/>
                <c:pt idx="0">
                  <c:v>Non-family member</c:v>
                </c:pt>
              </c:strCache>
            </c:strRef>
          </c:tx>
          <c:spPr>
            <a:solidFill>
              <a:schemeClr val="tx1"/>
            </a:solid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2'!$AU$46:$AU$48,'Table 2'!$AU$50,'Table 2'!$AU$51:$AU$53)</c:f>
              <c:strCache>
                <c:ptCount val="7"/>
                <c:pt idx="0">
                  <c:v>Males 0 to 9</c:v>
                </c:pt>
                <c:pt idx="1">
                  <c:v>Males 10 to 14</c:v>
                </c:pt>
                <c:pt idx="2">
                  <c:v>Males 15 to 17</c:v>
                </c:pt>
                <c:pt idx="4">
                  <c:v>Females 0 to 9</c:v>
                </c:pt>
                <c:pt idx="5">
                  <c:v>Females 10 to 14</c:v>
                </c:pt>
                <c:pt idx="6">
                  <c:v>Females 15 to 17</c:v>
                </c:pt>
              </c:strCache>
            </c:strRef>
          </c:cat>
          <c:val>
            <c:numRef>
              <c:f>('Table 2'!$AZ$46:$AZ$48,'Table 2'!$AZ$50,'Table 2'!$AZ$51:$AZ$53)</c:f>
              <c:numCache>
                <c:formatCode>General</c:formatCode>
                <c:ptCount val="7"/>
                <c:pt idx="0">
                  <c:v>0</c:v>
                </c:pt>
                <c:pt idx="1">
                  <c:v>0</c:v>
                </c:pt>
                <c:pt idx="2">
                  <c:v>7</c:v>
                </c:pt>
                <c:pt idx="4">
                  <c:v>6</c:v>
                </c:pt>
                <c:pt idx="5">
                  <c:v>0</c:v>
                </c:pt>
                <c:pt idx="6">
                  <c:v>6</c:v>
                </c:pt>
              </c:numCache>
            </c:numRef>
          </c:val>
        </c:ser>
        <c:ser>
          <c:idx val="5"/>
          <c:order val="5"/>
          <c:tx>
            <c:strRef>
              <c:f>'Table 2'!$BA$45</c:f>
              <c:strCache>
                <c:ptCount val="1"/>
                <c:pt idx="0">
                  <c:v>Stranger</c:v>
                </c:pt>
              </c:strCache>
            </c:strRef>
          </c:tx>
          <c:spPr>
            <a:solidFill>
              <a:schemeClr val="bg1">
                <a:lumMod val="85000"/>
              </a:schemeClr>
            </a:solidFill>
            <a:ln>
              <a:solidFill>
                <a:schemeClr val="tx1"/>
              </a:solidFill>
            </a:ln>
            <a:effectLst/>
          </c:spPr>
          <c:invertIfNegative val="0"/>
          <c:dLbls>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2'!$AU$46:$AU$48,'Table 2'!$AU$50,'Table 2'!$AU$51:$AU$53)</c:f>
              <c:strCache>
                <c:ptCount val="7"/>
                <c:pt idx="0">
                  <c:v>Males 0 to 9</c:v>
                </c:pt>
                <c:pt idx="1">
                  <c:v>Males 10 to 14</c:v>
                </c:pt>
                <c:pt idx="2">
                  <c:v>Males 15 to 17</c:v>
                </c:pt>
                <c:pt idx="4">
                  <c:v>Females 0 to 9</c:v>
                </c:pt>
                <c:pt idx="5">
                  <c:v>Females 10 to 14</c:v>
                </c:pt>
                <c:pt idx="6">
                  <c:v>Females 15 to 17</c:v>
                </c:pt>
              </c:strCache>
            </c:strRef>
          </c:cat>
          <c:val>
            <c:numRef>
              <c:f>('Table 2'!$BA$46:$BA$48,'Table 2'!$BA$50,'Table 2'!$BA$51:$BA$53)</c:f>
              <c:numCache>
                <c:formatCode>General</c:formatCode>
                <c:ptCount val="7"/>
                <c:pt idx="0">
                  <c:v>3</c:v>
                </c:pt>
                <c:pt idx="1">
                  <c:v>3</c:v>
                </c:pt>
                <c:pt idx="2">
                  <c:v>6</c:v>
                </c:pt>
                <c:pt idx="4">
                  <c:v>0</c:v>
                </c:pt>
                <c:pt idx="5">
                  <c:v>0</c:v>
                </c:pt>
                <c:pt idx="6">
                  <c:v>0</c:v>
                </c:pt>
              </c:numCache>
            </c:numRef>
          </c:val>
        </c:ser>
        <c:dLbls>
          <c:showLegendKey val="0"/>
          <c:showVal val="0"/>
          <c:showCatName val="0"/>
          <c:showSerName val="0"/>
          <c:showPercent val="0"/>
          <c:showBubbleSize val="0"/>
        </c:dLbls>
        <c:gapWidth val="219"/>
        <c:overlap val="-27"/>
        <c:axId val="167185608"/>
        <c:axId val="167186000"/>
      </c:barChart>
      <c:catAx>
        <c:axId val="167185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7186000"/>
        <c:crosses val="autoZero"/>
        <c:auto val="1"/>
        <c:lblAlgn val="ctr"/>
        <c:lblOffset val="100"/>
        <c:noMultiLvlLbl val="0"/>
      </c:catAx>
      <c:valAx>
        <c:axId val="167186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7185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 7: Number of Aboriginal and Torres Strait Islander child victims of physical assault, by offender type, by the victim's sex and by the victim's age (Northern Territory, 2010-2013)</a:t>
            </a:r>
          </a:p>
        </c:rich>
      </c:tx>
      <c:overlay val="0"/>
      <c:spPr>
        <a:noFill/>
        <a:ln>
          <a:noFill/>
        </a:ln>
        <a:effectLst/>
      </c:spPr>
    </c:title>
    <c:autoTitleDeleted val="0"/>
    <c:plotArea>
      <c:layout/>
      <c:barChart>
        <c:barDir val="col"/>
        <c:grouping val="clustered"/>
        <c:varyColors val="0"/>
        <c:ser>
          <c:idx val="0"/>
          <c:order val="0"/>
          <c:tx>
            <c:strRef>
              <c:f>'Table 3'!$AQ$11</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3'!$AP$12:$AP$14,'Table 3'!$AP$16:$AP$19)</c:f>
              <c:strCache>
                <c:ptCount val="7"/>
                <c:pt idx="0">
                  <c:v>Males 0 to 9</c:v>
                </c:pt>
                <c:pt idx="1">
                  <c:v>Males 10 to 14</c:v>
                </c:pt>
                <c:pt idx="2">
                  <c:v>Males 15 to 17</c:v>
                </c:pt>
                <c:pt idx="4">
                  <c:v>Females 0 to 9</c:v>
                </c:pt>
                <c:pt idx="5">
                  <c:v>Females 10 to 14</c:v>
                </c:pt>
                <c:pt idx="6">
                  <c:v>Females 15 to 17</c:v>
                </c:pt>
              </c:strCache>
            </c:strRef>
          </c:cat>
          <c:val>
            <c:numRef>
              <c:f>('Table 3'!$AQ$12:$AQ$14,'Table 3'!$AQ$16:$AQ$19)</c:f>
              <c:numCache>
                <c:formatCode>General</c:formatCode>
                <c:ptCount val="7"/>
                <c:pt idx="0">
                  <c:v>42</c:v>
                </c:pt>
                <c:pt idx="1">
                  <c:v>18</c:v>
                </c:pt>
                <c:pt idx="2">
                  <c:v>6</c:v>
                </c:pt>
                <c:pt idx="4">
                  <c:v>25</c:v>
                </c:pt>
                <c:pt idx="5">
                  <c:v>21</c:v>
                </c:pt>
                <c:pt idx="6">
                  <c:v>13</c:v>
                </c:pt>
              </c:numCache>
            </c:numRef>
          </c:val>
        </c:ser>
        <c:ser>
          <c:idx val="1"/>
          <c:order val="1"/>
          <c:tx>
            <c:strRef>
              <c:f>'Table 3'!$AR$11</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3'!$AP$12:$AP$14,'Table 3'!$AP$16:$AP$19)</c:f>
              <c:strCache>
                <c:ptCount val="7"/>
                <c:pt idx="0">
                  <c:v>Males 0 to 9</c:v>
                </c:pt>
                <c:pt idx="1">
                  <c:v>Males 10 to 14</c:v>
                </c:pt>
                <c:pt idx="2">
                  <c:v>Males 15 to 17</c:v>
                </c:pt>
                <c:pt idx="4">
                  <c:v>Females 0 to 9</c:v>
                </c:pt>
                <c:pt idx="5">
                  <c:v>Females 10 to 14</c:v>
                </c:pt>
                <c:pt idx="6">
                  <c:v>Females 15 to 17</c:v>
                </c:pt>
              </c:strCache>
            </c:strRef>
          </c:cat>
          <c:val>
            <c:numRef>
              <c:f>('Table 3'!$AR$12:$AR$14,'Table 3'!$AR$16:$AR$19)</c:f>
              <c:numCache>
                <c:formatCode>General</c:formatCode>
                <c:ptCount val="7"/>
                <c:pt idx="0">
                  <c:v>0</c:v>
                </c:pt>
                <c:pt idx="1">
                  <c:v>3</c:v>
                </c:pt>
                <c:pt idx="2">
                  <c:v>4</c:v>
                </c:pt>
                <c:pt idx="4">
                  <c:v>0</c:v>
                </c:pt>
                <c:pt idx="5">
                  <c:v>17</c:v>
                </c:pt>
                <c:pt idx="6">
                  <c:v>157</c:v>
                </c:pt>
              </c:numCache>
            </c:numRef>
          </c:val>
        </c:ser>
        <c:ser>
          <c:idx val="2"/>
          <c:order val="2"/>
          <c:tx>
            <c:strRef>
              <c:f>'Table 3'!$AS$11</c:f>
              <c:strCache>
                <c:ptCount val="1"/>
                <c:pt idx="0">
                  <c:v>Other family member</c:v>
                </c:pt>
              </c:strCache>
            </c:strRef>
          </c:tx>
          <c:spPr>
            <a:solidFill>
              <a:schemeClr val="bg1">
                <a:lumMod val="50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3'!$AP$12:$AP$14,'Table 3'!$AP$16:$AP$19)</c:f>
              <c:strCache>
                <c:ptCount val="7"/>
                <c:pt idx="0">
                  <c:v>Males 0 to 9</c:v>
                </c:pt>
                <c:pt idx="1">
                  <c:v>Males 10 to 14</c:v>
                </c:pt>
                <c:pt idx="2">
                  <c:v>Males 15 to 17</c:v>
                </c:pt>
                <c:pt idx="4">
                  <c:v>Females 0 to 9</c:v>
                </c:pt>
                <c:pt idx="5">
                  <c:v>Females 10 to 14</c:v>
                </c:pt>
                <c:pt idx="6">
                  <c:v>Females 15 to 17</c:v>
                </c:pt>
              </c:strCache>
            </c:strRef>
          </c:cat>
          <c:val>
            <c:numRef>
              <c:f>('Table 3'!$AS$12:$AS$14,'Table 3'!$AS$16:$AS$19)</c:f>
              <c:numCache>
                <c:formatCode>General</c:formatCode>
                <c:ptCount val="7"/>
                <c:pt idx="0">
                  <c:v>44</c:v>
                </c:pt>
                <c:pt idx="1">
                  <c:v>17</c:v>
                </c:pt>
                <c:pt idx="2">
                  <c:v>12</c:v>
                </c:pt>
                <c:pt idx="4">
                  <c:v>31</c:v>
                </c:pt>
                <c:pt idx="5">
                  <c:v>32</c:v>
                </c:pt>
                <c:pt idx="6">
                  <c:v>57</c:v>
                </c:pt>
              </c:numCache>
            </c:numRef>
          </c:val>
        </c:ser>
        <c:ser>
          <c:idx val="3"/>
          <c:order val="3"/>
          <c:tx>
            <c:strRef>
              <c:f>'Table 3'!$AT$11</c:f>
              <c:strCache>
                <c:ptCount val="1"/>
                <c:pt idx="0">
                  <c:v>Non-family member</c:v>
                </c:pt>
              </c:strCache>
            </c:strRef>
          </c:tx>
          <c:spPr>
            <a:pattFill prst="ltDnDiag">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3'!$AP$12:$AP$14,'Table 3'!$AP$16:$AP$19)</c:f>
              <c:strCache>
                <c:ptCount val="7"/>
                <c:pt idx="0">
                  <c:v>Males 0 to 9</c:v>
                </c:pt>
                <c:pt idx="1">
                  <c:v>Males 10 to 14</c:v>
                </c:pt>
                <c:pt idx="2">
                  <c:v>Males 15 to 17</c:v>
                </c:pt>
                <c:pt idx="4">
                  <c:v>Females 0 to 9</c:v>
                </c:pt>
                <c:pt idx="5">
                  <c:v>Females 10 to 14</c:v>
                </c:pt>
                <c:pt idx="6">
                  <c:v>Females 15 to 17</c:v>
                </c:pt>
              </c:strCache>
            </c:strRef>
          </c:cat>
          <c:val>
            <c:numRef>
              <c:f>('Table 3'!$AT$12:$AT$14,'Table 3'!$AT$16:$AT$19)</c:f>
              <c:numCache>
                <c:formatCode>General</c:formatCode>
                <c:ptCount val="7"/>
                <c:pt idx="0">
                  <c:v>3</c:v>
                </c:pt>
                <c:pt idx="1">
                  <c:v>13</c:v>
                </c:pt>
                <c:pt idx="2">
                  <c:v>14</c:v>
                </c:pt>
                <c:pt idx="4">
                  <c:v>3</c:v>
                </c:pt>
                <c:pt idx="5">
                  <c:v>22</c:v>
                </c:pt>
                <c:pt idx="6">
                  <c:v>50</c:v>
                </c:pt>
              </c:numCache>
            </c:numRef>
          </c:val>
        </c:ser>
        <c:ser>
          <c:idx val="4"/>
          <c:order val="4"/>
          <c:tx>
            <c:strRef>
              <c:f>'Table 3'!$AU$11</c:f>
              <c:strCache>
                <c:ptCount val="1"/>
                <c:pt idx="0">
                  <c:v>Stranger</c:v>
                </c:pt>
              </c:strCache>
            </c:strRef>
          </c:tx>
          <c:spPr>
            <a:solidFill>
              <a:schemeClr val="tx1"/>
            </a:solid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3'!$AP$12:$AP$14,'Table 3'!$AP$16:$AP$19)</c:f>
              <c:strCache>
                <c:ptCount val="7"/>
                <c:pt idx="0">
                  <c:v>Males 0 to 9</c:v>
                </c:pt>
                <c:pt idx="1">
                  <c:v>Males 10 to 14</c:v>
                </c:pt>
                <c:pt idx="2">
                  <c:v>Males 15 to 17</c:v>
                </c:pt>
                <c:pt idx="4">
                  <c:v>Females 0 to 9</c:v>
                </c:pt>
                <c:pt idx="5">
                  <c:v>Females 10 to 14</c:v>
                </c:pt>
                <c:pt idx="6">
                  <c:v>Females 15 to 17</c:v>
                </c:pt>
              </c:strCache>
            </c:strRef>
          </c:cat>
          <c:val>
            <c:numRef>
              <c:f>('Table 3'!$AU$12:$AU$14,'Table 3'!$AU$16:$AU$19)</c:f>
              <c:numCache>
                <c:formatCode>General</c:formatCode>
                <c:ptCount val="7"/>
                <c:pt idx="0">
                  <c:v>0</c:v>
                </c:pt>
                <c:pt idx="1">
                  <c:v>0</c:v>
                </c:pt>
                <c:pt idx="2">
                  <c:v>6</c:v>
                </c:pt>
                <c:pt idx="4">
                  <c:v>0</c:v>
                </c:pt>
                <c:pt idx="5">
                  <c:v>0</c:v>
                </c:pt>
                <c:pt idx="6">
                  <c:v>9</c:v>
                </c:pt>
              </c:numCache>
            </c:numRef>
          </c:val>
        </c:ser>
        <c:dLbls>
          <c:showLegendKey val="0"/>
          <c:showVal val="0"/>
          <c:showCatName val="0"/>
          <c:showSerName val="0"/>
          <c:showPercent val="0"/>
          <c:showBubbleSize val="0"/>
        </c:dLbls>
        <c:gapWidth val="219"/>
        <c:overlap val="-27"/>
        <c:axId val="166758512"/>
        <c:axId val="166758904"/>
      </c:barChart>
      <c:catAx>
        <c:axId val="16675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758904"/>
        <c:crosses val="autoZero"/>
        <c:auto val="1"/>
        <c:lblAlgn val="ctr"/>
        <c:lblOffset val="100"/>
        <c:noMultiLvlLbl val="0"/>
      </c:catAx>
      <c:valAx>
        <c:axId val="166758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758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 8: Number of non-Indigenous child victims of physical assault, by offender type, by the victim's sex and by the victim's age (Northern Territory, 2010-2013)</a:t>
            </a:r>
          </a:p>
        </c:rich>
      </c:tx>
      <c:overlay val="0"/>
      <c:spPr>
        <a:noFill/>
        <a:ln>
          <a:noFill/>
        </a:ln>
        <a:effectLst/>
      </c:spPr>
    </c:title>
    <c:autoTitleDeleted val="0"/>
    <c:plotArea>
      <c:layout/>
      <c:barChart>
        <c:barDir val="col"/>
        <c:grouping val="clustered"/>
        <c:varyColors val="0"/>
        <c:ser>
          <c:idx val="0"/>
          <c:order val="0"/>
          <c:tx>
            <c:strRef>
              <c:f>'Table 3'!$AQ$28</c:f>
              <c:strCache>
                <c:ptCount val="1"/>
                <c:pt idx="0">
                  <c:v>Parent</c:v>
                </c:pt>
              </c:strCache>
            </c:strRef>
          </c:tx>
          <c:spPr>
            <a:pattFill prst="pct20">
              <a:fgClr>
                <a:schemeClr val="tx1"/>
              </a:fgClr>
              <a:bgClr>
                <a:schemeClr val="bg1"/>
              </a:bgClr>
            </a:pattFill>
            <a:ln>
              <a:solidFill>
                <a:schemeClr val="tx1"/>
              </a:solidFill>
            </a:ln>
            <a:effectLst/>
          </c:spPr>
          <c:invertIfNegative val="0"/>
          <c:dLbls>
            <c:dLbl>
              <c:idx val="3"/>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3'!$AP$29:$AP$31,'Table 3'!$AP$34:$AP$36)</c:f>
              <c:strCache>
                <c:ptCount val="6"/>
                <c:pt idx="0">
                  <c:v>Males 0 to 9</c:v>
                </c:pt>
                <c:pt idx="1">
                  <c:v>Males 10 to 14</c:v>
                </c:pt>
                <c:pt idx="2">
                  <c:v>Males 15 to 17</c:v>
                </c:pt>
                <c:pt idx="3">
                  <c:v>Females 0 to 9</c:v>
                </c:pt>
                <c:pt idx="4">
                  <c:v>Females 10 to 14</c:v>
                </c:pt>
                <c:pt idx="5">
                  <c:v>Females 15 to 17</c:v>
                </c:pt>
              </c:strCache>
            </c:strRef>
          </c:cat>
          <c:val>
            <c:numRef>
              <c:f>('Table 3'!$AQ$29:$AQ$31,'Table 3'!$AQ$34:$AQ$36)</c:f>
              <c:numCache>
                <c:formatCode>General</c:formatCode>
                <c:ptCount val="6"/>
                <c:pt idx="0">
                  <c:v>3</c:v>
                </c:pt>
                <c:pt idx="1">
                  <c:v>6</c:v>
                </c:pt>
                <c:pt idx="2">
                  <c:v>6</c:v>
                </c:pt>
                <c:pt idx="3">
                  <c:v>0</c:v>
                </c:pt>
                <c:pt idx="4">
                  <c:v>3</c:v>
                </c:pt>
                <c:pt idx="5">
                  <c:v>12</c:v>
                </c:pt>
              </c:numCache>
            </c:numRef>
          </c:val>
        </c:ser>
        <c:ser>
          <c:idx val="1"/>
          <c:order val="1"/>
          <c:tx>
            <c:strRef>
              <c:f>'Table 3'!$AR$28</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3'!$AP$29:$AP$31,'Table 3'!$AP$34:$AP$36)</c:f>
              <c:strCache>
                <c:ptCount val="6"/>
                <c:pt idx="0">
                  <c:v>Males 0 to 9</c:v>
                </c:pt>
                <c:pt idx="1">
                  <c:v>Males 10 to 14</c:v>
                </c:pt>
                <c:pt idx="2">
                  <c:v>Males 15 to 17</c:v>
                </c:pt>
                <c:pt idx="3">
                  <c:v>Females 0 to 9</c:v>
                </c:pt>
                <c:pt idx="4">
                  <c:v>Females 10 to 14</c:v>
                </c:pt>
                <c:pt idx="5">
                  <c:v>Females 15 to 17</c:v>
                </c:pt>
              </c:strCache>
            </c:strRef>
          </c:cat>
          <c:val>
            <c:numRef>
              <c:f>('Table 3'!$AR$29:$AR$31,'Table 3'!$AR$34:$AR$36)</c:f>
              <c:numCache>
                <c:formatCode>General</c:formatCode>
                <c:ptCount val="6"/>
                <c:pt idx="0">
                  <c:v>0</c:v>
                </c:pt>
                <c:pt idx="1">
                  <c:v>0</c:v>
                </c:pt>
                <c:pt idx="2">
                  <c:v>0</c:v>
                </c:pt>
                <c:pt idx="3">
                  <c:v>0</c:v>
                </c:pt>
                <c:pt idx="4">
                  <c:v>0</c:v>
                </c:pt>
                <c:pt idx="5">
                  <c:v>15</c:v>
                </c:pt>
              </c:numCache>
            </c:numRef>
          </c:val>
        </c:ser>
        <c:ser>
          <c:idx val="2"/>
          <c:order val="2"/>
          <c:tx>
            <c:strRef>
              <c:f>'Table 3'!$AS$28</c:f>
              <c:strCache>
                <c:ptCount val="1"/>
                <c:pt idx="0">
                  <c:v>Other family member</c:v>
                </c:pt>
              </c:strCache>
            </c:strRef>
          </c:tx>
          <c:spPr>
            <a:solidFill>
              <a:schemeClr val="bg1">
                <a:lumMod val="50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3'!$AP$29:$AP$31,'Table 3'!$AP$34:$AP$36)</c:f>
              <c:strCache>
                <c:ptCount val="6"/>
                <c:pt idx="0">
                  <c:v>Males 0 to 9</c:v>
                </c:pt>
                <c:pt idx="1">
                  <c:v>Males 10 to 14</c:v>
                </c:pt>
                <c:pt idx="2">
                  <c:v>Males 15 to 17</c:v>
                </c:pt>
                <c:pt idx="3">
                  <c:v>Females 0 to 9</c:v>
                </c:pt>
                <c:pt idx="4">
                  <c:v>Females 10 to 14</c:v>
                </c:pt>
                <c:pt idx="5">
                  <c:v>Females 15 to 17</c:v>
                </c:pt>
              </c:strCache>
            </c:strRef>
          </c:cat>
          <c:val>
            <c:numRef>
              <c:f>('Table 3'!$AS$29:$AS$31,'Table 3'!$AS$34:$AS$36)</c:f>
              <c:numCache>
                <c:formatCode>General</c:formatCode>
                <c:ptCount val="6"/>
                <c:pt idx="0">
                  <c:v>10</c:v>
                </c:pt>
                <c:pt idx="1">
                  <c:v>7</c:v>
                </c:pt>
                <c:pt idx="2">
                  <c:v>9</c:v>
                </c:pt>
                <c:pt idx="3">
                  <c:v>3</c:v>
                </c:pt>
                <c:pt idx="4">
                  <c:v>14</c:v>
                </c:pt>
                <c:pt idx="5">
                  <c:v>3</c:v>
                </c:pt>
              </c:numCache>
            </c:numRef>
          </c:val>
        </c:ser>
        <c:ser>
          <c:idx val="3"/>
          <c:order val="3"/>
          <c:tx>
            <c:strRef>
              <c:f>'Table 3'!$AT$28</c:f>
              <c:strCache>
                <c:ptCount val="1"/>
                <c:pt idx="0">
                  <c:v>Non-family member</c:v>
                </c:pt>
              </c:strCache>
            </c:strRef>
          </c:tx>
          <c:spPr>
            <a:pattFill prst="ltDnDiag">
              <a:fgClr>
                <a:schemeClr val="tx1"/>
              </a:fgClr>
              <a:bgClr>
                <a:schemeClr val="bg1"/>
              </a:bgClr>
            </a:pattFill>
            <a:ln>
              <a:solidFill>
                <a:schemeClr val="tx1"/>
              </a:solidFill>
            </a:ln>
            <a:effectLst/>
          </c:spPr>
          <c:invertIfNegative val="0"/>
          <c:dLbls>
            <c:dLbl>
              <c:idx val="3"/>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3'!$AP$29:$AP$31,'Table 3'!$AP$34:$AP$36)</c:f>
              <c:strCache>
                <c:ptCount val="6"/>
                <c:pt idx="0">
                  <c:v>Males 0 to 9</c:v>
                </c:pt>
                <c:pt idx="1">
                  <c:v>Males 10 to 14</c:v>
                </c:pt>
                <c:pt idx="2">
                  <c:v>Males 15 to 17</c:v>
                </c:pt>
                <c:pt idx="3">
                  <c:v>Females 0 to 9</c:v>
                </c:pt>
                <c:pt idx="4">
                  <c:v>Females 10 to 14</c:v>
                </c:pt>
                <c:pt idx="5">
                  <c:v>Females 15 to 17</c:v>
                </c:pt>
              </c:strCache>
            </c:strRef>
          </c:cat>
          <c:val>
            <c:numRef>
              <c:f>('Table 3'!$AT$29:$AT$31,'Table 3'!$AT$34:$AT$36)</c:f>
              <c:numCache>
                <c:formatCode>General</c:formatCode>
                <c:ptCount val="6"/>
                <c:pt idx="0">
                  <c:v>3</c:v>
                </c:pt>
                <c:pt idx="1">
                  <c:v>7</c:v>
                </c:pt>
                <c:pt idx="2">
                  <c:v>9</c:v>
                </c:pt>
                <c:pt idx="3">
                  <c:v>0</c:v>
                </c:pt>
                <c:pt idx="4">
                  <c:v>3</c:v>
                </c:pt>
                <c:pt idx="5">
                  <c:v>13</c:v>
                </c:pt>
              </c:numCache>
            </c:numRef>
          </c:val>
        </c:ser>
        <c:ser>
          <c:idx val="4"/>
          <c:order val="4"/>
          <c:tx>
            <c:strRef>
              <c:f>'Table 3'!$AU$28</c:f>
              <c:strCache>
                <c:ptCount val="1"/>
                <c:pt idx="0">
                  <c:v>Stranger</c:v>
                </c:pt>
              </c:strCache>
            </c:strRef>
          </c:tx>
          <c:spPr>
            <a:solidFill>
              <a:schemeClr val="tx1"/>
            </a:solidFill>
            <a:ln>
              <a:solidFill>
                <a:schemeClr val="tx1"/>
              </a:solidFill>
            </a:ln>
            <a:effectLst/>
          </c:spPr>
          <c:invertIfNegative val="0"/>
          <c:dLbls>
            <c:dLbl>
              <c:idx val="1"/>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3'!$AP$29:$AP$31,'Table 3'!$AP$34:$AP$36)</c:f>
              <c:strCache>
                <c:ptCount val="6"/>
                <c:pt idx="0">
                  <c:v>Males 0 to 9</c:v>
                </c:pt>
                <c:pt idx="1">
                  <c:v>Males 10 to 14</c:v>
                </c:pt>
                <c:pt idx="2">
                  <c:v>Males 15 to 17</c:v>
                </c:pt>
                <c:pt idx="3">
                  <c:v>Females 0 to 9</c:v>
                </c:pt>
                <c:pt idx="4">
                  <c:v>Females 10 to 14</c:v>
                </c:pt>
                <c:pt idx="5">
                  <c:v>Females 15 to 17</c:v>
                </c:pt>
              </c:strCache>
            </c:strRef>
          </c:cat>
          <c:val>
            <c:numRef>
              <c:f>('Table 3'!$AU$29:$AU$31,'Table 3'!$AU$34:$AU$36)</c:f>
              <c:numCache>
                <c:formatCode>General</c:formatCode>
                <c:ptCount val="6"/>
                <c:pt idx="0">
                  <c:v>3</c:v>
                </c:pt>
                <c:pt idx="1">
                  <c:v>0</c:v>
                </c:pt>
                <c:pt idx="2">
                  <c:v>3</c:v>
                </c:pt>
                <c:pt idx="3">
                  <c:v>3</c:v>
                </c:pt>
                <c:pt idx="4">
                  <c:v>0</c:v>
                </c:pt>
                <c:pt idx="5">
                  <c:v>9</c:v>
                </c:pt>
              </c:numCache>
            </c:numRef>
          </c:val>
        </c:ser>
        <c:dLbls>
          <c:showLegendKey val="0"/>
          <c:showVal val="0"/>
          <c:showCatName val="0"/>
          <c:showSerName val="0"/>
          <c:showPercent val="0"/>
          <c:showBubbleSize val="0"/>
        </c:dLbls>
        <c:gapWidth val="219"/>
        <c:overlap val="-27"/>
        <c:axId val="166759296"/>
        <c:axId val="166759688"/>
      </c:barChart>
      <c:catAx>
        <c:axId val="16675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759688"/>
        <c:crosses val="autoZero"/>
        <c:auto val="1"/>
        <c:lblAlgn val="ctr"/>
        <c:lblOffset val="100"/>
        <c:noMultiLvlLbl val="0"/>
      </c:catAx>
      <c:valAx>
        <c:axId val="166759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75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smtClean="0"/>
              <a:t>Figure 9: Number of child victims of physical assault where Aboriginal and Torres Strait Islander status is unknown, by offender type, by the victim's sex and by the victim's age (Northern Territory, 2010-2013)</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3'!$AQ$45</c:f>
              <c:strCache>
                <c:ptCount val="1"/>
                <c:pt idx="0">
                  <c:v>Parent</c:v>
                </c:pt>
              </c:strCache>
            </c:strRef>
          </c:tx>
          <c:spPr>
            <a:pattFill prst="pct20">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3'!$AP$46:$AP$48,'Table 3'!$AP$49:$AP$52)</c:f>
              <c:strCache>
                <c:ptCount val="7"/>
                <c:pt idx="0">
                  <c:v>Males 0 to 9</c:v>
                </c:pt>
                <c:pt idx="1">
                  <c:v>Males 10 to 14</c:v>
                </c:pt>
                <c:pt idx="2">
                  <c:v>Males 15 to 17</c:v>
                </c:pt>
                <c:pt idx="4">
                  <c:v>Females 0 to 9</c:v>
                </c:pt>
                <c:pt idx="5">
                  <c:v>Females 10 to 14</c:v>
                </c:pt>
                <c:pt idx="6">
                  <c:v>Females 15 to 17</c:v>
                </c:pt>
              </c:strCache>
            </c:strRef>
          </c:cat>
          <c:val>
            <c:numRef>
              <c:f>('Table 3'!$AQ$46:$AQ$48,'Table 3'!$AQ$49:$AQ$52)</c:f>
              <c:numCache>
                <c:formatCode>General</c:formatCode>
                <c:ptCount val="7"/>
                <c:pt idx="0">
                  <c:v>0</c:v>
                </c:pt>
                <c:pt idx="1">
                  <c:v>3</c:v>
                </c:pt>
                <c:pt idx="2">
                  <c:v>0</c:v>
                </c:pt>
                <c:pt idx="4">
                  <c:v>6</c:v>
                </c:pt>
                <c:pt idx="5">
                  <c:v>0</c:v>
                </c:pt>
                <c:pt idx="6">
                  <c:v>0</c:v>
                </c:pt>
              </c:numCache>
            </c:numRef>
          </c:val>
        </c:ser>
        <c:ser>
          <c:idx val="1"/>
          <c:order val="1"/>
          <c:tx>
            <c:strRef>
              <c:f>'Table 3'!$AR$45</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3'!$AP$46:$AP$48,'Table 3'!$AP$49:$AP$52)</c:f>
              <c:strCache>
                <c:ptCount val="7"/>
                <c:pt idx="0">
                  <c:v>Males 0 to 9</c:v>
                </c:pt>
                <c:pt idx="1">
                  <c:v>Males 10 to 14</c:v>
                </c:pt>
                <c:pt idx="2">
                  <c:v>Males 15 to 17</c:v>
                </c:pt>
                <c:pt idx="4">
                  <c:v>Females 0 to 9</c:v>
                </c:pt>
                <c:pt idx="5">
                  <c:v>Females 10 to 14</c:v>
                </c:pt>
                <c:pt idx="6">
                  <c:v>Females 15 to 17</c:v>
                </c:pt>
              </c:strCache>
            </c:strRef>
          </c:cat>
          <c:val>
            <c:numRef>
              <c:f>('Table 3'!$AR$46:$AR$48,'Table 3'!$AR$49:$AR$52)</c:f>
              <c:numCache>
                <c:formatCode>General</c:formatCode>
                <c:ptCount val="7"/>
                <c:pt idx="0">
                  <c:v>0</c:v>
                </c:pt>
                <c:pt idx="1">
                  <c:v>0</c:v>
                </c:pt>
                <c:pt idx="2">
                  <c:v>0</c:v>
                </c:pt>
                <c:pt idx="4">
                  <c:v>0</c:v>
                </c:pt>
                <c:pt idx="5">
                  <c:v>0</c:v>
                </c:pt>
                <c:pt idx="6">
                  <c:v>8</c:v>
                </c:pt>
              </c:numCache>
            </c:numRef>
          </c:val>
        </c:ser>
        <c:ser>
          <c:idx val="2"/>
          <c:order val="2"/>
          <c:tx>
            <c:strRef>
              <c:f>'Table 3'!$AS$45</c:f>
              <c:strCache>
                <c:ptCount val="1"/>
                <c:pt idx="0">
                  <c:v>Other family member</c:v>
                </c:pt>
              </c:strCache>
            </c:strRef>
          </c:tx>
          <c:spPr>
            <a:solidFill>
              <a:schemeClr val="bg1">
                <a:lumMod val="50000"/>
              </a:schemeClr>
            </a:solidFill>
            <a:ln>
              <a:solidFill>
                <a:schemeClr val="tx1"/>
              </a:solidFill>
            </a:ln>
            <a:effectLst/>
          </c:spPr>
          <c:invertIfNegative val="0"/>
          <c:dLbls>
            <c:dLbl>
              <c:idx val="1"/>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3'!$AP$46:$AP$48,'Table 3'!$AP$49:$AP$52)</c:f>
              <c:strCache>
                <c:ptCount val="7"/>
                <c:pt idx="0">
                  <c:v>Males 0 to 9</c:v>
                </c:pt>
                <c:pt idx="1">
                  <c:v>Males 10 to 14</c:v>
                </c:pt>
                <c:pt idx="2">
                  <c:v>Males 15 to 17</c:v>
                </c:pt>
                <c:pt idx="4">
                  <c:v>Females 0 to 9</c:v>
                </c:pt>
                <c:pt idx="5">
                  <c:v>Females 10 to 14</c:v>
                </c:pt>
                <c:pt idx="6">
                  <c:v>Females 15 to 17</c:v>
                </c:pt>
              </c:strCache>
            </c:strRef>
          </c:cat>
          <c:val>
            <c:numRef>
              <c:f>('Table 3'!$AS$46:$AS$48,'Table 3'!$AS$49:$AS$52)</c:f>
              <c:numCache>
                <c:formatCode>General</c:formatCode>
                <c:ptCount val="7"/>
                <c:pt idx="0">
                  <c:v>3</c:v>
                </c:pt>
                <c:pt idx="1">
                  <c:v>0</c:v>
                </c:pt>
                <c:pt idx="2">
                  <c:v>3</c:v>
                </c:pt>
                <c:pt idx="4">
                  <c:v>0</c:v>
                </c:pt>
                <c:pt idx="5">
                  <c:v>0</c:v>
                </c:pt>
                <c:pt idx="6">
                  <c:v>3</c:v>
                </c:pt>
              </c:numCache>
            </c:numRef>
          </c:val>
        </c:ser>
        <c:ser>
          <c:idx val="3"/>
          <c:order val="3"/>
          <c:tx>
            <c:strRef>
              <c:f>'Table 3'!$AT$45</c:f>
              <c:strCache>
                <c:ptCount val="1"/>
                <c:pt idx="0">
                  <c:v>Non-family member</c:v>
                </c:pt>
              </c:strCache>
            </c:strRef>
          </c:tx>
          <c:spPr>
            <a:pattFill prst="ltDnDiag">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3'!$AP$46:$AP$48,'Table 3'!$AP$49:$AP$52)</c:f>
              <c:strCache>
                <c:ptCount val="7"/>
                <c:pt idx="0">
                  <c:v>Males 0 to 9</c:v>
                </c:pt>
                <c:pt idx="1">
                  <c:v>Males 10 to 14</c:v>
                </c:pt>
                <c:pt idx="2">
                  <c:v>Males 15 to 17</c:v>
                </c:pt>
                <c:pt idx="4">
                  <c:v>Females 0 to 9</c:v>
                </c:pt>
                <c:pt idx="5">
                  <c:v>Females 10 to 14</c:v>
                </c:pt>
                <c:pt idx="6">
                  <c:v>Females 15 to 17</c:v>
                </c:pt>
              </c:strCache>
            </c:strRef>
          </c:cat>
          <c:val>
            <c:numRef>
              <c:f>('Table 3'!$AT$46:$AT$48,'Table 3'!$AT$49:$AT$52)</c:f>
              <c:numCache>
                <c:formatCode>General</c:formatCode>
                <c:ptCount val="7"/>
                <c:pt idx="0">
                  <c:v>0</c:v>
                </c:pt>
                <c:pt idx="1">
                  <c:v>0</c:v>
                </c:pt>
                <c:pt idx="2">
                  <c:v>0</c:v>
                </c:pt>
                <c:pt idx="4">
                  <c:v>0</c:v>
                </c:pt>
                <c:pt idx="5">
                  <c:v>0</c:v>
                </c:pt>
                <c:pt idx="6">
                  <c:v>6</c:v>
                </c:pt>
              </c:numCache>
            </c:numRef>
          </c:val>
        </c:ser>
        <c:ser>
          <c:idx val="4"/>
          <c:order val="4"/>
          <c:tx>
            <c:strRef>
              <c:f>'Table 3'!$AU$45</c:f>
              <c:strCache>
                <c:ptCount val="1"/>
                <c:pt idx="0">
                  <c:v>Stranger</c:v>
                </c:pt>
              </c:strCache>
            </c:strRef>
          </c:tx>
          <c:spPr>
            <a:solidFill>
              <a:schemeClr val="tx1"/>
            </a:solid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3'!$AP$46:$AP$48,'Table 3'!$AP$49:$AP$52)</c:f>
              <c:strCache>
                <c:ptCount val="7"/>
                <c:pt idx="0">
                  <c:v>Males 0 to 9</c:v>
                </c:pt>
                <c:pt idx="1">
                  <c:v>Males 10 to 14</c:v>
                </c:pt>
                <c:pt idx="2">
                  <c:v>Males 15 to 17</c:v>
                </c:pt>
                <c:pt idx="4">
                  <c:v>Females 0 to 9</c:v>
                </c:pt>
                <c:pt idx="5">
                  <c:v>Females 10 to 14</c:v>
                </c:pt>
                <c:pt idx="6">
                  <c:v>Females 15 to 17</c:v>
                </c:pt>
              </c:strCache>
            </c:strRef>
          </c:cat>
          <c:val>
            <c:numRef>
              <c:f>('Table 3'!$AU$46:$AU$48,'Table 3'!$AU$49:$AU$52)</c:f>
              <c:numCache>
                <c:formatCode>General</c:formatCode>
                <c:ptCount val="7"/>
                <c:pt idx="0">
                  <c:v>0</c:v>
                </c:pt>
                <c:pt idx="1">
                  <c:v>0</c:v>
                </c:pt>
                <c:pt idx="2">
                  <c:v>0</c:v>
                </c:pt>
                <c:pt idx="4">
                  <c:v>0</c:v>
                </c:pt>
                <c:pt idx="5">
                  <c:v>0</c:v>
                </c:pt>
                <c:pt idx="6">
                  <c:v>0</c:v>
                </c:pt>
              </c:numCache>
            </c:numRef>
          </c:val>
        </c:ser>
        <c:dLbls>
          <c:showLegendKey val="0"/>
          <c:showVal val="0"/>
          <c:showCatName val="0"/>
          <c:showSerName val="0"/>
          <c:showPercent val="0"/>
          <c:showBubbleSize val="0"/>
        </c:dLbls>
        <c:gapWidth val="219"/>
        <c:overlap val="-27"/>
        <c:axId val="166760864"/>
        <c:axId val="166761256"/>
      </c:barChart>
      <c:catAx>
        <c:axId val="16676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761256"/>
        <c:crosses val="autoZero"/>
        <c:auto val="1"/>
        <c:lblAlgn val="ctr"/>
        <c:lblOffset val="100"/>
        <c:noMultiLvlLbl val="0"/>
      </c:catAx>
      <c:valAx>
        <c:axId val="166761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76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 10: Number of child victims of physical assault, by offender type, by the victim's sex</a:t>
            </a:r>
            <a:r>
              <a:rPr lang="en-AU" baseline="0">
                <a:solidFill>
                  <a:sysClr val="windowText" lastClr="000000"/>
                </a:solidFill>
              </a:rPr>
              <a:t> and by the victim's age (Australian Capital Territory, 2010-2013)</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4'!$AO$10</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4'!$AN$11:$AN$17</c:f>
              <c:strCache>
                <c:ptCount val="7"/>
                <c:pt idx="0">
                  <c:v>Males 0 to 9</c:v>
                </c:pt>
                <c:pt idx="1">
                  <c:v>Males 10 to 14</c:v>
                </c:pt>
                <c:pt idx="2">
                  <c:v>Males 15 to 17</c:v>
                </c:pt>
                <c:pt idx="4">
                  <c:v>Females 0 to 9</c:v>
                </c:pt>
                <c:pt idx="5">
                  <c:v>Females 10 to 14</c:v>
                </c:pt>
                <c:pt idx="6">
                  <c:v>Females 15 to 17</c:v>
                </c:pt>
              </c:strCache>
            </c:strRef>
          </c:cat>
          <c:val>
            <c:numRef>
              <c:f>'Table 4'!$AO$11:$AO$17</c:f>
              <c:numCache>
                <c:formatCode>General</c:formatCode>
                <c:ptCount val="7"/>
                <c:pt idx="0">
                  <c:v>40</c:v>
                </c:pt>
                <c:pt idx="1">
                  <c:v>53</c:v>
                </c:pt>
                <c:pt idx="2">
                  <c:v>16</c:v>
                </c:pt>
                <c:pt idx="4">
                  <c:v>36</c:v>
                </c:pt>
                <c:pt idx="5">
                  <c:v>47</c:v>
                </c:pt>
                <c:pt idx="6">
                  <c:v>42</c:v>
                </c:pt>
              </c:numCache>
            </c:numRef>
          </c:val>
        </c:ser>
        <c:ser>
          <c:idx val="1"/>
          <c:order val="1"/>
          <c:tx>
            <c:strRef>
              <c:f>'Table 4'!$AP$10</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4'!$AN$11:$AN$17</c:f>
              <c:strCache>
                <c:ptCount val="7"/>
                <c:pt idx="0">
                  <c:v>Males 0 to 9</c:v>
                </c:pt>
                <c:pt idx="1">
                  <c:v>Males 10 to 14</c:v>
                </c:pt>
                <c:pt idx="2">
                  <c:v>Males 15 to 17</c:v>
                </c:pt>
                <c:pt idx="4">
                  <c:v>Females 0 to 9</c:v>
                </c:pt>
                <c:pt idx="5">
                  <c:v>Females 10 to 14</c:v>
                </c:pt>
                <c:pt idx="6">
                  <c:v>Females 15 to 17</c:v>
                </c:pt>
              </c:strCache>
            </c:strRef>
          </c:cat>
          <c:val>
            <c:numRef>
              <c:f>'Table 4'!$AP$11:$AP$17</c:f>
              <c:numCache>
                <c:formatCode>General</c:formatCode>
                <c:ptCount val="7"/>
                <c:pt idx="0">
                  <c:v>0</c:v>
                </c:pt>
                <c:pt idx="1">
                  <c:v>0</c:v>
                </c:pt>
                <c:pt idx="2">
                  <c:v>3</c:v>
                </c:pt>
                <c:pt idx="4">
                  <c:v>0</c:v>
                </c:pt>
                <c:pt idx="5">
                  <c:v>0</c:v>
                </c:pt>
                <c:pt idx="6">
                  <c:v>20</c:v>
                </c:pt>
              </c:numCache>
            </c:numRef>
          </c:val>
        </c:ser>
        <c:ser>
          <c:idx val="2"/>
          <c:order val="2"/>
          <c:tx>
            <c:strRef>
              <c:f>'Table 4'!$AQ$10</c:f>
              <c:strCache>
                <c:ptCount val="1"/>
                <c:pt idx="0">
                  <c:v>Other family member</c:v>
                </c:pt>
              </c:strCache>
            </c:strRef>
          </c:tx>
          <c:spPr>
            <a:solidFill>
              <a:schemeClr val="bg1">
                <a:lumMod val="50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4'!$AN$11:$AN$17</c:f>
              <c:strCache>
                <c:ptCount val="7"/>
                <c:pt idx="0">
                  <c:v>Males 0 to 9</c:v>
                </c:pt>
                <c:pt idx="1">
                  <c:v>Males 10 to 14</c:v>
                </c:pt>
                <c:pt idx="2">
                  <c:v>Males 15 to 17</c:v>
                </c:pt>
                <c:pt idx="4">
                  <c:v>Females 0 to 9</c:v>
                </c:pt>
                <c:pt idx="5">
                  <c:v>Females 10 to 14</c:v>
                </c:pt>
                <c:pt idx="6">
                  <c:v>Females 15 to 17</c:v>
                </c:pt>
              </c:strCache>
            </c:strRef>
          </c:cat>
          <c:val>
            <c:numRef>
              <c:f>'Table 4'!$AQ$11:$AQ$17</c:f>
              <c:numCache>
                <c:formatCode>General</c:formatCode>
                <c:ptCount val="7"/>
                <c:pt idx="0">
                  <c:v>3</c:v>
                </c:pt>
                <c:pt idx="1">
                  <c:v>11</c:v>
                </c:pt>
                <c:pt idx="2">
                  <c:v>12</c:v>
                </c:pt>
                <c:pt idx="4">
                  <c:v>6</c:v>
                </c:pt>
                <c:pt idx="5">
                  <c:v>18</c:v>
                </c:pt>
                <c:pt idx="6">
                  <c:v>17</c:v>
                </c:pt>
              </c:numCache>
            </c:numRef>
          </c:val>
        </c:ser>
        <c:ser>
          <c:idx val="3"/>
          <c:order val="3"/>
          <c:tx>
            <c:strRef>
              <c:f>'Table 4'!$AR$10</c:f>
              <c:strCache>
                <c:ptCount val="1"/>
                <c:pt idx="0">
                  <c:v>Non-family member</c:v>
                </c:pt>
              </c:strCache>
            </c:strRef>
          </c:tx>
          <c:spPr>
            <a:pattFill prst="ltDnDiag">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4'!$AN$11:$AN$17</c:f>
              <c:strCache>
                <c:ptCount val="7"/>
                <c:pt idx="0">
                  <c:v>Males 0 to 9</c:v>
                </c:pt>
                <c:pt idx="1">
                  <c:v>Males 10 to 14</c:v>
                </c:pt>
                <c:pt idx="2">
                  <c:v>Males 15 to 17</c:v>
                </c:pt>
                <c:pt idx="4">
                  <c:v>Females 0 to 9</c:v>
                </c:pt>
                <c:pt idx="5">
                  <c:v>Females 10 to 14</c:v>
                </c:pt>
                <c:pt idx="6">
                  <c:v>Females 15 to 17</c:v>
                </c:pt>
              </c:strCache>
            </c:strRef>
          </c:cat>
          <c:val>
            <c:numRef>
              <c:f>'Table 4'!$AR$11:$AR$17</c:f>
              <c:numCache>
                <c:formatCode>General</c:formatCode>
                <c:ptCount val="7"/>
                <c:pt idx="0">
                  <c:v>9</c:v>
                </c:pt>
                <c:pt idx="1">
                  <c:v>13</c:v>
                </c:pt>
                <c:pt idx="2">
                  <c:v>22</c:v>
                </c:pt>
                <c:pt idx="4">
                  <c:v>6</c:v>
                </c:pt>
                <c:pt idx="5">
                  <c:v>15</c:v>
                </c:pt>
                <c:pt idx="6">
                  <c:v>41</c:v>
                </c:pt>
              </c:numCache>
            </c:numRef>
          </c:val>
        </c:ser>
        <c:ser>
          <c:idx val="4"/>
          <c:order val="4"/>
          <c:tx>
            <c:strRef>
              <c:f>'Table 4'!$AS$10</c:f>
              <c:strCache>
                <c:ptCount val="1"/>
                <c:pt idx="0">
                  <c:v>Stranger</c:v>
                </c:pt>
              </c:strCache>
            </c:strRef>
          </c:tx>
          <c:spPr>
            <a:solidFill>
              <a:schemeClr val="tx1"/>
            </a:solid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4'!$AN$11:$AN$17</c:f>
              <c:strCache>
                <c:ptCount val="7"/>
                <c:pt idx="0">
                  <c:v>Males 0 to 9</c:v>
                </c:pt>
                <c:pt idx="1">
                  <c:v>Males 10 to 14</c:v>
                </c:pt>
                <c:pt idx="2">
                  <c:v>Males 15 to 17</c:v>
                </c:pt>
                <c:pt idx="4">
                  <c:v>Females 0 to 9</c:v>
                </c:pt>
                <c:pt idx="5">
                  <c:v>Females 10 to 14</c:v>
                </c:pt>
                <c:pt idx="6">
                  <c:v>Females 15 to 17</c:v>
                </c:pt>
              </c:strCache>
            </c:strRef>
          </c:cat>
          <c:val>
            <c:numRef>
              <c:f>'Table 4'!$AS$11:$AS$17</c:f>
              <c:numCache>
                <c:formatCode>General</c:formatCode>
                <c:ptCount val="7"/>
                <c:pt idx="0">
                  <c:v>0</c:v>
                </c:pt>
                <c:pt idx="1">
                  <c:v>0</c:v>
                </c:pt>
                <c:pt idx="2">
                  <c:v>0</c:v>
                </c:pt>
                <c:pt idx="4">
                  <c:v>0</c:v>
                </c:pt>
                <c:pt idx="5">
                  <c:v>0</c:v>
                </c:pt>
                <c:pt idx="6">
                  <c:v>3</c:v>
                </c:pt>
              </c:numCache>
            </c:numRef>
          </c:val>
        </c:ser>
        <c:dLbls>
          <c:showLegendKey val="0"/>
          <c:showVal val="0"/>
          <c:showCatName val="0"/>
          <c:showSerName val="0"/>
          <c:showPercent val="0"/>
          <c:showBubbleSize val="0"/>
        </c:dLbls>
        <c:gapWidth val="219"/>
        <c:overlap val="-27"/>
        <c:axId val="167969288"/>
        <c:axId val="167969680"/>
      </c:barChart>
      <c:catAx>
        <c:axId val="167969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7969680"/>
        <c:crosses val="autoZero"/>
        <c:auto val="1"/>
        <c:lblAlgn val="ctr"/>
        <c:lblOffset val="100"/>
        <c:noMultiLvlLbl val="0"/>
      </c:catAx>
      <c:valAx>
        <c:axId val="167969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7969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a:t>
            </a:r>
            <a:r>
              <a:rPr lang="en-AU" baseline="0">
                <a:solidFill>
                  <a:sysClr val="windowText" lastClr="000000"/>
                </a:solidFill>
              </a:rPr>
              <a:t> 11: Number of Aboriginal and Torres Strait Islander child victims of sexual assault, by offender type, by the victim's sex and by the victim's age (New South Wales, 2010-2013)</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5'!$AS$12</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5'!$AR$13:$AR$19</c:f>
              <c:strCache>
                <c:ptCount val="7"/>
                <c:pt idx="0">
                  <c:v>Males 0 to 9</c:v>
                </c:pt>
                <c:pt idx="1">
                  <c:v>Males 10 to 14</c:v>
                </c:pt>
                <c:pt idx="2">
                  <c:v>Males 15 to 17</c:v>
                </c:pt>
                <c:pt idx="4">
                  <c:v>Females 0 to 9</c:v>
                </c:pt>
                <c:pt idx="5">
                  <c:v>Females 10 to 14</c:v>
                </c:pt>
                <c:pt idx="6">
                  <c:v>Females 15 to 17</c:v>
                </c:pt>
              </c:strCache>
            </c:strRef>
          </c:cat>
          <c:val>
            <c:numRef>
              <c:f>'Table 5'!$AS$13:$AS$19</c:f>
              <c:numCache>
                <c:formatCode>General</c:formatCode>
                <c:ptCount val="7"/>
                <c:pt idx="0">
                  <c:v>30</c:v>
                </c:pt>
                <c:pt idx="1">
                  <c:v>14</c:v>
                </c:pt>
                <c:pt idx="2">
                  <c:v>6</c:v>
                </c:pt>
                <c:pt idx="4">
                  <c:v>76</c:v>
                </c:pt>
                <c:pt idx="5">
                  <c:v>57</c:v>
                </c:pt>
                <c:pt idx="6">
                  <c:v>26</c:v>
                </c:pt>
              </c:numCache>
            </c:numRef>
          </c:val>
        </c:ser>
        <c:ser>
          <c:idx val="1"/>
          <c:order val="1"/>
          <c:tx>
            <c:strRef>
              <c:f>'Table 5'!$AT$12</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5'!$AR$13:$AR$19</c:f>
              <c:strCache>
                <c:ptCount val="7"/>
                <c:pt idx="0">
                  <c:v>Males 0 to 9</c:v>
                </c:pt>
                <c:pt idx="1">
                  <c:v>Males 10 to 14</c:v>
                </c:pt>
                <c:pt idx="2">
                  <c:v>Males 15 to 17</c:v>
                </c:pt>
                <c:pt idx="4">
                  <c:v>Females 0 to 9</c:v>
                </c:pt>
                <c:pt idx="5">
                  <c:v>Females 10 to 14</c:v>
                </c:pt>
                <c:pt idx="6">
                  <c:v>Females 15 to 17</c:v>
                </c:pt>
              </c:strCache>
            </c:strRef>
          </c:cat>
          <c:val>
            <c:numRef>
              <c:f>'Table 5'!$AT$13:$AT$19</c:f>
              <c:numCache>
                <c:formatCode>General</c:formatCode>
                <c:ptCount val="7"/>
                <c:pt idx="0">
                  <c:v>0</c:v>
                </c:pt>
                <c:pt idx="1">
                  <c:v>3</c:v>
                </c:pt>
                <c:pt idx="2">
                  <c:v>3</c:v>
                </c:pt>
                <c:pt idx="4">
                  <c:v>0</c:v>
                </c:pt>
                <c:pt idx="5">
                  <c:v>41</c:v>
                </c:pt>
                <c:pt idx="6">
                  <c:v>39</c:v>
                </c:pt>
              </c:numCache>
            </c:numRef>
          </c:val>
        </c:ser>
        <c:ser>
          <c:idx val="2"/>
          <c:order val="2"/>
          <c:tx>
            <c:strRef>
              <c:f>'Table 5'!$AU$12</c:f>
              <c:strCache>
                <c:ptCount val="1"/>
                <c:pt idx="0">
                  <c:v>Sibling</c:v>
                </c:pt>
              </c:strCache>
            </c:strRef>
          </c:tx>
          <c:spPr>
            <a:solidFill>
              <a:schemeClr val="bg1">
                <a:lumMod val="50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5'!$AR$13:$AR$19</c:f>
              <c:strCache>
                <c:ptCount val="7"/>
                <c:pt idx="0">
                  <c:v>Males 0 to 9</c:v>
                </c:pt>
                <c:pt idx="1">
                  <c:v>Males 10 to 14</c:v>
                </c:pt>
                <c:pt idx="2">
                  <c:v>Males 15 to 17</c:v>
                </c:pt>
                <c:pt idx="4">
                  <c:v>Females 0 to 9</c:v>
                </c:pt>
                <c:pt idx="5">
                  <c:v>Females 10 to 14</c:v>
                </c:pt>
                <c:pt idx="6">
                  <c:v>Females 15 to 17</c:v>
                </c:pt>
              </c:strCache>
            </c:strRef>
          </c:cat>
          <c:val>
            <c:numRef>
              <c:f>'Table 5'!$AU$13:$AU$19</c:f>
              <c:numCache>
                <c:formatCode>General</c:formatCode>
                <c:ptCount val="7"/>
                <c:pt idx="0">
                  <c:v>17</c:v>
                </c:pt>
                <c:pt idx="1">
                  <c:v>9</c:v>
                </c:pt>
                <c:pt idx="2">
                  <c:v>3</c:v>
                </c:pt>
                <c:pt idx="4">
                  <c:v>29</c:v>
                </c:pt>
                <c:pt idx="5">
                  <c:v>20</c:v>
                </c:pt>
                <c:pt idx="6">
                  <c:v>6</c:v>
                </c:pt>
              </c:numCache>
            </c:numRef>
          </c:val>
        </c:ser>
        <c:ser>
          <c:idx val="3"/>
          <c:order val="3"/>
          <c:tx>
            <c:strRef>
              <c:f>'Table 5'!$AV$12</c:f>
              <c:strCache>
                <c:ptCount val="1"/>
                <c:pt idx="0">
                  <c:v>Other family member</c:v>
                </c:pt>
              </c:strCache>
            </c:strRef>
          </c:tx>
          <c:spPr>
            <a:pattFill prst="ltDnDiag">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5'!$AR$13:$AR$19</c:f>
              <c:strCache>
                <c:ptCount val="7"/>
                <c:pt idx="0">
                  <c:v>Males 0 to 9</c:v>
                </c:pt>
                <c:pt idx="1">
                  <c:v>Males 10 to 14</c:v>
                </c:pt>
                <c:pt idx="2">
                  <c:v>Males 15 to 17</c:v>
                </c:pt>
                <c:pt idx="4">
                  <c:v>Females 0 to 9</c:v>
                </c:pt>
                <c:pt idx="5">
                  <c:v>Females 10 to 14</c:v>
                </c:pt>
                <c:pt idx="6">
                  <c:v>Females 15 to 17</c:v>
                </c:pt>
              </c:strCache>
            </c:strRef>
          </c:cat>
          <c:val>
            <c:numRef>
              <c:f>'Table 5'!$AV$13:$AV$19</c:f>
              <c:numCache>
                <c:formatCode>General</c:formatCode>
                <c:ptCount val="7"/>
                <c:pt idx="0">
                  <c:v>27</c:v>
                </c:pt>
                <c:pt idx="1">
                  <c:v>10</c:v>
                </c:pt>
                <c:pt idx="2">
                  <c:v>9</c:v>
                </c:pt>
                <c:pt idx="4">
                  <c:v>86</c:v>
                </c:pt>
                <c:pt idx="5">
                  <c:v>60</c:v>
                </c:pt>
                <c:pt idx="6">
                  <c:v>46</c:v>
                </c:pt>
              </c:numCache>
            </c:numRef>
          </c:val>
        </c:ser>
        <c:ser>
          <c:idx val="4"/>
          <c:order val="4"/>
          <c:tx>
            <c:strRef>
              <c:f>'Table 5'!$AW$12</c:f>
              <c:strCache>
                <c:ptCount val="1"/>
                <c:pt idx="0">
                  <c:v>Non-family member</c:v>
                </c:pt>
              </c:strCache>
            </c:strRef>
          </c:tx>
          <c:spPr>
            <a:solidFill>
              <a:schemeClr val="tx1"/>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5'!$AR$13:$AR$19</c:f>
              <c:strCache>
                <c:ptCount val="7"/>
                <c:pt idx="0">
                  <c:v>Males 0 to 9</c:v>
                </c:pt>
                <c:pt idx="1">
                  <c:v>Males 10 to 14</c:v>
                </c:pt>
                <c:pt idx="2">
                  <c:v>Males 15 to 17</c:v>
                </c:pt>
                <c:pt idx="4">
                  <c:v>Females 0 to 9</c:v>
                </c:pt>
                <c:pt idx="5">
                  <c:v>Females 10 to 14</c:v>
                </c:pt>
                <c:pt idx="6">
                  <c:v>Females 15 to 17</c:v>
                </c:pt>
              </c:strCache>
            </c:strRef>
          </c:cat>
          <c:val>
            <c:numRef>
              <c:f>'Table 5'!$AW$13:$AW$19</c:f>
              <c:numCache>
                <c:formatCode>General</c:formatCode>
                <c:ptCount val="7"/>
                <c:pt idx="0">
                  <c:v>45</c:v>
                </c:pt>
                <c:pt idx="1">
                  <c:v>53</c:v>
                </c:pt>
                <c:pt idx="2">
                  <c:v>18</c:v>
                </c:pt>
                <c:pt idx="4">
                  <c:v>77</c:v>
                </c:pt>
                <c:pt idx="5">
                  <c:v>222</c:v>
                </c:pt>
                <c:pt idx="6">
                  <c:v>110</c:v>
                </c:pt>
              </c:numCache>
            </c:numRef>
          </c:val>
        </c:ser>
        <c:ser>
          <c:idx val="5"/>
          <c:order val="5"/>
          <c:tx>
            <c:strRef>
              <c:f>'Table 5'!$AX$12</c:f>
              <c:strCache>
                <c:ptCount val="1"/>
                <c:pt idx="0">
                  <c:v>Stranger</c:v>
                </c:pt>
              </c:strCache>
            </c:strRef>
          </c:tx>
          <c:spPr>
            <a:solidFill>
              <a:schemeClr val="bg1">
                <a:lumMod val="85000"/>
              </a:schemeClr>
            </a:solidFill>
            <a:ln>
              <a:solidFill>
                <a:schemeClr val="tx1"/>
              </a:solidFill>
            </a:ln>
            <a:effectLst/>
          </c:spPr>
          <c:invertIfNegative val="0"/>
          <c:dLbls>
            <c:dLbl>
              <c:idx val="0"/>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5'!$AR$13:$AR$19</c:f>
              <c:strCache>
                <c:ptCount val="7"/>
                <c:pt idx="0">
                  <c:v>Males 0 to 9</c:v>
                </c:pt>
                <c:pt idx="1">
                  <c:v>Males 10 to 14</c:v>
                </c:pt>
                <c:pt idx="2">
                  <c:v>Males 15 to 17</c:v>
                </c:pt>
                <c:pt idx="4">
                  <c:v>Females 0 to 9</c:v>
                </c:pt>
                <c:pt idx="5">
                  <c:v>Females 10 to 14</c:v>
                </c:pt>
                <c:pt idx="6">
                  <c:v>Females 15 to 17</c:v>
                </c:pt>
              </c:strCache>
            </c:strRef>
          </c:cat>
          <c:val>
            <c:numRef>
              <c:f>'Table 5'!$AX$13:$AX$19</c:f>
              <c:numCache>
                <c:formatCode>General</c:formatCode>
                <c:ptCount val="7"/>
                <c:pt idx="0">
                  <c:v>0</c:v>
                </c:pt>
                <c:pt idx="1">
                  <c:v>4</c:v>
                </c:pt>
                <c:pt idx="2">
                  <c:v>0</c:v>
                </c:pt>
                <c:pt idx="4">
                  <c:v>6</c:v>
                </c:pt>
                <c:pt idx="5">
                  <c:v>17</c:v>
                </c:pt>
                <c:pt idx="6">
                  <c:v>14</c:v>
                </c:pt>
              </c:numCache>
            </c:numRef>
          </c:val>
        </c:ser>
        <c:dLbls>
          <c:showLegendKey val="0"/>
          <c:showVal val="0"/>
          <c:showCatName val="0"/>
          <c:showSerName val="0"/>
          <c:showPercent val="0"/>
          <c:showBubbleSize val="0"/>
        </c:dLbls>
        <c:gapWidth val="219"/>
        <c:overlap val="-27"/>
        <c:axId val="167970464"/>
        <c:axId val="168177664"/>
      </c:barChart>
      <c:catAx>
        <c:axId val="16797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177664"/>
        <c:crosses val="autoZero"/>
        <c:auto val="1"/>
        <c:lblAlgn val="ctr"/>
        <c:lblOffset val="100"/>
        <c:noMultiLvlLbl val="0"/>
      </c:catAx>
      <c:valAx>
        <c:axId val="168177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7970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 12: Number of non-Indigenous child victims of sexual assault, by offender type, by the victim's sex and by the victim's age (New South Wales, 2010-2013)</a:t>
            </a:r>
          </a:p>
        </c:rich>
      </c:tx>
      <c:overlay val="0"/>
      <c:spPr>
        <a:noFill/>
        <a:ln>
          <a:noFill/>
        </a:ln>
        <a:effectLst/>
      </c:spPr>
    </c:title>
    <c:autoTitleDeleted val="0"/>
    <c:plotArea>
      <c:layout/>
      <c:barChart>
        <c:barDir val="col"/>
        <c:grouping val="clustered"/>
        <c:varyColors val="0"/>
        <c:ser>
          <c:idx val="0"/>
          <c:order val="0"/>
          <c:tx>
            <c:strRef>
              <c:f>'Table 5'!$AS$29</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5'!$AR$30:$AR$36</c:f>
              <c:strCache>
                <c:ptCount val="7"/>
                <c:pt idx="0">
                  <c:v>Males 0 to 9</c:v>
                </c:pt>
                <c:pt idx="1">
                  <c:v>Males 10 to 14</c:v>
                </c:pt>
                <c:pt idx="2">
                  <c:v>Males 15 to 17</c:v>
                </c:pt>
                <c:pt idx="4">
                  <c:v>Females 0 to 9</c:v>
                </c:pt>
                <c:pt idx="5">
                  <c:v>Females 10 to 14</c:v>
                </c:pt>
                <c:pt idx="6">
                  <c:v>Females 15 to 17</c:v>
                </c:pt>
              </c:strCache>
            </c:strRef>
          </c:cat>
          <c:val>
            <c:numRef>
              <c:f>'Table 5'!$AS$30:$AS$36</c:f>
              <c:numCache>
                <c:formatCode>General</c:formatCode>
                <c:ptCount val="7"/>
                <c:pt idx="0">
                  <c:v>279</c:v>
                </c:pt>
                <c:pt idx="1">
                  <c:v>87</c:v>
                </c:pt>
                <c:pt idx="2">
                  <c:v>43</c:v>
                </c:pt>
                <c:pt idx="4">
                  <c:v>678</c:v>
                </c:pt>
                <c:pt idx="5">
                  <c:v>509</c:v>
                </c:pt>
                <c:pt idx="6">
                  <c:v>285</c:v>
                </c:pt>
              </c:numCache>
            </c:numRef>
          </c:val>
        </c:ser>
        <c:ser>
          <c:idx val="1"/>
          <c:order val="1"/>
          <c:tx>
            <c:strRef>
              <c:f>'Table 5'!$AT$29</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5'!$AR$30:$AR$36</c:f>
              <c:strCache>
                <c:ptCount val="7"/>
                <c:pt idx="0">
                  <c:v>Males 0 to 9</c:v>
                </c:pt>
                <c:pt idx="1">
                  <c:v>Males 10 to 14</c:v>
                </c:pt>
                <c:pt idx="2">
                  <c:v>Males 15 to 17</c:v>
                </c:pt>
                <c:pt idx="4">
                  <c:v>Females 0 to 9</c:v>
                </c:pt>
                <c:pt idx="5">
                  <c:v>Females 10 to 14</c:v>
                </c:pt>
                <c:pt idx="6">
                  <c:v>Females 15 to 17</c:v>
                </c:pt>
              </c:strCache>
            </c:strRef>
          </c:cat>
          <c:val>
            <c:numRef>
              <c:f>'Table 5'!$AT$30:$AT$36</c:f>
              <c:numCache>
                <c:formatCode>General</c:formatCode>
                <c:ptCount val="7"/>
                <c:pt idx="0">
                  <c:v>0</c:v>
                </c:pt>
                <c:pt idx="1">
                  <c:v>20</c:v>
                </c:pt>
                <c:pt idx="2">
                  <c:v>18</c:v>
                </c:pt>
                <c:pt idx="4">
                  <c:v>0</c:v>
                </c:pt>
                <c:pt idx="5">
                  <c:v>279</c:v>
                </c:pt>
                <c:pt idx="6">
                  <c:v>313</c:v>
                </c:pt>
              </c:numCache>
            </c:numRef>
          </c:val>
        </c:ser>
        <c:ser>
          <c:idx val="2"/>
          <c:order val="2"/>
          <c:tx>
            <c:strRef>
              <c:f>'Table 5'!$AU$29</c:f>
              <c:strCache>
                <c:ptCount val="1"/>
                <c:pt idx="0">
                  <c:v>Sibling</c:v>
                </c:pt>
              </c:strCache>
            </c:strRef>
          </c:tx>
          <c:spPr>
            <a:solidFill>
              <a:schemeClr val="bg1">
                <a:lumMod val="50000"/>
              </a:schemeClr>
            </a:solidFill>
            <a:ln>
              <a:solidFill>
                <a:schemeClr val="tx1"/>
              </a:solidFill>
            </a:ln>
            <a:effectLst/>
          </c:spPr>
          <c:invertIfNegative val="0"/>
          <c:dLbls>
            <c:dLbl>
              <c:idx val="0"/>
              <c:layout>
                <c:manualLayout>
                  <c:x val="0"/>
                  <c:y val="1.3212948689715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5'!$AR$30:$AR$36</c:f>
              <c:strCache>
                <c:ptCount val="7"/>
                <c:pt idx="0">
                  <c:v>Males 0 to 9</c:v>
                </c:pt>
                <c:pt idx="1">
                  <c:v>Males 10 to 14</c:v>
                </c:pt>
                <c:pt idx="2">
                  <c:v>Males 15 to 17</c:v>
                </c:pt>
                <c:pt idx="4">
                  <c:v>Females 0 to 9</c:v>
                </c:pt>
                <c:pt idx="5">
                  <c:v>Females 10 to 14</c:v>
                </c:pt>
                <c:pt idx="6">
                  <c:v>Females 15 to 17</c:v>
                </c:pt>
              </c:strCache>
            </c:strRef>
          </c:cat>
          <c:val>
            <c:numRef>
              <c:f>'Table 5'!$AU$30:$AU$36</c:f>
              <c:numCache>
                <c:formatCode>General</c:formatCode>
                <c:ptCount val="7"/>
                <c:pt idx="0">
                  <c:v>101</c:v>
                </c:pt>
                <c:pt idx="1">
                  <c:v>49</c:v>
                </c:pt>
                <c:pt idx="2">
                  <c:v>5</c:v>
                </c:pt>
                <c:pt idx="4">
                  <c:v>196</c:v>
                </c:pt>
                <c:pt idx="5">
                  <c:v>132</c:v>
                </c:pt>
                <c:pt idx="6">
                  <c:v>63</c:v>
                </c:pt>
              </c:numCache>
            </c:numRef>
          </c:val>
        </c:ser>
        <c:ser>
          <c:idx val="3"/>
          <c:order val="3"/>
          <c:tx>
            <c:strRef>
              <c:f>'Table 5'!$AV$29</c:f>
              <c:strCache>
                <c:ptCount val="1"/>
                <c:pt idx="0">
                  <c:v>Other family member</c:v>
                </c:pt>
              </c:strCache>
            </c:strRef>
          </c:tx>
          <c:spPr>
            <a:pattFill prst="ltDnDiag">
              <a:fgClr>
                <a:schemeClr val="tx1"/>
              </a:fgClr>
              <a:bgClr>
                <a:schemeClr val="bg1"/>
              </a:bgClr>
            </a:pattFill>
            <a:ln>
              <a:solidFill>
                <a:schemeClr val="tx1"/>
              </a:solidFill>
            </a:ln>
            <a:effectLst/>
          </c:spPr>
          <c:invertIfNegative val="0"/>
          <c:dLbls>
            <c:dLbl>
              <c:idx val="4"/>
              <c:layout>
                <c:manualLayout>
                  <c:x val="-4.4101433296582998E-3"/>
                  <c:y val="1.32129486897158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5'!$AR$30:$AR$36</c:f>
              <c:strCache>
                <c:ptCount val="7"/>
                <c:pt idx="0">
                  <c:v>Males 0 to 9</c:v>
                </c:pt>
                <c:pt idx="1">
                  <c:v>Males 10 to 14</c:v>
                </c:pt>
                <c:pt idx="2">
                  <c:v>Males 15 to 17</c:v>
                </c:pt>
                <c:pt idx="4">
                  <c:v>Females 0 to 9</c:v>
                </c:pt>
                <c:pt idx="5">
                  <c:v>Females 10 to 14</c:v>
                </c:pt>
                <c:pt idx="6">
                  <c:v>Females 15 to 17</c:v>
                </c:pt>
              </c:strCache>
            </c:strRef>
          </c:cat>
          <c:val>
            <c:numRef>
              <c:f>'Table 5'!$AV$30:$AV$36</c:f>
              <c:numCache>
                <c:formatCode>General</c:formatCode>
                <c:ptCount val="7"/>
                <c:pt idx="0">
                  <c:v>226</c:v>
                </c:pt>
                <c:pt idx="1">
                  <c:v>96</c:v>
                </c:pt>
                <c:pt idx="2">
                  <c:v>32</c:v>
                </c:pt>
                <c:pt idx="4">
                  <c:v>503</c:v>
                </c:pt>
                <c:pt idx="5">
                  <c:v>375</c:v>
                </c:pt>
                <c:pt idx="6">
                  <c:v>215</c:v>
                </c:pt>
              </c:numCache>
            </c:numRef>
          </c:val>
        </c:ser>
        <c:ser>
          <c:idx val="4"/>
          <c:order val="4"/>
          <c:tx>
            <c:strRef>
              <c:f>'Table 5'!$AW$29</c:f>
              <c:strCache>
                <c:ptCount val="1"/>
                <c:pt idx="0">
                  <c:v>Non-family member</c:v>
                </c:pt>
              </c:strCache>
            </c:strRef>
          </c:tx>
          <c:spPr>
            <a:solidFill>
              <a:schemeClr val="tx1"/>
            </a:solidFill>
            <a:ln>
              <a:solidFill>
                <a:schemeClr val="tx1"/>
              </a:solidFill>
            </a:ln>
            <a:effectLst/>
          </c:spPr>
          <c:invertIfNegative val="0"/>
          <c:dLbls>
            <c:dLbl>
              <c:idx val="0"/>
              <c:layout>
                <c:manualLayout>
                  <c:x val="8.8202866593164297E-3"/>
                  <c:y val="8.8086324598106204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4101433296581298E-3"/>
                  <c:y val="2.20215811495265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5'!$AR$30:$AR$36</c:f>
              <c:strCache>
                <c:ptCount val="7"/>
                <c:pt idx="0">
                  <c:v>Males 0 to 9</c:v>
                </c:pt>
                <c:pt idx="1">
                  <c:v>Males 10 to 14</c:v>
                </c:pt>
                <c:pt idx="2">
                  <c:v>Males 15 to 17</c:v>
                </c:pt>
                <c:pt idx="4">
                  <c:v>Females 0 to 9</c:v>
                </c:pt>
                <c:pt idx="5">
                  <c:v>Females 10 to 14</c:v>
                </c:pt>
                <c:pt idx="6">
                  <c:v>Females 15 to 17</c:v>
                </c:pt>
              </c:strCache>
            </c:strRef>
          </c:cat>
          <c:val>
            <c:numRef>
              <c:f>'Table 5'!$AW$30:$AW$36</c:f>
              <c:numCache>
                <c:formatCode>General</c:formatCode>
                <c:ptCount val="7"/>
                <c:pt idx="0">
                  <c:v>338</c:v>
                </c:pt>
                <c:pt idx="1">
                  <c:v>307</c:v>
                </c:pt>
                <c:pt idx="2">
                  <c:v>149</c:v>
                </c:pt>
                <c:pt idx="4">
                  <c:v>578</c:v>
                </c:pt>
                <c:pt idx="5">
                  <c:v>1357</c:v>
                </c:pt>
                <c:pt idx="6">
                  <c:v>1103</c:v>
                </c:pt>
              </c:numCache>
            </c:numRef>
          </c:val>
        </c:ser>
        <c:ser>
          <c:idx val="5"/>
          <c:order val="5"/>
          <c:tx>
            <c:strRef>
              <c:f>'Table 5'!$AX$29</c:f>
              <c:strCache>
                <c:ptCount val="1"/>
                <c:pt idx="0">
                  <c:v>Stranger</c:v>
                </c:pt>
              </c:strCache>
            </c:strRef>
          </c:tx>
          <c:spPr>
            <a:solidFill>
              <a:schemeClr val="bg1">
                <a:lumMod val="85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5'!$AR$30:$AR$36</c:f>
              <c:strCache>
                <c:ptCount val="7"/>
                <c:pt idx="0">
                  <c:v>Males 0 to 9</c:v>
                </c:pt>
                <c:pt idx="1">
                  <c:v>Males 10 to 14</c:v>
                </c:pt>
                <c:pt idx="2">
                  <c:v>Males 15 to 17</c:v>
                </c:pt>
                <c:pt idx="4">
                  <c:v>Females 0 to 9</c:v>
                </c:pt>
                <c:pt idx="5">
                  <c:v>Females 10 to 14</c:v>
                </c:pt>
                <c:pt idx="6">
                  <c:v>Females 15 to 17</c:v>
                </c:pt>
              </c:strCache>
            </c:strRef>
          </c:cat>
          <c:val>
            <c:numRef>
              <c:f>'Table 5'!$AX$30:$AX$36</c:f>
              <c:numCache>
                <c:formatCode>General</c:formatCode>
                <c:ptCount val="7"/>
                <c:pt idx="0">
                  <c:v>17</c:v>
                </c:pt>
                <c:pt idx="1">
                  <c:v>12</c:v>
                </c:pt>
                <c:pt idx="2">
                  <c:v>12</c:v>
                </c:pt>
                <c:pt idx="4">
                  <c:v>23</c:v>
                </c:pt>
                <c:pt idx="5">
                  <c:v>80</c:v>
                </c:pt>
                <c:pt idx="6">
                  <c:v>126</c:v>
                </c:pt>
              </c:numCache>
            </c:numRef>
          </c:val>
        </c:ser>
        <c:dLbls>
          <c:showLegendKey val="0"/>
          <c:showVal val="0"/>
          <c:showCatName val="0"/>
          <c:showSerName val="0"/>
          <c:showPercent val="0"/>
          <c:showBubbleSize val="0"/>
        </c:dLbls>
        <c:gapWidth val="219"/>
        <c:overlap val="-27"/>
        <c:axId val="168178448"/>
        <c:axId val="168178840"/>
      </c:barChart>
      <c:catAx>
        <c:axId val="16817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178840"/>
        <c:crosses val="autoZero"/>
        <c:auto val="1"/>
        <c:lblAlgn val="ctr"/>
        <c:lblOffset val="100"/>
        <c:noMultiLvlLbl val="0"/>
      </c:catAx>
      <c:valAx>
        <c:axId val="168178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17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a:t>
            </a:r>
            <a:r>
              <a:rPr lang="en-AU" baseline="0">
                <a:solidFill>
                  <a:sysClr val="windowText" lastClr="000000"/>
                </a:solidFill>
              </a:rPr>
              <a:t> 13: Number of child victims of sexual assault where Aboriginal and Torres Strait Islander status is unknown, by offender type, by the victim's sex and by the victim's age (New South Wales, 2010-2013)</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5'!$AS$46</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5'!$AR$47:$AR$53</c:f>
              <c:strCache>
                <c:ptCount val="7"/>
                <c:pt idx="0">
                  <c:v>Males 0 to 9</c:v>
                </c:pt>
                <c:pt idx="1">
                  <c:v>Males 10 to 14</c:v>
                </c:pt>
                <c:pt idx="2">
                  <c:v>Males 15 to 17</c:v>
                </c:pt>
                <c:pt idx="4">
                  <c:v>Females 0 to 9</c:v>
                </c:pt>
                <c:pt idx="5">
                  <c:v>Females 10 to 14</c:v>
                </c:pt>
                <c:pt idx="6">
                  <c:v>Females 15 to 17</c:v>
                </c:pt>
              </c:strCache>
            </c:strRef>
          </c:cat>
          <c:val>
            <c:numRef>
              <c:f>'Table 5'!$AS$47:$AS$53</c:f>
              <c:numCache>
                <c:formatCode>General</c:formatCode>
                <c:ptCount val="7"/>
                <c:pt idx="0">
                  <c:v>26</c:v>
                </c:pt>
                <c:pt idx="1">
                  <c:v>8</c:v>
                </c:pt>
                <c:pt idx="2">
                  <c:v>6</c:v>
                </c:pt>
                <c:pt idx="4">
                  <c:v>55</c:v>
                </c:pt>
                <c:pt idx="5">
                  <c:v>56</c:v>
                </c:pt>
                <c:pt idx="6">
                  <c:v>37</c:v>
                </c:pt>
              </c:numCache>
            </c:numRef>
          </c:val>
        </c:ser>
        <c:ser>
          <c:idx val="1"/>
          <c:order val="1"/>
          <c:tx>
            <c:strRef>
              <c:f>'Table 5'!$AT$46</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5'!$AR$47:$AR$53</c:f>
              <c:strCache>
                <c:ptCount val="7"/>
                <c:pt idx="0">
                  <c:v>Males 0 to 9</c:v>
                </c:pt>
                <c:pt idx="1">
                  <c:v>Males 10 to 14</c:v>
                </c:pt>
                <c:pt idx="2">
                  <c:v>Males 15 to 17</c:v>
                </c:pt>
                <c:pt idx="4">
                  <c:v>Females 0 to 9</c:v>
                </c:pt>
                <c:pt idx="5">
                  <c:v>Females 10 to 14</c:v>
                </c:pt>
                <c:pt idx="6">
                  <c:v>Females 15 to 17</c:v>
                </c:pt>
              </c:strCache>
            </c:strRef>
          </c:cat>
          <c:val>
            <c:numRef>
              <c:f>'Table 5'!$AT$47:$AT$53</c:f>
              <c:numCache>
                <c:formatCode>General</c:formatCode>
                <c:ptCount val="7"/>
                <c:pt idx="0">
                  <c:v>0</c:v>
                </c:pt>
                <c:pt idx="1">
                  <c:v>0</c:v>
                </c:pt>
                <c:pt idx="2">
                  <c:v>3</c:v>
                </c:pt>
                <c:pt idx="4">
                  <c:v>0</c:v>
                </c:pt>
                <c:pt idx="5">
                  <c:v>32</c:v>
                </c:pt>
                <c:pt idx="6">
                  <c:v>47</c:v>
                </c:pt>
              </c:numCache>
            </c:numRef>
          </c:val>
        </c:ser>
        <c:ser>
          <c:idx val="2"/>
          <c:order val="2"/>
          <c:tx>
            <c:strRef>
              <c:f>'Table 5'!$AU$46</c:f>
              <c:strCache>
                <c:ptCount val="1"/>
                <c:pt idx="0">
                  <c:v>Sibling</c:v>
                </c:pt>
              </c:strCache>
            </c:strRef>
          </c:tx>
          <c:spPr>
            <a:solidFill>
              <a:schemeClr val="bg1">
                <a:lumMod val="50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5'!$AR$47:$AR$53</c:f>
              <c:strCache>
                <c:ptCount val="7"/>
                <c:pt idx="0">
                  <c:v>Males 0 to 9</c:v>
                </c:pt>
                <c:pt idx="1">
                  <c:v>Males 10 to 14</c:v>
                </c:pt>
                <c:pt idx="2">
                  <c:v>Males 15 to 17</c:v>
                </c:pt>
                <c:pt idx="4">
                  <c:v>Females 0 to 9</c:v>
                </c:pt>
                <c:pt idx="5">
                  <c:v>Females 10 to 14</c:v>
                </c:pt>
                <c:pt idx="6">
                  <c:v>Females 15 to 17</c:v>
                </c:pt>
              </c:strCache>
            </c:strRef>
          </c:cat>
          <c:val>
            <c:numRef>
              <c:f>'Table 5'!$AU$47:$AU$53</c:f>
              <c:numCache>
                <c:formatCode>General</c:formatCode>
                <c:ptCount val="7"/>
                <c:pt idx="0">
                  <c:v>12</c:v>
                </c:pt>
                <c:pt idx="1">
                  <c:v>9</c:v>
                </c:pt>
                <c:pt idx="2">
                  <c:v>3</c:v>
                </c:pt>
                <c:pt idx="4">
                  <c:v>27</c:v>
                </c:pt>
                <c:pt idx="5">
                  <c:v>23</c:v>
                </c:pt>
                <c:pt idx="6">
                  <c:v>10</c:v>
                </c:pt>
              </c:numCache>
            </c:numRef>
          </c:val>
        </c:ser>
        <c:ser>
          <c:idx val="3"/>
          <c:order val="3"/>
          <c:tx>
            <c:strRef>
              <c:f>'Table 5'!$AV$46</c:f>
              <c:strCache>
                <c:ptCount val="1"/>
                <c:pt idx="0">
                  <c:v>Other family member</c:v>
                </c:pt>
              </c:strCache>
            </c:strRef>
          </c:tx>
          <c:spPr>
            <a:pattFill prst="ltDnDiag">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5'!$AR$47:$AR$53</c:f>
              <c:strCache>
                <c:ptCount val="7"/>
                <c:pt idx="0">
                  <c:v>Males 0 to 9</c:v>
                </c:pt>
                <c:pt idx="1">
                  <c:v>Males 10 to 14</c:v>
                </c:pt>
                <c:pt idx="2">
                  <c:v>Males 15 to 17</c:v>
                </c:pt>
                <c:pt idx="4">
                  <c:v>Females 0 to 9</c:v>
                </c:pt>
                <c:pt idx="5">
                  <c:v>Females 10 to 14</c:v>
                </c:pt>
                <c:pt idx="6">
                  <c:v>Females 15 to 17</c:v>
                </c:pt>
              </c:strCache>
            </c:strRef>
          </c:cat>
          <c:val>
            <c:numRef>
              <c:f>'Table 5'!$AV$47:$AV$53</c:f>
              <c:numCache>
                <c:formatCode>General</c:formatCode>
                <c:ptCount val="7"/>
                <c:pt idx="0">
                  <c:v>32</c:v>
                </c:pt>
                <c:pt idx="1">
                  <c:v>11</c:v>
                </c:pt>
                <c:pt idx="2">
                  <c:v>3</c:v>
                </c:pt>
                <c:pt idx="4">
                  <c:v>48</c:v>
                </c:pt>
                <c:pt idx="5">
                  <c:v>38</c:v>
                </c:pt>
                <c:pt idx="6">
                  <c:v>22</c:v>
                </c:pt>
              </c:numCache>
            </c:numRef>
          </c:val>
        </c:ser>
        <c:ser>
          <c:idx val="4"/>
          <c:order val="4"/>
          <c:tx>
            <c:strRef>
              <c:f>'Table 5'!$AW$46</c:f>
              <c:strCache>
                <c:ptCount val="1"/>
                <c:pt idx="0">
                  <c:v>Non-family member</c:v>
                </c:pt>
              </c:strCache>
            </c:strRef>
          </c:tx>
          <c:spPr>
            <a:solidFill>
              <a:schemeClr val="tx1"/>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5'!$AR$47:$AR$53</c:f>
              <c:strCache>
                <c:ptCount val="7"/>
                <c:pt idx="0">
                  <c:v>Males 0 to 9</c:v>
                </c:pt>
                <c:pt idx="1">
                  <c:v>Males 10 to 14</c:v>
                </c:pt>
                <c:pt idx="2">
                  <c:v>Males 15 to 17</c:v>
                </c:pt>
                <c:pt idx="4">
                  <c:v>Females 0 to 9</c:v>
                </c:pt>
                <c:pt idx="5">
                  <c:v>Females 10 to 14</c:v>
                </c:pt>
                <c:pt idx="6">
                  <c:v>Females 15 to 17</c:v>
                </c:pt>
              </c:strCache>
            </c:strRef>
          </c:cat>
          <c:val>
            <c:numRef>
              <c:f>'Table 5'!$AW$47:$AW$53</c:f>
              <c:numCache>
                <c:formatCode>General</c:formatCode>
                <c:ptCount val="7"/>
                <c:pt idx="0">
                  <c:v>39</c:v>
                </c:pt>
                <c:pt idx="1">
                  <c:v>31</c:v>
                </c:pt>
                <c:pt idx="2">
                  <c:v>18</c:v>
                </c:pt>
                <c:pt idx="4">
                  <c:v>54</c:v>
                </c:pt>
                <c:pt idx="5">
                  <c:v>127</c:v>
                </c:pt>
                <c:pt idx="6">
                  <c:v>98</c:v>
                </c:pt>
              </c:numCache>
            </c:numRef>
          </c:val>
        </c:ser>
        <c:ser>
          <c:idx val="5"/>
          <c:order val="5"/>
          <c:tx>
            <c:strRef>
              <c:f>'Table 5'!$AX$46</c:f>
              <c:strCache>
                <c:ptCount val="1"/>
                <c:pt idx="0">
                  <c:v>Stranger</c:v>
                </c:pt>
              </c:strCache>
            </c:strRef>
          </c:tx>
          <c:spPr>
            <a:solidFill>
              <a:schemeClr val="bg1">
                <a:lumMod val="85000"/>
              </a:schemeClr>
            </a:solidFill>
            <a:ln>
              <a:solidFill>
                <a:schemeClr val="tx1"/>
              </a:solidFill>
            </a:ln>
            <a:effectLst/>
          </c:spPr>
          <c:invertIfNegative val="0"/>
          <c:dLbls>
            <c:dLbl>
              <c:idx val="0"/>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5'!$AR$47:$AR$53</c:f>
              <c:strCache>
                <c:ptCount val="7"/>
                <c:pt idx="0">
                  <c:v>Males 0 to 9</c:v>
                </c:pt>
                <c:pt idx="1">
                  <c:v>Males 10 to 14</c:v>
                </c:pt>
                <c:pt idx="2">
                  <c:v>Males 15 to 17</c:v>
                </c:pt>
                <c:pt idx="4">
                  <c:v>Females 0 to 9</c:v>
                </c:pt>
                <c:pt idx="5">
                  <c:v>Females 10 to 14</c:v>
                </c:pt>
                <c:pt idx="6">
                  <c:v>Females 15 to 17</c:v>
                </c:pt>
              </c:strCache>
            </c:strRef>
          </c:cat>
          <c:val>
            <c:numRef>
              <c:f>'Table 5'!$AX$47:$AX$53</c:f>
              <c:numCache>
                <c:formatCode>General</c:formatCode>
                <c:ptCount val="7"/>
                <c:pt idx="0">
                  <c:v>0</c:v>
                </c:pt>
                <c:pt idx="1">
                  <c:v>3</c:v>
                </c:pt>
                <c:pt idx="2">
                  <c:v>0</c:v>
                </c:pt>
                <c:pt idx="4">
                  <c:v>0</c:v>
                </c:pt>
                <c:pt idx="5">
                  <c:v>0</c:v>
                </c:pt>
                <c:pt idx="6">
                  <c:v>15</c:v>
                </c:pt>
              </c:numCache>
            </c:numRef>
          </c:val>
        </c:ser>
        <c:dLbls>
          <c:showLegendKey val="0"/>
          <c:showVal val="0"/>
          <c:showCatName val="0"/>
          <c:showSerName val="0"/>
          <c:showPercent val="0"/>
          <c:showBubbleSize val="0"/>
        </c:dLbls>
        <c:gapWidth val="219"/>
        <c:overlap val="-27"/>
        <c:axId val="168179624"/>
        <c:axId val="168180016"/>
      </c:barChart>
      <c:catAx>
        <c:axId val="168179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180016"/>
        <c:crosses val="autoZero"/>
        <c:auto val="1"/>
        <c:lblAlgn val="ctr"/>
        <c:lblOffset val="100"/>
        <c:noMultiLvlLbl val="0"/>
      </c:catAx>
      <c:valAx>
        <c:axId val="168180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179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a:t>
            </a:r>
            <a:r>
              <a:rPr lang="en-AU" baseline="0">
                <a:solidFill>
                  <a:sysClr val="windowText" lastClr="000000"/>
                </a:solidFill>
              </a:rPr>
              <a:t> 14: Number of Aboriginal and Torres Strait Islander child victims of sexual assault, by offender type, by the victim's sex and by the victim's age (Queensland, 2010-2013)</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7'!$AO$11</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7'!$AN$12:$AN$18</c:f>
              <c:strCache>
                <c:ptCount val="7"/>
                <c:pt idx="0">
                  <c:v>Males 0 to 9</c:v>
                </c:pt>
                <c:pt idx="1">
                  <c:v>Males 10 to 14</c:v>
                </c:pt>
                <c:pt idx="2">
                  <c:v>Males 15 to 17</c:v>
                </c:pt>
                <c:pt idx="4">
                  <c:v>Females 0 to 9</c:v>
                </c:pt>
                <c:pt idx="5">
                  <c:v>Females 10 to 14</c:v>
                </c:pt>
                <c:pt idx="6">
                  <c:v>Females 15 to 17</c:v>
                </c:pt>
              </c:strCache>
            </c:strRef>
          </c:cat>
          <c:val>
            <c:numRef>
              <c:f>'Table 7'!$AO$12:$AO$18</c:f>
              <c:numCache>
                <c:formatCode>General</c:formatCode>
                <c:ptCount val="7"/>
                <c:pt idx="0">
                  <c:v>13</c:v>
                </c:pt>
                <c:pt idx="1">
                  <c:v>4</c:v>
                </c:pt>
                <c:pt idx="2">
                  <c:v>3</c:v>
                </c:pt>
                <c:pt idx="4">
                  <c:v>11</c:v>
                </c:pt>
                <c:pt idx="5">
                  <c:v>43</c:v>
                </c:pt>
                <c:pt idx="6">
                  <c:v>12</c:v>
                </c:pt>
              </c:numCache>
            </c:numRef>
          </c:val>
        </c:ser>
        <c:ser>
          <c:idx val="1"/>
          <c:order val="1"/>
          <c:tx>
            <c:strRef>
              <c:f>'Table 7'!$AP$11</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7'!$AN$12:$AN$18</c:f>
              <c:strCache>
                <c:ptCount val="7"/>
                <c:pt idx="0">
                  <c:v>Males 0 to 9</c:v>
                </c:pt>
                <c:pt idx="1">
                  <c:v>Males 10 to 14</c:v>
                </c:pt>
                <c:pt idx="2">
                  <c:v>Males 15 to 17</c:v>
                </c:pt>
                <c:pt idx="4">
                  <c:v>Females 0 to 9</c:v>
                </c:pt>
                <c:pt idx="5">
                  <c:v>Females 10 to 14</c:v>
                </c:pt>
                <c:pt idx="6">
                  <c:v>Females 15 to 17</c:v>
                </c:pt>
              </c:strCache>
            </c:strRef>
          </c:cat>
          <c:val>
            <c:numRef>
              <c:f>'Table 7'!$AP$12:$AP$18</c:f>
              <c:numCache>
                <c:formatCode>General</c:formatCode>
                <c:ptCount val="7"/>
                <c:pt idx="0">
                  <c:v>0</c:v>
                </c:pt>
                <c:pt idx="1">
                  <c:v>3</c:v>
                </c:pt>
                <c:pt idx="2">
                  <c:v>6</c:v>
                </c:pt>
                <c:pt idx="4">
                  <c:v>0</c:v>
                </c:pt>
                <c:pt idx="5">
                  <c:v>30</c:v>
                </c:pt>
                <c:pt idx="6">
                  <c:v>37</c:v>
                </c:pt>
              </c:numCache>
            </c:numRef>
          </c:val>
        </c:ser>
        <c:ser>
          <c:idx val="2"/>
          <c:order val="2"/>
          <c:tx>
            <c:strRef>
              <c:f>'Table 7'!$AQ$11</c:f>
              <c:strCache>
                <c:ptCount val="1"/>
                <c:pt idx="0">
                  <c:v>Other family member</c:v>
                </c:pt>
              </c:strCache>
            </c:strRef>
          </c:tx>
          <c:spPr>
            <a:solidFill>
              <a:schemeClr val="bg1">
                <a:lumMod val="50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7'!$AN$12:$AN$18</c:f>
              <c:strCache>
                <c:ptCount val="7"/>
                <c:pt idx="0">
                  <c:v>Males 0 to 9</c:v>
                </c:pt>
                <c:pt idx="1">
                  <c:v>Males 10 to 14</c:v>
                </c:pt>
                <c:pt idx="2">
                  <c:v>Males 15 to 17</c:v>
                </c:pt>
                <c:pt idx="4">
                  <c:v>Females 0 to 9</c:v>
                </c:pt>
                <c:pt idx="5">
                  <c:v>Females 10 to 14</c:v>
                </c:pt>
                <c:pt idx="6">
                  <c:v>Females 15 to 17</c:v>
                </c:pt>
              </c:strCache>
            </c:strRef>
          </c:cat>
          <c:val>
            <c:numRef>
              <c:f>'Table 7'!$AQ$12:$AQ$18</c:f>
              <c:numCache>
                <c:formatCode>General</c:formatCode>
                <c:ptCount val="7"/>
                <c:pt idx="0">
                  <c:v>17</c:v>
                </c:pt>
                <c:pt idx="1">
                  <c:v>6</c:v>
                </c:pt>
                <c:pt idx="2">
                  <c:v>3</c:v>
                </c:pt>
                <c:pt idx="4">
                  <c:v>56</c:v>
                </c:pt>
                <c:pt idx="5">
                  <c:v>90</c:v>
                </c:pt>
                <c:pt idx="6">
                  <c:v>44</c:v>
                </c:pt>
              </c:numCache>
            </c:numRef>
          </c:val>
        </c:ser>
        <c:ser>
          <c:idx val="3"/>
          <c:order val="3"/>
          <c:tx>
            <c:strRef>
              <c:f>'Table 7'!$AR$11</c:f>
              <c:strCache>
                <c:ptCount val="1"/>
                <c:pt idx="0">
                  <c:v>Non-family member</c:v>
                </c:pt>
              </c:strCache>
            </c:strRef>
          </c:tx>
          <c:spPr>
            <a:pattFill prst="ltDnDiag">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7'!$AN$12:$AN$18</c:f>
              <c:strCache>
                <c:ptCount val="7"/>
                <c:pt idx="0">
                  <c:v>Males 0 to 9</c:v>
                </c:pt>
                <c:pt idx="1">
                  <c:v>Males 10 to 14</c:v>
                </c:pt>
                <c:pt idx="2">
                  <c:v>Males 15 to 17</c:v>
                </c:pt>
                <c:pt idx="4">
                  <c:v>Females 0 to 9</c:v>
                </c:pt>
                <c:pt idx="5">
                  <c:v>Females 10 to 14</c:v>
                </c:pt>
                <c:pt idx="6">
                  <c:v>Females 15 to 17</c:v>
                </c:pt>
              </c:strCache>
            </c:strRef>
          </c:cat>
          <c:val>
            <c:numRef>
              <c:f>'Table 7'!$AR$12:$AR$18</c:f>
              <c:numCache>
                <c:formatCode>General</c:formatCode>
                <c:ptCount val="7"/>
                <c:pt idx="0">
                  <c:v>24</c:v>
                </c:pt>
                <c:pt idx="1">
                  <c:v>28</c:v>
                </c:pt>
                <c:pt idx="2">
                  <c:v>9</c:v>
                </c:pt>
                <c:pt idx="4">
                  <c:v>40</c:v>
                </c:pt>
                <c:pt idx="5">
                  <c:v>139</c:v>
                </c:pt>
                <c:pt idx="6">
                  <c:v>86</c:v>
                </c:pt>
              </c:numCache>
            </c:numRef>
          </c:val>
        </c:ser>
        <c:ser>
          <c:idx val="4"/>
          <c:order val="4"/>
          <c:tx>
            <c:strRef>
              <c:f>'Table 7'!$AS$11</c:f>
              <c:strCache>
                <c:ptCount val="1"/>
                <c:pt idx="0">
                  <c:v>Stranger</c:v>
                </c:pt>
              </c:strCache>
            </c:strRef>
          </c:tx>
          <c:spPr>
            <a:solidFill>
              <a:schemeClr val="tx1"/>
            </a:solidFill>
            <a:ln>
              <a:solidFill>
                <a:schemeClr val="tx1"/>
              </a:solidFill>
            </a:ln>
            <a:effectLst/>
          </c:spPr>
          <c:invertIfNegative val="0"/>
          <c:dLbls>
            <c:dLbl>
              <c:idx val="2"/>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7'!$AN$12:$AN$18</c:f>
              <c:strCache>
                <c:ptCount val="7"/>
                <c:pt idx="0">
                  <c:v>Males 0 to 9</c:v>
                </c:pt>
                <c:pt idx="1">
                  <c:v>Males 10 to 14</c:v>
                </c:pt>
                <c:pt idx="2">
                  <c:v>Males 15 to 17</c:v>
                </c:pt>
                <c:pt idx="4">
                  <c:v>Females 0 to 9</c:v>
                </c:pt>
                <c:pt idx="5">
                  <c:v>Females 10 to 14</c:v>
                </c:pt>
                <c:pt idx="6">
                  <c:v>Females 15 to 17</c:v>
                </c:pt>
              </c:strCache>
            </c:strRef>
          </c:cat>
          <c:val>
            <c:numRef>
              <c:f>'Table 7'!$AS$12:$AS$18</c:f>
              <c:numCache>
                <c:formatCode>General</c:formatCode>
                <c:ptCount val="7"/>
                <c:pt idx="0">
                  <c:v>6</c:v>
                </c:pt>
                <c:pt idx="1">
                  <c:v>13</c:v>
                </c:pt>
                <c:pt idx="2">
                  <c:v>0</c:v>
                </c:pt>
                <c:pt idx="4">
                  <c:v>34</c:v>
                </c:pt>
                <c:pt idx="5">
                  <c:v>63</c:v>
                </c:pt>
                <c:pt idx="6">
                  <c:v>37</c:v>
                </c:pt>
              </c:numCache>
            </c:numRef>
          </c:val>
        </c:ser>
        <c:dLbls>
          <c:showLegendKey val="0"/>
          <c:showVal val="0"/>
          <c:showCatName val="0"/>
          <c:showSerName val="0"/>
          <c:showPercent val="0"/>
          <c:showBubbleSize val="0"/>
        </c:dLbls>
        <c:gapWidth val="219"/>
        <c:overlap val="-27"/>
        <c:axId val="168180800"/>
        <c:axId val="168181192"/>
      </c:barChart>
      <c:catAx>
        <c:axId val="16818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181192"/>
        <c:crosses val="autoZero"/>
        <c:auto val="1"/>
        <c:lblAlgn val="ctr"/>
        <c:lblOffset val="100"/>
        <c:noMultiLvlLbl val="0"/>
      </c:catAx>
      <c:valAx>
        <c:axId val="168181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180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 15: Number of non-Indigenous child victims of sexual assault, by offender type, by the victim's sex and by the victim's age (Queensland,</a:t>
            </a:r>
            <a:r>
              <a:rPr lang="en-AU" baseline="0">
                <a:solidFill>
                  <a:sysClr val="windowText" lastClr="000000"/>
                </a:solidFill>
              </a:rPr>
              <a:t> 2010-2013)</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7'!$AO$28</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7'!$AN$29:$AN$35</c:f>
              <c:strCache>
                <c:ptCount val="7"/>
                <c:pt idx="0">
                  <c:v>Males 0 to 9</c:v>
                </c:pt>
                <c:pt idx="1">
                  <c:v>Males 10 to 14</c:v>
                </c:pt>
                <c:pt idx="2">
                  <c:v>Males 15 to 17</c:v>
                </c:pt>
                <c:pt idx="4">
                  <c:v>Females 0 to 9</c:v>
                </c:pt>
                <c:pt idx="5">
                  <c:v>Females 10 to 14</c:v>
                </c:pt>
                <c:pt idx="6">
                  <c:v>Females 15 to 17</c:v>
                </c:pt>
              </c:strCache>
            </c:strRef>
          </c:cat>
          <c:val>
            <c:numRef>
              <c:f>'Table 7'!$AO$29:$AO$35</c:f>
              <c:numCache>
                <c:formatCode>General</c:formatCode>
                <c:ptCount val="7"/>
                <c:pt idx="0">
                  <c:v>71</c:v>
                </c:pt>
                <c:pt idx="1">
                  <c:v>51</c:v>
                </c:pt>
                <c:pt idx="2">
                  <c:v>9</c:v>
                </c:pt>
                <c:pt idx="4">
                  <c:v>195</c:v>
                </c:pt>
                <c:pt idx="5">
                  <c:v>269</c:v>
                </c:pt>
                <c:pt idx="6">
                  <c:v>201</c:v>
                </c:pt>
              </c:numCache>
            </c:numRef>
          </c:val>
        </c:ser>
        <c:ser>
          <c:idx val="1"/>
          <c:order val="1"/>
          <c:tx>
            <c:strRef>
              <c:f>'Table 7'!$AP$28</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7'!$AN$29:$AN$35</c:f>
              <c:strCache>
                <c:ptCount val="7"/>
                <c:pt idx="0">
                  <c:v>Males 0 to 9</c:v>
                </c:pt>
                <c:pt idx="1">
                  <c:v>Males 10 to 14</c:v>
                </c:pt>
                <c:pt idx="2">
                  <c:v>Males 15 to 17</c:v>
                </c:pt>
                <c:pt idx="4">
                  <c:v>Females 0 to 9</c:v>
                </c:pt>
                <c:pt idx="5">
                  <c:v>Females 10 to 14</c:v>
                </c:pt>
                <c:pt idx="6">
                  <c:v>Females 15 to 17</c:v>
                </c:pt>
              </c:strCache>
            </c:strRef>
          </c:cat>
          <c:val>
            <c:numRef>
              <c:f>'Table 7'!$AP$29:$AP$35</c:f>
              <c:numCache>
                <c:formatCode>General</c:formatCode>
                <c:ptCount val="7"/>
                <c:pt idx="0">
                  <c:v>0</c:v>
                </c:pt>
                <c:pt idx="1">
                  <c:v>0</c:v>
                </c:pt>
                <c:pt idx="2">
                  <c:v>21</c:v>
                </c:pt>
                <c:pt idx="4">
                  <c:v>0</c:v>
                </c:pt>
                <c:pt idx="5">
                  <c:v>81</c:v>
                </c:pt>
                <c:pt idx="6">
                  <c:v>156</c:v>
                </c:pt>
              </c:numCache>
            </c:numRef>
          </c:val>
        </c:ser>
        <c:ser>
          <c:idx val="2"/>
          <c:order val="2"/>
          <c:tx>
            <c:strRef>
              <c:f>'Table 7'!$AQ$28</c:f>
              <c:strCache>
                <c:ptCount val="1"/>
                <c:pt idx="0">
                  <c:v>Other family member</c:v>
                </c:pt>
              </c:strCache>
            </c:strRef>
          </c:tx>
          <c:spPr>
            <a:solidFill>
              <a:schemeClr val="bg1">
                <a:lumMod val="50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7'!$AN$29:$AN$35</c:f>
              <c:strCache>
                <c:ptCount val="7"/>
                <c:pt idx="0">
                  <c:v>Males 0 to 9</c:v>
                </c:pt>
                <c:pt idx="1">
                  <c:v>Males 10 to 14</c:v>
                </c:pt>
                <c:pt idx="2">
                  <c:v>Males 15 to 17</c:v>
                </c:pt>
                <c:pt idx="4">
                  <c:v>Females 0 to 9</c:v>
                </c:pt>
                <c:pt idx="5">
                  <c:v>Females 10 to 14</c:v>
                </c:pt>
                <c:pt idx="6">
                  <c:v>Females 15 to 17</c:v>
                </c:pt>
              </c:strCache>
            </c:strRef>
          </c:cat>
          <c:val>
            <c:numRef>
              <c:f>'Table 7'!$AQ$29:$AQ$35</c:f>
              <c:numCache>
                <c:formatCode>General</c:formatCode>
                <c:ptCount val="7"/>
                <c:pt idx="0">
                  <c:v>151</c:v>
                </c:pt>
                <c:pt idx="1">
                  <c:v>56</c:v>
                </c:pt>
                <c:pt idx="2">
                  <c:v>17</c:v>
                </c:pt>
                <c:pt idx="4">
                  <c:v>344</c:v>
                </c:pt>
                <c:pt idx="5">
                  <c:v>335</c:v>
                </c:pt>
                <c:pt idx="6">
                  <c:v>180</c:v>
                </c:pt>
              </c:numCache>
            </c:numRef>
          </c:val>
        </c:ser>
        <c:ser>
          <c:idx val="3"/>
          <c:order val="3"/>
          <c:tx>
            <c:strRef>
              <c:f>'Table 7'!$AR$28</c:f>
              <c:strCache>
                <c:ptCount val="1"/>
                <c:pt idx="0">
                  <c:v>Non-family member</c:v>
                </c:pt>
              </c:strCache>
            </c:strRef>
          </c:tx>
          <c:spPr>
            <a:pattFill prst="ltDnDiag">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7'!$AN$29:$AN$35</c:f>
              <c:strCache>
                <c:ptCount val="7"/>
                <c:pt idx="0">
                  <c:v>Males 0 to 9</c:v>
                </c:pt>
                <c:pt idx="1">
                  <c:v>Males 10 to 14</c:v>
                </c:pt>
                <c:pt idx="2">
                  <c:v>Males 15 to 17</c:v>
                </c:pt>
                <c:pt idx="4">
                  <c:v>Females 0 to 9</c:v>
                </c:pt>
                <c:pt idx="5">
                  <c:v>Females 10 to 14</c:v>
                </c:pt>
                <c:pt idx="6">
                  <c:v>Females 15 to 17</c:v>
                </c:pt>
              </c:strCache>
            </c:strRef>
          </c:cat>
          <c:val>
            <c:numRef>
              <c:f>'Table 7'!$AR$29:$AR$35</c:f>
              <c:numCache>
                <c:formatCode>General</c:formatCode>
                <c:ptCount val="7"/>
                <c:pt idx="0">
                  <c:v>150</c:v>
                </c:pt>
                <c:pt idx="1">
                  <c:v>203</c:v>
                </c:pt>
                <c:pt idx="2">
                  <c:v>101</c:v>
                </c:pt>
                <c:pt idx="4">
                  <c:v>341</c:v>
                </c:pt>
                <c:pt idx="5">
                  <c:v>773</c:v>
                </c:pt>
                <c:pt idx="6">
                  <c:v>618</c:v>
                </c:pt>
              </c:numCache>
            </c:numRef>
          </c:val>
        </c:ser>
        <c:ser>
          <c:idx val="4"/>
          <c:order val="4"/>
          <c:tx>
            <c:strRef>
              <c:f>'Table 7'!$AS$28</c:f>
              <c:strCache>
                <c:ptCount val="1"/>
                <c:pt idx="0">
                  <c:v>Stranger</c:v>
                </c:pt>
              </c:strCache>
            </c:strRef>
          </c:tx>
          <c:spPr>
            <a:solidFill>
              <a:schemeClr val="tx1"/>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7'!$AN$29:$AN$35</c:f>
              <c:strCache>
                <c:ptCount val="7"/>
                <c:pt idx="0">
                  <c:v>Males 0 to 9</c:v>
                </c:pt>
                <c:pt idx="1">
                  <c:v>Males 10 to 14</c:v>
                </c:pt>
                <c:pt idx="2">
                  <c:v>Males 15 to 17</c:v>
                </c:pt>
                <c:pt idx="4">
                  <c:v>Females 0 to 9</c:v>
                </c:pt>
                <c:pt idx="5">
                  <c:v>Females 10 to 14</c:v>
                </c:pt>
                <c:pt idx="6">
                  <c:v>Females 15 to 17</c:v>
                </c:pt>
              </c:strCache>
            </c:strRef>
          </c:cat>
          <c:val>
            <c:numRef>
              <c:f>'Table 7'!$AS$29:$AS$35</c:f>
              <c:numCache>
                <c:formatCode>General</c:formatCode>
                <c:ptCount val="7"/>
                <c:pt idx="0">
                  <c:v>47</c:v>
                </c:pt>
                <c:pt idx="1">
                  <c:v>53</c:v>
                </c:pt>
                <c:pt idx="2">
                  <c:v>23</c:v>
                </c:pt>
                <c:pt idx="4">
                  <c:v>118</c:v>
                </c:pt>
                <c:pt idx="5">
                  <c:v>309</c:v>
                </c:pt>
                <c:pt idx="6">
                  <c:v>225</c:v>
                </c:pt>
              </c:numCache>
            </c:numRef>
          </c:val>
        </c:ser>
        <c:dLbls>
          <c:showLegendKey val="0"/>
          <c:showVal val="0"/>
          <c:showCatName val="0"/>
          <c:showSerName val="0"/>
          <c:showPercent val="0"/>
          <c:showBubbleSize val="0"/>
        </c:dLbls>
        <c:gapWidth val="219"/>
        <c:overlap val="-27"/>
        <c:axId val="168558344"/>
        <c:axId val="168558736"/>
      </c:barChart>
      <c:catAx>
        <c:axId val="168558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558736"/>
        <c:crosses val="autoZero"/>
        <c:auto val="1"/>
        <c:lblAlgn val="ctr"/>
        <c:lblOffset val="100"/>
        <c:noMultiLvlLbl val="0"/>
      </c:catAx>
      <c:valAx>
        <c:axId val="168558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558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Figure 2: Estimate of Indigenous child population aged 0 to 17 years compared with proportion of police recorded child victims of physical assault and sexual assault aged 0 to 17 years who were Indigenous, by jurisdiction (2010-2013)</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Sheet1!$B$30</c:f>
              <c:strCache>
                <c:ptCount val="1"/>
                <c:pt idx="0">
                  <c:v>Estimate of Indigenous child population 0 to 17 years</c:v>
                </c:pt>
              </c:strCache>
            </c:strRef>
          </c:tx>
          <c:spPr>
            <a:solidFill>
              <a:schemeClr val="bg2"/>
            </a:solidFill>
            <a:ln>
              <a:noFill/>
            </a:ln>
            <a:effectLst/>
          </c:spPr>
          <c:invertIfNegative val="0"/>
          <c:dLbls>
            <c:dLbl>
              <c:idx val="0"/>
              <c:layout/>
              <c:tx>
                <c:rich>
                  <a:bodyPr/>
                  <a:lstStyle/>
                  <a:p>
                    <a:fld id="{3C454B8B-05E3-4CCC-AAA5-A35410D7EE4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tx>
                <c:rich>
                  <a:bodyPr/>
                  <a:lstStyle/>
                  <a:p>
                    <a:fld id="{E09E9394-9500-47D6-83A4-F39C4566D78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tx>
                <c:rich>
                  <a:bodyPr/>
                  <a:lstStyle/>
                  <a:p>
                    <a:fld id="{D090A630-8DD3-4DC0-8AF5-025398CE72C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
              <c:layout/>
              <c:tx>
                <c:rich>
                  <a:bodyPr/>
                  <a:lstStyle/>
                  <a:p>
                    <a:fld id="{9B4D9B8E-7BF4-424A-86D6-9BD3B9A5BDD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27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Sheet1!$A$31:$A$34</c:f>
              <c:strCache>
                <c:ptCount val="4"/>
                <c:pt idx="0">
                  <c:v>New South Wales</c:v>
                </c:pt>
                <c:pt idx="1">
                  <c:v>South Australia</c:v>
                </c:pt>
                <c:pt idx="2">
                  <c:v>Northern Territory</c:v>
                </c:pt>
                <c:pt idx="3">
                  <c:v>Queensland</c:v>
                </c:pt>
              </c:strCache>
            </c:strRef>
          </c:cat>
          <c:val>
            <c:numRef>
              <c:f>Sheet1!$B$31:$B$34</c:f>
              <c:numCache>
                <c:formatCode>General</c:formatCode>
                <c:ptCount val="4"/>
                <c:pt idx="0">
                  <c:v>5.51</c:v>
                </c:pt>
                <c:pt idx="1">
                  <c:v>4.4000000000000004</c:v>
                </c:pt>
                <c:pt idx="2">
                  <c:v>42.94</c:v>
                </c:pt>
                <c:pt idx="3">
                  <c:v>7.79</c:v>
                </c:pt>
              </c:numCache>
            </c:numRef>
          </c:val>
        </c:ser>
        <c:ser>
          <c:idx val="1"/>
          <c:order val="1"/>
          <c:tx>
            <c:strRef>
              <c:f>Sheet1!$C$30</c:f>
              <c:strCache>
                <c:ptCount val="1"/>
                <c:pt idx="0">
                  <c:v>Proportion of child victims of physical assault aged 0 to 17 years who were Indigenous</c:v>
                </c:pt>
              </c:strCache>
            </c:strRef>
          </c:tx>
          <c:spPr>
            <a:solidFill>
              <a:schemeClr val="bg1">
                <a:lumMod val="65000"/>
              </a:schemeClr>
            </a:solidFill>
            <a:ln>
              <a:noFill/>
            </a:ln>
            <a:effectLst/>
          </c:spPr>
          <c:invertIfNegative val="0"/>
          <c:dLbls>
            <c:dLbl>
              <c:idx val="0"/>
              <c:layout/>
              <c:tx>
                <c:rich>
                  <a:bodyPr/>
                  <a:lstStyle/>
                  <a:p>
                    <a:fld id="{384B9B67-1FFF-48FD-99B6-57FF453F707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tx>
                <c:rich>
                  <a:bodyPr/>
                  <a:lstStyle/>
                  <a:p>
                    <a:fld id="{294A2B38-344D-4730-A769-691CC75BBD6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tx>
                <c:rich>
                  <a:bodyPr/>
                  <a:lstStyle/>
                  <a:p>
                    <a:fld id="{C18E1B69-0E8B-4C18-99EB-9DC3ADD4247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27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Sheet1!$A$31:$A$34</c:f>
              <c:strCache>
                <c:ptCount val="4"/>
                <c:pt idx="0">
                  <c:v>New South Wales</c:v>
                </c:pt>
                <c:pt idx="1">
                  <c:v>South Australia</c:v>
                </c:pt>
                <c:pt idx="2">
                  <c:v>Northern Territory</c:v>
                </c:pt>
                <c:pt idx="3">
                  <c:v>Queensland</c:v>
                </c:pt>
              </c:strCache>
            </c:strRef>
          </c:cat>
          <c:val>
            <c:numRef>
              <c:f>Sheet1!$C$31:$C$34</c:f>
              <c:numCache>
                <c:formatCode>General</c:formatCode>
                <c:ptCount val="4"/>
                <c:pt idx="0">
                  <c:v>10.75</c:v>
                </c:pt>
                <c:pt idx="1">
                  <c:v>14.05</c:v>
                </c:pt>
                <c:pt idx="2">
                  <c:v>78.27</c:v>
                </c:pt>
              </c:numCache>
            </c:numRef>
          </c:val>
        </c:ser>
        <c:ser>
          <c:idx val="2"/>
          <c:order val="2"/>
          <c:tx>
            <c:strRef>
              <c:f>Sheet1!$D$30</c:f>
              <c:strCache>
                <c:ptCount val="1"/>
                <c:pt idx="0">
                  <c:v>Proportion of child victims of sexual assault aged 0 to 17 years who were Indigenous</c:v>
                </c:pt>
              </c:strCache>
            </c:strRef>
          </c:tx>
          <c:spPr>
            <a:solidFill>
              <a:schemeClr val="tx1"/>
            </a:solidFill>
            <a:ln>
              <a:noFill/>
            </a:ln>
            <a:effectLst/>
          </c:spPr>
          <c:invertIfNegative val="0"/>
          <c:dLbls>
            <c:dLbl>
              <c:idx val="0"/>
              <c:layout/>
              <c:tx>
                <c:rich>
                  <a:bodyPr/>
                  <a:lstStyle/>
                  <a:p>
                    <a:fld id="{95B4A4F6-75DC-4674-AD21-1A4981F8137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
              <c:layout/>
              <c:tx>
                <c:rich>
                  <a:bodyPr/>
                  <a:lstStyle/>
                  <a:p>
                    <a:fld id="{415452C3-B15C-4C13-8551-44620AC8690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27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Sheet1!$A$31:$A$34</c:f>
              <c:strCache>
                <c:ptCount val="4"/>
                <c:pt idx="0">
                  <c:v>New South Wales</c:v>
                </c:pt>
                <c:pt idx="1">
                  <c:v>South Australia</c:v>
                </c:pt>
                <c:pt idx="2">
                  <c:v>Northern Territory</c:v>
                </c:pt>
                <c:pt idx="3">
                  <c:v>Queensland</c:v>
                </c:pt>
              </c:strCache>
            </c:strRef>
          </c:cat>
          <c:val>
            <c:numRef>
              <c:f>Sheet1!$D$31:$D$34</c:f>
              <c:numCache>
                <c:formatCode>General</c:formatCode>
                <c:ptCount val="4"/>
                <c:pt idx="0">
                  <c:v>11.11</c:v>
                </c:pt>
                <c:pt idx="3">
                  <c:v>11.32</c:v>
                </c:pt>
              </c:numCache>
            </c:numRef>
          </c:val>
        </c:ser>
        <c:dLbls>
          <c:showLegendKey val="0"/>
          <c:showVal val="0"/>
          <c:showCatName val="0"/>
          <c:showSerName val="0"/>
          <c:showPercent val="0"/>
          <c:showBubbleSize val="0"/>
        </c:dLbls>
        <c:gapWidth val="219"/>
        <c:overlap val="-27"/>
        <c:axId val="137935376"/>
        <c:axId val="140067136"/>
      </c:barChart>
      <c:catAx>
        <c:axId val="13793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067136"/>
        <c:crosses val="autoZero"/>
        <c:auto val="1"/>
        <c:lblAlgn val="ctr"/>
        <c:lblOffset val="100"/>
        <c:noMultiLvlLbl val="0"/>
      </c:catAx>
      <c:valAx>
        <c:axId val="140067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935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 16: Number of</a:t>
            </a:r>
            <a:r>
              <a:rPr lang="en-AU" baseline="0">
                <a:solidFill>
                  <a:sysClr val="windowText" lastClr="000000"/>
                </a:solidFill>
              </a:rPr>
              <a:t> child victims of sexual assault where Aboriginal and Torres Strait Islander status is unknown, by offender type, by the victim's sex and by the victim's age (Queensland, 2010-2013)</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7'!$AO$45</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7'!$AN$46:$AN$52</c:f>
              <c:strCache>
                <c:ptCount val="7"/>
                <c:pt idx="0">
                  <c:v>Males 0 to 9</c:v>
                </c:pt>
                <c:pt idx="1">
                  <c:v>Males 10 to 14</c:v>
                </c:pt>
                <c:pt idx="2">
                  <c:v>Males 15 to 17</c:v>
                </c:pt>
                <c:pt idx="4">
                  <c:v>Females 0 to 9</c:v>
                </c:pt>
                <c:pt idx="5">
                  <c:v>Females 10 to 14</c:v>
                </c:pt>
                <c:pt idx="6">
                  <c:v>Females 15 to 17</c:v>
                </c:pt>
              </c:strCache>
            </c:strRef>
          </c:cat>
          <c:val>
            <c:numRef>
              <c:f>'Table 7'!$AO$46:$AO$52</c:f>
              <c:numCache>
                <c:formatCode>General</c:formatCode>
                <c:ptCount val="7"/>
                <c:pt idx="0">
                  <c:v>50</c:v>
                </c:pt>
                <c:pt idx="1">
                  <c:v>12</c:v>
                </c:pt>
                <c:pt idx="2">
                  <c:v>3</c:v>
                </c:pt>
                <c:pt idx="4">
                  <c:v>110</c:v>
                </c:pt>
                <c:pt idx="5">
                  <c:v>79</c:v>
                </c:pt>
                <c:pt idx="6">
                  <c:v>41</c:v>
                </c:pt>
              </c:numCache>
            </c:numRef>
          </c:val>
        </c:ser>
        <c:ser>
          <c:idx val="1"/>
          <c:order val="1"/>
          <c:tx>
            <c:strRef>
              <c:f>'Table 7'!$AP$45</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7'!$AN$46:$AN$52</c:f>
              <c:strCache>
                <c:ptCount val="7"/>
                <c:pt idx="0">
                  <c:v>Males 0 to 9</c:v>
                </c:pt>
                <c:pt idx="1">
                  <c:v>Males 10 to 14</c:v>
                </c:pt>
                <c:pt idx="2">
                  <c:v>Males 15 to 17</c:v>
                </c:pt>
                <c:pt idx="4">
                  <c:v>Females 0 to 9</c:v>
                </c:pt>
                <c:pt idx="5">
                  <c:v>Females 10 to 14</c:v>
                </c:pt>
                <c:pt idx="6">
                  <c:v>Females 15 to 17</c:v>
                </c:pt>
              </c:strCache>
            </c:strRef>
          </c:cat>
          <c:val>
            <c:numRef>
              <c:f>'Table 7'!$AP$46:$AP$52</c:f>
              <c:numCache>
                <c:formatCode>General</c:formatCode>
                <c:ptCount val="7"/>
                <c:pt idx="0">
                  <c:v>0</c:v>
                </c:pt>
                <c:pt idx="1">
                  <c:v>3</c:v>
                </c:pt>
                <c:pt idx="2">
                  <c:v>3</c:v>
                </c:pt>
                <c:pt idx="4">
                  <c:v>0</c:v>
                </c:pt>
                <c:pt idx="5">
                  <c:v>20</c:v>
                </c:pt>
                <c:pt idx="6">
                  <c:v>38</c:v>
                </c:pt>
              </c:numCache>
            </c:numRef>
          </c:val>
        </c:ser>
        <c:ser>
          <c:idx val="2"/>
          <c:order val="2"/>
          <c:tx>
            <c:strRef>
              <c:f>'Table 7'!$AQ$45</c:f>
              <c:strCache>
                <c:ptCount val="1"/>
                <c:pt idx="0">
                  <c:v>Other family member</c:v>
                </c:pt>
              </c:strCache>
            </c:strRef>
          </c:tx>
          <c:spPr>
            <a:solidFill>
              <a:schemeClr val="bg1">
                <a:lumMod val="50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7'!$AN$46:$AN$52</c:f>
              <c:strCache>
                <c:ptCount val="7"/>
                <c:pt idx="0">
                  <c:v>Males 0 to 9</c:v>
                </c:pt>
                <c:pt idx="1">
                  <c:v>Males 10 to 14</c:v>
                </c:pt>
                <c:pt idx="2">
                  <c:v>Males 15 to 17</c:v>
                </c:pt>
                <c:pt idx="4">
                  <c:v>Females 0 to 9</c:v>
                </c:pt>
                <c:pt idx="5">
                  <c:v>Females 10 to 14</c:v>
                </c:pt>
                <c:pt idx="6">
                  <c:v>Females 15 to 17</c:v>
                </c:pt>
              </c:strCache>
            </c:strRef>
          </c:cat>
          <c:val>
            <c:numRef>
              <c:f>'Table 7'!$AQ$46:$AQ$52</c:f>
              <c:numCache>
                <c:formatCode>General</c:formatCode>
                <c:ptCount val="7"/>
                <c:pt idx="0">
                  <c:v>64</c:v>
                </c:pt>
                <c:pt idx="1">
                  <c:v>18</c:v>
                </c:pt>
                <c:pt idx="2">
                  <c:v>6</c:v>
                </c:pt>
                <c:pt idx="4">
                  <c:v>155</c:v>
                </c:pt>
                <c:pt idx="5">
                  <c:v>86</c:v>
                </c:pt>
                <c:pt idx="6">
                  <c:v>33</c:v>
                </c:pt>
              </c:numCache>
            </c:numRef>
          </c:val>
        </c:ser>
        <c:ser>
          <c:idx val="3"/>
          <c:order val="3"/>
          <c:tx>
            <c:strRef>
              <c:f>'Table 7'!$AR$45</c:f>
              <c:strCache>
                <c:ptCount val="1"/>
                <c:pt idx="0">
                  <c:v>Non-family member</c:v>
                </c:pt>
              </c:strCache>
            </c:strRef>
          </c:tx>
          <c:spPr>
            <a:pattFill prst="ltDnDiag">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7'!$AN$46:$AN$52</c:f>
              <c:strCache>
                <c:ptCount val="7"/>
                <c:pt idx="0">
                  <c:v>Males 0 to 9</c:v>
                </c:pt>
                <c:pt idx="1">
                  <c:v>Males 10 to 14</c:v>
                </c:pt>
                <c:pt idx="2">
                  <c:v>Males 15 to 17</c:v>
                </c:pt>
                <c:pt idx="4">
                  <c:v>Females 0 to 9</c:v>
                </c:pt>
                <c:pt idx="5">
                  <c:v>Females 10 to 14</c:v>
                </c:pt>
                <c:pt idx="6">
                  <c:v>Females 15 to 17</c:v>
                </c:pt>
              </c:strCache>
            </c:strRef>
          </c:cat>
          <c:val>
            <c:numRef>
              <c:f>'Table 7'!$AR$46:$AR$52</c:f>
              <c:numCache>
                <c:formatCode>General</c:formatCode>
                <c:ptCount val="7"/>
                <c:pt idx="0">
                  <c:v>72</c:v>
                </c:pt>
                <c:pt idx="1">
                  <c:v>49</c:v>
                </c:pt>
                <c:pt idx="2">
                  <c:v>20</c:v>
                </c:pt>
                <c:pt idx="4">
                  <c:v>121</c:v>
                </c:pt>
                <c:pt idx="5">
                  <c:v>170</c:v>
                </c:pt>
                <c:pt idx="6">
                  <c:v>101</c:v>
                </c:pt>
              </c:numCache>
            </c:numRef>
          </c:val>
        </c:ser>
        <c:ser>
          <c:idx val="4"/>
          <c:order val="4"/>
          <c:tx>
            <c:strRef>
              <c:f>'Table 7'!$AS$45</c:f>
              <c:strCache>
                <c:ptCount val="1"/>
                <c:pt idx="0">
                  <c:v>Stranger</c:v>
                </c:pt>
              </c:strCache>
            </c:strRef>
          </c:tx>
          <c:spPr>
            <a:solidFill>
              <a:schemeClr val="tx1"/>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7'!$AN$46:$AN$52</c:f>
              <c:strCache>
                <c:ptCount val="7"/>
                <c:pt idx="0">
                  <c:v>Males 0 to 9</c:v>
                </c:pt>
                <c:pt idx="1">
                  <c:v>Males 10 to 14</c:v>
                </c:pt>
                <c:pt idx="2">
                  <c:v>Males 15 to 17</c:v>
                </c:pt>
                <c:pt idx="4">
                  <c:v>Females 0 to 9</c:v>
                </c:pt>
                <c:pt idx="5">
                  <c:v>Females 10 to 14</c:v>
                </c:pt>
                <c:pt idx="6">
                  <c:v>Females 15 to 17</c:v>
                </c:pt>
              </c:strCache>
            </c:strRef>
          </c:cat>
          <c:val>
            <c:numRef>
              <c:f>'Table 7'!$AS$46:$AS$52</c:f>
              <c:numCache>
                <c:formatCode>General</c:formatCode>
                <c:ptCount val="7"/>
                <c:pt idx="0">
                  <c:v>47</c:v>
                </c:pt>
                <c:pt idx="1">
                  <c:v>20</c:v>
                </c:pt>
                <c:pt idx="2">
                  <c:v>11</c:v>
                </c:pt>
                <c:pt idx="4">
                  <c:v>68</c:v>
                </c:pt>
                <c:pt idx="5">
                  <c:v>91</c:v>
                </c:pt>
                <c:pt idx="6">
                  <c:v>63</c:v>
                </c:pt>
              </c:numCache>
            </c:numRef>
          </c:val>
        </c:ser>
        <c:dLbls>
          <c:showLegendKey val="0"/>
          <c:showVal val="0"/>
          <c:showCatName val="0"/>
          <c:showSerName val="0"/>
          <c:showPercent val="0"/>
          <c:showBubbleSize val="0"/>
        </c:dLbls>
        <c:gapWidth val="219"/>
        <c:overlap val="-27"/>
        <c:axId val="168559912"/>
        <c:axId val="168560304"/>
      </c:barChart>
      <c:catAx>
        <c:axId val="168559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560304"/>
        <c:crosses val="autoZero"/>
        <c:auto val="1"/>
        <c:lblAlgn val="ctr"/>
        <c:lblOffset val="100"/>
        <c:noMultiLvlLbl val="0"/>
      </c:catAx>
      <c:valAx>
        <c:axId val="168560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559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 17: Number of</a:t>
            </a:r>
            <a:r>
              <a:rPr lang="en-AU" baseline="0">
                <a:solidFill>
                  <a:sysClr val="windowText" lastClr="000000"/>
                </a:solidFill>
              </a:rPr>
              <a:t> child victims of sexual assault, by offender type, by the victim's sex and by the victim's age (Victoria, 2010-2013)</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6'!$AS$10</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6'!$AR$11:$AR$17</c:f>
              <c:strCache>
                <c:ptCount val="7"/>
                <c:pt idx="0">
                  <c:v>Males 0 to 9</c:v>
                </c:pt>
                <c:pt idx="1">
                  <c:v>Males 10 to 14</c:v>
                </c:pt>
                <c:pt idx="2">
                  <c:v>Males 15 to 17</c:v>
                </c:pt>
                <c:pt idx="4">
                  <c:v>Females 0 to 9</c:v>
                </c:pt>
                <c:pt idx="5">
                  <c:v>Females 10 to 14</c:v>
                </c:pt>
                <c:pt idx="6">
                  <c:v>Females 15 to 17</c:v>
                </c:pt>
              </c:strCache>
            </c:strRef>
          </c:cat>
          <c:val>
            <c:numRef>
              <c:f>'Table 6'!$AS$11:$AS$17</c:f>
              <c:numCache>
                <c:formatCode>General</c:formatCode>
                <c:ptCount val="7"/>
                <c:pt idx="0">
                  <c:v>62</c:v>
                </c:pt>
                <c:pt idx="1">
                  <c:v>39</c:v>
                </c:pt>
                <c:pt idx="2">
                  <c:v>27</c:v>
                </c:pt>
                <c:pt idx="4">
                  <c:v>187</c:v>
                </c:pt>
                <c:pt idx="5">
                  <c:v>316</c:v>
                </c:pt>
                <c:pt idx="6">
                  <c:v>257</c:v>
                </c:pt>
              </c:numCache>
            </c:numRef>
          </c:val>
        </c:ser>
        <c:ser>
          <c:idx val="1"/>
          <c:order val="1"/>
          <c:tx>
            <c:strRef>
              <c:f>'Table 6'!$AT$10</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6'!$AR$11:$AR$17</c:f>
              <c:strCache>
                <c:ptCount val="7"/>
                <c:pt idx="0">
                  <c:v>Males 0 to 9</c:v>
                </c:pt>
                <c:pt idx="1">
                  <c:v>Males 10 to 14</c:v>
                </c:pt>
                <c:pt idx="2">
                  <c:v>Males 15 to 17</c:v>
                </c:pt>
                <c:pt idx="4">
                  <c:v>Females 0 to 9</c:v>
                </c:pt>
                <c:pt idx="5">
                  <c:v>Females 10 to 14</c:v>
                </c:pt>
                <c:pt idx="6">
                  <c:v>Females 15 to 17</c:v>
                </c:pt>
              </c:strCache>
            </c:strRef>
          </c:cat>
          <c:val>
            <c:numRef>
              <c:f>'Table 6'!$AT$11:$AT$17</c:f>
              <c:numCache>
                <c:formatCode>General</c:formatCode>
                <c:ptCount val="7"/>
                <c:pt idx="0">
                  <c:v>0</c:v>
                </c:pt>
                <c:pt idx="1">
                  <c:v>0</c:v>
                </c:pt>
                <c:pt idx="2">
                  <c:v>0</c:v>
                </c:pt>
                <c:pt idx="4">
                  <c:v>0</c:v>
                </c:pt>
                <c:pt idx="5">
                  <c:v>23</c:v>
                </c:pt>
                <c:pt idx="6">
                  <c:v>91</c:v>
                </c:pt>
              </c:numCache>
            </c:numRef>
          </c:val>
        </c:ser>
        <c:ser>
          <c:idx val="2"/>
          <c:order val="2"/>
          <c:tx>
            <c:strRef>
              <c:f>'Table 6'!$AU$10</c:f>
              <c:strCache>
                <c:ptCount val="1"/>
                <c:pt idx="0">
                  <c:v>Sibling</c:v>
                </c:pt>
              </c:strCache>
            </c:strRef>
          </c:tx>
          <c:spPr>
            <a:solidFill>
              <a:schemeClr val="bg1">
                <a:lumMod val="50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6'!$AR$11:$AR$17</c:f>
              <c:strCache>
                <c:ptCount val="7"/>
                <c:pt idx="0">
                  <c:v>Males 0 to 9</c:v>
                </c:pt>
                <c:pt idx="1">
                  <c:v>Males 10 to 14</c:v>
                </c:pt>
                <c:pt idx="2">
                  <c:v>Males 15 to 17</c:v>
                </c:pt>
                <c:pt idx="4">
                  <c:v>Females 0 to 9</c:v>
                </c:pt>
                <c:pt idx="5">
                  <c:v>Females 10 to 14</c:v>
                </c:pt>
                <c:pt idx="6">
                  <c:v>Females 15 to 17</c:v>
                </c:pt>
              </c:strCache>
            </c:strRef>
          </c:cat>
          <c:val>
            <c:numRef>
              <c:f>'Table 6'!$AU$11:$AU$17</c:f>
              <c:numCache>
                <c:formatCode>General</c:formatCode>
                <c:ptCount val="7"/>
                <c:pt idx="0">
                  <c:v>56</c:v>
                </c:pt>
                <c:pt idx="1">
                  <c:v>24</c:v>
                </c:pt>
                <c:pt idx="2">
                  <c:v>6</c:v>
                </c:pt>
                <c:pt idx="4">
                  <c:v>114</c:v>
                </c:pt>
                <c:pt idx="5">
                  <c:v>107</c:v>
                </c:pt>
                <c:pt idx="6">
                  <c:v>49</c:v>
                </c:pt>
              </c:numCache>
            </c:numRef>
          </c:val>
        </c:ser>
        <c:ser>
          <c:idx val="3"/>
          <c:order val="3"/>
          <c:tx>
            <c:strRef>
              <c:f>'Table 6'!$AV$10</c:f>
              <c:strCache>
                <c:ptCount val="1"/>
                <c:pt idx="0">
                  <c:v>Other family member</c:v>
                </c:pt>
              </c:strCache>
            </c:strRef>
          </c:tx>
          <c:spPr>
            <a:pattFill prst="ltDnDiag">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6'!$AR$11:$AR$17</c:f>
              <c:strCache>
                <c:ptCount val="7"/>
                <c:pt idx="0">
                  <c:v>Males 0 to 9</c:v>
                </c:pt>
                <c:pt idx="1">
                  <c:v>Males 10 to 14</c:v>
                </c:pt>
                <c:pt idx="2">
                  <c:v>Males 15 to 17</c:v>
                </c:pt>
                <c:pt idx="4">
                  <c:v>Females 0 to 9</c:v>
                </c:pt>
                <c:pt idx="5">
                  <c:v>Females 10 to 14</c:v>
                </c:pt>
                <c:pt idx="6">
                  <c:v>Females 15 to 17</c:v>
                </c:pt>
              </c:strCache>
            </c:strRef>
          </c:cat>
          <c:val>
            <c:numRef>
              <c:f>'Table 6'!$AV$11:$AV$17</c:f>
              <c:numCache>
                <c:formatCode>General</c:formatCode>
                <c:ptCount val="7"/>
                <c:pt idx="0">
                  <c:v>57</c:v>
                </c:pt>
                <c:pt idx="1">
                  <c:v>33</c:v>
                </c:pt>
                <c:pt idx="2">
                  <c:v>17</c:v>
                </c:pt>
                <c:pt idx="4">
                  <c:v>163</c:v>
                </c:pt>
                <c:pt idx="5">
                  <c:v>292</c:v>
                </c:pt>
                <c:pt idx="6">
                  <c:v>237</c:v>
                </c:pt>
              </c:numCache>
            </c:numRef>
          </c:val>
        </c:ser>
        <c:ser>
          <c:idx val="4"/>
          <c:order val="4"/>
          <c:tx>
            <c:strRef>
              <c:f>'Table 6'!$AW$10</c:f>
              <c:strCache>
                <c:ptCount val="1"/>
                <c:pt idx="0">
                  <c:v>Non-family member</c:v>
                </c:pt>
              </c:strCache>
            </c:strRef>
          </c:tx>
          <c:spPr>
            <a:solidFill>
              <a:schemeClr val="tx1"/>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6'!$AR$11:$AR$17</c:f>
              <c:strCache>
                <c:ptCount val="7"/>
                <c:pt idx="0">
                  <c:v>Males 0 to 9</c:v>
                </c:pt>
                <c:pt idx="1">
                  <c:v>Males 10 to 14</c:v>
                </c:pt>
                <c:pt idx="2">
                  <c:v>Males 15 to 17</c:v>
                </c:pt>
                <c:pt idx="4">
                  <c:v>Females 0 to 9</c:v>
                </c:pt>
                <c:pt idx="5">
                  <c:v>Females 10 to 14</c:v>
                </c:pt>
                <c:pt idx="6">
                  <c:v>Females 15 to 17</c:v>
                </c:pt>
              </c:strCache>
            </c:strRef>
          </c:cat>
          <c:val>
            <c:numRef>
              <c:f>'Table 6'!$AW$11:$AW$17</c:f>
              <c:numCache>
                <c:formatCode>General</c:formatCode>
                <c:ptCount val="7"/>
                <c:pt idx="0">
                  <c:v>130</c:v>
                </c:pt>
                <c:pt idx="1">
                  <c:v>207</c:v>
                </c:pt>
                <c:pt idx="2">
                  <c:v>106</c:v>
                </c:pt>
                <c:pt idx="4">
                  <c:v>268</c:v>
                </c:pt>
                <c:pt idx="5">
                  <c:v>701</c:v>
                </c:pt>
                <c:pt idx="6">
                  <c:v>874</c:v>
                </c:pt>
              </c:numCache>
            </c:numRef>
          </c:val>
        </c:ser>
        <c:ser>
          <c:idx val="5"/>
          <c:order val="5"/>
          <c:tx>
            <c:strRef>
              <c:f>'Table 6'!$AX$10</c:f>
              <c:strCache>
                <c:ptCount val="1"/>
                <c:pt idx="0">
                  <c:v>Stranger</c:v>
                </c:pt>
              </c:strCache>
            </c:strRef>
          </c:tx>
          <c:spPr>
            <a:solidFill>
              <a:schemeClr val="bg1">
                <a:lumMod val="85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6'!$AR$11:$AR$17</c:f>
              <c:strCache>
                <c:ptCount val="7"/>
                <c:pt idx="0">
                  <c:v>Males 0 to 9</c:v>
                </c:pt>
                <c:pt idx="1">
                  <c:v>Males 10 to 14</c:v>
                </c:pt>
                <c:pt idx="2">
                  <c:v>Males 15 to 17</c:v>
                </c:pt>
                <c:pt idx="4">
                  <c:v>Females 0 to 9</c:v>
                </c:pt>
                <c:pt idx="5">
                  <c:v>Females 10 to 14</c:v>
                </c:pt>
                <c:pt idx="6">
                  <c:v>Females 15 to 17</c:v>
                </c:pt>
              </c:strCache>
            </c:strRef>
          </c:cat>
          <c:val>
            <c:numRef>
              <c:f>'Table 6'!$AX$11:$AX$17</c:f>
              <c:numCache>
                <c:formatCode>General</c:formatCode>
                <c:ptCount val="7"/>
                <c:pt idx="0">
                  <c:v>6</c:v>
                </c:pt>
                <c:pt idx="1">
                  <c:v>12</c:v>
                </c:pt>
                <c:pt idx="2">
                  <c:v>8</c:v>
                </c:pt>
                <c:pt idx="4">
                  <c:v>30</c:v>
                </c:pt>
                <c:pt idx="5">
                  <c:v>78</c:v>
                </c:pt>
                <c:pt idx="6">
                  <c:v>126</c:v>
                </c:pt>
              </c:numCache>
            </c:numRef>
          </c:val>
        </c:ser>
        <c:dLbls>
          <c:showLegendKey val="0"/>
          <c:showVal val="0"/>
          <c:showCatName val="0"/>
          <c:showSerName val="0"/>
          <c:showPercent val="0"/>
          <c:showBubbleSize val="0"/>
        </c:dLbls>
        <c:gapWidth val="219"/>
        <c:overlap val="-27"/>
        <c:axId val="168560696"/>
        <c:axId val="168561088"/>
      </c:barChart>
      <c:catAx>
        <c:axId val="168560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561088"/>
        <c:crosses val="autoZero"/>
        <c:auto val="1"/>
        <c:lblAlgn val="ctr"/>
        <c:lblOffset val="100"/>
        <c:noMultiLvlLbl val="0"/>
      </c:catAx>
      <c:valAx>
        <c:axId val="168561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560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Figure 18: Number of child victims of sexual assault, by offender type, by the victim's sex and by the victim's age (South Australia, 2010-2013)</a:t>
            </a:r>
            <a:endParaRPr lang="en-AU" sz="1400">
              <a:effectLst/>
            </a:endParaRPr>
          </a:p>
        </c:rich>
      </c:tx>
      <c:overlay val="0"/>
      <c:spPr>
        <a:noFill/>
        <a:ln>
          <a:noFill/>
        </a:ln>
        <a:effectLst/>
      </c:spPr>
    </c:title>
    <c:autoTitleDeleted val="0"/>
    <c:plotArea>
      <c:layout/>
      <c:barChart>
        <c:barDir val="col"/>
        <c:grouping val="clustered"/>
        <c:varyColors val="0"/>
        <c:ser>
          <c:idx val="0"/>
          <c:order val="0"/>
          <c:tx>
            <c:strRef>
              <c:f>'Table 8'!$AO$10</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8'!$AN$11:$AN$17</c:f>
              <c:strCache>
                <c:ptCount val="7"/>
                <c:pt idx="0">
                  <c:v>Males 0 to 9</c:v>
                </c:pt>
                <c:pt idx="1">
                  <c:v>Males 10 to 14</c:v>
                </c:pt>
                <c:pt idx="2">
                  <c:v>Males 15 to 17</c:v>
                </c:pt>
                <c:pt idx="4">
                  <c:v>Females 0 to 9</c:v>
                </c:pt>
                <c:pt idx="5">
                  <c:v>Females 10 to 14</c:v>
                </c:pt>
                <c:pt idx="6">
                  <c:v>Females 15 to 17</c:v>
                </c:pt>
              </c:strCache>
            </c:strRef>
          </c:cat>
          <c:val>
            <c:numRef>
              <c:f>'Table 8'!$AO$11:$AO$17</c:f>
              <c:numCache>
                <c:formatCode>General</c:formatCode>
                <c:ptCount val="7"/>
                <c:pt idx="0">
                  <c:v>23</c:v>
                </c:pt>
                <c:pt idx="1">
                  <c:v>6</c:v>
                </c:pt>
                <c:pt idx="2">
                  <c:v>6</c:v>
                </c:pt>
                <c:pt idx="4">
                  <c:v>67</c:v>
                </c:pt>
                <c:pt idx="5">
                  <c:v>110</c:v>
                </c:pt>
                <c:pt idx="6">
                  <c:v>73</c:v>
                </c:pt>
              </c:numCache>
            </c:numRef>
          </c:val>
        </c:ser>
        <c:ser>
          <c:idx val="1"/>
          <c:order val="1"/>
          <c:tx>
            <c:strRef>
              <c:f>'Table 8'!$AP$10</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8'!$AN$11:$AN$17</c:f>
              <c:strCache>
                <c:ptCount val="7"/>
                <c:pt idx="0">
                  <c:v>Males 0 to 9</c:v>
                </c:pt>
                <c:pt idx="1">
                  <c:v>Males 10 to 14</c:v>
                </c:pt>
                <c:pt idx="2">
                  <c:v>Males 15 to 17</c:v>
                </c:pt>
                <c:pt idx="4">
                  <c:v>Females 0 to 9</c:v>
                </c:pt>
                <c:pt idx="5">
                  <c:v>Females 10 to 14</c:v>
                </c:pt>
                <c:pt idx="6">
                  <c:v>Females 15 to 17</c:v>
                </c:pt>
              </c:strCache>
            </c:strRef>
          </c:cat>
          <c:val>
            <c:numRef>
              <c:f>'Table 8'!$AP$11:$AP$17</c:f>
              <c:numCache>
                <c:formatCode>General</c:formatCode>
                <c:ptCount val="7"/>
                <c:pt idx="0">
                  <c:v>0</c:v>
                </c:pt>
                <c:pt idx="1">
                  <c:v>6</c:v>
                </c:pt>
                <c:pt idx="2">
                  <c:v>4</c:v>
                </c:pt>
                <c:pt idx="4">
                  <c:v>0</c:v>
                </c:pt>
                <c:pt idx="5">
                  <c:v>36</c:v>
                </c:pt>
                <c:pt idx="6">
                  <c:v>106</c:v>
                </c:pt>
              </c:numCache>
            </c:numRef>
          </c:val>
        </c:ser>
        <c:ser>
          <c:idx val="2"/>
          <c:order val="2"/>
          <c:tx>
            <c:strRef>
              <c:f>'Table 8'!$AQ$10</c:f>
              <c:strCache>
                <c:ptCount val="1"/>
                <c:pt idx="0">
                  <c:v>Other family member</c:v>
                </c:pt>
              </c:strCache>
            </c:strRef>
          </c:tx>
          <c:spPr>
            <a:solidFill>
              <a:schemeClr val="bg1">
                <a:lumMod val="50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8'!$AN$11:$AN$17</c:f>
              <c:strCache>
                <c:ptCount val="7"/>
                <c:pt idx="0">
                  <c:v>Males 0 to 9</c:v>
                </c:pt>
                <c:pt idx="1">
                  <c:v>Males 10 to 14</c:v>
                </c:pt>
                <c:pt idx="2">
                  <c:v>Males 15 to 17</c:v>
                </c:pt>
                <c:pt idx="4">
                  <c:v>Females 0 to 9</c:v>
                </c:pt>
                <c:pt idx="5">
                  <c:v>Females 10 to 14</c:v>
                </c:pt>
                <c:pt idx="6">
                  <c:v>Females 15 to 17</c:v>
                </c:pt>
              </c:strCache>
            </c:strRef>
          </c:cat>
          <c:val>
            <c:numRef>
              <c:f>'Table 8'!$AQ$11:$AQ$17</c:f>
              <c:numCache>
                <c:formatCode>General</c:formatCode>
                <c:ptCount val="7"/>
                <c:pt idx="0">
                  <c:v>39</c:v>
                </c:pt>
                <c:pt idx="1">
                  <c:v>24</c:v>
                </c:pt>
                <c:pt idx="2">
                  <c:v>9</c:v>
                </c:pt>
                <c:pt idx="4">
                  <c:v>80</c:v>
                </c:pt>
                <c:pt idx="5">
                  <c:v>93</c:v>
                </c:pt>
                <c:pt idx="6">
                  <c:v>49</c:v>
                </c:pt>
              </c:numCache>
            </c:numRef>
          </c:val>
        </c:ser>
        <c:ser>
          <c:idx val="3"/>
          <c:order val="3"/>
          <c:tx>
            <c:strRef>
              <c:f>'Table 8'!$AR$10</c:f>
              <c:strCache>
                <c:ptCount val="1"/>
                <c:pt idx="0">
                  <c:v>Non-family member</c:v>
                </c:pt>
              </c:strCache>
            </c:strRef>
          </c:tx>
          <c:spPr>
            <a:pattFill prst="ltDnDiag">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8'!$AN$11:$AN$17</c:f>
              <c:strCache>
                <c:ptCount val="7"/>
                <c:pt idx="0">
                  <c:v>Males 0 to 9</c:v>
                </c:pt>
                <c:pt idx="1">
                  <c:v>Males 10 to 14</c:v>
                </c:pt>
                <c:pt idx="2">
                  <c:v>Males 15 to 17</c:v>
                </c:pt>
                <c:pt idx="4">
                  <c:v>Females 0 to 9</c:v>
                </c:pt>
                <c:pt idx="5">
                  <c:v>Females 10 to 14</c:v>
                </c:pt>
                <c:pt idx="6">
                  <c:v>Females 15 to 17</c:v>
                </c:pt>
              </c:strCache>
            </c:strRef>
          </c:cat>
          <c:val>
            <c:numRef>
              <c:f>'Table 8'!$AR$11:$AR$17</c:f>
              <c:numCache>
                <c:formatCode>General</c:formatCode>
                <c:ptCount val="7"/>
                <c:pt idx="0">
                  <c:v>41</c:v>
                </c:pt>
                <c:pt idx="1">
                  <c:v>60</c:v>
                </c:pt>
                <c:pt idx="2">
                  <c:v>42</c:v>
                </c:pt>
                <c:pt idx="4">
                  <c:v>93</c:v>
                </c:pt>
                <c:pt idx="5">
                  <c:v>262</c:v>
                </c:pt>
                <c:pt idx="6">
                  <c:v>263</c:v>
                </c:pt>
              </c:numCache>
            </c:numRef>
          </c:val>
        </c:ser>
        <c:ser>
          <c:idx val="4"/>
          <c:order val="4"/>
          <c:tx>
            <c:strRef>
              <c:f>'Table 8'!$AS$10</c:f>
              <c:strCache>
                <c:ptCount val="1"/>
                <c:pt idx="0">
                  <c:v>Stranger</c:v>
                </c:pt>
              </c:strCache>
            </c:strRef>
          </c:tx>
          <c:spPr>
            <a:solidFill>
              <a:schemeClr val="tx1"/>
            </a:solidFill>
            <a:ln>
              <a:solidFill>
                <a:schemeClr val="tx1"/>
              </a:solidFill>
            </a:ln>
            <a:effectLst/>
          </c:spPr>
          <c:invertIfNegative val="0"/>
          <c:dLbls>
            <c:dLbl>
              <c:idx val="1"/>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8'!$AN$11:$AN$17</c:f>
              <c:strCache>
                <c:ptCount val="7"/>
                <c:pt idx="0">
                  <c:v>Males 0 to 9</c:v>
                </c:pt>
                <c:pt idx="1">
                  <c:v>Males 10 to 14</c:v>
                </c:pt>
                <c:pt idx="2">
                  <c:v>Males 15 to 17</c:v>
                </c:pt>
                <c:pt idx="4">
                  <c:v>Females 0 to 9</c:v>
                </c:pt>
                <c:pt idx="5">
                  <c:v>Females 10 to 14</c:v>
                </c:pt>
                <c:pt idx="6">
                  <c:v>Females 15 to 17</c:v>
                </c:pt>
              </c:strCache>
            </c:strRef>
          </c:cat>
          <c:val>
            <c:numRef>
              <c:f>'Table 8'!$AS$11:$AS$17</c:f>
              <c:numCache>
                <c:formatCode>General</c:formatCode>
                <c:ptCount val="7"/>
                <c:pt idx="0">
                  <c:v>9</c:v>
                </c:pt>
                <c:pt idx="1">
                  <c:v>0</c:v>
                </c:pt>
                <c:pt idx="2">
                  <c:v>6</c:v>
                </c:pt>
                <c:pt idx="4">
                  <c:v>7</c:v>
                </c:pt>
                <c:pt idx="5">
                  <c:v>23</c:v>
                </c:pt>
                <c:pt idx="6">
                  <c:v>32</c:v>
                </c:pt>
              </c:numCache>
            </c:numRef>
          </c:val>
        </c:ser>
        <c:dLbls>
          <c:showLegendKey val="0"/>
          <c:showVal val="0"/>
          <c:showCatName val="0"/>
          <c:showSerName val="0"/>
          <c:showPercent val="0"/>
          <c:showBubbleSize val="0"/>
        </c:dLbls>
        <c:gapWidth val="219"/>
        <c:overlap val="-27"/>
        <c:axId val="169020872"/>
        <c:axId val="169021264"/>
      </c:barChart>
      <c:catAx>
        <c:axId val="169020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9021264"/>
        <c:crosses val="autoZero"/>
        <c:auto val="1"/>
        <c:lblAlgn val="ctr"/>
        <c:lblOffset val="100"/>
        <c:noMultiLvlLbl val="0"/>
      </c:catAx>
      <c:valAx>
        <c:axId val="169021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9020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Figure 19: Number of child victims of sexual assault, by offender type, by the victim's sex and by the victim's age (Tasmania, 2010-2013)</a:t>
            </a:r>
            <a:endParaRPr lang="en-AU" sz="1400">
              <a:effectLst/>
            </a:endParaRPr>
          </a:p>
        </c:rich>
      </c:tx>
      <c:overlay val="0"/>
      <c:spPr>
        <a:noFill/>
        <a:ln>
          <a:noFill/>
        </a:ln>
        <a:effectLst/>
      </c:spPr>
    </c:title>
    <c:autoTitleDeleted val="0"/>
    <c:plotArea>
      <c:layout/>
      <c:barChart>
        <c:barDir val="col"/>
        <c:grouping val="clustered"/>
        <c:varyColors val="0"/>
        <c:ser>
          <c:idx val="0"/>
          <c:order val="0"/>
          <c:tx>
            <c:strRef>
              <c:f>'Table 9'!$AB$11</c:f>
              <c:strCache>
                <c:ptCount val="1"/>
                <c:pt idx="0">
                  <c:v>Family member</c:v>
                </c:pt>
              </c:strCache>
            </c:strRef>
          </c:tx>
          <c:spPr>
            <a:pattFill prst="pct20">
              <a:fgClr>
                <a:schemeClr val="tx1"/>
              </a:fgClr>
              <a:bgClr>
                <a:schemeClr val="bg1"/>
              </a:bgClr>
            </a:pattFill>
            <a:ln>
              <a:solidFill>
                <a:schemeClr val="tx1"/>
              </a:solidFill>
            </a:ln>
            <a:effectLst/>
          </c:spPr>
          <c:invertIfNegative val="0"/>
          <c:dLbls>
            <c:dLbl>
              <c:idx val="2"/>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9'!$AA$12:$AA$14,'Table 9'!$AA$16:$AA$19)</c:f>
              <c:strCache>
                <c:ptCount val="7"/>
                <c:pt idx="0">
                  <c:v>Males 0 to 9</c:v>
                </c:pt>
                <c:pt idx="1">
                  <c:v>Males 10 to 14</c:v>
                </c:pt>
                <c:pt idx="2">
                  <c:v>Males 15 to 17</c:v>
                </c:pt>
                <c:pt idx="4">
                  <c:v>Females 0 to 9</c:v>
                </c:pt>
                <c:pt idx="5">
                  <c:v>Females 10 to 14</c:v>
                </c:pt>
                <c:pt idx="6">
                  <c:v>Females 15 to 17</c:v>
                </c:pt>
              </c:strCache>
            </c:strRef>
          </c:cat>
          <c:val>
            <c:numRef>
              <c:f>('Table 9'!$AB$12:$AB$14,'Table 9'!$AB$16:$AB$19)</c:f>
              <c:numCache>
                <c:formatCode>General</c:formatCode>
                <c:ptCount val="7"/>
                <c:pt idx="0">
                  <c:v>13</c:v>
                </c:pt>
                <c:pt idx="1">
                  <c:v>3</c:v>
                </c:pt>
                <c:pt idx="2">
                  <c:v>0</c:v>
                </c:pt>
                <c:pt idx="4">
                  <c:v>38</c:v>
                </c:pt>
                <c:pt idx="5">
                  <c:v>35</c:v>
                </c:pt>
                <c:pt idx="6">
                  <c:v>31</c:v>
                </c:pt>
              </c:numCache>
            </c:numRef>
          </c:val>
        </c:ser>
        <c:ser>
          <c:idx val="1"/>
          <c:order val="1"/>
          <c:tx>
            <c:strRef>
              <c:f>'Table 9'!$AC$11</c:f>
              <c:strCache>
                <c:ptCount val="1"/>
                <c:pt idx="0">
                  <c:v>Non-family member</c:v>
                </c:pt>
              </c:strCache>
            </c:strRef>
          </c:tx>
          <c:spPr>
            <a:pattFill prst="pct75">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9'!$AA$12:$AA$14,'Table 9'!$AA$16:$AA$19)</c:f>
              <c:strCache>
                <c:ptCount val="7"/>
                <c:pt idx="0">
                  <c:v>Males 0 to 9</c:v>
                </c:pt>
                <c:pt idx="1">
                  <c:v>Males 10 to 14</c:v>
                </c:pt>
                <c:pt idx="2">
                  <c:v>Males 15 to 17</c:v>
                </c:pt>
                <c:pt idx="4">
                  <c:v>Females 0 to 9</c:v>
                </c:pt>
                <c:pt idx="5">
                  <c:v>Females 10 to 14</c:v>
                </c:pt>
                <c:pt idx="6">
                  <c:v>Females 15 to 17</c:v>
                </c:pt>
              </c:strCache>
            </c:strRef>
          </c:cat>
          <c:val>
            <c:numRef>
              <c:f>('Table 9'!$AC$12:$AC$14,'Table 9'!$AC$16:$AC$19)</c:f>
              <c:numCache>
                <c:formatCode>General</c:formatCode>
                <c:ptCount val="7"/>
                <c:pt idx="0">
                  <c:v>9</c:v>
                </c:pt>
                <c:pt idx="1">
                  <c:v>9</c:v>
                </c:pt>
                <c:pt idx="2">
                  <c:v>3</c:v>
                </c:pt>
                <c:pt idx="4">
                  <c:v>20</c:v>
                </c:pt>
                <c:pt idx="5">
                  <c:v>29</c:v>
                </c:pt>
                <c:pt idx="6">
                  <c:v>49</c:v>
                </c:pt>
              </c:numCache>
            </c:numRef>
          </c:val>
        </c:ser>
        <c:ser>
          <c:idx val="2"/>
          <c:order val="2"/>
          <c:tx>
            <c:strRef>
              <c:f>'Table 9'!$AD$11</c:f>
              <c:strCache>
                <c:ptCount val="1"/>
                <c:pt idx="0">
                  <c:v>Stranger</c:v>
                </c:pt>
              </c:strCache>
            </c:strRef>
          </c:tx>
          <c:spPr>
            <a:solidFill>
              <a:schemeClr val="bg1">
                <a:lumMod val="50000"/>
              </a:schemeClr>
            </a:solidFill>
            <a:ln>
              <a:solidFill>
                <a:schemeClr val="tx1"/>
              </a:solidFill>
            </a:ln>
            <a:effectLst/>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9'!$AA$12:$AA$14,'Table 9'!$AA$16:$AA$19)</c:f>
              <c:strCache>
                <c:ptCount val="7"/>
                <c:pt idx="0">
                  <c:v>Males 0 to 9</c:v>
                </c:pt>
                <c:pt idx="1">
                  <c:v>Males 10 to 14</c:v>
                </c:pt>
                <c:pt idx="2">
                  <c:v>Males 15 to 17</c:v>
                </c:pt>
                <c:pt idx="4">
                  <c:v>Females 0 to 9</c:v>
                </c:pt>
                <c:pt idx="5">
                  <c:v>Females 10 to 14</c:v>
                </c:pt>
                <c:pt idx="6">
                  <c:v>Females 15 to 17</c:v>
                </c:pt>
              </c:strCache>
            </c:strRef>
          </c:cat>
          <c:val>
            <c:numRef>
              <c:f>('Table 9'!$AD$12:$AD$14,'Table 9'!$AD$16:$AD$19)</c:f>
              <c:numCache>
                <c:formatCode>General</c:formatCode>
                <c:ptCount val="7"/>
                <c:pt idx="0">
                  <c:v>3</c:v>
                </c:pt>
                <c:pt idx="1">
                  <c:v>0</c:v>
                </c:pt>
                <c:pt idx="2">
                  <c:v>0</c:v>
                </c:pt>
                <c:pt idx="4">
                  <c:v>0</c:v>
                </c:pt>
                <c:pt idx="5">
                  <c:v>3</c:v>
                </c:pt>
                <c:pt idx="6">
                  <c:v>10</c:v>
                </c:pt>
              </c:numCache>
            </c:numRef>
          </c:val>
        </c:ser>
        <c:dLbls>
          <c:showLegendKey val="0"/>
          <c:showVal val="0"/>
          <c:showCatName val="0"/>
          <c:showSerName val="0"/>
          <c:showPercent val="0"/>
          <c:showBubbleSize val="0"/>
        </c:dLbls>
        <c:gapWidth val="219"/>
        <c:overlap val="-27"/>
        <c:axId val="169022048"/>
        <c:axId val="168795176"/>
      </c:barChart>
      <c:catAx>
        <c:axId val="16902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795176"/>
        <c:crosses val="autoZero"/>
        <c:auto val="1"/>
        <c:lblAlgn val="ctr"/>
        <c:lblOffset val="100"/>
        <c:noMultiLvlLbl val="0"/>
      </c:catAx>
      <c:valAx>
        <c:axId val="168795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9022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Figure 20: Number of child victims of sexual assault, by offender type, by the victim's sex and by the victim's age (Northern Territory, 2010-2013)</a:t>
            </a:r>
            <a:endParaRPr lang="en-AU" sz="1400">
              <a:effectLst/>
            </a:endParaRPr>
          </a:p>
        </c:rich>
      </c:tx>
      <c:overlay val="0"/>
      <c:spPr>
        <a:noFill/>
        <a:ln>
          <a:noFill/>
        </a:ln>
        <a:effectLst/>
      </c:spPr>
    </c:title>
    <c:autoTitleDeleted val="0"/>
    <c:plotArea>
      <c:layout/>
      <c:barChart>
        <c:barDir val="col"/>
        <c:grouping val="clustered"/>
        <c:varyColors val="0"/>
        <c:ser>
          <c:idx val="0"/>
          <c:order val="0"/>
          <c:tx>
            <c:strRef>
              <c:f>'Table 9'!$AB$28</c:f>
              <c:strCache>
                <c:ptCount val="1"/>
                <c:pt idx="0">
                  <c:v>Family member</c:v>
                </c:pt>
              </c:strCache>
            </c:strRef>
          </c:tx>
          <c:spPr>
            <a:pattFill prst="pct20">
              <a:fgClr>
                <a:schemeClr val="tx1"/>
              </a:fgClr>
              <a:bgClr>
                <a:schemeClr val="bg1"/>
              </a:bgClr>
            </a:pattFill>
            <a:ln>
              <a:solidFill>
                <a:schemeClr val="tx1"/>
              </a:solidFill>
            </a:ln>
            <a:effectLst/>
          </c:spPr>
          <c:invertIfNegative val="0"/>
          <c:dLbls>
            <c:dLbl>
              <c:idx val="2"/>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9'!$AA$29:$AA$31,'Table 9'!$AA$33:$AA$36)</c:f>
              <c:strCache>
                <c:ptCount val="7"/>
                <c:pt idx="0">
                  <c:v>Males 0 to 9</c:v>
                </c:pt>
                <c:pt idx="1">
                  <c:v>Males 10 to 14</c:v>
                </c:pt>
                <c:pt idx="2">
                  <c:v>Males 15 to 17</c:v>
                </c:pt>
                <c:pt idx="4">
                  <c:v>Females 0 to 9</c:v>
                </c:pt>
                <c:pt idx="5">
                  <c:v>Females 10 to 14</c:v>
                </c:pt>
                <c:pt idx="6">
                  <c:v>Females 15 to 17</c:v>
                </c:pt>
              </c:strCache>
            </c:strRef>
          </c:cat>
          <c:val>
            <c:numRef>
              <c:f>('Table 9'!$AB$29:$AB$31,'Table 9'!$AB$33:$AB$36)</c:f>
              <c:numCache>
                <c:formatCode>General</c:formatCode>
                <c:ptCount val="7"/>
                <c:pt idx="0">
                  <c:v>8</c:v>
                </c:pt>
                <c:pt idx="1">
                  <c:v>3</c:v>
                </c:pt>
                <c:pt idx="2">
                  <c:v>0</c:v>
                </c:pt>
                <c:pt idx="4">
                  <c:v>28</c:v>
                </c:pt>
                <c:pt idx="5">
                  <c:v>32</c:v>
                </c:pt>
                <c:pt idx="6">
                  <c:v>24</c:v>
                </c:pt>
              </c:numCache>
            </c:numRef>
          </c:val>
        </c:ser>
        <c:ser>
          <c:idx val="1"/>
          <c:order val="1"/>
          <c:tx>
            <c:strRef>
              <c:f>'Table 9'!$AC$28</c:f>
              <c:strCache>
                <c:ptCount val="1"/>
                <c:pt idx="0">
                  <c:v>Non-family member</c:v>
                </c:pt>
              </c:strCache>
            </c:strRef>
          </c:tx>
          <c:spPr>
            <a:pattFill prst="pct75">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9'!$AA$29:$AA$31,'Table 9'!$AA$33:$AA$36)</c:f>
              <c:strCache>
                <c:ptCount val="7"/>
                <c:pt idx="0">
                  <c:v>Males 0 to 9</c:v>
                </c:pt>
                <c:pt idx="1">
                  <c:v>Males 10 to 14</c:v>
                </c:pt>
                <c:pt idx="2">
                  <c:v>Males 15 to 17</c:v>
                </c:pt>
                <c:pt idx="4">
                  <c:v>Females 0 to 9</c:v>
                </c:pt>
                <c:pt idx="5">
                  <c:v>Females 10 to 14</c:v>
                </c:pt>
                <c:pt idx="6">
                  <c:v>Females 15 to 17</c:v>
                </c:pt>
              </c:strCache>
            </c:strRef>
          </c:cat>
          <c:val>
            <c:numRef>
              <c:f>('Table 9'!$AC$29:$AC$31,'Table 9'!$AC$33:$AC$36)</c:f>
              <c:numCache>
                <c:formatCode>General</c:formatCode>
                <c:ptCount val="7"/>
                <c:pt idx="0">
                  <c:v>6</c:v>
                </c:pt>
                <c:pt idx="1">
                  <c:v>11</c:v>
                </c:pt>
                <c:pt idx="2">
                  <c:v>3</c:v>
                </c:pt>
                <c:pt idx="4">
                  <c:v>22</c:v>
                </c:pt>
                <c:pt idx="5">
                  <c:v>60</c:v>
                </c:pt>
                <c:pt idx="6">
                  <c:v>44</c:v>
                </c:pt>
              </c:numCache>
            </c:numRef>
          </c:val>
        </c:ser>
        <c:ser>
          <c:idx val="2"/>
          <c:order val="2"/>
          <c:tx>
            <c:strRef>
              <c:f>'Table 9'!$AD$28</c:f>
              <c:strCache>
                <c:ptCount val="1"/>
                <c:pt idx="0">
                  <c:v>Stranger</c:v>
                </c:pt>
              </c:strCache>
            </c:strRef>
          </c:tx>
          <c:spPr>
            <a:solidFill>
              <a:schemeClr val="bg1">
                <a:lumMod val="50000"/>
              </a:schemeClr>
            </a:solid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9'!$AA$29:$AA$31,'Table 9'!$AA$33:$AA$36)</c:f>
              <c:strCache>
                <c:ptCount val="7"/>
                <c:pt idx="0">
                  <c:v>Males 0 to 9</c:v>
                </c:pt>
                <c:pt idx="1">
                  <c:v>Males 10 to 14</c:v>
                </c:pt>
                <c:pt idx="2">
                  <c:v>Males 15 to 17</c:v>
                </c:pt>
                <c:pt idx="4">
                  <c:v>Females 0 to 9</c:v>
                </c:pt>
                <c:pt idx="5">
                  <c:v>Females 10 to 14</c:v>
                </c:pt>
                <c:pt idx="6">
                  <c:v>Females 15 to 17</c:v>
                </c:pt>
              </c:strCache>
            </c:strRef>
          </c:cat>
          <c:val>
            <c:numRef>
              <c:f>('Table 9'!$AD$29:$AD$31,'Table 9'!$AD$33:$AD$36)</c:f>
              <c:numCache>
                <c:formatCode>General</c:formatCode>
                <c:ptCount val="7"/>
                <c:pt idx="0">
                  <c:v>0</c:v>
                </c:pt>
                <c:pt idx="1">
                  <c:v>0</c:v>
                </c:pt>
                <c:pt idx="2">
                  <c:v>0</c:v>
                </c:pt>
                <c:pt idx="4">
                  <c:v>0</c:v>
                </c:pt>
                <c:pt idx="5">
                  <c:v>3</c:v>
                </c:pt>
                <c:pt idx="6">
                  <c:v>4</c:v>
                </c:pt>
              </c:numCache>
            </c:numRef>
          </c:val>
        </c:ser>
        <c:dLbls>
          <c:showLegendKey val="0"/>
          <c:showVal val="0"/>
          <c:showCatName val="0"/>
          <c:showSerName val="0"/>
          <c:showPercent val="0"/>
          <c:showBubbleSize val="0"/>
        </c:dLbls>
        <c:gapWidth val="219"/>
        <c:overlap val="-27"/>
        <c:axId val="168795960"/>
        <c:axId val="168796352"/>
      </c:barChart>
      <c:catAx>
        <c:axId val="168795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796352"/>
        <c:crosses val="autoZero"/>
        <c:auto val="1"/>
        <c:lblAlgn val="ctr"/>
        <c:lblOffset val="100"/>
        <c:noMultiLvlLbl val="0"/>
      </c:catAx>
      <c:valAx>
        <c:axId val="16879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795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Figure 21: Number of child victims of sexual assault, by offender type, by the victim's sex and by the victim's age (Australian Capital Territory, 2010-2013)</a:t>
            </a:r>
            <a:endParaRPr lang="en-AU" sz="1400">
              <a:effectLst/>
            </a:endParaRPr>
          </a:p>
        </c:rich>
      </c:tx>
      <c:overlay val="0"/>
      <c:spPr>
        <a:noFill/>
        <a:ln>
          <a:noFill/>
        </a:ln>
        <a:effectLst/>
      </c:spPr>
    </c:title>
    <c:autoTitleDeleted val="0"/>
    <c:plotArea>
      <c:layout/>
      <c:barChart>
        <c:barDir val="col"/>
        <c:grouping val="clustered"/>
        <c:varyColors val="0"/>
        <c:ser>
          <c:idx val="0"/>
          <c:order val="0"/>
          <c:tx>
            <c:strRef>
              <c:f>'Table 9'!$AB$45</c:f>
              <c:strCache>
                <c:ptCount val="1"/>
                <c:pt idx="0">
                  <c:v>Family member</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9'!$AA$46:$AA$48,'Table 9'!$AA$50:$AA$53)</c:f>
              <c:strCache>
                <c:ptCount val="7"/>
                <c:pt idx="0">
                  <c:v>Males 0 to 9</c:v>
                </c:pt>
                <c:pt idx="1">
                  <c:v>Males 10 to 14</c:v>
                </c:pt>
                <c:pt idx="2">
                  <c:v>Males 15 to 17</c:v>
                </c:pt>
                <c:pt idx="4">
                  <c:v>Females 0 to 9</c:v>
                </c:pt>
                <c:pt idx="5">
                  <c:v>Females 10 to 14</c:v>
                </c:pt>
                <c:pt idx="6">
                  <c:v>Females 15 to 17</c:v>
                </c:pt>
              </c:strCache>
            </c:strRef>
          </c:cat>
          <c:val>
            <c:numRef>
              <c:f>('Table 9'!$AB$46:$AB$48,'Table 9'!$AB$50:$AB$53)</c:f>
              <c:numCache>
                <c:formatCode>General</c:formatCode>
                <c:ptCount val="7"/>
                <c:pt idx="0">
                  <c:v>6</c:v>
                </c:pt>
                <c:pt idx="1">
                  <c:v>6</c:v>
                </c:pt>
                <c:pt idx="2">
                  <c:v>3</c:v>
                </c:pt>
                <c:pt idx="4">
                  <c:v>34</c:v>
                </c:pt>
                <c:pt idx="5">
                  <c:v>31</c:v>
                </c:pt>
                <c:pt idx="6">
                  <c:v>16</c:v>
                </c:pt>
              </c:numCache>
            </c:numRef>
          </c:val>
        </c:ser>
        <c:ser>
          <c:idx val="1"/>
          <c:order val="1"/>
          <c:tx>
            <c:strRef>
              <c:f>'Table 9'!$AC$45</c:f>
              <c:strCache>
                <c:ptCount val="1"/>
                <c:pt idx="0">
                  <c:v>Non-family member</c:v>
                </c:pt>
              </c:strCache>
            </c:strRef>
          </c:tx>
          <c:spPr>
            <a:pattFill prst="pct75">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9'!$AA$46:$AA$48,'Table 9'!$AA$50:$AA$53)</c:f>
              <c:strCache>
                <c:ptCount val="7"/>
                <c:pt idx="0">
                  <c:v>Males 0 to 9</c:v>
                </c:pt>
                <c:pt idx="1">
                  <c:v>Males 10 to 14</c:v>
                </c:pt>
                <c:pt idx="2">
                  <c:v>Males 15 to 17</c:v>
                </c:pt>
                <c:pt idx="4">
                  <c:v>Females 0 to 9</c:v>
                </c:pt>
                <c:pt idx="5">
                  <c:v>Females 10 to 14</c:v>
                </c:pt>
                <c:pt idx="6">
                  <c:v>Females 15 to 17</c:v>
                </c:pt>
              </c:strCache>
            </c:strRef>
          </c:cat>
          <c:val>
            <c:numRef>
              <c:f>('Table 9'!$AC$46:$AC$48,'Table 9'!$AC$50:$AC$53)</c:f>
              <c:numCache>
                <c:formatCode>General</c:formatCode>
                <c:ptCount val="7"/>
                <c:pt idx="0">
                  <c:v>3</c:v>
                </c:pt>
                <c:pt idx="1">
                  <c:v>9</c:v>
                </c:pt>
                <c:pt idx="2">
                  <c:v>6</c:v>
                </c:pt>
                <c:pt idx="4">
                  <c:v>18</c:v>
                </c:pt>
                <c:pt idx="5">
                  <c:v>51</c:v>
                </c:pt>
                <c:pt idx="6">
                  <c:v>55</c:v>
                </c:pt>
              </c:numCache>
            </c:numRef>
          </c:val>
        </c:ser>
        <c:ser>
          <c:idx val="2"/>
          <c:order val="2"/>
          <c:tx>
            <c:strRef>
              <c:f>'Table 9'!$AD$45</c:f>
              <c:strCache>
                <c:ptCount val="1"/>
                <c:pt idx="0">
                  <c:v>Stranger</c:v>
                </c:pt>
              </c:strCache>
            </c:strRef>
          </c:tx>
          <c:spPr>
            <a:solidFill>
              <a:schemeClr val="bg1">
                <a:lumMod val="50000"/>
              </a:schemeClr>
            </a:solid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9'!$AA$46:$AA$48,'Table 9'!$AA$50:$AA$53)</c:f>
              <c:strCache>
                <c:ptCount val="7"/>
                <c:pt idx="0">
                  <c:v>Males 0 to 9</c:v>
                </c:pt>
                <c:pt idx="1">
                  <c:v>Males 10 to 14</c:v>
                </c:pt>
                <c:pt idx="2">
                  <c:v>Males 15 to 17</c:v>
                </c:pt>
                <c:pt idx="4">
                  <c:v>Females 0 to 9</c:v>
                </c:pt>
                <c:pt idx="5">
                  <c:v>Females 10 to 14</c:v>
                </c:pt>
                <c:pt idx="6">
                  <c:v>Females 15 to 17</c:v>
                </c:pt>
              </c:strCache>
            </c:strRef>
          </c:cat>
          <c:val>
            <c:numRef>
              <c:f>('Table 9'!$AD$46:$AD$48,'Table 9'!$AD$50:$AD$53)</c:f>
              <c:numCache>
                <c:formatCode>General</c:formatCode>
                <c:ptCount val="7"/>
                <c:pt idx="0">
                  <c:v>0</c:v>
                </c:pt>
                <c:pt idx="1">
                  <c:v>0</c:v>
                </c:pt>
                <c:pt idx="2">
                  <c:v>0</c:v>
                </c:pt>
                <c:pt idx="4">
                  <c:v>0</c:v>
                </c:pt>
                <c:pt idx="5">
                  <c:v>3</c:v>
                </c:pt>
                <c:pt idx="6">
                  <c:v>0</c:v>
                </c:pt>
              </c:numCache>
            </c:numRef>
          </c:val>
        </c:ser>
        <c:dLbls>
          <c:showLegendKey val="0"/>
          <c:showVal val="0"/>
          <c:showCatName val="0"/>
          <c:showSerName val="0"/>
          <c:showPercent val="0"/>
          <c:showBubbleSize val="0"/>
        </c:dLbls>
        <c:gapWidth val="219"/>
        <c:overlap val="-27"/>
        <c:axId val="168796744"/>
        <c:axId val="168797136"/>
      </c:barChart>
      <c:catAx>
        <c:axId val="168796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797136"/>
        <c:crosses val="autoZero"/>
        <c:auto val="1"/>
        <c:lblAlgn val="ctr"/>
        <c:lblOffset val="100"/>
        <c:noMultiLvlLbl val="0"/>
      </c:catAx>
      <c:valAx>
        <c:axId val="168797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796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Figure 1: Estimated number of adult men who first experienced physical abuse as a child by a parent, by the victim's age at the first incident of physical abuse</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11'!$G$9</c:f>
              <c:strCache>
                <c:ptCount val="1"/>
                <c:pt idx="0">
                  <c:v>Parent</c:v>
                </c:pt>
              </c:strCache>
            </c:strRef>
          </c:tx>
          <c:spPr>
            <a:pattFill prst="pct20">
              <a:fgClr>
                <a:schemeClr val="tx1"/>
              </a:fgClr>
              <a:bgClr>
                <a:schemeClr val="bg1"/>
              </a:bgClr>
            </a:pattFill>
            <a:ln>
              <a:solidFill>
                <a:schemeClr val="tx1"/>
              </a:solidFill>
            </a:ln>
            <a:effectLst/>
          </c:spPr>
          <c:invertIfNegative val="0"/>
          <c:dLbls>
            <c:dLbl>
              <c:idx val="3"/>
              <c:tx>
                <c:rich>
                  <a:bodyPr/>
                  <a:lstStyle/>
                  <a:p>
                    <a:r>
                      <a:rPr lang="en-US"/>
                      <a:t>*</a:t>
                    </a:r>
                    <a:fld id="{CFB5E85E-2BF7-4CA7-93C7-5A24A2A22831}"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11'!$F$10:$F$13</c:f>
              <c:strCache>
                <c:ptCount val="4"/>
                <c:pt idx="0">
                  <c:v>Males under 4</c:v>
                </c:pt>
                <c:pt idx="1">
                  <c:v>Males 4 to 9</c:v>
                </c:pt>
                <c:pt idx="2">
                  <c:v>Males 10 to 11</c:v>
                </c:pt>
                <c:pt idx="3">
                  <c:v>Males 12 to 14</c:v>
                </c:pt>
              </c:strCache>
            </c:strRef>
          </c:cat>
          <c:val>
            <c:numRef>
              <c:f>'Table 11'!$G$10:$G$13</c:f>
              <c:numCache>
                <c:formatCode>#,##0.0</c:formatCode>
                <c:ptCount val="4"/>
                <c:pt idx="0">
                  <c:v>33.5</c:v>
                </c:pt>
                <c:pt idx="1">
                  <c:v>302</c:v>
                </c:pt>
                <c:pt idx="2">
                  <c:v>84.9</c:v>
                </c:pt>
                <c:pt idx="3">
                  <c:v>40.700000000000003</c:v>
                </c:pt>
              </c:numCache>
            </c:numRef>
          </c:val>
        </c:ser>
        <c:dLbls>
          <c:showLegendKey val="0"/>
          <c:showVal val="0"/>
          <c:showCatName val="0"/>
          <c:showSerName val="0"/>
          <c:showPercent val="0"/>
          <c:showBubbleSize val="0"/>
        </c:dLbls>
        <c:gapWidth val="219"/>
        <c:overlap val="-27"/>
        <c:axId val="168797920"/>
        <c:axId val="168798312"/>
      </c:barChart>
      <c:catAx>
        <c:axId val="16879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798312"/>
        <c:crosses val="autoZero"/>
        <c:auto val="1"/>
        <c:lblAlgn val="ctr"/>
        <c:lblOffset val="100"/>
        <c:noMultiLvlLbl val="0"/>
      </c:catAx>
      <c:valAx>
        <c:axId val="168798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'000</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79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Figure 2: Estimated number of adult men who first experienced physical abuse as a child, by perpetrator type</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10'!$F$11</c:f>
              <c:strCache>
                <c:ptCount val="1"/>
                <c:pt idx="0">
                  <c:v>Males 0 to 14</c:v>
                </c:pt>
              </c:strCache>
            </c:strRef>
          </c:tx>
          <c:spPr>
            <a:pattFill prst="pct20">
              <a:fgClr>
                <a:schemeClr val="tx1"/>
              </a:fgClr>
              <a:bgClr>
                <a:schemeClr val="bg1"/>
              </a:bgClr>
            </a:pattFill>
            <a:ln>
              <a:solidFill>
                <a:schemeClr val="tx1"/>
              </a:solidFill>
            </a:ln>
            <a:effectLst/>
          </c:spPr>
          <c:invertIfNegative val="0"/>
          <c:dLbls>
            <c:dLbl>
              <c:idx val="2"/>
              <c:tx>
                <c:rich>
                  <a:bodyPr/>
                  <a:lstStyle/>
                  <a:p>
                    <a:r>
                      <a:rPr lang="en-US"/>
                      <a:t>*</a:t>
                    </a:r>
                    <a:fld id="{90F71715-8731-4ED0-8E94-6B473192A869}"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r>
                      <a:rPr lang="en-US"/>
                      <a:t>*</a:t>
                    </a:r>
                    <a:fld id="{CFB5E85E-2BF7-4CA7-93C7-5A24A2A22831}"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tx>
                <c:rich>
                  <a:bodyPr/>
                  <a:lstStyle/>
                  <a:p>
                    <a:fld id="{12228457-4C17-43A9-8929-79E011F30440}"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8"/>
              <c:tx>
                <c:rich>
                  <a:bodyPr/>
                  <a:lstStyle/>
                  <a:p>
                    <a:r>
                      <a:rPr lang="en-US"/>
                      <a:t>*</a:t>
                    </a:r>
                    <a:fld id="{FA33F384-7586-4D56-98A4-4CE04A91D713}"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10'!$E$12:$E$17</c:f>
              <c:strCache>
                <c:ptCount val="6"/>
                <c:pt idx="0">
                  <c:v>Father</c:v>
                </c:pt>
                <c:pt idx="1">
                  <c:v>Mother</c:v>
                </c:pt>
                <c:pt idx="2">
                  <c:v>Sibling</c:v>
                </c:pt>
                <c:pt idx="3">
                  <c:v>Other relative or in-law</c:v>
                </c:pt>
                <c:pt idx="4">
                  <c:v>Other known person</c:v>
                </c:pt>
                <c:pt idx="5">
                  <c:v>Stranger</c:v>
                </c:pt>
              </c:strCache>
            </c:strRef>
          </c:cat>
          <c:val>
            <c:numRef>
              <c:f>'Table 10'!$F$12:$F$17</c:f>
              <c:numCache>
                <c:formatCode>#,##0.0</c:formatCode>
                <c:ptCount val="6"/>
                <c:pt idx="0">
                  <c:v>476.2</c:v>
                </c:pt>
                <c:pt idx="1">
                  <c:v>133.19999999999999</c:v>
                </c:pt>
                <c:pt idx="2">
                  <c:v>47.8</c:v>
                </c:pt>
                <c:pt idx="3">
                  <c:v>17.899999999999999</c:v>
                </c:pt>
                <c:pt idx="4">
                  <c:v>189.9</c:v>
                </c:pt>
                <c:pt idx="5">
                  <c:v>66.7</c:v>
                </c:pt>
              </c:numCache>
            </c:numRef>
          </c:val>
        </c:ser>
        <c:dLbls>
          <c:showLegendKey val="0"/>
          <c:showVal val="0"/>
          <c:showCatName val="0"/>
          <c:showSerName val="0"/>
          <c:showPercent val="0"/>
          <c:showBubbleSize val="0"/>
        </c:dLbls>
        <c:gapWidth val="219"/>
        <c:overlap val="-27"/>
        <c:axId val="168803368"/>
        <c:axId val="168803760"/>
      </c:barChart>
      <c:catAx>
        <c:axId val="168803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803760"/>
        <c:crosses val="autoZero"/>
        <c:auto val="1"/>
        <c:lblAlgn val="ctr"/>
        <c:lblOffset val="100"/>
        <c:noMultiLvlLbl val="0"/>
      </c:catAx>
      <c:valAx>
        <c:axId val="168803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'000</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803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Figure 3: Estimated number of adult women who first experienced physical abuse as a child by a parent, by the victim's age at the first incident of physical abuse</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11'!$G$31</c:f>
              <c:strCache>
                <c:ptCount val="1"/>
                <c:pt idx="0">
                  <c:v>Father</c:v>
                </c:pt>
              </c:strCache>
            </c:strRef>
          </c:tx>
          <c:spPr>
            <a:pattFill prst="pct20">
              <a:fgClr>
                <a:schemeClr val="tx1"/>
              </a:fgClr>
              <a:bgClr>
                <a:schemeClr val="bg1"/>
              </a:bgClr>
            </a:pattFill>
            <a:ln>
              <a:solidFill>
                <a:schemeClr val="tx1"/>
              </a:solidFill>
            </a:ln>
            <a:effectLst/>
          </c:spPr>
          <c:invertIfNegative val="0"/>
          <c:dLbls>
            <c:dLbl>
              <c:idx val="3"/>
              <c:tx>
                <c:rich>
                  <a:bodyPr/>
                  <a:lstStyle/>
                  <a:p>
                    <a:fld id="{CFB5E85E-2BF7-4CA7-93C7-5A24A2A22831}"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11'!$F$32:$F$35</c:f>
              <c:strCache>
                <c:ptCount val="4"/>
                <c:pt idx="0">
                  <c:v>Females under 4</c:v>
                </c:pt>
                <c:pt idx="1">
                  <c:v>Females 4 to 9</c:v>
                </c:pt>
                <c:pt idx="2">
                  <c:v>Females 10 to 11</c:v>
                </c:pt>
                <c:pt idx="3">
                  <c:v>Females 12 to 14</c:v>
                </c:pt>
              </c:strCache>
            </c:strRef>
          </c:cat>
          <c:val>
            <c:numRef>
              <c:f>'Table 11'!$G$32:$G$35</c:f>
              <c:numCache>
                <c:formatCode>#,##0.0</c:formatCode>
                <c:ptCount val="4"/>
                <c:pt idx="0">
                  <c:v>37.9</c:v>
                </c:pt>
                <c:pt idx="1">
                  <c:v>246.9</c:v>
                </c:pt>
                <c:pt idx="2">
                  <c:v>56</c:v>
                </c:pt>
                <c:pt idx="3">
                  <c:v>68</c:v>
                </c:pt>
              </c:numCache>
            </c:numRef>
          </c:val>
        </c:ser>
        <c:ser>
          <c:idx val="1"/>
          <c:order val="1"/>
          <c:tx>
            <c:strRef>
              <c:f>'Table 11'!$H$31</c:f>
              <c:strCache>
                <c:ptCount val="1"/>
                <c:pt idx="0">
                  <c:v>Mother</c:v>
                </c:pt>
              </c:strCache>
            </c:strRef>
          </c:tx>
          <c:spPr>
            <a:pattFill prst="pct75">
              <a:fgClr>
                <a:schemeClr val="tx1"/>
              </a:fgClr>
              <a:bgClr>
                <a:schemeClr val="bg1"/>
              </a:bgClr>
            </a:pattFill>
            <a:ln>
              <a:solidFill>
                <a:schemeClr val="tx1"/>
              </a:solidFill>
            </a:ln>
            <a:effectLst/>
          </c:spPr>
          <c:invertIfNegative val="0"/>
          <c:dLbls>
            <c:dLbl>
              <c:idx val="3"/>
              <c:tx>
                <c:rich>
                  <a:bodyPr/>
                  <a:lstStyle/>
                  <a:p>
                    <a:fld id="{20499AC6-1923-4A6C-B0DA-A9261BB2B005}"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11'!$F$32:$F$35</c:f>
              <c:strCache>
                <c:ptCount val="4"/>
                <c:pt idx="0">
                  <c:v>Females under 4</c:v>
                </c:pt>
                <c:pt idx="1">
                  <c:v>Females 4 to 9</c:v>
                </c:pt>
                <c:pt idx="2">
                  <c:v>Females 10 to 11</c:v>
                </c:pt>
                <c:pt idx="3">
                  <c:v>Females 12 to 14</c:v>
                </c:pt>
              </c:strCache>
            </c:strRef>
          </c:cat>
          <c:val>
            <c:numRef>
              <c:f>'Table 11'!$H$32:$H$35</c:f>
              <c:numCache>
                <c:formatCode>#,##0.0</c:formatCode>
                <c:ptCount val="4"/>
                <c:pt idx="0">
                  <c:v>41.2</c:v>
                </c:pt>
                <c:pt idx="1">
                  <c:v>190</c:v>
                </c:pt>
                <c:pt idx="2">
                  <c:v>33.4</c:v>
                </c:pt>
                <c:pt idx="3">
                  <c:v>35.4</c:v>
                </c:pt>
              </c:numCache>
            </c:numRef>
          </c:val>
        </c:ser>
        <c:dLbls>
          <c:showLegendKey val="0"/>
          <c:showVal val="0"/>
          <c:showCatName val="0"/>
          <c:showSerName val="0"/>
          <c:showPercent val="0"/>
          <c:showBubbleSize val="0"/>
        </c:dLbls>
        <c:gapWidth val="219"/>
        <c:overlap val="-27"/>
        <c:axId val="168804544"/>
        <c:axId val="168804936"/>
      </c:barChart>
      <c:catAx>
        <c:axId val="16880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804936"/>
        <c:crosses val="autoZero"/>
        <c:auto val="1"/>
        <c:lblAlgn val="ctr"/>
        <c:lblOffset val="100"/>
        <c:noMultiLvlLbl val="0"/>
      </c:catAx>
      <c:valAx>
        <c:axId val="168804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'000</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804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Figure 4: Estimated number of adult women who first experienced physical abuse as a child, by perpetrator type</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10'!$F$38</c:f>
              <c:strCache>
                <c:ptCount val="1"/>
                <c:pt idx="0">
                  <c:v>Females 0 to 14</c:v>
                </c:pt>
              </c:strCache>
            </c:strRef>
          </c:tx>
          <c:spPr>
            <a:pattFill prst="pct20">
              <a:fgClr>
                <a:schemeClr val="tx1"/>
              </a:fgClr>
              <a:bgClr>
                <a:schemeClr val="bg1"/>
              </a:bgClr>
            </a:pattFill>
            <a:ln>
              <a:solidFill>
                <a:schemeClr val="tx1"/>
              </a:solidFill>
            </a:ln>
            <a:effectLst/>
          </c:spPr>
          <c:invertIfNegative val="0"/>
          <c:dLbls>
            <c:dLbl>
              <c:idx val="3"/>
              <c:tx>
                <c:rich>
                  <a:bodyPr/>
                  <a:lstStyle/>
                  <a:p>
                    <a:fld id="{CFB5E85E-2BF7-4CA7-93C7-5A24A2A22831}"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tx>
                <c:rich>
                  <a:bodyPr/>
                  <a:lstStyle/>
                  <a:p>
                    <a:r>
                      <a:rPr lang="en-US"/>
                      <a:t>*</a:t>
                    </a:r>
                    <a:fld id="{12228457-4C17-43A9-8929-79E011F30440}"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8"/>
              <c:tx>
                <c:rich>
                  <a:bodyPr/>
                  <a:lstStyle/>
                  <a:p>
                    <a:r>
                      <a:rPr lang="en-US"/>
                      <a:t>*</a:t>
                    </a:r>
                    <a:fld id="{FA33F384-7586-4D56-98A4-4CE04A91D713}"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10'!$E$39:$E$47</c:f>
              <c:strCache>
                <c:ptCount val="9"/>
                <c:pt idx="0">
                  <c:v>Father</c:v>
                </c:pt>
                <c:pt idx="1">
                  <c:v>Stepfather</c:v>
                </c:pt>
                <c:pt idx="2">
                  <c:v>Mother</c:v>
                </c:pt>
                <c:pt idx="3">
                  <c:v>Stepmother</c:v>
                </c:pt>
                <c:pt idx="4">
                  <c:v>Brother/stepbrother</c:v>
                </c:pt>
                <c:pt idx="5">
                  <c:v>Sister/stepsister</c:v>
                </c:pt>
                <c:pt idx="6">
                  <c:v>Other relative or in-law</c:v>
                </c:pt>
                <c:pt idx="7">
                  <c:v>Other known person</c:v>
                </c:pt>
                <c:pt idx="8">
                  <c:v>Stranger</c:v>
                </c:pt>
              </c:strCache>
            </c:strRef>
          </c:cat>
          <c:val>
            <c:numRef>
              <c:f>'Table 10'!$F$39:$F$47</c:f>
              <c:numCache>
                <c:formatCode>#,##0.0</c:formatCode>
                <c:ptCount val="9"/>
                <c:pt idx="0">
                  <c:v>431.9</c:v>
                </c:pt>
                <c:pt idx="1">
                  <c:v>67.900000000000006</c:v>
                </c:pt>
                <c:pt idx="2">
                  <c:v>318.60000000000002</c:v>
                </c:pt>
                <c:pt idx="3">
                  <c:v>17.7</c:v>
                </c:pt>
                <c:pt idx="4">
                  <c:v>45.1</c:v>
                </c:pt>
                <c:pt idx="5">
                  <c:v>10.5</c:v>
                </c:pt>
                <c:pt idx="6">
                  <c:v>57.4</c:v>
                </c:pt>
                <c:pt idx="7">
                  <c:v>92.4</c:v>
                </c:pt>
                <c:pt idx="8">
                  <c:v>12.7</c:v>
                </c:pt>
              </c:numCache>
            </c:numRef>
          </c:val>
        </c:ser>
        <c:dLbls>
          <c:showLegendKey val="0"/>
          <c:showVal val="0"/>
          <c:showCatName val="0"/>
          <c:showSerName val="0"/>
          <c:showPercent val="0"/>
          <c:showBubbleSize val="0"/>
        </c:dLbls>
        <c:gapWidth val="219"/>
        <c:overlap val="-27"/>
        <c:axId val="168805720"/>
        <c:axId val="168806112"/>
      </c:barChart>
      <c:catAx>
        <c:axId val="168805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806112"/>
        <c:crosses val="autoZero"/>
        <c:auto val="1"/>
        <c:lblAlgn val="ctr"/>
        <c:lblOffset val="100"/>
        <c:noMultiLvlLbl val="0"/>
      </c:catAx>
      <c:valAx>
        <c:axId val="168806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'000</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805720"/>
        <c:crosses val="autoZero"/>
        <c:crossBetween val="between"/>
        <c:majorUnit val="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Figure 3: Proportion</a:t>
            </a:r>
            <a:r>
              <a:rPr lang="en-AU" baseline="0"/>
              <a:t> of child victims who reported the offender was their sibling, by Indigenous status and by jurisdiction (2010-2013)</a:t>
            </a:r>
            <a:endParaRPr lang="en-AU"/>
          </a:p>
        </c:rich>
      </c:tx>
      <c:overlay val="0"/>
      <c:spPr>
        <a:noFill/>
        <a:ln>
          <a:noFill/>
        </a:ln>
        <a:effectLst/>
      </c:spPr>
    </c:title>
    <c:autoTitleDeleted val="0"/>
    <c:plotArea>
      <c:layout/>
      <c:barChart>
        <c:barDir val="col"/>
        <c:grouping val="clustered"/>
        <c:varyColors val="0"/>
        <c:ser>
          <c:idx val="0"/>
          <c:order val="0"/>
          <c:tx>
            <c:strRef>
              <c:f>Sheet1!$B$39</c:f>
              <c:strCache>
                <c:ptCount val="1"/>
                <c:pt idx="0">
                  <c:v>Proportion of child victims of physical assault who reported the offender was their sibling</c:v>
                </c:pt>
              </c:strCache>
            </c:strRef>
          </c:tx>
          <c:spPr>
            <a:solidFill>
              <a:schemeClr val="bg2"/>
            </a:solidFill>
            <a:ln>
              <a:noFill/>
            </a:ln>
            <a:effectLst/>
          </c:spPr>
          <c:invertIfNegative val="0"/>
          <c:dLbls>
            <c:dLbl>
              <c:idx val="0"/>
              <c:tx>
                <c:rich>
                  <a:bodyPr/>
                  <a:lstStyle/>
                  <a:p>
                    <a:fld id="{53AFA534-EE3B-4A42-B606-B9645D5C694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E717EF2E-0BC5-44A5-93D7-054CD140433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910D3150-2E4E-48DD-8F48-1B75CE7232B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DAE6C021-1AA7-41B2-9A0C-970782FD48C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27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Sheet1!$A$40:$A$44</c:f>
              <c:strCache>
                <c:ptCount val="5"/>
                <c:pt idx="0">
                  <c:v>Indigenous child victims in New South Wales</c:v>
                </c:pt>
                <c:pt idx="1">
                  <c:v>non-Indigenous child victims in New South Wales</c:v>
                </c:pt>
                <c:pt idx="2">
                  <c:v>Indigenous child victims in South Australia</c:v>
                </c:pt>
                <c:pt idx="3">
                  <c:v>non-Indigenous child victims in South Australia</c:v>
                </c:pt>
                <c:pt idx="4">
                  <c:v>All child victims in Victoria</c:v>
                </c:pt>
              </c:strCache>
            </c:strRef>
          </c:cat>
          <c:val>
            <c:numRef>
              <c:f>Sheet1!$B$40:$B$44</c:f>
              <c:numCache>
                <c:formatCode>General</c:formatCode>
                <c:ptCount val="5"/>
                <c:pt idx="0">
                  <c:v>13.41</c:v>
                </c:pt>
                <c:pt idx="1">
                  <c:v>11.65</c:v>
                </c:pt>
                <c:pt idx="2">
                  <c:v>7.87</c:v>
                </c:pt>
                <c:pt idx="3">
                  <c:v>6.54</c:v>
                </c:pt>
              </c:numCache>
            </c:numRef>
          </c:val>
        </c:ser>
        <c:ser>
          <c:idx val="1"/>
          <c:order val="1"/>
          <c:tx>
            <c:strRef>
              <c:f>Sheet1!$C$39</c:f>
              <c:strCache>
                <c:ptCount val="1"/>
                <c:pt idx="0">
                  <c:v>Proportion of child victims of sexual assault who reported the offender was their sibling</c:v>
                </c:pt>
              </c:strCache>
            </c:strRef>
          </c:tx>
          <c:spPr>
            <a:solidFill>
              <a:schemeClr val="bg1">
                <a:lumMod val="65000"/>
              </a:schemeClr>
            </a:solidFill>
            <a:ln>
              <a:noFill/>
            </a:ln>
            <a:effectLst/>
          </c:spPr>
          <c:invertIfNegative val="0"/>
          <c:dLbls>
            <c:dLbl>
              <c:idx val="0"/>
              <c:tx>
                <c:rich>
                  <a:bodyPr/>
                  <a:lstStyle/>
                  <a:p>
                    <a:fld id="{D2195611-D670-4C65-8E9B-8A1F466E424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FE304567-AE66-4455-8858-70FA9BF07C1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13301AA5-DB10-4799-80F1-3EF97008B09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27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Sheet1!$A$40:$A$44</c:f>
              <c:strCache>
                <c:ptCount val="5"/>
                <c:pt idx="0">
                  <c:v>Indigenous child victims in New South Wales</c:v>
                </c:pt>
                <c:pt idx="1">
                  <c:v>non-Indigenous child victims in New South Wales</c:v>
                </c:pt>
                <c:pt idx="2">
                  <c:v>Indigenous child victims in South Australia</c:v>
                </c:pt>
                <c:pt idx="3">
                  <c:v>non-Indigenous child victims in South Australia</c:v>
                </c:pt>
                <c:pt idx="4">
                  <c:v>All child victims in Victoria</c:v>
                </c:pt>
              </c:strCache>
            </c:strRef>
          </c:cat>
          <c:val>
            <c:numRef>
              <c:f>Sheet1!$C$40:$C$44</c:f>
              <c:numCache>
                <c:formatCode>General</c:formatCode>
                <c:ptCount val="5"/>
                <c:pt idx="0">
                  <c:v>6.47</c:v>
                </c:pt>
                <c:pt idx="1">
                  <c:v>5.84</c:v>
                </c:pt>
                <c:pt idx="4">
                  <c:v>7.31</c:v>
                </c:pt>
              </c:numCache>
            </c:numRef>
          </c:val>
        </c:ser>
        <c:dLbls>
          <c:showLegendKey val="0"/>
          <c:showVal val="0"/>
          <c:showCatName val="0"/>
          <c:showSerName val="0"/>
          <c:showPercent val="0"/>
          <c:showBubbleSize val="0"/>
        </c:dLbls>
        <c:gapWidth val="219"/>
        <c:overlap val="-27"/>
        <c:axId val="166479344"/>
        <c:axId val="166479728"/>
      </c:barChart>
      <c:catAx>
        <c:axId val="16647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479728"/>
        <c:crosses val="autoZero"/>
        <c:auto val="1"/>
        <c:lblAlgn val="ctr"/>
        <c:lblOffset val="100"/>
        <c:noMultiLvlLbl val="0"/>
      </c:catAx>
      <c:valAx>
        <c:axId val="166479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479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Figure 5: Estimated number of adult men who first experienced sexual abuse as a child, by perpetrator type</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10'!$F$24</c:f>
              <c:strCache>
                <c:ptCount val="1"/>
                <c:pt idx="0">
                  <c:v>Males 0 to 14</c:v>
                </c:pt>
              </c:strCache>
            </c:strRef>
          </c:tx>
          <c:spPr>
            <a:pattFill prst="pct20">
              <a:fgClr>
                <a:schemeClr val="tx1"/>
              </a:fgClr>
              <a:bgClr>
                <a:schemeClr val="bg1"/>
              </a:bgClr>
            </a:pattFill>
            <a:ln>
              <a:solidFill>
                <a:schemeClr val="tx1"/>
              </a:solidFill>
            </a:ln>
            <a:effectLst/>
          </c:spPr>
          <c:invertIfNegative val="0"/>
          <c:dLbls>
            <c:dLbl>
              <c:idx val="2"/>
              <c:tx>
                <c:rich>
                  <a:bodyPr/>
                  <a:lstStyle/>
                  <a:p>
                    <a:fld id="{90F71715-8731-4ED0-8E94-6B473192A869}"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r>
                      <a:rPr lang="en-US"/>
                      <a:t>*</a:t>
                    </a:r>
                    <a:fld id="{CFB5E85E-2BF7-4CA7-93C7-5A24A2A22831}"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tx>
                <c:rich>
                  <a:bodyPr/>
                  <a:lstStyle/>
                  <a:p>
                    <a:fld id="{12228457-4C17-43A9-8929-79E011F30440}"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8"/>
              <c:tx>
                <c:rich>
                  <a:bodyPr/>
                  <a:lstStyle/>
                  <a:p>
                    <a:r>
                      <a:rPr lang="en-US"/>
                      <a:t>*</a:t>
                    </a:r>
                    <a:fld id="{FA33F384-7586-4D56-98A4-4CE04A91D713}"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10'!$E$25:$E$27</c:f>
              <c:strCache>
                <c:ptCount val="3"/>
                <c:pt idx="0">
                  <c:v>Family member</c:v>
                </c:pt>
                <c:pt idx="1">
                  <c:v>Other known person</c:v>
                </c:pt>
                <c:pt idx="2">
                  <c:v>Stranger</c:v>
                </c:pt>
              </c:strCache>
            </c:strRef>
          </c:cat>
          <c:val>
            <c:numRef>
              <c:f>'Table 10'!$F$25:$F$27</c:f>
              <c:numCache>
                <c:formatCode>#,##0.0</c:formatCode>
                <c:ptCount val="3"/>
                <c:pt idx="0">
                  <c:v>97.8</c:v>
                </c:pt>
                <c:pt idx="1">
                  <c:v>215.6</c:v>
                </c:pt>
                <c:pt idx="2">
                  <c:v>49.9</c:v>
                </c:pt>
              </c:numCache>
            </c:numRef>
          </c:val>
        </c:ser>
        <c:dLbls>
          <c:showLegendKey val="0"/>
          <c:showVal val="0"/>
          <c:showCatName val="0"/>
          <c:showSerName val="0"/>
          <c:showPercent val="0"/>
          <c:showBubbleSize val="0"/>
        </c:dLbls>
        <c:gapWidth val="219"/>
        <c:overlap val="-27"/>
        <c:axId val="168806896"/>
        <c:axId val="169205384"/>
      </c:barChart>
      <c:catAx>
        <c:axId val="16880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9205384"/>
        <c:crosses val="autoZero"/>
        <c:auto val="1"/>
        <c:lblAlgn val="ctr"/>
        <c:lblOffset val="100"/>
        <c:noMultiLvlLbl val="0"/>
      </c:catAx>
      <c:valAx>
        <c:axId val="169205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t>'000</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80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 6: Estimated number of adult women who first experienced sexual abuse as a child, by perpertrator type</a:t>
            </a:r>
          </a:p>
        </c:rich>
      </c:tx>
      <c:overlay val="0"/>
      <c:spPr>
        <a:noFill/>
        <a:ln>
          <a:noFill/>
        </a:ln>
        <a:effectLst/>
      </c:spPr>
    </c:title>
    <c:autoTitleDeleted val="0"/>
    <c:plotArea>
      <c:layout/>
      <c:barChart>
        <c:barDir val="col"/>
        <c:grouping val="clustered"/>
        <c:varyColors val="0"/>
        <c:ser>
          <c:idx val="0"/>
          <c:order val="0"/>
          <c:tx>
            <c:strRef>
              <c:f>'Table 10'!$F$59</c:f>
              <c:strCache>
                <c:ptCount val="1"/>
                <c:pt idx="0">
                  <c:v>Females 0 to 14</c:v>
                </c:pt>
              </c:strCache>
            </c:strRef>
          </c:tx>
          <c:spPr>
            <a:pattFill prst="pct20">
              <a:fgClr>
                <a:schemeClr val="tx1"/>
              </a:fgClr>
              <a:bgClr>
                <a:schemeClr val="bg1"/>
              </a:bgClr>
            </a:pattFill>
            <a:ln>
              <a:solidFill>
                <a:schemeClr val="tx1"/>
              </a:solidFill>
            </a:ln>
            <a:effectLst/>
          </c:spPr>
          <c:invertIfNegative val="0"/>
          <c:dLbls>
            <c:dLbl>
              <c:idx val="2"/>
              <c:tx>
                <c:rich>
                  <a:bodyPr/>
                  <a:lstStyle/>
                  <a:p>
                    <a:r>
                      <a:rPr lang="en-US"/>
                      <a:t>*</a:t>
                    </a:r>
                    <a:fld id="{44AC1A22-961A-4E3D-BB68-DBC298DB65AF}"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CFB5E85E-2BF7-4CA7-93C7-5A24A2A22831}"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r>
                      <a:rPr lang="en-US"/>
                      <a:t>**</a:t>
                    </a:r>
                    <a:fld id="{105B0BF3-7145-4D69-AB84-2723D91C47E8}"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tx>
                <c:rich>
                  <a:bodyPr/>
                  <a:lstStyle/>
                  <a:p>
                    <a:fld id="{12228457-4C17-43A9-8929-79E011F30440}"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6"/>
              <c:tx>
                <c:rich>
                  <a:bodyPr/>
                  <a:lstStyle/>
                  <a:p>
                    <a:r>
                      <a:rPr lang="en-US"/>
                      <a:t>**</a:t>
                    </a:r>
                    <a:fld id="{A0B4A9FA-E618-4551-8D48-10A6E4E3E937}"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8"/>
              <c:tx>
                <c:rich>
                  <a:bodyPr/>
                  <a:lstStyle/>
                  <a:p>
                    <a:fld id="{FA33F384-7586-4D56-98A4-4CE04A91D713}"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9"/>
              <c:tx>
                <c:rich>
                  <a:bodyPr/>
                  <a:lstStyle/>
                  <a:p>
                    <a:r>
                      <a:rPr lang="en-US"/>
                      <a:t>**</a:t>
                    </a:r>
                    <a:fld id="{A91FDFEA-4D77-4992-A381-A93CF3271D61}"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10'!$E$60:$E$69</c:f>
              <c:strCache>
                <c:ptCount val="10"/>
                <c:pt idx="0">
                  <c:v>Father</c:v>
                </c:pt>
                <c:pt idx="1">
                  <c:v>Stepfather</c:v>
                </c:pt>
                <c:pt idx="2">
                  <c:v>Total mother</c:v>
                </c:pt>
                <c:pt idx="3">
                  <c:v>Brother/stepbrother</c:v>
                </c:pt>
                <c:pt idx="4">
                  <c:v>Sister/stepsister</c:v>
                </c:pt>
                <c:pt idx="5">
                  <c:v>Male relative or in-law</c:v>
                </c:pt>
                <c:pt idx="6">
                  <c:v>Female relative or in-law</c:v>
                </c:pt>
                <c:pt idx="7">
                  <c:v>Other known person</c:v>
                </c:pt>
                <c:pt idx="8">
                  <c:v>Stranger</c:v>
                </c:pt>
                <c:pt idx="9">
                  <c:v>Don't know/refusal</c:v>
                </c:pt>
              </c:strCache>
            </c:strRef>
          </c:cat>
          <c:val>
            <c:numRef>
              <c:f>'Table 10'!$F$60:$F$69</c:f>
              <c:numCache>
                <c:formatCode>#,##0.0</c:formatCode>
                <c:ptCount val="10"/>
                <c:pt idx="0">
                  <c:v>90.3</c:v>
                </c:pt>
                <c:pt idx="1">
                  <c:v>60.4</c:v>
                </c:pt>
                <c:pt idx="2">
                  <c:v>5.6</c:v>
                </c:pt>
                <c:pt idx="3">
                  <c:v>74.5</c:v>
                </c:pt>
                <c:pt idx="4">
                  <c:v>2.2999999999999998</c:v>
                </c:pt>
                <c:pt idx="5">
                  <c:v>296</c:v>
                </c:pt>
                <c:pt idx="6">
                  <c:v>5.8</c:v>
                </c:pt>
                <c:pt idx="7">
                  <c:v>489.4</c:v>
                </c:pt>
                <c:pt idx="8">
                  <c:v>115.7</c:v>
                </c:pt>
                <c:pt idx="9">
                  <c:v>2</c:v>
                </c:pt>
              </c:numCache>
            </c:numRef>
          </c:val>
        </c:ser>
        <c:dLbls>
          <c:showLegendKey val="0"/>
          <c:showVal val="0"/>
          <c:showCatName val="0"/>
          <c:showSerName val="0"/>
          <c:showPercent val="0"/>
          <c:showBubbleSize val="0"/>
        </c:dLbls>
        <c:gapWidth val="219"/>
        <c:overlap val="-27"/>
        <c:axId val="169206168"/>
        <c:axId val="169206560"/>
      </c:barChart>
      <c:catAx>
        <c:axId val="169206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9206560"/>
        <c:crosses val="autoZero"/>
        <c:auto val="1"/>
        <c:lblAlgn val="ctr"/>
        <c:lblOffset val="100"/>
        <c:noMultiLvlLbl val="0"/>
      </c:catAx>
      <c:valAx>
        <c:axId val="169206560"/>
        <c:scaling>
          <c:orientation val="minMax"/>
          <c:max val="52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'000</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9206168"/>
        <c:crosses val="autoZero"/>
        <c:crossBetween val="between"/>
        <c:majorUnit val="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Figure 7: Estimated number of adult women who first experienced sexual abuse as a child, by perpetrator type and by the victim's age at the first incident of sexual abuse</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11'!$F$60</c:f>
              <c:strCache>
                <c:ptCount val="1"/>
                <c:pt idx="0">
                  <c:v>Father/stepfather</c:v>
                </c:pt>
              </c:strCache>
            </c:strRef>
          </c:tx>
          <c:spPr>
            <a:pattFill prst="pct20">
              <a:fgClr>
                <a:schemeClr val="tx1"/>
              </a:fgClr>
              <a:bgClr>
                <a:schemeClr val="bg1"/>
              </a:bgClr>
            </a:pattFill>
            <a:ln>
              <a:solidFill>
                <a:schemeClr val="tx1"/>
              </a:solidFill>
            </a:ln>
            <a:effectLst/>
          </c:spPr>
          <c:invertIfNegative val="0"/>
          <c:dLbls>
            <c:dLbl>
              <c:idx val="0"/>
              <c:tx>
                <c:rich>
                  <a:bodyPr/>
                  <a:lstStyle/>
                  <a:p>
                    <a:r>
                      <a:rPr lang="en-US"/>
                      <a:t>*</a:t>
                    </a:r>
                    <a:fld id="{6AC04C29-BB13-47D3-9F80-8FAD36509C8A}"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11'!$E$61:$E$64</c:f>
              <c:strCache>
                <c:ptCount val="4"/>
                <c:pt idx="0">
                  <c:v>Females under 4</c:v>
                </c:pt>
                <c:pt idx="1">
                  <c:v>Females 4 to 9</c:v>
                </c:pt>
                <c:pt idx="2">
                  <c:v>Females 10 to 11</c:v>
                </c:pt>
                <c:pt idx="3">
                  <c:v>Females 12 to 14</c:v>
                </c:pt>
              </c:strCache>
            </c:strRef>
          </c:cat>
          <c:val>
            <c:numRef>
              <c:f>'Table 11'!$F$61:$F$64</c:f>
              <c:numCache>
                <c:formatCode>#,##0.0</c:formatCode>
                <c:ptCount val="4"/>
                <c:pt idx="0">
                  <c:v>17.8</c:v>
                </c:pt>
                <c:pt idx="1">
                  <c:v>62.7</c:v>
                </c:pt>
                <c:pt idx="2">
                  <c:v>35.700000000000003</c:v>
                </c:pt>
                <c:pt idx="3">
                  <c:v>31</c:v>
                </c:pt>
              </c:numCache>
            </c:numRef>
          </c:val>
        </c:ser>
        <c:ser>
          <c:idx val="1"/>
          <c:order val="1"/>
          <c:tx>
            <c:strRef>
              <c:f>'Table 11'!$G$60</c:f>
              <c:strCache>
                <c:ptCount val="1"/>
                <c:pt idx="0">
                  <c:v>Brother/stepbrother</c:v>
                </c:pt>
              </c:strCache>
            </c:strRef>
          </c:tx>
          <c:spPr>
            <a:pattFill prst="pct75">
              <a:fgClr>
                <a:schemeClr val="tx1"/>
              </a:fgClr>
              <a:bgClr>
                <a:schemeClr val="bg1"/>
              </a:bgClr>
            </a:pattFill>
            <a:ln>
              <a:solidFill>
                <a:schemeClr val="tx1"/>
              </a:solidFill>
            </a:ln>
            <a:effectLst/>
          </c:spPr>
          <c:invertIfNegative val="0"/>
          <c:dLbls>
            <c:dLbl>
              <c:idx val="0"/>
              <c:tx>
                <c:rich>
                  <a:bodyPr/>
                  <a:lstStyle/>
                  <a:p>
                    <a:r>
                      <a:rPr lang="en-US"/>
                      <a:t>*</a:t>
                    </a:r>
                    <a:fld id="{2D529A02-3A8A-4BCC-B6D1-179E4B8D1D5B}"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r>
                      <a:rPr lang="en-US"/>
                      <a:t>*</a:t>
                    </a:r>
                    <a:fld id="{D352C90D-5DC4-4A9C-87C8-18B5E78B9741}"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r>
                      <a:rPr lang="en-US"/>
                      <a:t>*</a:t>
                    </a:r>
                    <a:fld id="{D494A1A0-5B9B-4771-AE03-41D8EDF880A8}"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11'!$E$61:$E$64</c:f>
              <c:strCache>
                <c:ptCount val="4"/>
                <c:pt idx="0">
                  <c:v>Females under 4</c:v>
                </c:pt>
                <c:pt idx="1">
                  <c:v>Females 4 to 9</c:v>
                </c:pt>
                <c:pt idx="2">
                  <c:v>Females 10 to 11</c:v>
                </c:pt>
                <c:pt idx="3">
                  <c:v>Females 12 to 14</c:v>
                </c:pt>
              </c:strCache>
            </c:strRef>
          </c:cat>
          <c:val>
            <c:numRef>
              <c:f>'Table 11'!$G$61:$G$64</c:f>
              <c:numCache>
                <c:formatCode>#,##0.0</c:formatCode>
                <c:ptCount val="4"/>
                <c:pt idx="0">
                  <c:v>10.3</c:v>
                </c:pt>
                <c:pt idx="1">
                  <c:v>42.3</c:v>
                </c:pt>
                <c:pt idx="2">
                  <c:v>11.3</c:v>
                </c:pt>
                <c:pt idx="3">
                  <c:v>9.7000000000000011</c:v>
                </c:pt>
              </c:numCache>
            </c:numRef>
          </c:val>
        </c:ser>
        <c:ser>
          <c:idx val="2"/>
          <c:order val="2"/>
          <c:tx>
            <c:strRef>
              <c:f>'Table 11'!$H$60</c:f>
              <c:strCache>
                <c:ptCount val="1"/>
                <c:pt idx="0">
                  <c:v>Other male relative or in-law</c:v>
                </c:pt>
              </c:strCache>
            </c:strRef>
          </c:tx>
          <c:spPr>
            <a:solidFill>
              <a:schemeClr val="bg1">
                <a:lumMod val="50000"/>
              </a:schemeClr>
            </a:solidFill>
            <a:ln>
              <a:solidFill>
                <a:schemeClr val="tx1"/>
              </a:solidFill>
            </a:ln>
            <a:effectLst/>
          </c:spPr>
          <c:invertIfNegative val="0"/>
          <c:dLbls>
            <c:dLbl>
              <c:idx val="0"/>
              <c:tx>
                <c:rich>
                  <a:bodyPr/>
                  <a:lstStyle/>
                  <a:p>
                    <a:r>
                      <a:rPr lang="en-US"/>
                      <a:t>*</a:t>
                    </a:r>
                    <a:fld id="{30C9F846-B894-483C-8835-7C16ED857490}"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11'!$E$61:$E$64</c:f>
              <c:strCache>
                <c:ptCount val="4"/>
                <c:pt idx="0">
                  <c:v>Females under 4</c:v>
                </c:pt>
                <c:pt idx="1">
                  <c:v>Females 4 to 9</c:v>
                </c:pt>
                <c:pt idx="2">
                  <c:v>Females 10 to 11</c:v>
                </c:pt>
                <c:pt idx="3">
                  <c:v>Females 12 to 14</c:v>
                </c:pt>
              </c:strCache>
            </c:strRef>
          </c:cat>
          <c:val>
            <c:numRef>
              <c:f>'Table 11'!$H$61:$H$64</c:f>
              <c:numCache>
                <c:formatCode>#,##0.0</c:formatCode>
                <c:ptCount val="4"/>
                <c:pt idx="0">
                  <c:v>16.899999999999999</c:v>
                </c:pt>
                <c:pt idx="1">
                  <c:v>162</c:v>
                </c:pt>
                <c:pt idx="2">
                  <c:v>59</c:v>
                </c:pt>
                <c:pt idx="3">
                  <c:v>49.2</c:v>
                </c:pt>
              </c:numCache>
            </c:numRef>
          </c:val>
        </c:ser>
        <c:dLbls>
          <c:showLegendKey val="0"/>
          <c:showVal val="0"/>
          <c:showCatName val="0"/>
          <c:showSerName val="0"/>
          <c:showPercent val="0"/>
          <c:showBubbleSize val="0"/>
        </c:dLbls>
        <c:gapWidth val="219"/>
        <c:overlap val="-27"/>
        <c:axId val="169207344"/>
        <c:axId val="169207736"/>
      </c:barChart>
      <c:catAx>
        <c:axId val="16920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9207736"/>
        <c:crosses val="autoZero"/>
        <c:auto val="1"/>
        <c:lblAlgn val="ctr"/>
        <c:lblOffset val="100"/>
        <c:noMultiLvlLbl val="0"/>
      </c:catAx>
      <c:valAx>
        <c:axId val="169207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'000</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9207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Figure 4: Proportion of child victims who reported the offender was their partner, by female child victims aged 15 to 17 years</a:t>
            </a:r>
            <a:r>
              <a:rPr lang="en-AU" baseline="0"/>
              <a:t> and by Indigenous status (New South Wales, 2010-2013)</a:t>
            </a:r>
            <a:endParaRPr lang="en-AU"/>
          </a:p>
        </c:rich>
      </c:tx>
      <c:overlay val="0"/>
      <c:spPr>
        <a:noFill/>
        <a:ln>
          <a:noFill/>
        </a:ln>
        <a:effectLst/>
      </c:spPr>
    </c:title>
    <c:autoTitleDeleted val="0"/>
    <c:plotArea>
      <c:layout/>
      <c:barChart>
        <c:barDir val="col"/>
        <c:grouping val="clustered"/>
        <c:varyColors val="0"/>
        <c:ser>
          <c:idx val="0"/>
          <c:order val="0"/>
          <c:tx>
            <c:strRef>
              <c:f>Sheet1!$B$49</c:f>
              <c:strCache>
                <c:ptCount val="1"/>
                <c:pt idx="0">
                  <c:v>Female victims of physical assault aged 15 to 17</c:v>
                </c:pt>
              </c:strCache>
            </c:strRef>
          </c:tx>
          <c:spPr>
            <a:solidFill>
              <a:schemeClr val="bg2"/>
            </a:solidFill>
            <a:ln>
              <a:noFill/>
            </a:ln>
            <a:effectLst/>
          </c:spPr>
          <c:invertIfNegative val="0"/>
          <c:dLbls>
            <c:dLbl>
              <c:idx val="0"/>
              <c:tx>
                <c:rich>
                  <a:bodyPr/>
                  <a:lstStyle/>
                  <a:p>
                    <a:fld id="{AECA4132-4CB5-40C9-9248-D6637078DBC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F80CDDC9-5803-4C87-875D-696EA59DBE2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27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Sheet1!$A$50:$A$51</c:f>
              <c:strCache>
                <c:ptCount val="2"/>
                <c:pt idx="0">
                  <c:v>Indigenous child victims</c:v>
                </c:pt>
                <c:pt idx="1">
                  <c:v>non-Indigenous child victims</c:v>
                </c:pt>
              </c:strCache>
            </c:strRef>
          </c:cat>
          <c:val>
            <c:numRef>
              <c:f>Sheet1!$B$50:$B$51</c:f>
              <c:numCache>
                <c:formatCode>General</c:formatCode>
                <c:ptCount val="2"/>
                <c:pt idx="0">
                  <c:v>84.07</c:v>
                </c:pt>
                <c:pt idx="1">
                  <c:v>87.15</c:v>
                </c:pt>
              </c:numCache>
            </c:numRef>
          </c:val>
        </c:ser>
        <c:ser>
          <c:idx val="1"/>
          <c:order val="1"/>
          <c:tx>
            <c:strRef>
              <c:f>Sheet1!$C$49</c:f>
              <c:strCache>
                <c:ptCount val="1"/>
                <c:pt idx="0">
                  <c:v>Female victims of sexual assault aged 15 to 17</c:v>
                </c:pt>
              </c:strCache>
            </c:strRef>
          </c:tx>
          <c:spPr>
            <a:solidFill>
              <a:schemeClr val="bg1">
                <a:lumMod val="65000"/>
              </a:schemeClr>
            </a:solidFill>
            <a:ln>
              <a:noFill/>
            </a:ln>
            <a:effectLst/>
          </c:spPr>
          <c:invertIfNegative val="0"/>
          <c:dLbls>
            <c:dLbl>
              <c:idx val="0"/>
              <c:tx>
                <c:rich>
                  <a:bodyPr/>
                  <a:lstStyle/>
                  <a:p>
                    <a:fld id="{4BA71DF5-7AFF-46B9-82F5-BE222062CEE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884B0DD6-851E-4876-8EF7-B79E2BA8E10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27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Sheet1!$A$50:$A$51</c:f>
              <c:strCache>
                <c:ptCount val="2"/>
                <c:pt idx="0">
                  <c:v>Indigenous child victims</c:v>
                </c:pt>
                <c:pt idx="1">
                  <c:v>non-Indigenous child victims</c:v>
                </c:pt>
              </c:strCache>
            </c:strRef>
          </c:cat>
          <c:val>
            <c:numRef>
              <c:f>Sheet1!$C$50:$C$51</c:f>
              <c:numCache>
                <c:formatCode>General</c:formatCode>
                <c:ptCount val="2"/>
                <c:pt idx="0">
                  <c:v>45.34</c:v>
                </c:pt>
                <c:pt idx="1">
                  <c:v>49.68</c:v>
                </c:pt>
              </c:numCache>
            </c:numRef>
          </c:val>
        </c:ser>
        <c:dLbls>
          <c:showLegendKey val="0"/>
          <c:showVal val="0"/>
          <c:showCatName val="0"/>
          <c:showSerName val="0"/>
          <c:showPercent val="0"/>
          <c:showBubbleSize val="0"/>
        </c:dLbls>
        <c:gapWidth val="219"/>
        <c:overlap val="-27"/>
        <c:axId val="166092696"/>
        <c:axId val="166093088"/>
      </c:barChart>
      <c:catAx>
        <c:axId val="166092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093088"/>
        <c:crosses val="autoZero"/>
        <c:auto val="1"/>
        <c:lblAlgn val="ctr"/>
        <c:lblOffset val="100"/>
        <c:noMultiLvlLbl val="0"/>
      </c:catAx>
      <c:valAx>
        <c:axId val="166093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092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 1: Number of Aboriginal and Torres Strait Islander</a:t>
            </a:r>
            <a:r>
              <a:rPr lang="en-AU" baseline="0">
                <a:solidFill>
                  <a:sysClr val="windowText" lastClr="000000"/>
                </a:solidFill>
              </a:rPr>
              <a:t> child victims of physical assault, by offender type, by the victim's sex and by the victim's age (New South Wales, 2010-2013)</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1'!$AS$11</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1'!$AR$12:$AR$18</c:f>
              <c:strCache>
                <c:ptCount val="7"/>
                <c:pt idx="0">
                  <c:v>Males 0 to 9</c:v>
                </c:pt>
                <c:pt idx="1">
                  <c:v>Males 10 to 14</c:v>
                </c:pt>
                <c:pt idx="2">
                  <c:v>Males 15 to 17</c:v>
                </c:pt>
                <c:pt idx="4">
                  <c:v>Females 0 to 9</c:v>
                </c:pt>
                <c:pt idx="5">
                  <c:v>Females 10 to 14</c:v>
                </c:pt>
                <c:pt idx="6">
                  <c:v>Females 15 to 17</c:v>
                </c:pt>
              </c:strCache>
            </c:strRef>
          </c:cat>
          <c:val>
            <c:numRef>
              <c:f>'Table 1'!$AS$12:$AS$18</c:f>
              <c:numCache>
                <c:formatCode>General</c:formatCode>
                <c:ptCount val="7"/>
                <c:pt idx="0">
                  <c:v>100</c:v>
                </c:pt>
                <c:pt idx="1">
                  <c:v>75</c:v>
                </c:pt>
                <c:pt idx="2">
                  <c:v>35</c:v>
                </c:pt>
                <c:pt idx="4">
                  <c:v>81</c:v>
                </c:pt>
                <c:pt idx="5">
                  <c:v>90</c:v>
                </c:pt>
                <c:pt idx="6">
                  <c:v>76</c:v>
                </c:pt>
              </c:numCache>
            </c:numRef>
          </c:val>
        </c:ser>
        <c:ser>
          <c:idx val="1"/>
          <c:order val="1"/>
          <c:tx>
            <c:strRef>
              <c:f>'Table 1'!$AT$11</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1'!$AR$12:$AR$18</c:f>
              <c:strCache>
                <c:ptCount val="7"/>
                <c:pt idx="0">
                  <c:v>Males 0 to 9</c:v>
                </c:pt>
                <c:pt idx="1">
                  <c:v>Males 10 to 14</c:v>
                </c:pt>
                <c:pt idx="2">
                  <c:v>Males 15 to 17</c:v>
                </c:pt>
                <c:pt idx="4">
                  <c:v>Females 0 to 9</c:v>
                </c:pt>
                <c:pt idx="5">
                  <c:v>Females 10 to 14</c:v>
                </c:pt>
                <c:pt idx="6">
                  <c:v>Females 15 to 17</c:v>
                </c:pt>
              </c:strCache>
            </c:strRef>
          </c:cat>
          <c:val>
            <c:numRef>
              <c:f>'Table 1'!$AT$12:$AT$18</c:f>
              <c:numCache>
                <c:formatCode>General</c:formatCode>
                <c:ptCount val="7"/>
                <c:pt idx="0">
                  <c:v>0</c:v>
                </c:pt>
                <c:pt idx="1">
                  <c:v>0</c:v>
                </c:pt>
                <c:pt idx="2">
                  <c:v>21</c:v>
                </c:pt>
                <c:pt idx="4">
                  <c:v>0</c:v>
                </c:pt>
                <c:pt idx="5">
                  <c:v>15</c:v>
                </c:pt>
                <c:pt idx="6">
                  <c:v>190</c:v>
                </c:pt>
              </c:numCache>
            </c:numRef>
          </c:val>
        </c:ser>
        <c:ser>
          <c:idx val="2"/>
          <c:order val="2"/>
          <c:tx>
            <c:strRef>
              <c:f>'Table 1'!$AU$11</c:f>
              <c:strCache>
                <c:ptCount val="1"/>
                <c:pt idx="0">
                  <c:v>Sibling</c:v>
                </c:pt>
              </c:strCache>
            </c:strRef>
          </c:tx>
          <c:spPr>
            <a:solidFill>
              <a:schemeClr val="bg1">
                <a:lumMod val="50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1'!$AR$12:$AR$18</c:f>
              <c:strCache>
                <c:ptCount val="7"/>
                <c:pt idx="0">
                  <c:v>Males 0 to 9</c:v>
                </c:pt>
                <c:pt idx="1">
                  <c:v>Males 10 to 14</c:v>
                </c:pt>
                <c:pt idx="2">
                  <c:v>Males 15 to 17</c:v>
                </c:pt>
                <c:pt idx="4">
                  <c:v>Females 0 to 9</c:v>
                </c:pt>
                <c:pt idx="5">
                  <c:v>Females 10 to 14</c:v>
                </c:pt>
                <c:pt idx="6">
                  <c:v>Females 15 to 17</c:v>
                </c:pt>
              </c:strCache>
            </c:strRef>
          </c:cat>
          <c:val>
            <c:numRef>
              <c:f>'Table 1'!$AU$12:$AU$18</c:f>
              <c:numCache>
                <c:formatCode>General</c:formatCode>
                <c:ptCount val="7"/>
                <c:pt idx="0">
                  <c:v>11</c:v>
                </c:pt>
                <c:pt idx="1">
                  <c:v>49</c:v>
                </c:pt>
                <c:pt idx="2">
                  <c:v>40</c:v>
                </c:pt>
                <c:pt idx="4">
                  <c:v>6</c:v>
                </c:pt>
                <c:pt idx="5">
                  <c:v>55</c:v>
                </c:pt>
                <c:pt idx="6">
                  <c:v>93</c:v>
                </c:pt>
              </c:numCache>
            </c:numRef>
          </c:val>
        </c:ser>
        <c:ser>
          <c:idx val="3"/>
          <c:order val="3"/>
          <c:tx>
            <c:strRef>
              <c:f>'Table 1'!$AV$11</c:f>
              <c:strCache>
                <c:ptCount val="1"/>
                <c:pt idx="0">
                  <c:v>Other family member</c:v>
                </c:pt>
              </c:strCache>
            </c:strRef>
          </c:tx>
          <c:spPr>
            <a:pattFill prst="ltDnDiag">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1'!$AR$12:$AR$18</c:f>
              <c:strCache>
                <c:ptCount val="7"/>
                <c:pt idx="0">
                  <c:v>Males 0 to 9</c:v>
                </c:pt>
                <c:pt idx="1">
                  <c:v>Males 10 to 14</c:v>
                </c:pt>
                <c:pt idx="2">
                  <c:v>Males 15 to 17</c:v>
                </c:pt>
                <c:pt idx="4">
                  <c:v>Females 0 to 9</c:v>
                </c:pt>
                <c:pt idx="5">
                  <c:v>Females 10 to 14</c:v>
                </c:pt>
                <c:pt idx="6">
                  <c:v>Females 15 to 17</c:v>
                </c:pt>
              </c:strCache>
            </c:strRef>
          </c:cat>
          <c:val>
            <c:numRef>
              <c:f>'Table 1'!$AV$12:$AV$18</c:f>
              <c:numCache>
                <c:formatCode>General</c:formatCode>
                <c:ptCount val="7"/>
                <c:pt idx="0">
                  <c:v>41</c:v>
                </c:pt>
                <c:pt idx="1">
                  <c:v>44</c:v>
                </c:pt>
                <c:pt idx="2">
                  <c:v>71</c:v>
                </c:pt>
                <c:pt idx="4">
                  <c:v>25</c:v>
                </c:pt>
                <c:pt idx="5">
                  <c:v>59</c:v>
                </c:pt>
                <c:pt idx="6">
                  <c:v>91</c:v>
                </c:pt>
              </c:numCache>
            </c:numRef>
          </c:val>
        </c:ser>
        <c:ser>
          <c:idx val="4"/>
          <c:order val="4"/>
          <c:tx>
            <c:strRef>
              <c:f>'Table 1'!$AW$11</c:f>
              <c:strCache>
                <c:ptCount val="1"/>
                <c:pt idx="0">
                  <c:v>Non-family member</c:v>
                </c:pt>
              </c:strCache>
            </c:strRef>
          </c:tx>
          <c:spPr>
            <a:solidFill>
              <a:schemeClr val="tx1"/>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1'!$AR$12:$AR$18</c:f>
              <c:strCache>
                <c:ptCount val="7"/>
                <c:pt idx="0">
                  <c:v>Males 0 to 9</c:v>
                </c:pt>
                <c:pt idx="1">
                  <c:v>Males 10 to 14</c:v>
                </c:pt>
                <c:pt idx="2">
                  <c:v>Males 15 to 17</c:v>
                </c:pt>
                <c:pt idx="4">
                  <c:v>Females 0 to 9</c:v>
                </c:pt>
                <c:pt idx="5">
                  <c:v>Females 10 to 14</c:v>
                </c:pt>
                <c:pt idx="6">
                  <c:v>Females 15 to 17</c:v>
                </c:pt>
              </c:strCache>
            </c:strRef>
          </c:cat>
          <c:val>
            <c:numRef>
              <c:f>'Table 1'!$AW$12:$AW$18</c:f>
              <c:numCache>
                <c:formatCode>General</c:formatCode>
                <c:ptCount val="7"/>
                <c:pt idx="0">
                  <c:v>41</c:v>
                </c:pt>
                <c:pt idx="1">
                  <c:v>84</c:v>
                </c:pt>
                <c:pt idx="2">
                  <c:v>100</c:v>
                </c:pt>
                <c:pt idx="4">
                  <c:v>25</c:v>
                </c:pt>
                <c:pt idx="5">
                  <c:v>72</c:v>
                </c:pt>
                <c:pt idx="6">
                  <c:v>164</c:v>
                </c:pt>
              </c:numCache>
            </c:numRef>
          </c:val>
        </c:ser>
        <c:ser>
          <c:idx val="5"/>
          <c:order val="5"/>
          <c:tx>
            <c:strRef>
              <c:f>'Table 1'!$AX$11</c:f>
              <c:strCache>
                <c:ptCount val="1"/>
                <c:pt idx="0">
                  <c:v>Stranger</c:v>
                </c:pt>
              </c:strCache>
            </c:strRef>
          </c:tx>
          <c:spPr>
            <a:solidFill>
              <a:schemeClr val="bg1">
                <a:lumMod val="85000"/>
              </a:schemeClr>
            </a:solidFill>
            <a:ln>
              <a:solidFill>
                <a:schemeClr val="tx1"/>
              </a:solidFill>
            </a:ln>
            <a:effectLst/>
          </c:spPr>
          <c:invertIfNegative val="0"/>
          <c:dLbls>
            <c:dLbl>
              <c:idx val="5"/>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1'!$AR$12:$AR$18</c:f>
              <c:strCache>
                <c:ptCount val="7"/>
                <c:pt idx="0">
                  <c:v>Males 0 to 9</c:v>
                </c:pt>
                <c:pt idx="1">
                  <c:v>Males 10 to 14</c:v>
                </c:pt>
                <c:pt idx="2">
                  <c:v>Males 15 to 17</c:v>
                </c:pt>
                <c:pt idx="4">
                  <c:v>Females 0 to 9</c:v>
                </c:pt>
                <c:pt idx="5">
                  <c:v>Females 10 to 14</c:v>
                </c:pt>
                <c:pt idx="6">
                  <c:v>Females 15 to 17</c:v>
                </c:pt>
              </c:strCache>
            </c:strRef>
          </c:cat>
          <c:val>
            <c:numRef>
              <c:f>'Table 1'!$AX$12:$AX$18</c:f>
              <c:numCache>
                <c:formatCode>General</c:formatCode>
                <c:ptCount val="7"/>
                <c:pt idx="0">
                  <c:v>17</c:v>
                </c:pt>
                <c:pt idx="1">
                  <c:v>9</c:v>
                </c:pt>
                <c:pt idx="2">
                  <c:v>12</c:v>
                </c:pt>
                <c:pt idx="4">
                  <c:v>11</c:v>
                </c:pt>
                <c:pt idx="5">
                  <c:v>0</c:v>
                </c:pt>
                <c:pt idx="6">
                  <c:v>22</c:v>
                </c:pt>
              </c:numCache>
            </c:numRef>
          </c:val>
        </c:ser>
        <c:dLbls>
          <c:showLegendKey val="0"/>
          <c:showVal val="0"/>
          <c:showCatName val="0"/>
          <c:showSerName val="0"/>
          <c:showPercent val="0"/>
          <c:showBubbleSize val="0"/>
        </c:dLbls>
        <c:gapWidth val="219"/>
        <c:overlap val="-27"/>
        <c:axId val="166094264"/>
        <c:axId val="166094656"/>
      </c:barChart>
      <c:catAx>
        <c:axId val="166094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094656"/>
        <c:crosses val="autoZero"/>
        <c:auto val="1"/>
        <c:lblAlgn val="ctr"/>
        <c:lblOffset val="100"/>
        <c:noMultiLvlLbl val="0"/>
      </c:catAx>
      <c:valAx>
        <c:axId val="166094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094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 2:</a:t>
            </a:r>
            <a:r>
              <a:rPr lang="en-AU" baseline="0">
                <a:solidFill>
                  <a:sysClr val="windowText" lastClr="000000"/>
                </a:solidFill>
              </a:rPr>
              <a:t> </a:t>
            </a:r>
            <a:r>
              <a:rPr lang="en-AU">
                <a:solidFill>
                  <a:sysClr val="windowText" lastClr="000000"/>
                </a:solidFill>
              </a:rPr>
              <a:t>Number of non-Indigenous</a:t>
            </a:r>
            <a:r>
              <a:rPr lang="en-AU" baseline="0">
                <a:solidFill>
                  <a:sysClr val="windowText" lastClr="000000"/>
                </a:solidFill>
              </a:rPr>
              <a:t> </a:t>
            </a:r>
            <a:r>
              <a:rPr lang="en-AU">
                <a:solidFill>
                  <a:sysClr val="windowText" lastClr="000000"/>
                </a:solidFill>
              </a:rPr>
              <a:t>child victims</a:t>
            </a:r>
            <a:r>
              <a:rPr lang="en-AU" baseline="0">
                <a:solidFill>
                  <a:sysClr val="windowText" lastClr="000000"/>
                </a:solidFill>
              </a:rPr>
              <a:t> of physical assault, by offender type, by the victim's sex and by the victim's age (New South Wales, 2010-2013)</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1'!$AS$28</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1'!$AR$29:$AR$35</c:f>
              <c:strCache>
                <c:ptCount val="7"/>
                <c:pt idx="0">
                  <c:v>Males 0 to 9</c:v>
                </c:pt>
                <c:pt idx="1">
                  <c:v>Males 10 to 14</c:v>
                </c:pt>
                <c:pt idx="2">
                  <c:v>Males 15 to 17</c:v>
                </c:pt>
                <c:pt idx="4">
                  <c:v>Females 0 to 9</c:v>
                </c:pt>
                <c:pt idx="5">
                  <c:v>Females 10 to 14</c:v>
                </c:pt>
                <c:pt idx="6">
                  <c:v>Females 15 to 17</c:v>
                </c:pt>
              </c:strCache>
            </c:strRef>
          </c:cat>
          <c:val>
            <c:numRef>
              <c:f>'Table 1'!$AS$29:$AS$35</c:f>
              <c:numCache>
                <c:formatCode>General</c:formatCode>
                <c:ptCount val="7"/>
                <c:pt idx="0">
                  <c:v>945</c:v>
                </c:pt>
                <c:pt idx="1">
                  <c:v>899</c:v>
                </c:pt>
                <c:pt idx="2">
                  <c:v>595</c:v>
                </c:pt>
                <c:pt idx="4">
                  <c:v>723</c:v>
                </c:pt>
                <c:pt idx="5">
                  <c:v>976</c:v>
                </c:pt>
                <c:pt idx="6">
                  <c:v>976</c:v>
                </c:pt>
              </c:numCache>
            </c:numRef>
          </c:val>
        </c:ser>
        <c:ser>
          <c:idx val="1"/>
          <c:order val="1"/>
          <c:tx>
            <c:strRef>
              <c:f>'Table 1'!$AT$28</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1'!$AR$29:$AR$35</c:f>
              <c:strCache>
                <c:ptCount val="7"/>
                <c:pt idx="0">
                  <c:v>Males 0 to 9</c:v>
                </c:pt>
                <c:pt idx="1">
                  <c:v>Males 10 to 14</c:v>
                </c:pt>
                <c:pt idx="2">
                  <c:v>Males 15 to 17</c:v>
                </c:pt>
                <c:pt idx="4">
                  <c:v>Females 0 to 9</c:v>
                </c:pt>
                <c:pt idx="5">
                  <c:v>Females 10 to 14</c:v>
                </c:pt>
                <c:pt idx="6">
                  <c:v>Females 15 to 17</c:v>
                </c:pt>
              </c:strCache>
            </c:strRef>
          </c:cat>
          <c:val>
            <c:numRef>
              <c:f>'Table 1'!$AT$29:$AT$35</c:f>
              <c:numCache>
                <c:formatCode>General</c:formatCode>
                <c:ptCount val="7"/>
                <c:pt idx="0">
                  <c:v>0</c:v>
                </c:pt>
                <c:pt idx="1">
                  <c:v>7</c:v>
                </c:pt>
                <c:pt idx="2">
                  <c:v>47</c:v>
                </c:pt>
                <c:pt idx="4">
                  <c:v>17</c:v>
                </c:pt>
                <c:pt idx="5">
                  <c:v>43</c:v>
                </c:pt>
                <c:pt idx="6">
                  <c:v>773</c:v>
                </c:pt>
              </c:numCache>
            </c:numRef>
          </c:val>
        </c:ser>
        <c:ser>
          <c:idx val="2"/>
          <c:order val="2"/>
          <c:tx>
            <c:strRef>
              <c:f>'Table 1'!$AU$28</c:f>
              <c:strCache>
                <c:ptCount val="1"/>
                <c:pt idx="0">
                  <c:v>Sibling</c:v>
                </c:pt>
              </c:strCache>
            </c:strRef>
          </c:tx>
          <c:spPr>
            <a:solidFill>
              <a:schemeClr val="bg1">
                <a:lumMod val="50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1'!$AR$29:$AR$35</c:f>
              <c:strCache>
                <c:ptCount val="7"/>
                <c:pt idx="0">
                  <c:v>Males 0 to 9</c:v>
                </c:pt>
                <c:pt idx="1">
                  <c:v>Males 10 to 14</c:v>
                </c:pt>
                <c:pt idx="2">
                  <c:v>Males 15 to 17</c:v>
                </c:pt>
                <c:pt idx="4">
                  <c:v>Females 0 to 9</c:v>
                </c:pt>
                <c:pt idx="5">
                  <c:v>Females 10 to 14</c:v>
                </c:pt>
                <c:pt idx="6">
                  <c:v>Females 15 to 17</c:v>
                </c:pt>
              </c:strCache>
            </c:strRef>
          </c:cat>
          <c:val>
            <c:numRef>
              <c:f>'Table 1'!$AU$29:$AU$35</c:f>
              <c:numCache>
                <c:formatCode>General</c:formatCode>
                <c:ptCount val="7"/>
                <c:pt idx="0">
                  <c:v>97</c:v>
                </c:pt>
                <c:pt idx="1">
                  <c:v>332</c:v>
                </c:pt>
                <c:pt idx="2">
                  <c:v>388</c:v>
                </c:pt>
                <c:pt idx="4">
                  <c:v>85</c:v>
                </c:pt>
                <c:pt idx="5">
                  <c:v>273</c:v>
                </c:pt>
                <c:pt idx="6">
                  <c:v>484</c:v>
                </c:pt>
              </c:numCache>
            </c:numRef>
          </c:val>
        </c:ser>
        <c:ser>
          <c:idx val="3"/>
          <c:order val="3"/>
          <c:tx>
            <c:strRef>
              <c:f>'Table 1'!$AV$28</c:f>
              <c:strCache>
                <c:ptCount val="1"/>
                <c:pt idx="0">
                  <c:v>Other family member</c:v>
                </c:pt>
              </c:strCache>
            </c:strRef>
          </c:tx>
          <c:spPr>
            <a:pattFill prst="ltDnDiag">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1'!$AR$29:$AR$35</c:f>
              <c:strCache>
                <c:ptCount val="7"/>
                <c:pt idx="0">
                  <c:v>Males 0 to 9</c:v>
                </c:pt>
                <c:pt idx="1">
                  <c:v>Males 10 to 14</c:v>
                </c:pt>
                <c:pt idx="2">
                  <c:v>Males 15 to 17</c:v>
                </c:pt>
                <c:pt idx="4">
                  <c:v>Females 0 to 9</c:v>
                </c:pt>
                <c:pt idx="5">
                  <c:v>Females 10 to 14</c:v>
                </c:pt>
                <c:pt idx="6">
                  <c:v>Females 15 to 17</c:v>
                </c:pt>
              </c:strCache>
            </c:strRef>
          </c:cat>
          <c:val>
            <c:numRef>
              <c:f>'Table 1'!$AV$29:$AV$35</c:f>
              <c:numCache>
                <c:formatCode>General</c:formatCode>
                <c:ptCount val="7"/>
                <c:pt idx="0">
                  <c:v>189</c:v>
                </c:pt>
                <c:pt idx="1">
                  <c:v>218</c:v>
                </c:pt>
                <c:pt idx="2">
                  <c:v>267</c:v>
                </c:pt>
                <c:pt idx="4">
                  <c:v>129</c:v>
                </c:pt>
                <c:pt idx="5">
                  <c:v>184</c:v>
                </c:pt>
                <c:pt idx="6">
                  <c:v>357</c:v>
                </c:pt>
              </c:numCache>
            </c:numRef>
          </c:val>
        </c:ser>
        <c:ser>
          <c:idx val="4"/>
          <c:order val="4"/>
          <c:tx>
            <c:strRef>
              <c:f>'Table 1'!$AW$28</c:f>
              <c:strCache>
                <c:ptCount val="1"/>
                <c:pt idx="0">
                  <c:v>Non-family member</c:v>
                </c:pt>
              </c:strCache>
            </c:strRef>
          </c:tx>
          <c:spPr>
            <a:solidFill>
              <a:schemeClr val="tx1"/>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1'!$AR$29:$AR$35</c:f>
              <c:strCache>
                <c:ptCount val="7"/>
                <c:pt idx="0">
                  <c:v>Males 0 to 9</c:v>
                </c:pt>
                <c:pt idx="1">
                  <c:v>Males 10 to 14</c:v>
                </c:pt>
                <c:pt idx="2">
                  <c:v>Males 15 to 17</c:v>
                </c:pt>
                <c:pt idx="4">
                  <c:v>Females 0 to 9</c:v>
                </c:pt>
                <c:pt idx="5">
                  <c:v>Females 10 to 14</c:v>
                </c:pt>
                <c:pt idx="6">
                  <c:v>Females 15 to 17</c:v>
                </c:pt>
              </c:strCache>
            </c:strRef>
          </c:cat>
          <c:val>
            <c:numRef>
              <c:f>'Table 1'!$AW$29:$AW$35</c:f>
              <c:numCache>
                <c:formatCode>General</c:formatCode>
                <c:ptCount val="7"/>
                <c:pt idx="0">
                  <c:v>261</c:v>
                </c:pt>
                <c:pt idx="1">
                  <c:v>621</c:v>
                </c:pt>
                <c:pt idx="2">
                  <c:v>1100</c:v>
                </c:pt>
                <c:pt idx="4">
                  <c:v>172</c:v>
                </c:pt>
                <c:pt idx="5">
                  <c:v>461</c:v>
                </c:pt>
                <c:pt idx="6">
                  <c:v>1109</c:v>
                </c:pt>
              </c:numCache>
            </c:numRef>
          </c:val>
        </c:ser>
        <c:ser>
          <c:idx val="5"/>
          <c:order val="5"/>
          <c:tx>
            <c:strRef>
              <c:f>'Table 1'!$AX$28</c:f>
              <c:strCache>
                <c:ptCount val="1"/>
                <c:pt idx="0">
                  <c:v>Stranger</c:v>
                </c:pt>
              </c:strCache>
            </c:strRef>
          </c:tx>
          <c:spPr>
            <a:solidFill>
              <a:schemeClr val="bg1">
                <a:lumMod val="85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1'!$AR$29:$AR$35</c:f>
              <c:strCache>
                <c:ptCount val="7"/>
                <c:pt idx="0">
                  <c:v>Males 0 to 9</c:v>
                </c:pt>
                <c:pt idx="1">
                  <c:v>Males 10 to 14</c:v>
                </c:pt>
                <c:pt idx="2">
                  <c:v>Males 15 to 17</c:v>
                </c:pt>
                <c:pt idx="4">
                  <c:v>Females 0 to 9</c:v>
                </c:pt>
                <c:pt idx="5">
                  <c:v>Females 10 to 14</c:v>
                </c:pt>
                <c:pt idx="6">
                  <c:v>Females 15 to 17</c:v>
                </c:pt>
              </c:strCache>
            </c:strRef>
          </c:cat>
          <c:val>
            <c:numRef>
              <c:f>'Table 1'!$AX$29:$AX$35</c:f>
              <c:numCache>
                <c:formatCode>General</c:formatCode>
                <c:ptCount val="7"/>
                <c:pt idx="0">
                  <c:v>55</c:v>
                </c:pt>
                <c:pt idx="1">
                  <c:v>134</c:v>
                </c:pt>
                <c:pt idx="2">
                  <c:v>432</c:v>
                </c:pt>
                <c:pt idx="4">
                  <c:v>28</c:v>
                </c:pt>
                <c:pt idx="5">
                  <c:v>67</c:v>
                </c:pt>
                <c:pt idx="6">
                  <c:v>195</c:v>
                </c:pt>
              </c:numCache>
            </c:numRef>
          </c:val>
        </c:ser>
        <c:dLbls>
          <c:showLegendKey val="0"/>
          <c:showVal val="0"/>
          <c:showCatName val="0"/>
          <c:showSerName val="0"/>
          <c:showPercent val="0"/>
          <c:showBubbleSize val="0"/>
        </c:dLbls>
        <c:gapWidth val="219"/>
        <c:overlap val="-27"/>
        <c:axId val="166540192"/>
        <c:axId val="166540584"/>
      </c:barChart>
      <c:catAx>
        <c:axId val="16654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540584"/>
        <c:crosses val="autoZero"/>
        <c:auto val="1"/>
        <c:lblAlgn val="ctr"/>
        <c:lblOffset val="100"/>
        <c:noMultiLvlLbl val="0"/>
      </c:catAx>
      <c:valAx>
        <c:axId val="166540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54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 3: Number of child victims of physical assault where Aboriginal and Torres Strait Islander status is unknown, by offender type, by the victim's sex and by the victim's age (New South Wales, 2010-2013)</a:t>
            </a:r>
          </a:p>
        </c:rich>
      </c:tx>
      <c:overlay val="0"/>
      <c:spPr>
        <a:noFill/>
        <a:ln>
          <a:noFill/>
        </a:ln>
        <a:effectLst/>
      </c:spPr>
    </c:title>
    <c:autoTitleDeleted val="0"/>
    <c:plotArea>
      <c:layout/>
      <c:barChart>
        <c:barDir val="col"/>
        <c:grouping val="clustered"/>
        <c:varyColors val="0"/>
        <c:ser>
          <c:idx val="0"/>
          <c:order val="0"/>
          <c:tx>
            <c:strRef>
              <c:f>'Table 1'!$AS$45</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1'!$AR$46:$AR$52</c:f>
              <c:strCache>
                <c:ptCount val="7"/>
                <c:pt idx="0">
                  <c:v>Males 0 to 9</c:v>
                </c:pt>
                <c:pt idx="1">
                  <c:v>Males 10 to 14</c:v>
                </c:pt>
                <c:pt idx="2">
                  <c:v>Males 15 to 17</c:v>
                </c:pt>
                <c:pt idx="4">
                  <c:v>Females 0 to 9</c:v>
                </c:pt>
                <c:pt idx="5">
                  <c:v>Females 10 to 14</c:v>
                </c:pt>
                <c:pt idx="6">
                  <c:v>Females 15 to 17</c:v>
                </c:pt>
              </c:strCache>
            </c:strRef>
          </c:cat>
          <c:val>
            <c:numRef>
              <c:f>'Table 1'!$AS$46:$AS$52</c:f>
              <c:numCache>
                <c:formatCode>General</c:formatCode>
                <c:ptCount val="7"/>
                <c:pt idx="0">
                  <c:v>104</c:v>
                </c:pt>
                <c:pt idx="1">
                  <c:v>85</c:v>
                </c:pt>
                <c:pt idx="2">
                  <c:v>68</c:v>
                </c:pt>
                <c:pt idx="4">
                  <c:v>52</c:v>
                </c:pt>
                <c:pt idx="5">
                  <c:v>88</c:v>
                </c:pt>
                <c:pt idx="6">
                  <c:v>104</c:v>
                </c:pt>
              </c:numCache>
            </c:numRef>
          </c:val>
        </c:ser>
        <c:ser>
          <c:idx val="1"/>
          <c:order val="1"/>
          <c:tx>
            <c:strRef>
              <c:f>'Table 1'!$AT$45</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1'!$AR$46:$AR$52</c:f>
              <c:strCache>
                <c:ptCount val="7"/>
                <c:pt idx="0">
                  <c:v>Males 0 to 9</c:v>
                </c:pt>
                <c:pt idx="1">
                  <c:v>Males 10 to 14</c:v>
                </c:pt>
                <c:pt idx="2">
                  <c:v>Males 15 to 17</c:v>
                </c:pt>
                <c:pt idx="4">
                  <c:v>Females 0 to 9</c:v>
                </c:pt>
                <c:pt idx="5">
                  <c:v>Females 10 to 14</c:v>
                </c:pt>
                <c:pt idx="6">
                  <c:v>Females 15 to 17</c:v>
                </c:pt>
              </c:strCache>
            </c:strRef>
          </c:cat>
          <c:val>
            <c:numRef>
              <c:f>'Table 1'!$AT$46:$AT$52</c:f>
              <c:numCache>
                <c:formatCode>General</c:formatCode>
                <c:ptCount val="7"/>
                <c:pt idx="0">
                  <c:v>0</c:v>
                </c:pt>
                <c:pt idx="1">
                  <c:v>0</c:v>
                </c:pt>
                <c:pt idx="2">
                  <c:v>11</c:v>
                </c:pt>
                <c:pt idx="4">
                  <c:v>0</c:v>
                </c:pt>
                <c:pt idx="5">
                  <c:v>5</c:v>
                </c:pt>
                <c:pt idx="6">
                  <c:v>96</c:v>
                </c:pt>
              </c:numCache>
            </c:numRef>
          </c:val>
        </c:ser>
        <c:ser>
          <c:idx val="2"/>
          <c:order val="2"/>
          <c:tx>
            <c:strRef>
              <c:f>'Table 1'!$AU$45</c:f>
              <c:strCache>
                <c:ptCount val="1"/>
                <c:pt idx="0">
                  <c:v>Sibling</c:v>
                </c:pt>
              </c:strCache>
            </c:strRef>
          </c:tx>
          <c:spPr>
            <a:solidFill>
              <a:schemeClr val="bg1">
                <a:lumMod val="50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1'!$AR$46:$AR$52</c:f>
              <c:strCache>
                <c:ptCount val="7"/>
                <c:pt idx="0">
                  <c:v>Males 0 to 9</c:v>
                </c:pt>
                <c:pt idx="1">
                  <c:v>Males 10 to 14</c:v>
                </c:pt>
                <c:pt idx="2">
                  <c:v>Males 15 to 17</c:v>
                </c:pt>
                <c:pt idx="4">
                  <c:v>Females 0 to 9</c:v>
                </c:pt>
                <c:pt idx="5">
                  <c:v>Females 10 to 14</c:v>
                </c:pt>
                <c:pt idx="6">
                  <c:v>Females 15 to 17</c:v>
                </c:pt>
              </c:strCache>
            </c:strRef>
          </c:cat>
          <c:val>
            <c:numRef>
              <c:f>'Table 1'!$AU$46:$AU$52</c:f>
              <c:numCache>
                <c:formatCode>General</c:formatCode>
                <c:ptCount val="7"/>
                <c:pt idx="0">
                  <c:v>7</c:v>
                </c:pt>
                <c:pt idx="1">
                  <c:v>34</c:v>
                </c:pt>
                <c:pt idx="2">
                  <c:v>35</c:v>
                </c:pt>
                <c:pt idx="4">
                  <c:v>10</c:v>
                </c:pt>
                <c:pt idx="5">
                  <c:v>30</c:v>
                </c:pt>
                <c:pt idx="6">
                  <c:v>51</c:v>
                </c:pt>
              </c:numCache>
            </c:numRef>
          </c:val>
        </c:ser>
        <c:ser>
          <c:idx val="3"/>
          <c:order val="3"/>
          <c:tx>
            <c:strRef>
              <c:f>'Table 1'!$AV$45</c:f>
              <c:strCache>
                <c:ptCount val="1"/>
                <c:pt idx="0">
                  <c:v>Other family member</c:v>
                </c:pt>
              </c:strCache>
            </c:strRef>
          </c:tx>
          <c:spPr>
            <a:pattFill prst="ltDnDiag">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1'!$AR$46:$AR$52</c:f>
              <c:strCache>
                <c:ptCount val="7"/>
                <c:pt idx="0">
                  <c:v>Males 0 to 9</c:v>
                </c:pt>
                <c:pt idx="1">
                  <c:v>Males 10 to 14</c:v>
                </c:pt>
                <c:pt idx="2">
                  <c:v>Males 15 to 17</c:v>
                </c:pt>
                <c:pt idx="4">
                  <c:v>Females 0 to 9</c:v>
                </c:pt>
                <c:pt idx="5">
                  <c:v>Females 10 to 14</c:v>
                </c:pt>
                <c:pt idx="6">
                  <c:v>Females 15 to 17</c:v>
                </c:pt>
              </c:strCache>
            </c:strRef>
          </c:cat>
          <c:val>
            <c:numRef>
              <c:f>'Table 1'!$AV$46:$AV$52</c:f>
              <c:numCache>
                <c:formatCode>General</c:formatCode>
                <c:ptCount val="7"/>
                <c:pt idx="0">
                  <c:v>19</c:v>
                </c:pt>
                <c:pt idx="1">
                  <c:v>18</c:v>
                </c:pt>
                <c:pt idx="2">
                  <c:v>28</c:v>
                </c:pt>
                <c:pt idx="4">
                  <c:v>3</c:v>
                </c:pt>
                <c:pt idx="5">
                  <c:v>23</c:v>
                </c:pt>
                <c:pt idx="6">
                  <c:v>36</c:v>
                </c:pt>
              </c:numCache>
            </c:numRef>
          </c:val>
        </c:ser>
        <c:ser>
          <c:idx val="4"/>
          <c:order val="4"/>
          <c:tx>
            <c:strRef>
              <c:f>'Table 1'!$AW$45</c:f>
              <c:strCache>
                <c:ptCount val="1"/>
                <c:pt idx="0">
                  <c:v>Non-family member</c:v>
                </c:pt>
              </c:strCache>
            </c:strRef>
          </c:tx>
          <c:spPr>
            <a:solidFill>
              <a:schemeClr val="tx1"/>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1'!$AR$46:$AR$52</c:f>
              <c:strCache>
                <c:ptCount val="7"/>
                <c:pt idx="0">
                  <c:v>Males 0 to 9</c:v>
                </c:pt>
                <c:pt idx="1">
                  <c:v>Males 10 to 14</c:v>
                </c:pt>
                <c:pt idx="2">
                  <c:v>Males 15 to 17</c:v>
                </c:pt>
                <c:pt idx="4">
                  <c:v>Females 0 to 9</c:v>
                </c:pt>
                <c:pt idx="5">
                  <c:v>Females 10 to 14</c:v>
                </c:pt>
                <c:pt idx="6">
                  <c:v>Females 15 to 17</c:v>
                </c:pt>
              </c:strCache>
            </c:strRef>
          </c:cat>
          <c:val>
            <c:numRef>
              <c:f>'Table 1'!$AW$46:$AW$52</c:f>
              <c:numCache>
                <c:formatCode>General</c:formatCode>
                <c:ptCount val="7"/>
                <c:pt idx="0">
                  <c:v>28</c:v>
                </c:pt>
                <c:pt idx="1">
                  <c:v>62</c:v>
                </c:pt>
                <c:pt idx="2">
                  <c:v>132</c:v>
                </c:pt>
                <c:pt idx="4">
                  <c:v>15</c:v>
                </c:pt>
                <c:pt idx="5">
                  <c:v>58</c:v>
                </c:pt>
                <c:pt idx="6">
                  <c:v>128</c:v>
                </c:pt>
              </c:numCache>
            </c:numRef>
          </c:val>
        </c:ser>
        <c:ser>
          <c:idx val="5"/>
          <c:order val="5"/>
          <c:tx>
            <c:strRef>
              <c:f>'Table 1'!$AX$45</c:f>
              <c:strCache>
                <c:ptCount val="1"/>
                <c:pt idx="0">
                  <c:v>Stranger</c:v>
                </c:pt>
              </c:strCache>
            </c:strRef>
          </c:tx>
          <c:spPr>
            <a:solidFill>
              <a:schemeClr val="bg1">
                <a:lumMod val="85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1'!$AR$46:$AR$52</c:f>
              <c:strCache>
                <c:ptCount val="7"/>
                <c:pt idx="0">
                  <c:v>Males 0 to 9</c:v>
                </c:pt>
                <c:pt idx="1">
                  <c:v>Males 10 to 14</c:v>
                </c:pt>
                <c:pt idx="2">
                  <c:v>Males 15 to 17</c:v>
                </c:pt>
                <c:pt idx="4">
                  <c:v>Females 0 to 9</c:v>
                </c:pt>
                <c:pt idx="5">
                  <c:v>Females 10 to 14</c:v>
                </c:pt>
                <c:pt idx="6">
                  <c:v>Females 15 to 17</c:v>
                </c:pt>
              </c:strCache>
            </c:strRef>
          </c:cat>
          <c:val>
            <c:numRef>
              <c:f>'Table 1'!$AX$46:$AX$52</c:f>
              <c:numCache>
                <c:formatCode>General</c:formatCode>
                <c:ptCount val="7"/>
                <c:pt idx="0">
                  <c:v>6</c:v>
                </c:pt>
                <c:pt idx="1">
                  <c:v>11</c:v>
                </c:pt>
                <c:pt idx="2">
                  <c:v>36</c:v>
                </c:pt>
                <c:pt idx="4">
                  <c:v>3</c:v>
                </c:pt>
                <c:pt idx="5">
                  <c:v>6</c:v>
                </c:pt>
                <c:pt idx="6">
                  <c:v>15</c:v>
                </c:pt>
              </c:numCache>
            </c:numRef>
          </c:val>
        </c:ser>
        <c:dLbls>
          <c:showLegendKey val="0"/>
          <c:showVal val="0"/>
          <c:showCatName val="0"/>
          <c:showSerName val="0"/>
          <c:showPercent val="0"/>
          <c:showBubbleSize val="0"/>
        </c:dLbls>
        <c:gapWidth val="219"/>
        <c:overlap val="-27"/>
        <c:axId val="166541368"/>
        <c:axId val="167182472"/>
      </c:barChart>
      <c:catAx>
        <c:axId val="166541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7182472"/>
        <c:crosses val="autoZero"/>
        <c:auto val="1"/>
        <c:lblAlgn val="ctr"/>
        <c:lblOffset val="100"/>
        <c:noMultiLvlLbl val="0"/>
      </c:catAx>
      <c:valAx>
        <c:axId val="167182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6541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 4: Number of Aboriginal and Torres Strait Islander child victims of physical assault, by offender type, by the victim's sex and by the victim's age (South Australia, 2010-2013)</a:t>
            </a:r>
          </a:p>
        </c:rich>
      </c:tx>
      <c:overlay val="0"/>
      <c:spPr>
        <a:noFill/>
        <a:ln>
          <a:noFill/>
        </a:ln>
        <a:effectLst/>
      </c:spPr>
    </c:title>
    <c:autoTitleDeleted val="0"/>
    <c:plotArea>
      <c:layout/>
      <c:barChart>
        <c:barDir val="col"/>
        <c:grouping val="clustered"/>
        <c:varyColors val="0"/>
        <c:ser>
          <c:idx val="0"/>
          <c:order val="0"/>
          <c:tx>
            <c:strRef>
              <c:f>'Table 2'!$AS$11</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2'!$AR$12:$AR$18</c:f>
              <c:strCache>
                <c:ptCount val="7"/>
                <c:pt idx="0">
                  <c:v>Males 0 to 9</c:v>
                </c:pt>
                <c:pt idx="1">
                  <c:v>Males 10 to 14</c:v>
                </c:pt>
                <c:pt idx="2">
                  <c:v>Males 15 to 17</c:v>
                </c:pt>
                <c:pt idx="4">
                  <c:v>Females 0 to 9</c:v>
                </c:pt>
                <c:pt idx="5">
                  <c:v>Females 10 to 14</c:v>
                </c:pt>
                <c:pt idx="6">
                  <c:v>Females 15 to 17</c:v>
                </c:pt>
              </c:strCache>
            </c:strRef>
          </c:cat>
          <c:val>
            <c:numRef>
              <c:f>'Table 2'!$AS$12:$AS$18</c:f>
              <c:numCache>
                <c:formatCode>#,##0</c:formatCode>
                <c:ptCount val="7"/>
                <c:pt idx="0">
                  <c:v>29</c:v>
                </c:pt>
                <c:pt idx="1">
                  <c:v>35</c:v>
                </c:pt>
                <c:pt idx="2">
                  <c:v>14</c:v>
                </c:pt>
                <c:pt idx="4">
                  <c:v>27</c:v>
                </c:pt>
                <c:pt idx="5">
                  <c:v>42</c:v>
                </c:pt>
                <c:pt idx="6">
                  <c:v>24</c:v>
                </c:pt>
              </c:numCache>
            </c:numRef>
          </c:val>
        </c:ser>
        <c:ser>
          <c:idx val="1"/>
          <c:order val="1"/>
          <c:tx>
            <c:strRef>
              <c:f>'Table 2'!$AT$11</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2'!$AR$12:$AR$18</c:f>
              <c:strCache>
                <c:ptCount val="7"/>
                <c:pt idx="0">
                  <c:v>Males 0 to 9</c:v>
                </c:pt>
                <c:pt idx="1">
                  <c:v>Males 10 to 14</c:v>
                </c:pt>
                <c:pt idx="2">
                  <c:v>Males 15 to 17</c:v>
                </c:pt>
                <c:pt idx="4">
                  <c:v>Females 0 to 9</c:v>
                </c:pt>
                <c:pt idx="5">
                  <c:v>Females 10 to 14</c:v>
                </c:pt>
                <c:pt idx="6">
                  <c:v>Females 15 to 17</c:v>
                </c:pt>
              </c:strCache>
            </c:strRef>
          </c:cat>
          <c:val>
            <c:numRef>
              <c:f>'Table 2'!$AT$12:$AT$18</c:f>
              <c:numCache>
                <c:formatCode>#,##0</c:formatCode>
                <c:ptCount val="7"/>
                <c:pt idx="0">
                  <c:v>0</c:v>
                </c:pt>
                <c:pt idx="1">
                  <c:v>0</c:v>
                </c:pt>
                <c:pt idx="2">
                  <c:v>3</c:v>
                </c:pt>
                <c:pt idx="4">
                  <c:v>0</c:v>
                </c:pt>
                <c:pt idx="5">
                  <c:v>0</c:v>
                </c:pt>
                <c:pt idx="6">
                  <c:v>46</c:v>
                </c:pt>
              </c:numCache>
            </c:numRef>
          </c:val>
        </c:ser>
        <c:ser>
          <c:idx val="2"/>
          <c:order val="2"/>
          <c:tx>
            <c:strRef>
              <c:f>'Table 2'!$AU$11</c:f>
              <c:strCache>
                <c:ptCount val="1"/>
                <c:pt idx="0">
                  <c:v>Sibling</c:v>
                </c:pt>
              </c:strCache>
            </c:strRef>
          </c:tx>
          <c:spPr>
            <a:solidFill>
              <a:schemeClr val="bg1">
                <a:lumMod val="50000"/>
              </a:schemeClr>
            </a:solidFill>
            <a:ln>
              <a:solidFill>
                <a:schemeClr val="tx1"/>
              </a:solidFill>
            </a:ln>
            <a:effectLst/>
          </c:spPr>
          <c:invertIfNegative val="0"/>
          <c:dLbls>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2'!$AR$12:$AR$18</c:f>
              <c:strCache>
                <c:ptCount val="7"/>
                <c:pt idx="0">
                  <c:v>Males 0 to 9</c:v>
                </c:pt>
                <c:pt idx="1">
                  <c:v>Males 10 to 14</c:v>
                </c:pt>
                <c:pt idx="2">
                  <c:v>Males 15 to 17</c:v>
                </c:pt>
                <c:pt idx="4">
                  <c:v>Females 0 to 9</c:v>
                </c:pt>
                <c:pt idx="5">
                  <c:v>Females 10 to 14</c:v>
                </c:pt>
                <c:pt idx="6">
                  <c:v>Females 15 to 17</c:v>
                </c:pt>
              </c:strCache>
            </c:strRef>
          </c:cat>
          <c:val>
            <c:numRef>
              <c:f>'Table 2'!$AU$12:$AU$18</c:f>
              <c:numCache>
                <c:formatCode>#,##0</c:formatCode>
                <c:ptCount val="7"/>
                <c:pt idx="0">
                  <c:v>3</c:v>
                </c:pt>
                <c:pt idx="1">
                  <c:v>9</c:v>
                </c:pt>
                <c:pt idx="2">
                  <c:v>10</c:v>
                </c:pt>
                <c:pt idx="4">
                  <c:v>0</c:v>
                </c:pt>
                <c:pt idx="5">
                  <c:v>6</c:v>
                </c:pt>
                <c:pt idx="6">
                  <c:v>6</c:v>
                </c:pt>
              </c:numCache>
            </c:numRef>
          </c:val>
        </c:ser>
        <c:ser>
          <c:idx val="3"/>
          <c:order val="3"/>
          <c:tx>
            <c:strRef>
              <c:f>'Table 2'!$AV$11</c:f>
              <c:strCache>
                <c:ptCount val="1"/>
                <c:pt idx="0">
                  <c:v>Other family member</c:v>
                </c:pt>
              </c:strCache>
            </c:strRef>
          </c:tx>
          <c:spPr>
            <a:pattFill prst="ltDnDiag">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2'!$AR$12:$AR$18</c:f>
              <c:strCache>
                <c:ptCount val="7"/>
                <c:pt idx="0">
                  <c:v>Males 0 to 9</c:v>
                </c:pt>
                <c:pt idx="1">
                  <c:v>Males 10 to 14</c:v>
                </c:pt>
                <c:pt idx="2">
                  <c:v>Males 15 to 17</c:v>
                </c:pt>
                <c:pt idx="4">
                  <c:v>Females 0 to 9</c:v>
                </c:pt>
                <c:pt idx="5">
                  <c:v>Females 10 to 14</c:v>
                </c:pt>
                <c:pt idx="6">
                  <c:v>Females 15 to 17</c:v>
                </c:pt>
              </c:strCache>
            </c:strRef>
          </c:cat>
          <c:val>
            <c:numRef>
              <c:f>'Table 2'!$AV$12:$AV$18</c:f>
              <c:numCache>
                <c:formatCode>#,##0</c:formatCode>
                <c:ptCount val="7"/>
                <c:pt idx="0">
                  <c:v>10</c:v>
                </c:pt>
                <c:pt idx="1">
                  <c:v>10</c:v>
                </c:pt>
                <c:pt idx="2">
                  <c:v>11</c:v>
                </c:pt>
                <c:pt idx="4">
                  <c:v>6</c:v>
                </c:pt>
                <c:pt idx="5">
                  <c:v>3</c:v>
                </c:pt>
                <c:pt idx="6">
                  <c:v>9</c:v>
                </c:pt>
              </c:numCache>
            </c:numRef>
          </c:val>
        </c:ser>
        <c:ser>
          <c:idx val="4"/>
          <c:order val="4"/>
          <c:tx>
            <c:strRef>
              <c:f>'Table 2'!$AW$11</c:f>
              <c:strCache>
                <c:ptCount val="1"/>
                <c:pt idx="0">
                  <c:v>Non-family member</c:v>
                </c:pt>
              </c:strCache>
            </c:strRef>
          </c:tx>
          <c:spPr>
            <a:solidFill>
              <a:schemeClr val="tx1"/>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2'!$AR$12:$AR$18</c:f>
              <c:strCache>
                <c:ptCount val="7"/>
                <c:pt idx="0">
                  <c:v>Males 0 to 9</c:v>
                </c:pt>
                <c:pt idx="1">
                  <c:v>Males 10 to 14</c:v>
                </c:pt>
                <c:pt idx="2">
                  <c:v>Males 15 to 17</c:v>
                </c:pt>
                <c:pt idx="4">
                  <c:v>Females 0 to 9</c:v>
                </c:pt>
                <c:pt idx="5">
                  <c:v>Females 10 to 14</c:v>
                </c:pt>
                <c:pt idx="6">
                  <c:v>Females 15 to 17</c:v>
                </c:pt>
              </c:strCache>
            </c:strRef>
          </c:cat>
          <c:val>
            <c:numRef>
              <c:f>'Table 2'!$AW$12:$AW$18</c:f>
              <c:numCache>
                <c:formatCode>#,##0</c:formatCode>
                <c:ptCount val="7"/>
                <c:pt idx="0">
                  <c:v>6</c:v>
                </c:pt>
                <c:pt idx="1">
                  <c:v>11</c:v>
                </c:pt>
                <c:pt idx="2">
                  <c:v>21</c:v>
                </c:pt>
                <c:pt idx="4">
                  <c:v>3</c:v>
                </c:pt>
                <c:pt idx="5">
                  <c:v>17</c:v>
                </c:pt>
                <c:pt idx="6">
                  <c:v>47</c:v>
                </c:pt>
              </c:numCache>
            </c:numRef>
          </c:val>
        </c:ser>
        <c:ser>
          <c:idx val="5"/>
          <c:order val="5"/>
          <c:tx>
            <c:strRef>
              <c:f>'Table 2'!$AX$11</c:f>
              <c:strCache>
                <c:ptCount val="1"/>
                <c:pt idx="0">
                  <c:v>Stranger</c:v>
                </c:pt>
              </c:strCache>
            </c:strRef>
          </c:tx>
          <c:spPr>
            <a:solidFill>
              <a:schemeClr val="bg1">
                <a:lumMod val="85000"/>
              </a:schemeClr>
            </a:solidFill>
            <a:ln>
              <a:solidFill>
                <a:schemeClr val="tx1"/>
              </a:solidFill>
            </a:ln>
            <a:effectLst/>
          </c:spPr>
          <c:invertIfNegative val="0"/>
          <c:dLbls>
            <c:dLbl>
              <c:idx val="0"/>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2'!$AR$12:$AR$18</c:f>
              <c:strCache>
                <c:ptCount val="7"/>
                <c:pt idx="0">
                  <c:v>Males 0 to 9</c:v>
                </c:pt>
                <c:pt idx="1">
                  <c:v>Males 10 to 14</c:v>
                </c:pt>
                <c:pt idx="2">
                  <c:v>Males 15 to 17</c:v>
                </c:pt>
                <c:pt idx="4">
                  <c:v>Females 0 to 9</c:v>
                </c:pt>
                <c:pt idx="5">
                  <c:v>Females 10 to 14</c:v>
                </c:pt>
                <c:pt idx="6">
                  <c:v>Females 15 to 17</c:v>
                </c:pt>
              </c:strCache>
            </c:strRef>
          </c:cat>
          <c:val>
            <c:numRef>
              <c:f>'Table 2'!$AX$12:$AX$18</c:f>
              <c:numCache>
                <c:formatCode>#,##0</c:formatCode>
                <c:ptCount val="7"/>
                <c:pt idx="0">
                  <c:v>0</c:v>
                </c:pt>
                <c:pt idx="1">
                  <c:v>3</c:v>
                </c:pt>
                <c:pt idx="2">
                  <c:v>6</c:v>
                </c:pt>
                <c:pt idx="4">
                  <c:v>0</c:v>
                </c:pt>
                <c:pt idx="5">
                  <c:v>0</c:v>
                </c:pt>
                <c:pt idx="6">
                  <c:v>9</c:v>
                </c:pt>
              </c:numCache>
            </c:numRef>
          </c:val>
        </c:ser>
        <c:dLbls>
          <c:showLegendKey val="0"/>
          <c:showVal val="0"/>
          <c:showCatName val="0"/>
          <c:showSerName val="0"/>
          <c:showPercent val="0"/>
          <c:showBubbleSize val="0"/>
        </c:dLbls>
        <c:gapWidth val="219"/>
        <c:overlap val="-27"/>
        <c:axId val="167183648"/>
        <c:axId val="167184040"/>
      </c:barChart>
      <c:catAx>
        <c:axId val="16718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7184040"/>
        <c:crosses val="autoZero"/>
        <c:auto val="1"/>
        <c:lblAlgn val="ctr"/>
        <c:lblOffset val="100"/>
        <c:noMultiLvlLbl val="0"/>
      </c:catAx>
      <c:valAx>
        <c:axId val="167184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7183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Figure 5: Number of non-Indigenous child victims</a:t>
            </a:r>
            <a:r>
              <a:rPr lang="en-AU" baseline="0">
                <a:solidFill>
                  <a:sysClr val="windowText" lastClr="000000"/>
                </a:solidFill>
              </a:rPr>
              <a:t> of physical assault, by offender type, by the victim's sex and by the victim's age (South Australia, 2010-2013)</a:t>
            </a:r>
            <a:endParaRPr lang="en-A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'Table 2'!$AS$28</c:f>
              <c:strCache>
                <c:ptCount val="1"/>
                <c:pt idx="0">
                  <c:v>Parent</c:v>
                </c:pt>
              </c:strCache>
            </c:strRef>
          </c:tx>
          <c:spPr>
            <a:pattFill prst="pct20">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2'!$AR$29:$AR$35</c:f>
              <c:strCache>
                <c:ptCount val="7"/>
                <c:pt idx="0">
                  <c:v>Males 0 to 9</c:v>
                </c:pt>
                <c:pt idx="1">
                  <c:v>Males 10 to 14</c:v>
                </c:pt>
                <c:pt idx="2">
                  <c:v>Males 15 to 17</c:v>
                </c:pt>
                <c:pt idx="4">
                  <c:v>Females 0 to 9</c:v>
                </c:pt>
                <c:pt idx="5">
                  <c:v>Females 10 to 14</c:v>
                </c:pt>
                <c:pt idx="6">
                  <c:v>Females 15 to 17</c:v>
                </c:pt>
              </c:strCache>
            </c:strRef>
          </c:cat>
          <c:val>
            <c:numRef>
              <c:f>'Table 2'!$AS$29:$AS$35</c:f>
              <c:numCache>
                <c:formatCode>General</c:formatCode>
                <c:ptCount val="7"/>
                <c:pt idx="0">
                  <c:v>209</c:v>
                </c:pt>
                <c:pt idx="1">
                  <c:v>223</c:v>
                </c:pt>
                <c:pt idx="2">
                  <c:v>140</c:v>
                </c:pt>
                <c:pt idx="4">
                  <c:v>144</c:v>
                </c:pt>
                <c:pt idx="5">
                  <c:v>240</c:v>
                </c:pt>
                <c:pt idx="6">
                  <c:v>194</c:v>
                </c:pt>
              </c:numCache>
            </c:numRef>
          </c:val>
        </c:ser>
        <c:ser>
          <c:idx val="1"/>
          <c:order val="1"/>
          <c:tx>
            <c:strRef>
              <c:f>'Table 2'!$AT$28</c:f>
              <c:strCache>
                <c:ptCount val="1"/>
                <c:pt idx="0">
                  <c:v>Partner</c:v>
                </c:pt>
              </c:strCache>
            </c:strRef>
          </c:tx>
          <c:spPr>
            <a:pattFill prst="pct75">
              <a:fgClr>
                <a:schemeClr val="tx1"/>
              </a:fgClr>
              <a:bgClr>
                <a:schemeClr val="bg1"/>
              </a:bgClr>
            </a:patt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2700000" spcFirstLastPara="1" vertOverflow="ellipsis" wrap="square" lIns="38100" tIns="19050" rIns="38100" bIns="19050" anchor="ctr" anchorCtr="0">
                <a:spAutoFit/>
              </a:bodyPr>
              <a:lstStyle/>
              <a:p>
                <a:pPr algn="ctr">
                  <a:defRPr lang="en-AU"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2'!$AR$29:$AR$35</c:f>
              <c:strCache>
                <c:ptCount val="7"/>
                <c:pt idx="0">
                  <c:v>Males 0 to 9</c:v>
                </c:pt>
                <c:pt idx="1">
                  <c:v>Males 10 to 14</c:v>
                </c:pt>
                <c:pt idx="2">
                  <c:v>Males 15 to 17</c:v>
                </c:pt>
                <c:pt idx="4">
                  <c:v>Females 0 to 9</c:v>
                </c:pt>
                <c:pt idx="5">
                  <c:v>Females 10 to 14</c:v>
                </c:pt>
                <c:pt idx="6">
                  <c:v>Females 15 to 17</c:v>
                </c:pt>
              </c:strCache>
            </c:strRef>
          </c:cat>
          <c:val>
            <c:numRef>
              <c:f>'Table 2'!$AT$29:$AT$35</c:f>
              <c:numCache>
                <c:formatCode>General</c:formatCode>
                <c:ptCount val="7"/>
                <c:pt idx="0">
                  <c:v>0</c:v>
                </c:pt>
                <c:pt idx="1">
                  <c:v>0</c:v>
                </c:pt>
                <c:pt idx="2">
                  <c:v>12</c:v>
                </c:pt>
                <c:pt idx="4">
                  <c:v>0</c:v>
                </c:pt>
                <c:pt idx="5">
                  <c:v>3</c:v>
                </c:pt>
                <c:pt idx="6">
                  <c:v>138</c:v>
                </c:pt>
              </c:numCache>
            </c:numRef>
          </c:val>
        </c:ser>
        <c:ser>
          <c:idx val="2"/>
          <c:order val="2"/>
          <c:tx>
            <c:strRef>
              <c:f>'Table 2'!$AU$28</c:f>
              <c:strCache>
                <c:ptCount val="1"/>
                <c:pt idx="0">
                  <c:v>Sibling</c:v>
                </c:pt>
              </c:strCache>
            </c:strRef>
          </c:tx>
          <c:spPr>
            <a:solidFill>
              <a:schemeClr val="bg1">
                <a:lumMod val="50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2'!$AR$29:$AR$35</c:f>
              <c:strCache>
                <c:ptCount val="7"/>
                <c:pt idx="0">
                  <c:v>Males 0 to 9</c:v>
                </c:pt>
                <c:pt idx="1">
                  <c:v>Males 10 to 14</c:v>
                </c:pt>
                <c:pt idx="2">
                  <c:v>Males 15 to 17</c:v>
                </c:pt>
                <c:pt idx="4">
                  <c:v>Females 0 to 9</c:v>
                </c:pt>
                <c:pt idx="5">
                  <c:v>Females 10 to 14</c:v>
                </c:pt>
                <c:pt idx="6">
                  <c:v>Females 15 to 17</c:v>
                </c:pt>
              </c:strCache>
            </c:strRef>
          </c:cat>
          <c:val>
            <c:numRef>
              <c:f>'Table 2'!$AU$29:$AU$35</c:f>
              <c:numCache>
                <c:formatCode>General</c:formatCode>
                <c:ptCount val="7"/>
                <c:pt idx="0">
                  <c:v>10</c:v>
                </c:pt>
                <c:pt idx="1">
                  <c:v>20</c:v>
                </c:pt>
                <c:pt idx="2">
                  <c:v>41</c:v>
                </c:pt>
                <c:pt idx="4">
                  <c:v>3</c:v>
                </c:pt>
                <c:pt idx="5">
                  <c:v>37</c:v>
                </c:pt>
                <c:pt idx="6">
                  <c:v>56</c:v>
                </c:pt>
              </c:numCache>
            </c:numRef>
          </c:val>
        </c:ser>
        <c:ser>
          <c:idx val="3"/>
          <c:order val="3"/>
          <c:tx>
            <c:strRef>
              <c:f>'Table 2'!$AV$28</c:f>
              <c:strCache>
                <c:ptCount val="1"/>
                <c:pt idx="0">
                  <c:v>Other family member</c:v>
                </c:pt>
              </c:strCache>
            </c:strRef>
          </c:tx>
          <c:spPr>
            <a:pattFill prst="ltDnDiag">
              <a:fgClr>
                <a:schemeClr val="tx1"/>
              </a:fgClr>
              <a:bgClr>
                <a:schemeClr val="bg1"/>
              </a:bgClr>
            </a:patt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2'!$AR$29:$AR$35</c:f>
              <c:strCache>
                <c:ptCount val="7"/>
                <c:pt idx="0">
                  <c:v>Males 0 to 9</c:v>
                </c:pt>
                <c:pt idx="1">
                  <c:v>Males 10 to 14</c:v>
                </c:pt>
                <c:pt idx="2">
                  <c:v>Males 15 to 17</c:v>
                </c:pt>
                <c:pt idx="4">
                  <c:v>Females 0 to 9</c:v>
                </c:pt>
                <c:pt idx="5">
                  <c:v>Females 10 to 14</c:v>
                </c:pt>
                <c:pt idx="6">
                  <c:v>Females 15 to 17</c:v>
                </c:pt>
              </c:strCache>
            </c:strRef>
          </c:cat>
          <c:val>
            <c:numRef>
              <c:f>'Table 2'!$AV$29:$AV$35</c:f>
              <c:numCache>
                <c:formatCode>General</c:formatCode>
                <c:ptCount val="7"/>
                <c:pt idx="0">
                  <c:v>22</c:v>
                </c:pt>
                <c:pt idx="1">
                  <c:v>21</c:v>
                </c:pt>
                <c:pt idx="2">
                  <c:v>18</c:v>
                </c:pt>
                <c:pt idx="4">
                  <c:v>10</c:v>
                </c:pt>
                <c:pt idx="5">
                  <c:v>13</c:v>
                </c:pt>
                <c:pt idx="6">
                  <c:v>15</c:v>
                </c:pt>
              </c:numCache>
            </c:numRef>
          </c:val>
        </c:ser>
        <c:ser>
          <c:idx val="4"/>
          <c:order val="4"/>
          <c:tx>
            <c:strRef>
              <c:f>'Table 2'!$AW$28</c:f>
              <c:strCache>
                <c:ptCount val="1"/>
                <c:pt idx="0">
                  <c:v>Non-family member</c:v>
                </c:pt>
              </c:strCache>
            </c:strRef>
          </c:tx>
          <c:spPr>
            <a:solidFill>
              <a:schemeClr val="tx1"/>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2'!$AR$29:$AR$35</c:f>
              <c:strCache>
                <c:ptCount val="7"/>
                <c:pt idx="0">
                  <c:v>Males 0 to 9</c:v>
                </c:pt>
                <c:pt idx="1">
                  <c:v>Males 10 to 14</c:v>
                </c:pt>
                <c:pt idx="2">
                  <c:v>Males 15 to 17</c:v>
                </c:pt>
                <c:pt idx="4">
                  <c:v>Females 0 to 9</c:v>
                </c:pt>
                <c:pt idx="5">
                  <c:v>Females 10 to 14</c:v>
                </c:pt>
                <c:pt idx="6">
                  <c:v>Females 15 to 17</c:v>
                </c:pt>
              </c:strCache>
            </c:strRef>
          </c:cat>
          <c:val>
            <c:numRef>
              <c:f>'Table 2'!$AW$29:$AW$35</c:f>
              <c:numCache>
                <c:formatCode>General</c:formatCode>
                <c:ptCount val="7"/>
                <c:pt idx="0">
                  <c:v>44</c:v>
                </c:pt>
                <c:pt idx="1">
                  <c:v>101</c:v>
                </c:pt>
                <c:pt idx="2">
                  <c:v>210</c:v>
                </c:pt>
                <c:pt idx="4">
                  <c:v>20</c:v>
                </c:pt>
                <c:pt idx="5">
                  <c:v>62</c:v>
                </c:pt>
                <c:pt idx="6">
                  <c:v>266</c:v>
                </c:pt>
              </c:numCache>
            </c:numRef>
          </c:val>
        </c:ser>
        <c:ser>
          <c:idx val="5"/>
          <c:order val="5"/>
          <c:tx>
            <c:strRef>
              <c:f>'Table 2'!$AX$28</c:f>
              <c:strCache>
                <c:ptCount val="1"/>
                <c:pt idx="0">
                  <c:v>Stranger</c:v>
                </c:pt>
              </c:strCache>
            </c:strRef>
          </c:tx>
          <c:spPr>
            <a:solidFill>
              <a:schemeClr val="bg1">
                <a:lumMod val="85000"/>
              </a:schemeClr>
            </a:solidFill>
            <a:ln>
              <a:solidFill>
                <a:schemeClr val="tx1"/>
              </a:solid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2'!$AR$29:$AR$35</c:f>
              <c:strCache>
                <c:ptCount val="7"/>
                <c:pt idx="0">
                  <c:v>Males 0 to 9</c:v>
                </c:pt>
                <c:pt idx="1">
                  <c:v>Males 10 to 14</c:v>
                </c:pt>
                <c:pt idx="2">
                  <c:v>Males 15 to 17</c:v>
                </c:pt>
                <c:pt idx="4">
                  <c:v>Females 0 to 9</c:v>
                </c:pt>
                <c:pt idx="5">
                  <c:v>Females 10 to 14</c:v>
                </c:pt>
                <c:pt idx="6">
                  <c:v>Females 15 to 17</c:v>
                </c:pt>
              </c:strCache>
            </c:strRef>
          </c:cat>
          <c:val>
            <c:numRef>
              <c:f>'Table 2'!$AX$29:$AX$35</c:f>
              <c:numCache>
                <c:formatCode>General</c:formatCode>
                <c:ptCount val="7"/>
                <c:pt idx="0">
                  <c:v>8</c:v>
                </c:pt>
                <c:pt idx="1">
                  <c:v>21</c:v>
                </c:pt>
                <c:pt idx="2">
                  <c:v>98</c:v>
                </c:pt>
                <c:pt idx="4">
                  <c:v>10</c:v>
                </c:pt>
                <c:pt idx="5">
                  <c:v>11</c:v>
                </c:pt>
                <c:pt idx="6">
                  <c:v>51</c:v>
                </c:pt>
              </c:numCache>
            </c:numRef>
          </c:val>
        </c:ser>
        <c:dLbls>
          <c:showLegendKey val="0"/>
          <c:showVal val="0"/>
          <c:showCatName val="0"/>
          <c:showSerName val="0"/>
          <c:showPercent val="0"/>
          <c:showBubbleSize val="0"/>
        </c:dLbls>
        <c:gapWidth val="219"/>
        <c:overlap val="-27"/>
        <c:axId val="167184432"/>
        <c:axId val="167184824"/>
      </c:barChart>
      <c:catAx>
        <c:axId val="16718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7184824"/>
        <c:crosses val="autoZero"/>
        <c:auto val="1"/>
        <c:lblAlgn val="ctr"/>
        <c:lblOffset val="100"/>
        <c:noMultiLvlLbl val="0"/>
      </c:catAx>
      <c:valAx>
        <c:axId val="167184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7184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F3879-47D9-4F2D-A9EE-87B0A8EEF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Template>
  <TotalTime>2316</TotalTime>
  <Pages>184</Pages>
  <Words>71499</Words>
  <Characters>407546</Characters>
  <Application>Microsoft Office Word</Application>
  <DocSecurity>0</DocSecurity>
  <Lines>3396</Lines>
  <Paragraphs>956</Paragraphs>
  <ScaleCrop>false</ScaleCrop>
  <HeadingPairs>
    <vt:vector size="2" baseType="variant">
      <vt:variant>
        <vt:lpstr>Title</vt:lpstr>
      </vt:variant>
      <vt:variant>
        <vt:i4>1</vt:i4>
      </vt:variant>
    </vt:vector>
  </HeadingPairs>
  <TitlesOfParts>
    <vt:vector size="1" baseType="lpstr">
      <vt:lpstr>Year</vt:lpstr>
    </vt:vector>
  </TitlesOfParts>
  <Company>Human Rights and Equal Opportunity Commission</Company>
  <LinksUpToDate>false</LinksUpToDate>
  <CharactersWithSpaces>478089</CharactersWithSpaces>
  <SharedDoc>false</SharedDoc>
  <HLinks>
    <vt:vector size="36" baseType="variant">
      <vt:variant>
        <vt:i4>1572920</vt:i4>
      </vt:variant>
      <vt:variant>
        <vt:i4>32</vt:i4>
      </vt:variant>
      <vt:variant>
        <vt:i4>0</vt:i4>
      </vt:variant>
      <vt:variant>
        <vt:i4>5</vt:i4>
      </vt:variant>
      <vt:variant>
        <vt:lpwstr/>
      </vt:variant>
      <vt:variant>
        <vt:lpwstr>_Toc209941772</vt:lpwstr>
      </vt:variant>
      <vt:variant>
        <vt:i4>1572920</vt:i4>
      </vt:variant>
      <vt:variant>
        <vt:i4>26</vt:i4>
      </vt:variant>
      <vt:variant>
        <vt:i4>0</vt:i4>
      </vt:variant>
      <vt:variant>
        <vt:i4>5</vt:i4>
      </vt:variant>
      <vt:variant>
        <vt:lpwstr/>
      </vt:variant>
      <vt:variant>
        <vt:lpwstr>_Toc209941771</vt:lpwstr>
      </vt:variant>
      <vt:variant>
        <vt:i4>1572920</vt:i4>
      </vt:variant>
      <vt:variant>
        <vt:i4>20</vt:i4>
      </vt:variant>
      <vt:variant>
        <vt:i4>0</vt:i4>
      </vt:variant>
      <vt:variant>
        <vt:i4>5</vt:i4>
      </vt:variant>
      <vt:variant>
        <vt:lpwstr/>
      </vt:variant>
      <vt:variant>
        <vt:lpwstr>_Toc209941771</vt:lpwstr>
      </vt:variant>
      <vt:variant>
        <vt:i4>1572920</vt:i4>
      </vt:variant>
      <vt:variant>
        <vt:i4>14</vt:i4>
      </vt:variant>
      <vt:variant>
        <vt:i4>0</vt:i4>
      </vt:variant>
      <vt:variant>
        <vt:i4>5</vt:i4>
      </vt:variant>
      <vt:variant>
        <vt:lpwstr/>
      </vt:variant>
      <vt:variant>
        <vt:lpwstr>_Toc209941770</vt:lpwstr>
      </vt:variant>
      <vt:variant>
        <vt:i4>1638456</vt:i4>
      </vt:variant>
      <vt:variant>
        <vt:i4>8</vt:i4>
      </vt:variant>
      <vt:variant>
        <vt:i4>0</vt:i4>
      </vt:variant>
      <vt:variant>
        <vt:i4>5</vt:i4>
      </vt:variant>
      <vt:variant>
        <vt:lpwstr/>
      </vt:variant>
      <vt:variant>
        <vt:lpwstr>_Toc209941769</vt:lpwstr>
      </vt:variant>
      <vt:variant>
        <vt:i4>1638456</vt:i4>
      </vt:variant>
      <vt:variant>
        <vt:i4>2</vt:i4>
      </vt:variant>
      <vt:variant>
        <vt:i4>0</vt:i4>
      </vt:variant>
      <vt:variant>
        <vt:i4>5</vt:i4>
      </vt:variant>
      <vt:variant>
        <vt:lpwstr/>
      </vt:variant>
      <vt:variant>
        <vt:lpwstr>_Toc209941766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Loki Ball</dc:creator>
  <cp:keywords/>
  <dc:description/>
  <cp:lastModifiedBy>Loki Ball</cp:lastModifiedBy>
  <cp:revision>131</cp:revision>
  <cp:lastPrinted>1900-12-31T14:00:00Z</cp:lastPrinted>
  <dcterms:created xsi:type="dcterms:W3CDTF">2015-09-23T00:18:00Z</dcterms:created>
  <dcterms:modified xsi:type="dcterms:W3CDTF">2015-12-06T10:23:00Z</dcterms:modified>
</cp:coreProperties>
</file>