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34A" w:rsidRDefault="00B5234A">
      <w:r w:rsidRPr="00B5234A">
        <w:rPr>
          <w:noProof/>
          <w:lang w:eastAsia="en-AU"/>
        </w:rPr>
        <w:drawing>
          <wp:inline distT="0" distB="0" distL="0" distR="0">
            <wp:extent cx="5731510" cy="472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728890"/>
                    </a:xfrm>
                    <a:prstGeom prst="rect">
                      <a:avLst/>
                    </a:prstGeom>
                    <a:noFill/>
                    <a:ln>
                      <a:noFill/>
                    </a:ln>
                  </pic:spPr>
                </pic:pic>
              </a:graphicData>
            </a:graphic>
          </wp:inline>
        </w:drawing>
      </w:r>
      <w:r>
        <w:br w:type="page"/>
      </w:r>
    </w:p>
    <w:p w:rsidR="00B5234A" w:rsidRPr="003672C7" w:rsidRDefault="00B5234A" w:rsidP="00B5234A">
      <w:pPr>
        <w:pStyle w:val="Heading1"/>
        <w:spacing w:after="153"/>
        <w:ind w:left="3"/>
      </w:pPr>
      <w:r w:rsidRPr="003672C7">
        <w:rPr>
          <w:rFonts w:eastAsia="Times New Roman" w:cs="Times New Roman"/>
          <w:b w:val="0"/>
          <w:color w:val="EA6034"/>
          <w:sz w:val="64"/>
        </w:rPr>
        <w:lastRenderedPageBreak/>
        <w:t>Our Progress Report 2014</w:t>
      </w:r>
    </w:p>
    <w:p w:rsidR="00B5234A" w:rsidRPr="00A27A9D" w:rsidRDefault="00B5234A" w:rsidP="00B5234A">
      <w:pPr>
        <w:spacing w:after="235"/>
        <w:ind w:left="20"/>
        <w:rPr>
          <w:sz w:val="24"/>
          <w:szCs w:val="24"/>
        </w:rPr>
      </w:pPr>
      <w:r>
        <w:rPr>
          <w:sz w:val="24"/>
          <w:szCs w:val="24"/>
        </w:rPr>
        <w:t>T</w:t>
      </w:r>
      <w:r w:rsidRPr="00A27A9D">
        <w:rPr>
          <w:sz w:val="24"/>
          <w:szCs w:val="24"/>
        </w:rPr>
        <w:t xml:space="preserve">he Male Champions of Change (MCC) collaboration aims to achieve a significant and sustainable increase in the representation of women in </w:t>
      </w:r>
      <w:r>
        <w:rPr>
          <w:sz w:val="24"/>
          <w:szCs w:val="24"/>
        </w:rPr>
        <w:t>leadership, established in 2010 by Elizabeth Broderick, S</w:t>
      </w:r>
      <w:r w:rsidRPr="00A27A9D">
        <w:rPr>
          <w:sz w:val="24"/>
          <w:szCs w:val="24"/>
        </w:rPr>
        <w:t>ex Discrimination Commissioner</w:t>
      </w:r>
      <w:r>
        <w:rPr>
          <w:sz w:val="24"/>
          <w:szCs w:val="24"/>
        </w:rPr>
        <w:t>, our group comprises 25 CEO</w:t>
      </w:r>
      <w:r w:rsidRPr="00A27A9D">
        <w:rPr>
          <w:sz w:val="24"/>
          <w:szCs w:val="24"/>
        </w:rPr>
        <w:t>s, department heads and non- executive directors from across business and federal government.</w:t>
      </w:r>
    </w:p>
    <w:p w:rsidR="00B5234A" w:rsidRPr="00A27A9D" w:rsidRDefault="00B5234A" w:rsidP="00B5234A">
      <w:pPr>
        <w:spacing w:after="235"/>
        <w:ind w:left="7" w:right="1246"/>
        <w:rPr>
          <w:sz w:val="24"/>
          <w:szCs w:val="24"/>
        </w:rPr>
      </w:pPr>
      <w:r w:rsidRPr="00A27A9D">
        <w:rPr>
          <w:sz w:val="24"/>
          <w:szCs w:val="24"/>
        </w:rPr>
        <w:t xml:space="preserve">Having male leaders step up </w:t>
      </w:r>
      <w:r>
        <w:rPr>
          <w:sz w:val="24"/>
          <w:szCs w:val="24"/>
        </w:rPr>
        <w:t xml:space="preserve">beside women and lead on gender </w:t>
      </w:r>
      <w:r w:rsidRPr="00A27A9D">
        <w:rPr>
          <w:sz w:val="24"/>
          <w:szCs w:val="24"/>
        </w:rPr>
        <w:t>equality is at the heart of the MCC strategy. For so long, women alone have led the way, advocating for hard-won improvements, when so many men also hold power to support change.</w:t>
      </w:r>
    </w:p>
    <w:p w:rsidR="00B5234A" w:rsidRPr="00A27A9D" w:rsidRDefault="00B5234A" w:rsidP="00B5234A">
      <w:pPr>
        <w:spacing w:after="235"/>
        <w:ind w:left="7" w:right="1154"/>
        <w:rPr>
          <w:sz w:val="24"/>
          <w:szCs w:val="24"/>
        </w:rPr>
      </w:pPr>
      <w:r w:rsidRPr="00A27A9D">
        <w:rPr>
          <w:sz w:val="24"/>
          <w:szCs w:val="24"/>
        </w:rPr>
        <w:t>While in real terms more women are attaining leadership positions within our organisations, we know we still have much to contribute. We believe that investments made now in systemic change – particularly in sectors where women are traditionally under-represented – will progressively provide the payoff that we are looking for.</w:t>
      </w:r>
    </w:p>
    <w:p w:rsidR="00B5234A" w:rsidRPr="00A27A9D" w:rsidRDefault="00B5234A" w:rsidP="00B5234A">
      <w:pPr>
        <w:spacing w:after="235"/>
        <w:ind w:left="7" w:right="904"/>
        <w:rPr>
          <w:sz w:val="24"/>
          <w:szCs w:val="24"/>
        </w:rPr>
      </w:pPr>
      <w:r w:rsidRPr="00A27A9D">
        <w:rPr>
          <w:sz w:val="24"/>
          <w:szCs w:val="24"/>
        </w:rPr>
        <w:t>None of us can claim to have everything right. Yet we are resolute that championing change on gender equality cannot wait until we can all claim to be perfect role models. As leaders and employers, we know there is much more we can and will do. We continue to listen and learn. We will be persistent in leading change.</w:t>
      </w:r>
    </w:p>
    <w:p w:rsidR="00B5234A" w:rsidRPr="00A27A9D" w:rsidRDefault="00B5234A" w:rsidP="00B5234A">
      <w:pPr>
        <w:spacing w:after="235"/>
        <w:ind w:left="7" w:right="566"/>
        <w:rPr>
          <w:sz w:val="24"/>
          <w:szCs w:val="24"/>
        </w:rPr>
      </w:pPr>
      <w:r w:rsidRPr="00A27A9D">
        <w:rPr>
          <w:sz w:val="24"/>
          <w:szCs w:val="24"/>
        </w:rPr>
        <w:t>In this report we summarise our results, progress and insights gained from the program of work we announced in November 2013. Highlights include:</w:t>
      </w:r>
    </w:p>
    <w:p w:rsidR="00B5234A" w:rsidRPr="003672C7" w:rsidRDefault="00B5234A" w:rsidP="00B5234A">
      <w:pPr>
        <w:pStyle w:val="ListParagraph"/>
        <w:numPr>
          <w:ilvl w:val="0"/>
          <w:numId w:val="1"/>
        </w:numPr>
        <w:ind w:right="6"/>
        <w:rPr>
          <w:sz w:val="24"/>
          <w:szCs w:val="24"/>
        </w:rPr>
      </w:pPr>
      <w:r w:rsidRPr="003672C7">
        <w:rPr>
          <w:sz w:val="24"/>
          <w:szCs w:val="24"/>
        </w:rPr>
        <w:t>Launch of the Leadership shadow Model</w:t>
      </w:r>
    </w:p>
    <w:p w:rsidR="00B5234A" w:rsidRPr="003672C7" w:rsidRDefault="00B5234A" w:rsidP="00B5234A">
      <w:pPr>
        <w:pStyle w:val="ListParagraph"/>
        <w:numPr>
          <w:ilvl w:val="0"/>
          <w:numId w:val="1"/>
        </w:numPr>
        <w:ind w:right="6"/>
        <w:rPr>
          <w:sz w:val="24"/>
          <w:szCs w:val="24"/>
        </w:rPr>
      </w:pPr>
      <w:r w:rsidRPr="003672C7">
        <w:rPr>
          <w:sz w:val="24"/>
          <w:szCs w:val="24"/>
        </w:rPr>
        <w:t>Enhancements to the ASX Corporate Governance Principles</w:t>
      </w:r>
    </w:p>
    <w:p w:rsidR="00B5234A" w:rsidRPr="003672C7" w:rsidRDefault="00B5234A" w:rsidP="00B5234A">
      <w:pPr>
        <w:pStyle w:val="ListParagraph"/>
        <w:numPr>
          <w:ilvl w:val="0"/>
          <w:numId w:val="1"/>
        </w:numPr>
        <w:ind w:right="6"/>
        <w:rPr>
          <w:sz w:val="24"/>
          <w:szCs w:val="24"/>
        </w:rPr>
      </w:pPr>
      <w:r w:rsidRPr="003672C7">
        <w:rPr>
          <w:sz w:val="24"/>
          <w:szCs w:val="24"/>
        </w:rPr>
        <w:t>Promising leading indicators</w:t>
      </w:r>
    </w:p>
    <w:p w:rsidR="00B5234A" w:rsidRPr="003672C7" w:rsidRDefault="00B5234A" w:rsidP="00B5234A">
      <w:pPr>
        <w:pStyle w:val="ListParagraph"/>
        <w:numPr>
          <w:ilvl w:val="0"/>
          <w:numId w:val="1"/>
        </w:numPr>
        <w:ind w:right="6"/>
        <w:rPr>
          <w:sz w:val="24"/>
          <w:szCs w:val="24"/>
        </w:rPr>
      </w:pPr>
      <w:r w:rsidRPr="003672C7">
        <w:rPr>
          <w:sz w:val="24"/>
          <w:szCs w:val="24"/>
        </w:rPr>
        <w:t>Innovative initiatives (All roles Flex, Notable Women)</w:t>
      </w:r>
    </w:p>
    <w:p w:rsidR="00B5234A" w:rsidRDefault="00B5234A" w:rsidP="00B5234A">
      <w:pPr>
        <w:spacing w:after="235"/>
        <w:ind w:left="7" w:right="691"/>
        <w:rPr>
          <w:sz w:val="24"/>
          <w:szCs w:val="24"/>
        </w:rPr>
      </w:pPr>
    </w:p>
    <w:p w:rsidR="00B5234A" w:rsidRPr="00A27A9D" w:rsidRDefault="00B5234A" w:rsidP="00B5234A">
      <w:pPr>
        <w:spacing w:after="235"/>
        <w:ind w:left="7" w:right="691"/>
        <w:rPr>
          <w:sz w:val="24"/>
          <w:szCs w:val="24"/>
        </w:rPr>
      </w:pPr>
      <w:r w:rsidRPr="00A27A9D">
        <w:rPr>
          <w:sz w:val="24"/>
          <w:szCs w:val="24"/>
        </w:rPr>
        <w:t xml:space="preserve">We are grateful to those who guide and </w:t>
      </w:r>
      <w:r>
        <w:rPr>
          <w:sz w:val="24"/>
          <w:szCs w:val="24"/>
        </w:rPr>
        <w:t xml:space="preserve">support our work, in particular </w:t>
      </w:r>
      <w:r w:rsidRPr="00A27A9D">
        <w:rPr>
          <w:sz w:val="24"/>
          <w:szCs w:val="24"/>
        </w:rPr>
        <w:t>Chief executive Women, Catalyst, Diversity Council of Australia, Women’s Leadership Institute Australia and the Workplace gender equality Agency.</w:t>
      </w:r>
    </w:p>
    <w:p w:rsidR="00B5234A" w:rsidRPr="00A27A9D" w:rsidRDefault="00B5234A" w:rsidP="00B5234A">
      <w:pPr>
        <w:spacing w:after="235"/>
        <w:ind w:left="7" w:right="993"/>
        <w:rPr>
          <w:sz w:val="24"/>
          <w:szCs w:val="24"/>
        </w:rPr>
      </w:pPr>
      <w:r w:rsidRPr="00A27A9D">
        <w:rPr>
          <w:sz w:val="24"/>
          <w:szCs w:val="24"/>
        </w:rPr>
        <w:t>Most importantly, we thank our more than 400,000 employees, especially the more than 170,000 women among them who challenge and inspire us to deliver on our mission every day.</w:t>
      </w:r>
    </w:p>
    <w:p w:rsidR="00B5234A" w:rsidRPr="00A27A9D" w:rsidRDefault="00B5234A" w:rsidP="00B5234A">
      <w:pPr>
        <w:ind w:left="7" w:right="6"/>
        <w:rPr>
          <w:sz w:val="24"/>
          <w:szCs w:val="24"/>
        </w:rPr>
      </w:pPr>
      <w:r w:rsidRPr="00A27A9D">
        <w:rPr>
          <w:sz w:val="24"/>
          <w:szCs w:val="24"/>
        </w:rPr>
        <w:t xml:space="preserve">We welcome your feedback. </w:t>
      </w:r>
    </w:p>
    <w:p w:rsidR="00B5234A" w:rsidRDefault="00B5234A">
      <w:r>
        <w:br w:type="page"/>
      </w:r>
    </w:p>
    <w:p w:rsidR="00B5234A" w:rsidRPr="00B5234A" w:rsidRDefault="00B5234A" w:rsidP="00B5234A">
      <w:pPr>
        <w:pStyle w:val="Heading1"/>
        <w:spacing w:after="153"/>
        <w:ind w:left="3"/>
        <w:rPr>
          <w:rFonts w:eastAsia="Times New Roman" w:cs="Times New Roman"/>
          <w:b w:val="0"/>
          <w:color w:val="EA6034"/>
          <w:sz w:val="64"/>
        </w:rPr>
      </w:pPr>
      <w:r w:rsidRPr="00B5234A">
        <w:rPr>
          <w:rFonts w:eastAsia="Times New Roman" w:cs="Times New Roman"/>
          <w:b w:val="0"/>
          <w:color w:val="EA6034"/>
          <w:sz w:val="64"/>
        </w:rPr>
        <w:lastRenderedPageBreak/>
        <w:t>Our Action Plan</w:t>
      </w:r>
    </w:p>
    <w:p w:rsidR="00B91A89" w:rsidRDefault="00B5234A" w:rsidP="00B5234A">
      <w:r>
        <w:t>Our action plan, which we have worked on through 2014, describes an interconnected set of themes we are focusing on to change the game on women’s representation within our organisations.</w:t>
      </w:r>
    </w:p>
    <w:tbl>
      <w:tblPr>
        <w:tblStyle w:val="TableGrid"/>
        <w:tblW w:w="9209" w:type="dxa"/>
        <w:tblLook w:val="04A0" w:firstRow="1" w:lastRow="0" w:firstColumn="1" w:lastColumn="0" w:noHBand="0" w:noVBand="1"/>
      </w:tblPr>
      <w:tblGrid>
        <w:gridCol w:w="3256"/>
        <w:gridCol w:w="5953"/>
      </w:tblGrid>
      <w:tr w:rsidR="00B5234A" w:rsidTr="00B5234A">
        <w:tc>
          <w:tcPr>
            <w:tcW w:w="3256" w:type="dxa"/>
          </w:tcPr>
          <w:p w:rsidR="00B5234A" w:rsidRPr="00B5234A" w:rsidRDefault="00B5234A" w:rsidP="00B5234A">
            <w:pPr>
              <w:rPr>
                <w:b/>
                <w:sz w:val="24"/>
              </w:rPr>
            </w:pPr>
            <w:r w:rsidRPr="00B5234A">
              <w:rPr>
                <w:b/>
                <w:sz w:val="24"/>
              </w:rPr>
              <w:t>Theme</w:t>
            </w:r>
          </w:p>
        </w:tc>
        <w:tc>
          <w:tcPr>
            <w:tcW w:w="5953" w:type="dxa"/>
          </w:tcPr>
          <w:p w:rsidR="00B5234A" w:rsidRPr="00B5234A" w:rsidRDefault="00B5234A" w:rsidP="00B5234A">
            <w:pPr>
              <w:rPr>
                <w:b/>
                <w:sz w:val="24"/>
              </w:rPr>
            </w:pPr>
            <w:r w:rsidRPr="00B5234A">
              <w:rPr>
                <w:b/>
                <w:sz w:val="24"/>
              </w:rPr>
              <w:t>Heart of the issue</w:t>
            </w:r>
          </w:p>
        </w:tc>
      </w:tr>
      <w:tr w:rsidR="00B5234A" w:rsidTr="00B5234A">
        <w:tc>
          <w:tcPr>
            <w:tcW w:w="3256" w:type="dxa"/>
          </w:tcPr>
          <w:p w:rsidR="00B5234A" w:rsidRDefault="00B5234A" w:rsidP="00B5234A">
            <w:r>
              <w:t>1.  Stepping up as leaders</w:t>
            </w:r>
          </w:p>
        </w:tc>
        <w:tc>
          <w:tcPr>
            <w:tcW w:w="5953" w:type="dxa"/>
          </w:tcPr>
          <w:p w:rsidR="00B5234A" w:rsidRDefault="00B5234A" w:rsidP="00B5234A">
            <w:r w:rsidRPr="00B5234A">
              <w:t>Creating momentum</w:t>
            </w:r>
            <w:r>
              <w:t xml:space="preserve"> to increase the representation </w:t>
            </w:r>
            <w:r w:rsidRPr="00B5234A">
              <w:t>of women in lead</w:t>
            </w:r>
            <w:r>
              <w:t xml:space="preserve">ership requires stepping up and </w:t>
            </w:r>
            <w:r w:rsidRPr="00B5234A">
              <w:t xml:space="preserve">changing our </w:t>
            </w:r>
            <w:r>
              <w:t xml:space="preserve">ways, demonstrating commitment, </w:t>
            </w:r>
            <w:r w:rsidRPr="00B5234A">
              <w:t>prioritising the issue and leading with action.</w:t>
            </w:r>
          </w:p>
        </w:tc>
      </w:tr>
      <w:tr w:rsidR="00B5234A" w:rsidTr="00B5234A">
        <w:tc>
          <w:tcPr>
            <w:tcW w:w="3256" w:type="dxa"/>
          </w:tcPr>
          <w:p w:rsidR="00B5234A" w:rsidRDefault="00B5234A" w:rsidP="00B5234A">
            <w:r>
              <w:t>2.  Creating accountability</w:t>
            </w:r>
          </w:p>
        </w:tc>
        <w:tc>
          <w:tcPr>
            <w:tcW w:w="5953" w:type="dxa"/>
          </w:tcPr>
          <w:p w:rsidR="00B5234A" w:rsidRDefault="00B5234A" w:rsidP="00B5234A">
            <w:r>
              <w:t>Sharpening our focus and bringing our full management system to bear is essential. The objective of gender equality must be integrated across our business processes, with clear targets</w:t>
            </w:r>
          </w:p>
          <w:p w:rsidR="00B5234A" w:rsidRDefault="00B5234A" w:rsidP="00B5234A">
            <w:proofErr w:type="gramStart"/>
            <w:r>
              <w:t>and</w:t>
            </w:r>
            <w:proofErr w:type="gramEnd"/>
            <w:r>
              <w:t xml:space="preserve"> accountability.</w:t>
            </w:r>
          </w:p>
        </w:tc>
      </w:tr>
      <w:tr w:rsidR="00B5234A" w:rsidTr="00B5234A">
        <w:tc>
          <w:tcPr>
            <w:tcW w:w="3256" w:type="dxa"/>
          </w:tcPr>
          <w:p w:rsidR="00B5234A" w:rsidRDefault="00B5234A" w:rsidP="00B5234A">
            <w:r>
              <w:t>3.  Disrupting the status quo</w:t>
            </w:r>
          </w:p>
        </w:tc>
        <w:tc>
          <w:tcPr>
            <w:tcW w:w="5953" w:type="dxa"/>
          </w:tcPr>
          <w:p w:rsidR="00B5234A" w:rsidRDefault="00B5234A" w:rsidP="00B5234A">
            <w:r>
              <w:t>The status quo on gender equality can lead to low expectations of women’s representation. At times, we assume that obstacles to women’s advancement are inevitable or insurmountable. This is not the case, but standard approaches are not enough.</w:t>
            </w:r>
          </w:p>
        </w:tc>
      </w:tr>
      <w:tr w:rsidR="00B5234A" w:rsidTr="00B5234A">
        <w:tc>
          <w:tcPr>
            <w:tcW w:w="3256" w:type="dxa"/>
          </w:tcPr>
          <w:p w:rsidR="00B5234A" w:rsidRDefault="00B5234A" w:rsidP="00B5234A">
            <w:r>
              <w:t>4.  Dismantling barriers for carers</w:t>
            </w:r>
          </w:p>
        </w:tc>
        <w:tc>
          <w:tcPr>
            <w:tcW w:w="5953" w:type="dxa"/>
          </w:tcPr>
          <w:p w:rsidR="00B5234A" w:rsidRPr="00B5234A" w:rsidRDefault="00B5234A" w:rsidP="00B5234A">
            <w:r w:rsidRPr="00B5234A">
              <w:t xml:space="preserve">Traditionally, </w:t>
            </w:r>
            <w:r>
              <w:t xml:space="preserve">the most common route to senior </w:t>
            </w:r>
            <w:r w:rsidRPr="00B5234A">
              <w:t>leadership po</w:t>
            </w:r>
            <w:r>
              <w:t xml:space="preserve">sitions has not included career </w:t>
            </w:r>
            <w:r w:rsidRPr="00B5234A">
              <w:t xml:space="preserve">breaks and visible </w:t>
            </w:r>
            <w:r>
              <w:t xml:space="preserve">caring responsibilities. Roles, </w:t>
            </w:r>
            <w:r w:rsidRPr="00B5234A">
              <w:t>career paths, po</w:t>
            </w:r>
            <w:r>
              <w:t xml:space="preserve">licies and processes need to be </w:t>
            </w:r>
            <w:r w:rsidRPr="00B5234A">
              <w:t>redesigned with consideration given to people</w:t>
            </w:r>
          </w:p>
          <w:p w:rsidR="00B5234A" w:rsidRDefault="00B5234A" w:rsidP="00B5234A">
            <w:proofErr w:type="gramStart"/>
            <w:r w:rsidRPr="00B5234A">
              <w:t>managing</w:t>
            </w:r>
            <w:proofErr w:type="gramEnd"/>
            <w:r w:rsidRPr="00B5234A">
              <w:t xml:space="preserve"> this ‘double burden’.</w:t>
            </w:r>
          </w:p>
        </w:tc>
      </w:tr>
    </w:tbl>
    <w:p w:rsidR="00B5234A" w:rsidRDefault="00B5234A" w:rsidP="00B5234A">
      <w:pPr>
        <w:rPr>
          <w:rFonts w:ascii="Swiss721BT-Light" w:hAnsi="Swiss721BT-Light" w:cs="Swiss721BT-Light"/>
          <w:sz w:val="19"/>
          <w:szCs w:val="19"/>
        </w:rPr>
      </w:pPr>
    </w:p>
    <w:p w:rsidR="00B5234A" w:rsidRDefault="00B5234A" w:rsidP="00B5234A">
      <w:r w:rsidRPr="00B5234A">
        <w:t>The pages that follow provide an update on our efforts and impact across each of the four themes.</w:t>
      </w:r>
    </w:p>
    <w:p w:rsidR="00082BD8" w:rsidRDefault="00082BD8" w:rsidP="00082BD8">
      <w:pPr>
        <w:rPr>
          <w:rFonts w:cs="TiemposText-Regular"/>
          <w:color w:val="FF3B12"/>
          <w:sz w:val="64"/>
          <w:szCs w:val="64"/>
        </w:rPr>
        <w:sectPr w:rsidR="00082BD8">
          <w:pgSz w:w="11906" w:h="16838"/>
          <w:pgMar w:top="1440" w:right="1440" w:bottom="1440" w:left="1440" w:header="708" w:footer="708" w:gutter="0"/>
          <w:cols w:space="708"/>
          <w:docGrid w:linePitch="360"/>
        </w:sectPr>
      </w:pPr>
    </w:p>
    <w:p w:rsidR="00B5234A" w:rsidRPr="00082BD8" w:rsidRDefault="00082BD8" w:rsidP="00082BD8">
      <w:r>
        <w:rPr>
          <w:rFonts w:cs="TiemposText-Regular"/>
          <w:color w:val="FF3B12"/>
          <w:sz w:val="64"/>
          <w:szCs w:val="64"/>
        </w:rPr>
        <w:lastRenderedPageBreak/>
        <w:t>1</w:t>
      </w:r>
      <w:r w:rsidR="00956DD4">
        <w:rPr>
          <w:rFonts w:cs="TiemposText-Regular"/>
          <w:color w:val="FF3B12"/>
          <w:sz w:val="64"/>
          <w:szCs w:val="64"/>
        </w:rPr>
        <w:t>.</w:t>
      </w:r>
      <w:r>
        <w:rPr>
          <w:rFonts w:cs="TiemposText-Regular"/>
          <w:color w:val="FF3B12"/>
          <w:sz w:val="64"/>
          <w:szCs w:val="64"/>
        </w:rPr>
        <w:t xml:space="preserve"> Stepping up as Leader</w:t>
      </w:r>
      <w:r w:rsidR="00956DD4">
        <w:rPr>
          <w:rFonts w:cs="TiemposText-Regular"/>
          <w:color w:val="FF3B12"/>
          <w:sz w:val="64"/>
          <w:szCs w:val="64"/>
        </w:rPr>
        <w:t>s</w:t>
      </w:r>
    </w:p>
    <w:tbl>
      <w:tblPr>
        <w:tblStyle w:val="TableGrid"/>
        <w:tblW w:w="15730" w:type="dxa"/>
        <w:tblLook w:val="04A0" w:firstRow="1" w:lastRow="0" w:firstColumn="1" w:lastColumn="0" w:noHBand="0" w:noVBand="1"/>
      </w:tblPr>
      <w:tblGrid>
        <w:gridCol w:w="2405"/>
        <w:gridCol w:w="13325"/>
      </w:tblGrid>
      <w:tr w:rsidR="00B5234A" w:rsidTr="00956DD4">
        <w:tc>
          <w:tcPr>
            <w:tcW w:w="2405" w:type="dxa"/>
          </w:tcPr>
          <w:p w:rsidR="00B5234A" w:rsidRPr="00956DD4" w:rsidRDefault="00B5234A" w:rsidP="00B5234A">
            <w:pPr>
              <w:rPr>
                <w:b/>
                <w:sz w:val="26"/>
                <w:szCs w:val="26"/>
              </w:rPr>
            </w:pPr>
            <w:r w:rsidRPr="00956DD4">
              <w:rPr>
                <w:b/>
                <w:sz w:val="26"/>
                <w:szCs w:val="26"/>
              </w:rPr>
              <w:t>Action</w:t>
            </w:r>
          </w:p>
        </w:tc>
        <w:tc>
          <w:tcPr>
            <w:tcW w:w="13325" w:type="dxa"/>
          </w:tcPr>
          <w:p w:rsidR="00B5234A" w:rsidRPr="00956DD4" w:rsidRDefault="00B5234A" w:rsidP="00B5234A">
            <w:pPr>
              <w:rPr>
                <w:b/>
                <w:sz w:val="26"/>
                <w:szCs w:val="26"/>
              </w:rPr>
            </w:pPr>
            <w:r w:rsidRPr="00956DD4">
              <w:rPr>
                <w:b/>
                <w:sz w:val="26"/>
                <w:szCs w:val="26"/>
              </w:rPr>
              <w:t>Progress</w:t>
            </w:r>
          </w:p>
        </w:tc>
      </w:tr>
      <w:tr w:rsidR="00B5234A" w:rsidTr="00956DD4">
        <w:tc>
          <w:tcPr>
            <w:tcW w:w="2405" w:type="dxa"/>
          </w:tcPr>
          <w:p w:rsidR="00082BD8" w:rsidRPr="00082BD8" w:rsidRDefault="00082BD8" w:rsidP="00082BD8">
            <w:pPr>
              <w:autoSpaceDE w:val="0"/>
              <w:autoSpaceDN w:val="0"/>
              <w:adjustRightInd w:val="0"/>
              <w:rPr>
                <w:rFonts w:ascii="Calibri" w:eastAsia="Calibri" w:hAnsi="Calibri" w:cs="Calibri"/>
                <w:b/>
                <w:color w:val="181717"/>
                <w:sz w:val="24"/>
                <w:szCs w:val="24"/>
                <w:lang w:eastAsia="en-AU"/>
              </w:rPr>
            </w:pPr>
            <w:r w:rsidRPr="00082BD8">
              <w:rPr>
                <w:rFonts w:ascii="Calibri" w:eastAsia="Calibri" w:hAnsi="Calibri" w:cs="Calibri"/>
                <w:b/>
                <w:color w:val="181717"/>
                <w:sz w:val="24"/>
                <w:szCs w:val="24"/>
                <w:lang w:eastAsia="en-AU"/>
              </w:rPr>
              <w:t>It starts with us.</w:t>
            </w:r>
          </w:p>
          <w:p w:rsidR="00082BD8" w:rsidRPr="00082BD8" w:rsidRDefault="00082BD8" w:rsidP="00082BD8">
            <w:pPr>
              <w:autoSpaceDE w:val="0"/>
              <w:autoSpaceDN w:val="0"/>
              <w:adjustRightInd w:val="0"/>
              <w:rPr>
                <w:rFonts w:ascii="Calibri" w:eastAsia="Calibri" w:hAnsi="Calibri" w:cs="Calibri"/>
                <w:color w:val="181717"/>
                <w:sz w:val="24"/>
                <w:szCs w:val="24"/>
                <w:lang w:eastAsia="en-AU"/>
              </w:rPr>
            </w:pPr>
            <w:r>
              <w:rPr>
                <w:rFonts w:ascii="Calibri" w:eastAsia="Calibri" w:hAnsi="Calibri" w:cs="Calibri"/>
                <w:color w:val="181717"/>
                <w:sz w:val="24"/>
                <w:szCs w:val="24"/>
                <w:lang w:eastAsia="en-AU"/>
              </w:rPr>
              <w:t xml:space="preserve">—the leaders of the organisation. Reflect on your own leadership and whether you are sending the </w:t>
            </w:r>
            <w:r w:rsidRPr="00082BD8">
              <w:rPr>
                <w:rFonts w:ascii="Calibri" w:eastAsia="Calibri" w:hAnsi="Calibri" w:cs="Calibri"/>
                <w:color w:val="181717"/>
                <w:sz w:val="24"/>
                <w:szCs w:val="24"/>
                <w:lang w:eastAsia="en-AU"/>
              </w:rPr>
              <w:t>right signals about</w:t>
            </w:r>
          </w:p>
          <w:p w:rsidR="00B5234A" w:rsidRPr="00082BD8" w:rsidRDefault="00082BD8" w:rsidP="00082BD8">
            <w:pPr>
              <w:autoSpaceDE w:val="0"/>
              <w:autoSpaceDN w:val="0"/>
              <w:adjustRightInd w:val="0"/>
              <w:rPr>
                <w:rFonts w:ascii="Calibri" w:eastAsia="Calibri" w:hAnsi="Calibri" w:cs="Calibri"/>
                <w:color w:val="181717"/>
                <w:sz w:val="24"/>
                <w:szCs w:val="24"/>
                <w:lang w:eastAsia="en-AU"/>
              </w:rPr>
            </w:pPr>
            <w:proofErr w:type="gramStart"/>
            <w:r>
              <w:rPr>
                <w:rFonts w:ascii="Calibri" w:eastAsia="Calibri" w:hAnsi="Calibri" w:cs="Calibri"/>
                <w:color w:val="181717"/>
                <w:sz w:val="24"/>
                <w:szCs w:val="24"/>
                <w:lang w:eastAsia="en-AU"/>
              </w:rPr>
              <w:t>gender</w:t>
            </w:r>
            <w:proofErr w:type="gramEnd"/>
            <w:r>
              <w:rPr>
                <w:rFonts w:ascii="Calibri" w:eastAsia="Calibri" w:hAnsi="Calibri" w:cs="Calibri"/>
                <w:color w:val="181717"/>
                <w:sz w:val="24"/>
                <w:szCs w:val="24"/>
                <w:lang w:eastAsia="en-AU"/>
              </w:rPr>
              <w:t xml:space="preserve"> balance in your </w:t>
            </w:r>
            <w:r w:rsidRPr="00082BD8">
              <w:rPr>
                <w:rFonts w:ascii="Calibri" w:eastAsia="Calibri" w:hAnsi="Calibri" w:cs="Calibri"/>
                <w:color w:val="181717"/>
                <w:sz w:val="24"/>
                <w:szCs w:val="24"/>
                <w:lang w:eastAsia="en-AU"/>
              </w:rPr>
              <w:t>organisation.</w:t>
            </w:r>
          </w:p>
        </w:tc>
        <w:tc>
          <w:tcPr>
            <w:tcW w:w="13325" w:type="dxa"/>
          </w:tcPr>
          <w:p w:rsidR="00082BD8" w:rsidRPr="00082BD8" w:rsidRDefault="00082BD8" w:rsidP="00956DD4">
            <w:pPr>
              <w:pStyle w:val="ListParagraph"/>
              <w:numPr>
                <w:ilvl w:val="0"/>
                <w:numId w:val="2"/>
              </w:numPr>
              <w:spacing w:after="0" w:line="240" w:lineRule="auto"/>
              <w:rPr>
                <w:sz w:val="20"/>
                <w:szCs w:val="20"/>
              </w:rPr>
            </w:pPr>
            <w:r w:rsidRPr="00082BD8">
              <w:rPr>
                <w:b/>
                <w:sz w:val="20"/>
                <w:szCs w:val="20"/>
              </w:rPr>
              <w:t>Model to drive progress</w:t>
            </w:r>
            <w:r w:rsidRPr="00082BD8">
              <w:rPr>
                <w:sz w:val="20"/>
                <w:szCs w:val="20"/>
              </w:rPr>
              <w:t>. The Leadership Shadow model was launched with Chief Executive Women (CEW), the pre-em</w:t>
            </w:r>
            <w:r w:rsidR="00956DD4">
              <w:rPr>
                <w:sz w:val="20"/>
                <w:szCs w:val="20"/>
              </w:rPr>
              <w:t xml:space="preserve">inent </w:t>
            </w:r>
            <w:r w:rsidRPr="00082BD8">
              <w:rPr>
                <w:sz w:val="20"/>
                <w:szCs w:val="20"/>
              </w:rPr>
              <w:t>organisation representing Australia’s most senior women leaders from the corporate, public service, academic and not-for-profit sectors. The model suggests leadership behaviours that support progress on gender equality. More than 350 leaders were directly briefed. The model was shared with 2,200 ASX-listed entities, and is now included as part of the Workplace Gender Equality (WGEA) Strategy Toolkit and Pay Equity Briefing Note.</w:t>
            </w:r>
          </w:p>
          <w:p w:rsidR="00082BD8" w:rsidRPr="00082BD8" w:rsidRDefault="00082BD8" w:rsidP="00956DD4">
            <w:pPr>
              <w:pStyle w:val="ListParagraph"/>
              <w:numPr>
                <w:ilvl w:val="0"/>
                <w:numId w:val="2"/>
              </w:numPr>
              <w:spacing w:after="0" w:line="240" w:lineRule="auto"/>
              <w:rPr>
                <w:sz w:val="20"/>
                <w:szCs w:val="20"/>
              </w:rPr>
            </w:pPr>
            <w:r w:rsidRPr="00082BD8">
              <w:rPr>
                <w:b/>
                <w:sz w:val="20"/>
                <w:szCs w:val="20"/>
              </w:rPr>
              <w:t>New members.</w:t>
            </w:r>
            <w:r w:rsidRPr="00082BD8">
              <w:rPr>
                <w:sz w:val="20"/>
                <w:szCs w:val="20"/>
              </w:rPr>
              <w:t xml:space="preserve"> The MCC welcomed three new members and organisations - Harry Kenyon-Slaney (Rio Tinto Energy; May), Hamish McLennan (Ten; May) and Michael Spence (University of Sydney; November).</w:t>
            </w:r>
          </w:p>
          <w:p w:rsidR="00082BD8" w:rsidRPr="00082BD8" w:rsidRDefault="00082BD8" w:rsidP="00956DD4">
            <w:pPr>
              <w:pStyle w:val="ListParagraph"/>
              <w:numPr>
                <w:ilvl w:val="0"/>
                <w:numId w:val="2"/>
              </w:numPr>
              <w:spacing w:after="0" w:line="240" w:lineRule="auto"/>
              <w:rPr>
                <w:sz w:val="20"/>
                <w:szCs w:val="20"/>
              </w:rPr>
            </w:pPr>
            <w:r w:rsidRPr="00082BD8">
              <w:rPr>
                <w:b/>
                <w:sz w:val="20"/>
                <w:szCs w:val="20"/>
              </w:rPr>
              <w:t>Membership transitions.</w:t>
            </w:r>
            <w:r w:rsidRPr="00082BD8">
              <w:rPr>
                <w:sz w:val="20"/>
                <w:szCs w:val="20"/>
              </w:rPr>
              <w:t xml:space="preserve"> The MCC welcomed new leaders from existing member organisations: Gary </w:t>
            </w:r>
            <w:proofErr w:type="spellStart"/>
            <w:r w:rsidRPr="00082BD8">
              <w:rPr>
                <w:sz w:val="20"/>
                <w:szCs w:val="20"/>
              </w:rPr>
              <w:t>Wingrove</w:t>
            </w:r>
            <w:proofErr w:type="spellEnd"/>
            <w:r w:rsidRPr="00082BD8">
              <w:rPr>
                <w:sz w:val="20"/>
                <w:szCs w:val="20"/>
              </w:rPr>
              <w:t xml:space="preserve"> took over from Geoff Wilson at KPMG, who became an MCC Ambassador (Hong Kong). John </w:t>
            </w:r>
            <w:proofErr w:type="spellStart"/>
            <w:r w:rsidRPr="00082BD8">
              <w:rPr>
                <w:sz w:val="20"/>
                <w:szCs w:val="20"/>
              </w:rPr>
              <w:t>Lydon</w:t>
            </w:r>
            <w:proofErr w:type="spellEnd"/>
            <w:r w:rsidRPr="00082BD8">
              <w:rPr>
                <w:sz w:val="20"/>
                <w:szCs w:val="20"/>
              </w:rPr>
              <w:t xml:space="preserve"> took over from Michael Rennie at McKinsey, who also became an MCC Ambassador (Dubai). Cindy Hook was appointed CEO of Deloitte. She is the first woman to lead a Big Four firm in Australia. She is also the first woman to succeed an MCC. The MCC look forward to Cindy’s participation in 2015.</w:t>
            </w:r>
          </w:p>
          <w:p w:rsidR="00082BD8" w:rsidRPr="00082BD8" w:rsidRDefault="00082BD8" w:rsidP="00956DD4">
            <w:pPr>
              <w:pStyle w:val="ListParagraph"/>
              <w:numPr>
                <w:ilvl w:val="0"/>
                <w:numId w:val="2"/>
              </w:numPr>
              <w:spacing w:after="0" w:line="240" w:lineRule="auto"/>
              <w:rPr>
                <w:sz w:val="20"/>
                <w:szCs w:val="20"/>
              </w:rPr>
            </w:pPr>
            <w:r w:rsidRPr="00082BD8">
              <w:rPr>
                <w:b/>
                <w:sz w:val="20"/>
                <w:szCs w:val="20"/>
              </w:rPr>
              <w:t>Public advocacy.</w:t>
            </w:r>
            <w:r w:rsidRPr="00082BD8">
              <w:rPr>
                <w:sz w:val="20"/>
                <w:szCs w:val="20"/>
              </w:rPr>
              <w:t xml:space="preserve"> MCCs participated in more than 75 speaking engagements on gender equality in Australia and internationally. This included International Women’s Day, International Day to End Violence </w:t>
            </w:r>
            <w:proofErr w:type="gramStart"/>
            <w:r w:rsidRPr="00082BD8">
              <w:rPr>
                <w:sz w:val="20"/>
                <w:szCs w:val="20"/>
              </w:rPr>
              <w:t>Against</w:t>
            </w:r>
            <w:proofErr w:type="gramEnd"/>
            <w:r w:rsidRPr="00082BD8">
              <w:rPr>
                <w:sz w:val="20"/>
                <w:szCs w:val="20"/>
              </w:rPr>
              <w:t xml:space="preserve"> Women and many throughout the year.</w:t>
            </w:r>
          </w:p>
          <w:p w:rsidR="00B5234A" w:rsidRPr="00082BD8" w:rsidRDefault="00082BD8" w:rsidP="00956DD4">
            <w:pPr>
              <w:pStyle w:val="ListParagraph"/>
              <w:numPr>
                <w:ilvl w:val="0"/>
                <w:numId w:val="2"/>
              </w:numPr>
              <w:spacing w:after="0" w:line="240" w:lineRule="auto"/>
              <w:rPr>
                <w:sz w:val="20"/>
                <w:szCs w:val="20"/>
              </w:rPr>
            </w:pPr>
            <w:r w:rsidRPr="00082BD8">
              <w:rPr>
                <w:b/>
                <w:sz w:val="20"/>
                <w:szCs w:val="20"/>
              </w:rPr>
              <w:t>Practical guide.</w:t>
            </w:r>
            <w:r w:rsidRPr="00082BD8">
              <w:rPr>
                <w:sz w:val="20"/>
                <w:szCs w:val="20"/>
              </w:rPr>
              <w:t xml:space="preserve"> In response to requests, the MCCs developed a practical guide to replicating the strategy. The approach was piloted by 5 groups across a range of settings – at a national (Japan), State (Queensland, Victoria) and sector level (elite sports, property).</w:t>
            </w:r>
          </w:p>
        </w:tc>
      </w:tr>
      <w:tr w:rsidR="00B5234A" w:rsidTr="00956DD4">
        <w:tc>
          <w:tcPr>
            <w:tcW w:w="2405" w:type="dxa"/>
          </w:tcPr>
          <w:p w:rsidR="00082BD8" w:rsidRPr="00082BD8" w:rsidRDefault="00082BD8" w:rsidP="00082BD8">
            <w:pPr>
              <w:autoSpaceDE w:val="0"/>
              <w:autoSpaceDN w:val="0"/>
              <w:adjustRightInd w:val="0"/>
              <w:rPr>
                <w:rFonts w:ascii="Calibri" w:eastAsia="Calibri" w:hAnsi="Calibri" w:cs="Calibri"/>
                <w:b/>
                <w:color w:val="181717"/>
                <w:sz w:val="24"/>
                <w:szCs w:val="24"/>
                <w:lang w:eastAsia="en-AU"/>
              </w:rPr>
            </w:pPr>
            <w:r w:rsidRPr="00082BD8">
              <w:rPr>
                <w:rFonts w:ascii="Calibri" w:eastAsia="Calibri" w:hAnsi="Calibri" w:cs="Calibri"/>
                <w:b/>
                <w:color w:val="181717"/>
                <w:sz w:val="24"/>
                <w:szCs w:val="24"/>
                <w:lang w:eastAsia="en-AU"/>
              </w:rPr>
              <w:t>Bring your top team</w:t>
            </w:r>
          </w:p>
          <w:p w:rsidR="00082BD8" w:rsidRPr="00082BD8" w:rsidRDefault="00082BD8" w:rsidP="00082BD8">
            <w:pPr>
              <w:autoSpaceDE w:val="0"/>
              <w:autoSpaceDN w:val="0"/>
              <w:adjustRightInd w:val="0"/>
              <w:rPr>
                <w:rFonts w:ascii="Calibri" w:eastAsia="Calibri" w:hAnsi="Calibri" w:cs="Calibri"/>
                <w:color w:val="181717"/>
                <w:sz w:val="24"/>
                <w:szCs w:val="24"/>
                <w:lang w:eastAsia="en-AU"/>
              </w:rPr>
            </w:pPr>
            <w:proofErr w:type="gramStart"/>
            <w:r w:rsidRPr="00082BD8">
              <w:rPr>
                <w:rFonts w:ascii="Calibri" w:eastAsia="Calibri" w:hAnsi="Calibri" w:cs="Calibri"/>
                <w:b/>
                <w:color w:val="181717"/>
                <w:sz w:val="24"/>
                <w:szCs w:val="24"/>
                <w:lang w:eastAsia="en-AU"/>
              </w:rPr>
              <w:t>with</w:t>
            </w:r>
            <w:proofErr w:type="gramEnd"/>
            <w:r w:rsidRPr="00082BD8">
              <w:rPr>
                <w:rFonts w:ascii="Calibri" w:eastAsia="Calibri" w:hAnsi="Calibri" w:cs="Calibri"/>
                <w:b/>
                <w:color w:val="181717"/>
                <w:sz w:val="24"/>
                <w:szCs w:val="24"/>
                <w:lang w:eastAsia="en-AU"/>
              </w:rPr>
              <w:t xml:space="preserve"> you. </w:t>
            </w:r>
            <w:r w:rsidRPr="00082BD8">
              <w:rPr>
                <w:rFonts w:ascii="Calibri" w:eastAsia="Calibri" w:hAnsi="Calibri" w:cs="Calibri"/>
                <w:color w:val="181717"/>
                <w:sz w:val="24"/>
                <w:szCs w:val="24"/>
                <w:lang w:eastAsia="en-AU"/>
              </w:rPr>
              <w:t>Take action</w:t>
            </w:r>
          </w:p>
          <w:p w:rsidR="00082BD8" w:rsidRPr="00082BD8" w:rsidRDefault="00082BD8" w:rsidP="00082BD8">
            <w:pPr>
              <w:autoSpaceDE w:val="0"/>
              <w:autoSpaceDN w:val="0"/>
              <w:adjustRightInd w:val="0"/>
              <w:rPr>
                <w:rFonts w:ascii="Calibri" w:eastAsia="Calibri" w:hAnsi="Calibri" w:cs="Calibri"/>
                <w:color w:val="181717"/>
                <w:sz w:val="24"/>
                <w:szCs w:val="24"/>
                <w:lang w:eastAsia="en-AU"/>
              </w:rPr>
            </w:pPr>
            <w:r w:rsidRPr="00082BD8">
              <w:rPr>
                <w:rFonts w:ascii="Calibri" w:eastAsia="Calibri" w:hAnsi="Calibri" w:cs="Calibri"/>
                <w:color w:val="181717"/>
                <w:sz w:val="24"/>
                <w:szCs w:val="24"/>
                <w:lang w:eastAsia="en-AU"/>
              </w:rPr>
              <w:t>to ensure that your</w:t>
            </w:r>
          </w:p>
          <w:p w:rsidR="00082BD8" w:rsidRPr="00082BD8" w:rsidRDefault="00082BD8" w:rsidP="00082BD8">
            <w:pPr>
              <w:autoSpaceDE w:val="0"/>
              <w:autoSpaceDN w:val="0"/>
              <w:adjustRightInd w:val="0"/>
              <w:rPr>
                <w:rFonts w:ascii="Calibri" w:eastAsia="Calibri" w:hAnsi="Calibri" w:cs="Calibri"/>
                <w:color w:val="181717"/>
                <w:sz w:val="24"/>
                <w:szCs w:val="24"/>
                <w:lang w:eastAsia="en-AU"/>
              </w:rPr>
            </w:pPr>
            <w:r w:rsidRPr="00082BD8">
              <w:rPr>
                <w:rFonts w:ascii="Calibri" w:eastAsia="Calibri" w:hAnsi="Calibri" w:cs="Calibri"/>
                <w:color w:val="181717"/>
                <w:sz w:val="24"/>
                <w:szCs w:val="24"/>
                <w:lang w:eastAsia="en-AU"/>
              </w:rPr>
              <w:t>team is effective in</w:t>
            </w:r>
          </w:p>
          <w:p w:rsidR="00082BD8" w:rsidRPr="00082BD8" w:rsidRDefault="00082BD8" w:rsidP="00082BD8">
            <w:pPr>
              <w:autoSpaceDE w:val="0"/>
              <w:autoSpaceDN w:val="0"/>
              <w:adjustRightInd w:val="0"/>
              <w:rPr>
                <w:rFonts w:ascii="Calibri" w:eastAsia="Calibri" w:hAnsi="Calibri" w:cs="Calibri"/>
                <w:color w:val="181717"/>
                <w:sz w:val="24"/>
                <w:szCs w:val="24"/>
                <w:lang w:eastAsia="en-AU"/>
              </w:rPr>
            </w:pPr>
            <w:r w:rsidRPr="00082BD8">
              <w:rPr>
                <w:rFonts w:ascii="Calibri" w:eastAsia="Calibri" w:hAnsi="Calibri" w:cs="Calibri"/>
                <w:color w:val="181717"/>
                <w:sz w:val="24"/>
                <w:szCs w:val="24"/>
                <w:lang w:eastAsia="en-AU"/>
              </w:rPr>
              <w:t>bringing together</w:t>
            </w:r>
          </w:p>
          <w:p w:rsidR="00B5234A" w:rsidRDefault="00082BD8" w:rsidP="00082BD8">
            <w:pPr>
              <w:autoSpaceDE w:val="0"/>
              <w:autoSpaceDN w:val="0"/>
              <w:adjustRightInd w:val="0"/>
            </w:pPr>
            <w:proofErr w:type="gramStart"/>
            <w:r w:rsidRPr="00082BD8">
              <w:rPr>
                <w:rFonts w:ascii="Calibri" w:eastAsia="Calibri" w:hAnsi="Calibri" w:cs="Calibri"/>
                <w:color w:val="181717"/>
                <w:sz w:val="24"/>
                <w:szCs w:val="24"/>
                <w:lang w:eastAsia="en-AU"/>
              </w:rPr>
              <w:t>different</w:t>
            </w:r>
            <w:proofErr w:type="gramEnd"/>
            <w:r w:rsidRPr="00082BD8">
              <w:rPr>
                <w:rFonts w:ascii="Calibri" w:eastAsia="Calibri" w:hAnsi="Calibri" w:cs="Calibri"/>
                <w:color w:val="181717"/>
                <w:sz w:val="24"/>
                <w:szCs w:val="24"/>
                <w:lang w:eastAsia="en-AU"/>
              </w:rPr>
              <w:t xml:space="preserve"> points of view.</w:t>
            </w:r>
          </w:p>
        </w:tc>
        <w:tc>
          <w:tcPr>
            <w:tcW w:w="13325" w:type="dxa"/>
          </w:tcPr>
          <w:p w:rsidR="00082BD8" w:rsidRPr="00082BD8" w:rsidRDefault="00082BD8" w:rsidP="00956DD4">
            <w:pPr>
              <w:pStyle w:val="ListParagraph"/>
              <w:numPr>
                <w:ilvl w:val="0"/>
                <w:numId w:val="3"/>
              </w:numPr>
              <w:autoSpaceDE w:val="0"/>
              <w:autoSpaceDN w:val="0"/>
              <w:adjustRightInd w:val="0"/>
              <w:spacing w:after="0" w:line="240" w:lineRule="auto"/>
              <w:rPr>
                <w:sz w:val="20"/>
                <w:szCs w:val="20"/>
              </w:rPr>
            </w:pPr>
            <w:r w:rsidRPr="00082BD8">
              <w:rPr>
                <w:b/>
                <w:sz w:val="20"/>
                <w:szCs w:val="20"/>
              </w:rPr>
              <w:t>Key personnel.</w:t>
            </w:r>
            <w:r w:rsidRPr="00082BD8">
              <w:rPr>
                <w:sz w:val="20"/>
                <w:szCs w:val="20"/>
              </w:rPr>
              <w:t xml:space="preserve"> 27% of MCC corporations (IBM, Qantas and Ten) achieved gender balance across their Key Management Personnel; 91% exceeded the WGEA Benchmark for their Industry. (See Table 1 on page 10).</w:t>
            </w:r>
          </w:p>
          <w:p w:rsidR="00082BD8" w:rsidRPr="00082BD8" w:rsidRDefault="00082BD8" w:rsidP="00956DD4">
            <w:pPr>
              <w:pStyle w:val="ListParagraph"/>
              <w:numPr>
                <w:ilvl w:val="0"/>
                <w:numId w:val="3"/>
              </w:numPr>
              <w:autoSpaceDE w:val="0"/>
              <w:autoSpaceDN w:val="0"/>
              <w:adjustRightInd w:val="0"/>
              <w:spacing w:after="0" w:line="240" w:lineRule="auto"/>
              <w:rPr>
                <w:sz w:val="20"/>
                <w:szCs w:val="20"/>
              </w:rPr>
            </w:pPr>
            <w:r w:rsidRPr="00082BD8">
              <w:rPr>
                <w:b/>
                <w:sz w:val="20"/>
                <w:szCs w:val="20"/>
              </w:rPr>
              <w:t>Focused effort.</w:t>
            </w:r>
            <w:r w:rsidRPr="00082BD8">
              <w:rPr>
                <w:sz w:val="20"/>
                <w:szCs w:val="20"/>
              </w:rPr>
              <w:t xml:space="preserve"> CEW profiled the Treasury Department’s efforts to improve gender balance as part of its Case Study Program. Leadership and targeted interventions made were highlighted. In keeping with the Department’s analytical culture, gender data was made widely available (hiring, promotions, proportions of performance management rating). Department members were encouraged to leverage the data to develop insights and propose solutions. Regular gender reporting was established. A new performance framework was instituted. Flexible Work was encouraged.</w:t>
            </w:r>
          </w:p>
          <w:p w:rsidR="00B5234A" w:rsidRPr="00082BD8" w:rsidRDefault="00082BD8" w:rsidP="00956DD4">
            <w:pPr>
              <w:pStyle w:val="ListParagraph"/>
              <w:numPr>
                <w:ilvl w:val="0"/>
                <w:numId w:val="3"/>
              </w:numPr>
              <w:autoSpaceDE w:val="0"/>
              <w:autoSpaceDN w:val="0"/>
              <w:adjustRightInd w:val="0"/>
              <w:spacing w:after="0" w:line="240" w:lineRule="auto"/>
              <w:rPr>
                <w:sz w:val="20"/>
                <w:szCs w:val="20"/>
              </w:rPr>
            </w:pPr>
            <w:r w:rsidRPr="00082BD8">
              <w:rPr>
                <w:b/>
                <w:sz w:val="20"/>
                <w:szCs w:val="20"/>
              </w:rPr>
              <w:t>Innovation and trial</w:t>
            </w:r>
            <w:r w:rsidRPr="00082BD8">
              <w:rPr>
                <w:sz w:val="20"/>
                <w:szCs w:val="20"/>
              </w:rPr>
              <w:t>. Innovative approaches to engage leadership teams included Goldman Sachs’ ‘Hot Seat’ initiative which requires Managing Directors to present detailed Women in Leadership Plans as part of quarterly business reviews. A panel of leaders challenge progress and provide feedback on how to accelerate improvement.</w:t>
            </w:r>
          </w:p>
        </w:tc>
      </w:tr>
      <w:tr w:rsidR="00B5234A" w:rsidTr="00956DD4">
        <w:tc>
          <w:tcPr>
            <w:tcW w:w="2405" w:type="dxa"/>
          </w:tcPr>
          <w:p w:rsidR="00082BD8" w:rsidRPr="00082BD8" w:rsidRDefault="00082BD8" w:rsidP="00082BD8">
            <w:pPr>
              <w:autoSpaceDE w:val="0"/>
              <w:autoSpaceDN w:val="0"/>
              <w:adjustRightInd w:val="0"/>
              <w:rPr>
                <w:rFonts w:ascii="Calibri" w:eastAsia="Calibri" w:hAnsi="Calibri" w:cs="Calibri"/>
                <w:b/>
                <w:color w:val="181717"/>
                <w:sz w:val="24"/>
                <w:szCs w:val="24"/>
                <w:lang w:eastAsia="en-AU"/>
              </w:rPr>
            </w:pPr>
            <w:r w:rsidRPr="00082BD8">
              <w:rPr>
                <w:rFonts w:ascii="Calibri" w:eastAsia="Calibri" w:hAnsi="Calibri" w:cs="Calibri"/>
                <w:b/>
                <w:color w:val="181717"/>
                <w:sz w:val="24"/>
                <w:szCs w:val="24"/>
                <w:lang w:eastAsia="en-AU"/>
              </w:rPr>
              <w:t>End the leadership</w:t>
            </w:r>
          </w:p>
          <w:p w:rsidR="00082BD8" w:rsidRPr="00082BD8" w:rsidRDefault="00082BD8" w:rsidP="00082BD8">
            <w:pPr>
              <w:autoSpaceDE w:val="0"/>
              <w:autoSpaceDN w:val="0"/>
              <w:adjustRightInd w:val="0"/>
              <w:rPr>
                <w:rFonts w:ascii="Calibri" w:eastAsia="Calibri" w:hAnsi="Calibri" w:cs="Calibri"/>
                <w:b/>
                <w:color w:val="181717"/>
                <w:sz w:val="24"/>
                <w:szCs w:val="24"/>
                <w:lang w:eastAsia="en-AU"/>
              </w:rPr>
            </w:pPr>
            <w:proofErr w:type="gramStart"/>
            <w:r w:rsidRPr="00082BD8">
              <w:rPr>
                <w:rFonts w:ascii="Calibri" w:eastAsia="Calibri" w:hAnsi="Calibri" w:cs="Calibri"/>
                <w:b/>
                <w:color w:val="181717"/>
                <w:sz w:val="24"/>
                <w:szCs w:val="24"/>
                <w:lang w:eastAsia="en-AU"/>
              </w:rPr>
              <w:t>lottery</w:t>
            </w:r>
            <w:proofErr w:type="gramEnd"/>
            <w:r w:rsidRPr="00082BD8">
              <w:rPr>
                <w:rFonts w:ascii="Calibri" w:eastAsia="Calibri" w:hAnsi="Calibri" w:cs="Calibri"/>
                <w:b/>
                <w:color w:val="181717"/>
                <w:sz w:val="24"/>
                <w:szCs w:val="24"/>
                <w:lang w:eastAsia="en-AU"/>
              </w:rPr>
              <w:t xml:space="preserve"> for women.</w:t>
            </w:r>
          </w:p>
          <w:p w:rsidR="00082BD8" w:rsidRPr="00082BD8" w:rsidRDefault="00082BD8" w:rsidP="00082BD8">
            <w:pPr>
              <w:autoSpaceDE w:val="0"/>
              <w:autoSpaceDN w:val="0"/>
              <w:adjustRightInd w:val="0"/>
              <w:rPr>
                <w:rFonts w:ascii="Calibri" w:eastAsia="Calibri" w:hAnsi="Calibri" w:cs="Calibri"/>
                <w:color w:val="181717"/>
                <w:sz w:val="24"/>
                <w:szCs w:val="24"/>
                <w:lang w:eastAsia="en-AU"/>
              </w:rPr>
            </w:pPr>
            <w:r w:rsidRPr="00082BD8">
              <w:rPr>
                <w:rFonts w:ascii="Calibri" w:eastAsia="Calibri" w:hAnsi="Calibri" w:cs="Calibri"/>
                <w:color w:val="181717"/>
                <w:sz w:val="24"/>
                <w:szCs w:val="24"/>
                <w:lang w:eastAsia="en-AU"/>
              </w:rPr>
              <w:t>Actively develop,</w:t>
            </w:r>
          </w:p>
          <w:p w:rsidR="00082BD8" w:rsidRPr="00082BD8" w:rsidRDefault="00082BD8" w:rsidP="00082BD8">
            <w:pPr>
              <w:autoSpaceDE w:val="0"/>
              <w:autoSpaceDN w:val="0"/>
              <w:adjustRightInd w:val="0"/>
              <w:rPr>
                <w:rFonts w:ascii="Calibri" w:eastAsia="Calibri" w:hAnsi="Calibri" w:cs="Calibri"/>
                <w:color w:val="181717"/>
                <w:sz w:val="24"/>
                <w:szCs w:val="24"/>
                <w:lang w:eastAsia="en-AU"/>
              </w:rPr>
            </w:pPr>
            <w:r w:rsidRPr="00082BD8">
              <w:rPr>
                <w:rFonts w:ascii="Calibri" w:eastAsia="Calibri" w:hAnsi="Calibri" w:cs="Calibri"/>
                <w:color w:val="181717"/>
                <w:sz w:val="24"/>
                <w:szCs w:val="24"/>
                <w:lang w:eastAsia="en-AU"/>
              </w:rPr>
              <w:t>promote and advance</w:t>
            </w:r>
          </w:p>
          <w:p w:rsidR="00082BD8" w:rsidRPr="00082BD8" w:rsidRDefault="00082BD8" w:rsidP="00082BD8">
            <w:pPr>
              <w:autoSpaceDE w:val="0"/>
              <w:autoSpaceDN w:val="0"/>
              <w:adjustRightInd w:val="0"/>
              <w:rPr>
                <w:rFonts w:ascii="Calibri" w:eastAsia="Calibri" w:hAnsi="Calibri" w:cs="Calibri"/>
                <w:color w:val="181717"/>
                <w:sz w:val="24"/>
                <w:szCs w:val="24"/>
                <w:lang w:eastAsia="en-AU"/>
              </w:rPr>
            </w:pPr>
            <w:r w:rsidRPr="00082BD8">
              <w:rPr>
                <w:rFonts w:ascii="Calibri" w:eastAsia="Calibri" w:hAnsi="Calibri" w:cs="Calibri"/>
                <w:color w:val="181717"/>
                <w:sz w:val="24"/>
                <w:szCs w:val="24"/>
                <w:lang w:eastAsia="en-AU"/>
              </w:rPr>
              <w:t>inclusive leaders across</w:t>
            </w:r>
          </w:p>
          <w:p w:rsidR="00B5234A" w:rsidRDefault="00082BD8" w:rsidP="00082BD8">
            <w:pPr>
              <w:autoSpaceDE w:val="0"/>
              <w:autoSpaceDN w:val="0"/>
              <w:adjustRightInd w:val="0"/>
            </w:pPr>
            <w:proofErr w:type="gramStart"/>
            <w:r w:rsidRPr="00082BD8">
              <w:rPr>
                <w:rFonts w:ascii="Calibri" w:eastAsia="Calibri" w:hAnsi="Calibri" w:cs="Calibri"/>
                <w:color w:val="181717"/>
                <w:sz w:val="24"/>
                <w:szCs w:val="24"/>
                <w:lang w:eastAsia="en-AU"/>
              </w:rPr>
              <w:t>your</w:t>
            </w:r>
            <w:proofErr w:type="gramEnd"/>
            <w:r w:rsidRPr="00082BD8">
              <w:rPr>
                <w:rFonts w:ascii="Calibri" w:eastAsia="Calibri" w:hAnsi="Calibri" w:cs="Calibri"/>
                <w:color w:val="181717"/>
                <w:sz w:val="24"/>
                <w:szCs w:val="24"/>
                <w:lang w:eastAsia="en-AU"/>
              </w:rPr>
              <w:t xml:space="preserve"> organisation.</w:t>
            </w:r>
          </w:p>
        </w:tc>
        <w:tc>
          <w:tcPr>
            <w:tcW w:w="13325" w:type="dxa"/>
          </w:tcPr>
          <w:p w:rsidR="00082BD8" w:rsidRPr="00082BD8" w:rsidRDefault="00082BD8" w:rsidP="00956DD4">
            <w:pPr>
              <w:pStyle w:val="ListParagraph"/>
              <w:numPr>
                <w:ilvl w:val="0"/>
                <w:numId w:val="3"/>
              </w:numPr>
              <w:autoSpaceDE w:val="0"/>
              <w:autoSpaceDN w:val="0"/>
              <w:adjustRightInd w:val="0"/>
              <w:spacing w:after="0" w:line="240" w:lineRule="auto"/>
              <w:rPr>
                <w:sz w:val="20"/>
                <w:szCs w:val="20"/>
              </w:rPr>
            </w:pPr>
            <w:r w:rsidRPr="00082BD8">
              <w:rPr>
                <w:b/>
                <w:sz w:val="20"/>
                <w:szCs w:val="20"/>
              </w:rPr>
              <w:t>Strategies in place.</w:t>
            </w:r>
            <w:r w:rsidRPr="00082BD8">
              <w:rPr>
                <w:sz w:val="20"/>
                <w:szCs w:val="20"/>
              </w:rPr>
              <w:t xml:space="preserve"> 100% of MCC organisations who have not yet achieved gender balance have a strategy in place to build leadership capability in gender equality. There is still work to do to ensure that all leaders, particularly middle managers, are taking action to improve gender balance.</w:t>
            </w:r>
          </w:p>
          <w:p w:rsidR="00B5234A" w:rsidRPr="00082BD8" w:rsidRDefault="00082BD8" w:rsidP="00956DD4">
            <w:pPr>
              <w:pStyle w:val="ListParagraph"/>
              <w:numPr>
                <w:ilvl w:val="0"/>
                <w:numId w:val="3"/>
              </w:numPr>
              <w:autoSpaceDE w:val="0"/>
              <w:autoSpaceDN w:val="0"/>
              <w:adjustRightInd w:val="0"/>
              <w:spacing w:after="0" w:line="240" w:lineRule="auto"/>
              <w:rPr>
                <w:sz w:val="20"/>
                <w:szCs w:val="20"/>
              </w:rPr>
            </w:pPr>
            <w:r w:rsidRPr="00082BD8">
              <w:rPr>
                <w:b/>
                <w:sz w:val="20"/>
                <w:szCs w:val="20"/>
              </w:rPr>
              <w:t>Programs in place</w:t>
            </w:r>
            <w:r w:rsidRPr="00082BD8">
              <w:rPr>
                <w:sz w:val="20"/>
                <w:szCs w:val="20"/>
              </w:rPr>
              <w:t>. Development programs focused on inclusive leadership are provided to leaders at Army,</w:t>
            </w:r>
            <w:r w:rsidR="00956DD4">
              <w:rPr>
                <w:sz w:val="20"/>
                <w:szCs w:val="20"/>
              </w:rPr>
              <w:t xml:space="preserve"> ANZ, ASX, CBA, Deloitte, KPMG, </w:t>
            </w:r>
            <w:r w:rsidRPr="00082BD8">
              <w:rPr>
                <w:sz w:val="20"/>
                <w:szCs w:val="20"/>
              </w:rPr>
              <w:t>Goldman, McKinsey, Rio Tinto, Telstra, Treasury, Qantas and Woolworths.</w:t>
            </w:r>
          </w:p>
        </w:tc>
      </w:tr>
    </w:tbl>
    <w:p w:rsidR="00956DD4" w:rsidRDefault="00956DD4" w:rsidP="00B5234A"/>
    <w:p w:rsidR="00956DD4" w:rsidRDefault="00956DD4">
      <w:r>
        <w:br w:type="page"/>
      </w:r>
    </w:p>
    <w:p w:rsidR="00956DD4" w:rsidRPr="00082BD8" w:rsidRDefault="00956DD4" w:rsidP="00956DD4">
      <w:r>
        <w:rPr>
          <w:rFonts w:cs="TiemposText-Regular"/>
          <w:color w:val="FF3B12"/>
          <w:sz w:val="64"/>
          <w:szCs w:val="64"/>
        </w:rPr>
        <w:lastRenderedPageBreak/>
        <w:t>2.  Creating accountability</w:t>
      </w:r>
    </w:p>
    <w:tbl>
      <w:tblPr>
        <w:tblStyle w:val="TableGrid"/>
        <w:tblW w:w="15730" w:type="dxa"/>
        <w:tblLook w:val="04A0" w:firstRow="1" w:lastRow="0" w:firstColumn="1" w:lastColumn="0" w:noHBand="0" w:noVBand="1"/>
      </w:tblPr>
      <w:tblGrid>
        <w:gridCol w:w="2689"/>
        <w:gridCol w:w="13041"/>
      </w:tblGrid>
      <w:tr w:rsidR="00956DD4" w:rsidTr="005C1C96">
        <w:tc>
          <w:tcPr>
            <w:tcW w:w="2689" w:type="dxa"/>
          </w:tcPr>
          <w:p w:rsidR="00956DD4" w:rsidRPr="00D602AB" w:rsidRDefault="00956DD4" w:rsidP="007729F5">
            <w:pPr>
              <w:rPr>
                <w:b/>
                <w:sz w:val="26"/>
                <w:szCs w:val="26"/>
              </w:rPr>
            </w:pPr>
            <w:r w:rsidRPr="00D602AB">
              <w:rPr>
                <w:b/>
                <w:sz w:val="26"/>
                <w:szCs w:val="26"/>
              </w:rPr>
              <w:t>Action</w:t>
            </w:r>
          </w:p>
        </w:tc>
        <w:tc>
          <w:tcPr>
            <w:tcW w:w="13041" w:type="dxa"/>
          </w:tcPr>
          <w:p w:rsidR="00956DD4" w:rsidRPr="00D602AB" w:rsidRDefault="00956DD4" w:rsidP="007729F5">
            <w:pPr>
              <w:rPr>
                <w:b/>
                <w:sz w:val="26"/>
                <w:szCs w:val="26"/>
              </w:rPr>
            </w:pPr>
            <w:r w:rsidRPr="00D602AB">
              <w:rPr>
                <w:b/>
                <w:sz w:val="26"/>
                <w:szCs w:val="26"/>
              </w:rPr>
              <w:t>Progress</w:t>
            </w:r>
          </w:p>
        </w:tc>
      </w:tr>
      <w:tr w:rsidR="00956DD4" w:rsidTr="005C1C96">
        <w:tc>
          <w:tcPr>
            <w:tcW w:w="2689" w:type="dxa"/>
          </w:tcPr>
          <w:p w:rsidR="00956DD4" w:rsidRPr="00956DD4" w:rsidRDefault="00956DD4" w:rsidP="00956DD4">
            <w:pPr>
              <w:autoSpaceDE w:val="0"/>
              <w:autoSpaceDN w:val="0"/>
              <w:adjustRightInd w:val="0"/>
              <w:rPr>
                <w:rFonts w:ascii="Calibri" w:eastAsia="Calibri" w:hAnsi="Calibri" w:cs="Calibri"/>
                <w:b/>
                <w:color w:val="181717"/>
                <w:sz w:val="24"/>
                <w:szCs w:val="24"/>
                <w:lang w:eastAsia="en-AU"/>
              </w:rPr>
            </w:pPr>
            <w:r w:rsidRPr="00956DD4">
              <w:rPr>
                <w:rFonts w:ascii="Calibri" w:eastAsia="Calibri" w:hAnsi="Calibri" w:cs="Calibri"/>
                <w:b/>
                <w:color w:val="181717"/>
                <w:sz w:val="24"/>
                <w:szCs w:val="24"/>
                <w:lang w:eastAsia="en-AU"/>
              </w:rPr>
              <w:t>Lead on gender</w:t>
            </w:r>
          </w:p>
          <w:p w:rsidR="00956DD4" w:rsidRPr="00D602AB" w:rsidRDefault="00956DD4" w:rsidP="00956DD4">
            <w:pPr>
              <w:autoSpaceDE w:val="0"/>
              <w:autoSpaceDN w:val="0"/>
              <w:adjustRightInd w:val="0"/>
              <w:rPr>
                <w:rFonts w:ascii="Calibri" w:eastAsia="Calibri" w:hAnsi="Calibri" w:cs="Calibri"/>
                <w:color w:val="181717"/>
                <w:sz w:val="24"/>
                <w:szCs w:val="24"/>
                <w:lang w:eastAsia="en-AU"/>
              </w:rPr>
            </w:pPr>
            <w:proofErr w:type="gramStart"/>
            <w:r w:rsidRPr="00956DD4">
              <w:rPr>
                <w:rFonts w:ascii="Calibri" w:eastAsia="Calibri" w:hAnsi="Calibri" w:cs="Calibri"/>
                <w:b/>
                <w:color w:val="181717"/>
                <w:sz w:val="24"/>
                <w:szCs w:val="24"/>
                <w:lang w:eastAsia="en-AU"/>
              </w:rPr>
              <w:t>reporting</w:t>
            </w:r>
            <w:proofErr w:type="gramEnd"/>
            <w:r w:rsidRPr="00956DD4">
              <w:rPr>
                <w:rFonts w:ascii="Calibri" w:eastAsia="Calibri" w:hAnsi="Calibri" w:cs="Calibri"/>
                <w:b/>
                <w:color w:val="181717"/>
                <w:sz w:val="24"/>
                <w:szCs w:val="24"/>
                <w:lang w:eastAsia="en-AU"/>
              </w:rPr>
              <w:t>.</w:t>
            </w:r>
            <w:r w:rsidRPr="00D602AB">
              <w:rPr>
                <w:rFonts w:ascii="Calibri" w:eastAsia="Calibri" w:hAnsi="Calibri" w:cs="Calibri"/>
                <w:color w:val="181717"/>
                <w:sz w:val="24"/>
                <w:szCs w:val="24"/>
                <w:lang w:eastAsia="en-AU"/>
              </w:rPr>
              <w:t xml:space="preserve"> Take</w:t>
            </w:r>
          </w:p>
          <w:p w:rsidR="00956DD4" w:rsidRPr="00D602AB" w:rsidRDefault="00956DD4" w:rsidP="00956DD4">
            <w:pPr>
              <w:autoSpaceDE w:val="0"/>
              <w:autoSpaceDN w:val="0"/>
              <w:adjustRightInd w:val="0"/>
              <w:rPr>
                <w:rFonts w:ascii="Calibri" w:eastAsia="Calibri" w:hAnsi="Calibri" w:cs="Calibri"/>
                <w:color w:val="181717"/>
                <w:sz w:val="24"/>
                <w:szCs w:val="24"/>
                <w:lang w:eastAsia="en-AU"/>
              </w:rPr>
            </w:pPr>
            <w:r w:rsidRPr="00D602AB">
              <w:rPr>
                <w:rFonts w:ascii="Calibri" w:eastAsia="Calibri" w:hAnsi="Calibri" w:cs="Calibri"/>
                <w:color w:val="181717"/>
                <w:sz w:val="24"/>
                <w:szCs w:val="24"/>
                <w:lang w:eastAsia="en-AU"/>
              </w:rPr>
              <w:t>reporting to a deeper</w:t>
            </w:r>
          </w:p>
          <w:p w:rsidR="00956DD4" w:rsidRPr="00D602AB" w:rsidRDefault="00956DD4" w:rsidP="00956DD4">
            <w:pPr>
              <w:autoSpaceDE w:val="0"/>
              <w:autoSpaceDN w:val="0"/>
              <w:adjustRightInd w:val="0"/>
              <w:rPr>
                <w:rFonts w:ascii="Calibri" w:eastAsia="Calibri" w:hAnsi="Calibri" w:cs="Calibri"/>
                <w:color w:val="181717"/>
                <w:sz w:val="24"/>
                <w:szCs w:val="24"/>
                <w:lang w:eastAsia="en-AU"/>
              </w:rPr>
            </w:pPr>
            <w:r w:rsidRPr="00D602AB">
              <w:rPr>
                <w:rFonts w:ascii="Calibri" w:eastAsia="Calibri" w:hAnsi="Calibri" w:cs="Calibri"/>
                <w:color w:val="181717"/>
                <w:sz w:val="24"/>
                <w:szCs w:val="24"/>
                <w:lang w:eastAsia="en-AU"/>
              </w:rPr>
              <w:t>level, with consistent</w:t>
            </w:r>
          </w:p>
          <w:p w:rsidR="00956DD4" w:rsidRPr="00D602AB" w:rsidRDefault="00956DD4" w:rsidP="00956DD4">
            <w:pPr>
              <w:autoSpaceDE w:val="0"/>
              <w:autoSpaceDN w:val="0"/>
              <w:adjustRightInd w:val="0"/>
              <w:rPr>
                <w:rFonts w:ascii="Calibri" w:eastAsia="Calibri" w:hAnsi="Calibri" w:cs="Calibri"/>
                <w:color w:val="181717"/>
                <w:sz w:val="24"/>
                <w:szCs w:val="24"/>
                <w:lang w:eastAsia="en-AU"/>
              </w:rPr>
            </w:pPr>
            <w:r w:rsidRPr="00D602AB">
              <w:rPr>
                <w:rFonts w:ascii="Calibri" w:eastAsia="Calibri" w:hAnsi="Calibri" w:cs="Calibri"/>
                <w:color w:val="181717"/>
                <w:sz w:val="24"/>
                <w:szCs w:val="24"/>
                <w:lang w:eastAsia="en-AU"/>
              </w:rPr>
              <w:t>reporting standards,</w:t>
            </w:r>
          </w:p>
          <w:p w:rsidR="00956DD4" w:rsidRPr="00D602AB" w:rsidRDefault="00956DD4" w:rsidP="00956DD4">
            <w:pPr>
              <w:autoSpaceDE w:val="0"/>
              <w:autoSpaceDN w:val="0"/>
              <w:adjustRightInd w:val="0"/>
              <w:rPr>
                <w:rFonts w:ascii="Calibri" w:eastAsia="Calibri" w:hAnsi="Calibri" w:cs="Calibri"/>
                <w:color w:val="181717"/>
                <w:sz w:val="24"/>
                <w:szCs w:val="24"/>
                <w:lang w:eastAsia="en-AU"/>
              </w:rPr>
            </w:pPr>
            <w:r w:rsidRPr="00D602AB">
              <w:rPr>
                <w:rFonts w:ascii="Calibri" w:eastAsia="Calibri" w:hAnsi="Calibri" w:cs="Calibri"/>
                <w:color w:val="181717"/>
                <w:sz w:val="24"/>
                <w:szCs w:val="24"/>
                <w:lang w:eastAsia="en-AU"/>
              </w:rPr>
              <w:t>to create a more</w:t>
            </w:r>
          </w:p>
          <w:p w:rsidR="00956DD4" w:rsidRPr="00D602AB" w:rsidRDefault="00956DD4" w:rsidP="00956DD4">
            <w:pPr>
              <w:autoSpaceDE w:val="0"/>
              <w:autoSpaceDN w:val="0"/>
              <w:adjustRightInd w:val="0"/>
              <w:rPr>
                <w:rFonts w:ascii="Calibri" w:eastAsia="Calibri" w:hAnsi="Calibri" w:cs="Calibri"/>
                <w:color w:val="181717"/>
                <w:sz w:val="24"/>
                <w:szCs w:val="24"/>
                <w:lang w:eastAsia="en-AU"/>
              </w:rPr>
            </w:pPr>
            <w:r w:rsidRPr="00D602AB">
              <w:rPr>
                <w:rFonts w:ascii="Calibri" w:eastAsia="Calibri" w:hAnsi="Calibri" w:cs="Calibri"/>
                <w:color w:val="181717"/>
                <w:sz w:val="24"/>
                <w:szCs w:val="24"/>
                <w:lang w:eastAsia="en-AU"/>
              </w:rPr>
              <w:t>transparent and</w:t>
            </w:r>
          </w:p>
          <w:p w:rsidR="00956DD4" w:rsidRPr="00D602AB" w:rsidRDefault="00956DD4" w:rsidP="00956DD4">
            <w:pPr>
              <w:autoSpaceDE w:val="0"/>
              <w:autoSpaceDN w:val="0"/>
              <w:adjustRightInd w:val="0"/>
              <w:rPr>
                <w:rFonts w:ascii="Calibri" w:eastAsia="Calibri" w:hAnsi="Calibri" w:cs="Calibri"/>
                <w:color w:val="181717"/>
                <w:sz w:val="24"/>
                <w:szCs w:val="24"/>
                <w:lang w:eastAsia="en-AU"/>
              </w:rPr>
            </w:pPr>
            <w:r w:rsidRPr="00D602AB">
              <w:rPr>
                <w:rFonts w:ascii="Calibri" w:eastAsia="Calibri" w:hAnsi="Calibri" w:cs="Calibri"/>
                <w:color w:val="181717"/>
                <w:sz w:val="24"/>
                <w:szCs w:val="24"/>
                <w:lang w:eastAsia="en-AU"/>
              </w:rPr>
              <w:t>granular view of the</w:t>
            </w:r>
          </w:p>
          <w:p w:rsidR="00956DD4" w:rsidRPr="00082BD8" w:rsidRDefault="00956DD4" w:rsidP="00956DD4">
            <w:pPr>
              <w:autoSpaceDE w:val="0"/>
              <w:autoSpaceDN w:val="0"/>
              <w:adjustRightInd w:val="0"/>
              <w:rPr>
                <w:rFonts w:ascii="Calibri" w:eastAsia="Calibri" w:hAnsi="Calibri" w:cs="Calibri"/>
                <w:color w:val="181717"/>
                <w:sz w:val="24"/>
                <w:szCs w:val="24"/>
                <w:lang w:eastAsia="en-AU"/>
              </w:rPr>
            </w:pPr>
            <w:proofErr w:type="gramStart"/>
            <w:r w:rsidRPr="00D602AB">
              <w:rPr>
                <w:rFonts w:ascii="Calibri" w:eastAsia="Calibri" w:hAnsi="Calibri" w:cs="Calibri"/>
                <w:color w:val="181717"/>
                <w:sz w:val="24"/>
                <w:szCs w:val="24"/>
                <w:lang w:eastAsia="en-AU"/>
              </w:rPr>
              <w:t>pipeline</w:t>
            </w:r>
            <w:proofErr w:type="gramEnd"/>
            <w:r w:rsidRPr="00D602AB">
              <w:rPr>
                <w:rFonts w:ascii="Calibri" w:eastAsia="Calibri" w:hAnsi="Calibri" w:cs="Calibri"/>
                <w:color w:val="181717"/>
                <w:sz w:val="24"/>
                <w:szCs w:val="24"/>
                <w:lang w:eastAsia="en-AU"/>
              </w:rPr>
              <w:t xml:space="preserve"> and progress.</w:t>
            </w:r>
          </w:p>
        </w:tc>
        <w:tc>
          <w:tcPr>
            <w:tcW w:w="13041" w:type="dxa"/>
          </w:tcPr>
          <w:p w:rsidR="00956DD4" w:rsidRDefault="00956DD4" w:rsidP="00956DD4">
            <w:pPr>
              <w:pStyle w:val="ListParagraph"/>
              <w:numPr>
                <w:ilvl w:val="0"/>
                <w:numId w:val="4"/>
              </w:numPr>
              <w:spacing w:after="0" w:line="240" w:lineRule="auto"/>
              <w:rPr>
                <w:sz w:val="20"/>
                <w:szCs w:val="20"/>
              </w:rPr>
            </w:pPr>
            <w:r w:rsidRPr="00956DD4">
              <w:rPr>
                <w:b/>
                <w:sz w:val="20"/>
                <w:szCs w:val="20"/>
              </w:rPr>
              <w:t>Reporting across corporate Australia and beyond.</w:t>
            </w:r>
            <w:r w:rsidRPr="00956DD4">
              <w:rPr>
                <w:sz w:val="20"/>
                <w:szCs w:val="20"/>
              </w:rPr>
              <w:t xml:space="preserve"> MCCs c</w:t>
            </w:r>
            <w:r>
              <w:rPr>
                <w:sz w:val="20"/>
                <w:szCs w:val="20"/>
              </w:rPr>
              <w:t xml:space="preserve">hampioned a </w:t>
            </w:r>
            <w:r w:rsidRPr="00956DD4">
              <w:rPr>
                <w:sz w:val="20"/>
                <w:szCs w:val="20"/>
              </w:rPr>
              <w:t>robust approach to external reporting, now included in enhancements to the</w:t>
            </w:r>
            <w:r>
              <w:rPr>
                <w:sz w:val="20"/>
                <w:szCs w:val="20"/>
              </w:rPr>
              <w:t xml:space="preserve"> </w:t>
            </w:r>
            <w:r w:rsidRPr="00956DD4">
              <w:rPr>
                <w:sz w:val="20"/>
                <w:szCs w:val="20"/>
              </w:rPr>
              <w:t>ASX Corporate Governance Principles. 2,200 ASX entities are in the process</w:t>
            </w:r>
            <w:r>
              <w:rPr>
                <w:sz w:val="20"/>
                <w:szCs w:val="20"/>
              </w:rPr>
              <w:t xml:space="preserve"> </w:t>
            </w:r>
            <w:r w:rsidRPr="00956DD4">
              <w:rPr>
                <w:sz w:val="20"/>
                <w:szCs w:val="20"/>
              </w:rPr>
              <w:t>of transitioning to the third edition of the principles. Viewed as best practice</w:t>
            </w:r>
            <w:r>
              <w:rPr>
                <w:sz w:val="20"/>
                <w:szCs w:val="20"/>
              </w:rPr>
              <w:t xml:space="preserve"> </w:t>
            </w:r>
            <w:r w:rsidRPr="00956DD4">
              <w:rPr>
                <w:sz w:val="20"/>
                <w:szCs w:val="20"/>
              </w:rPr>
              <w:t>globally, these principles are now being emulated by the ASX’s international</w:t>
            </w:r>
            <w:r>
              <w:rPr>
                <w:sz w:val="20"/>
                <w:szCs w:val="20"/>
              </w:rPr>
              <w:t xml:space="preserve"> </w:t>
            </w:r>
            <w:r w:rsidRPr="00956DD4">
              <w:rPr>
                <w:sz w:val="20"/>
                <w:szCs w:val="20"/>
              </w:rPr>
              <w:t>counterparts.</w:t>
            </w:r>
          </w:p>
          <w:p w:rsidR="00956DD4" w:rsidRDefault="00956DD4" w:rsidP="00956DD4">
            <w:pPr>
              <w:pStyle w:val="ListParagraph"/>
              <w:numPr>
                <w:ilvl w:val="0"/>
                <w:numId w:val="4"/>
              </w:numPr>
              <w:spacing w:after="0" w:line="240" w:lineRule="auto"/>
              <w:rPr>
                <w:sz w:val="20"/>
                <w:szCs w:val="20"/>
              </w:rPr>
            </w:pPr>
            <w:r w:rsidRPr="00956DD4">
              <w:rPr>
                <w:b/>
                <w:sz w:val="20"/>
                <w:szCs w:val="20"/>
              </w:rPr>
              <w:t>Alignment in reporting</w:t>
            </w:r>
            <w:r w:rsidRPr="00956DD4">
              <w:rPr>
                <w:sz w:val="20"/>
                <w:szCs w:val="20"/>
              </w:rPr>
              <w:t xml:space="preserve">. MCC organisations aligned their reporting </w:t>
            </w:r>
            <w:proofErr w:type="spellStart"/>
            <w:r w:rsidRPr="00956DD4">
              <w:rPr>
                <w:sz w:val="20"/>
                <w:szCs w:val="20"/>
              </w:rPr>
              <w:t>approachwith</w:t>
            </w:r>
            <w:proofErr w:type="spellEnd"/>
            <w:r w:rsidRPr="00956DD4">
              <w:rPr>
                <w:sz w:val="20"/>
                <w:szCs w:val="20"/>
              </w:rPr>
              <w:t xml:space="preserve"> the best practice guidelines from the Corporate Governance </w:t>
            </w:r>
            <w:proofErr w:type="gramStart"/>
            <w:r w:rsidRPr="00956DD4">
              <w:rPr>
                <w:sz w:val="20"/>
                <w:szCs w:val="20"/>
              </w:rPr>
              <w:t>Principles(</w:t>
            </w:r>
            <w:proofErr w:type="gramEnd"/>
            <w:r w:rsidRPr="00956DD4">
              <w:rPr>
                <w:sz w:val="20"/>
                <w:szCs w:val="20"/>
              </w:rPr>
              <w:t>ASX-listed) and WGEA (Australian Reporting Entities). The Annual State of</w:t>
            </w:r>
            <w:r>
              <w:rPr>
                <w:sz w:val="20"/>
                <w:szCs w:val="20"/>
              </w:rPr>
              <w:t xml:space="preserve"> </w:t>
            </w:r>
            <w:r w:rsidRPr="00956DD4">
              <w:rPr>
                <w:sz w:val="20"/>
                <w:szCs w:val="20"/>
              </w:rPr>
              <w:t xml:space="preserve">the Service report to Parliament transitioned to an ASX comparable </w:t>
            </w:r>
            <w:proofErr w:type="spellStart"/>
            <w:r w:rsidRPr="00956DD4">
              <w:rPr>
                <w:sz w:val="20"/>
                <w:szCs w:val="20"/>
              </w:rPr>
              <w:t>format.Agencies</w:t>
            </w:r>
            <w:proofErr w:type="spellEnd"/>
            <w:r w:rsidRPr="00956DD4">
              <w:rPr>
                <w:sz w:val="20"/>
                <w:szCs w:val="20"/>
              </w:rPr>
              <w:t xml:space="preserve"> with most opportunity for improvement were identified. Ian Watt</w:t>
            </w:r>
            <w:r>
              <w:rPr>
                <w:sz w:val="20"/>
                <w:szCs w:val="20"/>
              </w:rPr>
              <w:t xml:space="preserve"> </w:t>
            </w:r>
            <w:r w:rsidRPr="00956DD4">
              <w:rPr>
                <w:sz w:val="20"/>
                <w:szCs w:val="20"/>
              </w:rPr>
              <w:t>and St</w:t>
            </w:r>
            <w:r>
              <w:rPr>
                <w:sz w:val="20"/>
                <w:szCs w:val="20"/>
              </w:rPr>
              <w:t xml:space="preserve">ephen Sedgwick followed up </w:t>
            </w:r>
            <w:proofErr w:type="spellStart"/>
            <w:r>
              <w:rPr>
                <w:sz w:val="20"/>
                <w:szCs w:val="20"/>
              </w:rPr>
              <w:t>wit</w:t>
            </w:r>
            <w:proofErr w:type="spellEnd"/>
            <w:r>
              <w:rPr>
                <w:sz w:val="20"/>
                <w:szCs w:val="20"/>
              </w:rPr>
              <w:t xml:space="preserve"> </w:t>
            </w:r>
            <w:r w:rsidRPr="00956DD4">
              <w:rPr>
                <w:sz w:val="20"/>
                <w:szCs w:val="20"/>
              </w:rPr>
              <w:t>targeted questions about how low</w:t>
            </w:r>
            <w:r>
              <w:rPr>
                <w:sz w:val="20"/>
                <w:szCs w:val="20"/>
              </w:rPr>
              <w:t xml:space="preserve"> </w:t>
            </w:r>
            <w:r w:rsidRPr="00956DD4">
              <w:rPr>
                <w:sz w:val="20"/>
                <w:szCs w:val="20"/>
              </w:rPr>
              <w:t>representation levels were being addressed.</w:t>
            </w:r>
          </w:p>
          <w:p w:rsidR="00956DD4" w:rsidRPr="00956DD4" w:rsidRDefault="00956DD4" w:rsidP="00956DD4">
            <w:pPr>
              <w:pStyle w:val="ListParagraph"/>
              <w:numPr>
                <w:ilvl w:val="0"/>
                <w:numId w:val="4"/>
              </w:numPr>
              <w:spacing w:after="0" w:line="240" w:lineRule="auto"/>
              <w:rPr>
                <w:sz w:val="20"/>
                <w:szCs w:val="20"/>
              </w:rPr>
            </w:pPr>
            <w:r w:rsidRPr="00956DD4">
              <w:rPr>
                <w:b/>
                <w:sz w:val="20"/>
                <w:szCs w:val="20"/>
              </w:rPr>
              <w:t>International connections.</w:t>
            </w:r>
            <w:r w:rsidRPr="00956DD4">
              <w:rPr>
                <w:sz w:val="20"/>
                <w:szCs w:val="20"/>
              </w:rPr>
              <w:t xml:space="preserve"> MCC convener Elizabeth Broderick </w:t>
            </w:r>
            <w:proofErr w:type="spellStart"/>
            <w:r w:rsidRPr="00956DD4">
              <w:rPr>
                <w:sz w:val="20"/>
                <w:szCs w:val="20"/>
              </w:rPr>
              <w:t>deliveredthe</w:t>
            </w:r>
            <w:proofErr w:type="spellEnd"/>
            <w:r w:rsidRPr="00956DD4">
              <w:rPr>
                <w:sz w:val="20"/>
                <w:szCs w:val="20"/>
              </w:rPr>
              <w:t xml:space="preserve"> key-note address, describing the MCC strategy to the World Federation of</w:t>
            </w:r>
            <w:r>
              <w:rPr>
                <w:sz w:val="20"/>
                <w:szCs w:val="20"/>
              </w:rPr>
              <w:t xml:space="preserve"> </w:t>
            </w:r>
            <w:r w:rsidRPr="00956DD4">
              <w:rPr>
                <w:sz w:val="20"/>
                <w:szCs w:val="20"/>
              </w:rPr>
              <w:t>Exchanges’ annual conference, which represents 64 publicly regulated stock,</w:t>
            </w:r>
            <w:r>
              <w:rPr>
                <w:sz w:val="20"/>
                <w:szCs w:val="20"/>
              </w:rPr>
              <w:t xml:space="preserve"> </w:t>
            </w:r>
            <w:r w:rsidRPr="00956DD4">
              <w:rPr>
                <w:sz w:val="20"/>
                <w:szCs w:val="20"/>
              </w:rPr>
              <w:t>futures and options exchanges. The potential for exchanges to step up their</w:t>
            </w:r>
            <w:r>
              <w:rPr>
                <w:sz w:val="20"/>
                <w:szCs w:val="20"/>
              </w:rPr>
              <w:t xml:space="preserve"> </w:t>
            </w:r>
            <w:r w:rsidRPr="00956DD4">
              <w:rPr>
                <w:sz w:val="20"/>
                <w:szCs w:val="20"/>
              </w:rPr>
              <w:t>leadership was discussed, including through Corporate Governance Principles.</w:t>
            </w:r>
          </w:p>
        </w:tc>
      </w:tr>
      <w:tr w:rsidR="00956DD4" w:rsidTr="005C1C96">
        <w:tc>
          <w:tcPr>
            <w:tcW w:w="2689" w:type="dxa"/>
          </w:tcPr>
          <w:p w:rsidR="00D602AB" w:rsidRPr="00D602AB" w:rsidRDefault="00D602AB" w:rsidP="00D602AB">
            <w:pPr>
              <w:autoSpaceDE w:val="0"/>
              <w:autoSpaceDN w:val="0"/>
              <w:adjustRightInd w:val="0"/>
              <w:rPr>
                <w:rFonts w:ascii="Calibri" w:eastAsia="Calibri" w:hAnsi="Calibri" w:cs="Calibri"/>
                <w:b/>
                <w:color w:val="181717"/>
                <w:sz w:val="24"/>
                <w:szCs w:val="24"/>
                <w:lang w:eastAsia="en-AU"/>
              </w:rPr>
            </w:pPr>
            <w:r w:rsidRPr="00D602AB">
              <w:rPr>
                <w:rFonts w:ascii="Calibri" w:eastAsia="Calibri" w:hAnsi="Calibri" w:cs="Calibri"/>
                <w:b/>
                <w:color w:val="181717"/>
                <w:sz w:val="24"/>
                <w:szCs w:val="24"/>
                <w:lang w:eastAsia="en-AU"/>
              </w:rPr>
              <w:t>Set granular targets.</w:t>
            </w:r>
          </w:p>
          <w:p w:rsidR="00D602AB" w:rsidRPr="00D602AB" w:rsidRDefault="00D602AB" w:rsidP="00D602AB">
            <w:pPr>
              <w:autoSpaceDE w:val="0"/>
              <w:autoSpaceDN w:val="0"/>
              <w:adjustRightInd w:val="0"/>
              <w:rPr>
                <w:rFonts w:ascii="Calibri" w:eastAsia="Calibri" w:hAnsi="Calibri" w:cs="Calibri"/>
                <w:color w:val="181717"/>
                <w:sz w:val="24"/>
                <w:szCs w:val="24"/>
                <w:lang w:eastAsia="en-AU"/>
              </w:rPr>
            </w:pPr>
            <w:r w:rsidRPr="00D602AB">
              <w:rPr>
                <w:rFonts w:ascii="Calibri" w:eastAsia="Calibri" w:hAnsi="Calibri" w:cs="Calibri"/>
                <w:color w:val="181717"/>
                <w:sz w:val="24"/>
                <w:szCs w:val="24"/>
                <w:lang w:eastAsia="en-AU"/>
              </w:rPr>
              <w:t>Break entrenched</w:t>
            </w:r>
          </w:p>
          <w:p w:rsidR="00D602AB" w:rsidRPr="00D602AB" w:rsidRDefault="00D602AB" w:rsidP="00D602AB">
            <w:pPr>
              <w:autoSpaceDE w:val="0"/>
              <w:autoSpaceDN w:val="0"/>
              <w:adjustRightInd w:val="0"/>
              <w:rPr>
                <w:rFonts w:ascii="Calibri" w:eastAsia="Calibri" w:hAnsi="Calibri" w:cs="Calibri"/>
                <w:color w:val="181717"/>
                <w:sz w:val="24"/>
                <w:szCs w:val="24"/>
                <w:lang w:eastAsia="en-AU"/>
              </w:rPr>
            </w:pPr>
            <w:r w:rsidRPr="00D602AB">
              <w:rPr>
                <w:rFonts w:ascii="Calibri" w:eastAsia="Calibri" w:hAnsi="Calibri" w:cs="Calibri"/>
                <w:color w:val="181717"/>
                <w:sz w:val="24"/>
                <w:szCs w:val="24"/>
                <w:lang w:eastAsia="en-AU"/>
              </w:rPr>
              <w:t>patterns by engaging</w:t>
            </w:r>
          </w:p>
          <w:p w:rsidR="00D602AB" w:rsidRPr="00D602AB" w:rsidRDefault="00D602AB" w:rsidP="00D602AB">
            <w:pPr>
              <w:autoSpaceDE w:val="0"/>
              <w:autoSpaceDN w:val="0"/>
              <w:adjustRightInd w:val="0"/>
              <w:rPr>
                <w:rFonts w:ascii="Calibri" w:eastAsia="Calibri" w:hAnsi="Calibri" w:cs="Calibri"/>
                <w:color w:val="181717"/>
                <w:sz w:val="24"/>
                <w:szCs w:val="24"/>
                <w:lang w:eastAsia="en-AU"/>
              </w:rPr>
            </w:pPr>
            <w:r w:rsidRPr="00D602AB">
              <w:rPr>
                <w:rFonts w:ascii="Calibri" w:eastAsia="Calibri" w:hAnsi="Calibri" w:cs="Calibri"/>
                <w:color w:val="181717"/>
                <w:sz w:val="24"/>
                <w:szCs w:val="24"/>
                <w:lang w:eastAsia="en-AU"/>
              </w:rPr>
              <w:t>managers in the</w:t>
            </w:r>
          </w:p>
          <w:p w:rsidR="00D602AB" w:rsidRPr="00D602AB" w:rsidRDefault="00D602AB" w:rsidP="00D602AB">
            <w:pPr>
              <w:autoSpaceDE w:val="0"/>
              <w:autoSpaceDN w:val="0"/>
              <w:adjustRightInd w:val="0"/>
              <w:rPr>
                <w:rFonts w:ascii="Calibri" w:eastAsia="Calibri" w:hAnsi="Calibri" w:cs="Calibri"/>
                <w:color w:val="181717"/>
                <w:sz w:val="24"/>
                <w:szCs w:val="24"/>
                <w:lang w:eastAsia="en-AU"/>
              </w:rPr>
            </w:pPr>
            <w:r w:rsidRPr="00D602AB">
              <w:rPr>
                <w:rFonts w:ascii="Calibri" w:eastAsia="Calibri" w:hAnsi="Calibri" w:cs="Calibri"/>
                <w:color w:val="181717"/>
                <w:sz w:val="24"/>
                <w:szCs w:val="24"/>
                <w:lang w:eastAsia="en-AU"/>
              </w:rPr>
              <w:t>objective of women’s</w:t>
            </w:r>
          </w:p>
          <w:p w:rsidR="00D602AB" w:rsidRPr="00D602AB" w:rsidRDefault="00D602AB" w:rsidP="00D602AB">
            <w:pPr>
              <w:autoSpaceDE w:val="0"/>
              <w:autoSpaceDN w:val="0"/>
              <w:adjustRightInd w:val="0"/>
              <w:rPr>
                <w:rFonts w:ascii="Calibri" w:eastAsia="Calibri" w:hAnsi="Calibri" w:cs="Calibri"/>
                <w:color w:val="181717"/>
                <w:sz w:val="24"/>
                <w:szCs w:val="24"/>
                <w:lang w:eastAsia="en-AU"/>
              </w:rPr>
            </w:pPr>
            <w:r w:rsidRPr="00D602AB">
              <w:rPr>
                <w:rFonts w:ascii="Calibri" w:eastAsia="Calibri" w:hAnsi="Calibri" w:cs="Calibri"/>
                <w:color w:val="181717"/>
                <w:sz w:val="24"/>
                <w:szCs w:val="24"/>
                <w:lang w:eastAsia="en-AU"/>
              </w:rPr>
              <w:t>representation on their</w:t>
            </w:r>
          </w:p>
          <w:p w:rsidR="00956DD4" w:rsidRDefault="00D602AB" w:rsidP="00D602AB">
            <w:pPr>
              <w:autoSpaceDE w:val="0"/>
              <w:autoSpaceDN w:val="0"/>
              <w:adjustRightInd w:val="0"/>
            </w:pPr>
            <w:proofErr w:type="gramStart"/>
            <w:r w:rsidRPr="00D602AB">
              <w:rPr>
                <w:rFonts w:ascii="Calibri" w:eastAsia="Calibri" w:hAnsi="Calibri" w:cs="Calibri"/>
                <w:color w:val="181717"/>
                <w:sz w:val="24"/>
                <w:szCs w:val="24"/>
                <w:lang w:eastAsia="en-AU"/>
              </w:rPr>
              <w:t>teams</w:t>
            </w:r>
            <w:proofErr w:type="gramEnd"/>
            <w:r w:rsidRPr="00D602AB">
              <w:rPr>
                <w:rFonts w:ascii="Calibri" w:eastAsia="Calibri" w:hAnsi="Calibri" w:cs="Calibri"/>
                <w:color w:val="181717"/>
                <w:sz w:val="24"/>
                <w:szCs w:val="24"/>
                <w:lang w:eastAsia="en-AU"/>
              </w:rPr>
              <w:t xml:space="preserve"> and more</w:t>
            </w:r>
            <w:r w:rsidRPr="00D602AB">
              <w:rPr>
                <w:rFonts w:ascii="Calibri" w:eastAsia="Calibri" w:hAnsi="Calibri" w:cs="Calibri"/>
                <w:b/>
                <w:color w:val="181717"/>
                <w:sz w:val="24"/>
                <w:szCs w:val="24"/>
                <w:lang w:eastAsia="en-AU"/>
              </w:rPr>
              <w:t xml:space="preserve"> </w:t>
            </w:r>
            <w:r w:rsidRPr="00D602AB">
              <w:rPr>
                <w:rFonts w:ascii="Calibri" w:eastAsia="Calibri" w:hAnsi="Calibri" w:cs="Calibri"/>
                <w:color w:val="181717"/>
                <w:sz w:val="24"/>
                <w:szCs w:val="24"/>
                <w:lang w:eastAsia="en-AU"/>
              </w:rPr>
              <w:t>broadly</w:t>
            </w:r>
            <w:r w:rsidRPr="00D602AB">
              <w:rPr>
                <w:rFonts w:ascii="TiemposText-Regular" w:hAnsi="TiemposText-Regular" w:cs="TiemposText-Regular"/>
                <w:sz w:val="18"/>
                <w:szCs w:val="18"/>
              </w:rPr>
              <w:t>.</w:t>
            </w:r>
          </w:p>
        </w:tc>
        <w:tc>
          <w:tcPr>
            <w:tcW w:w="13041" w:type="dxa"/>
          </w:tcPr>
          <w:p w:rsidR="00D602AB" w:rsidRDefault="00D602AB" w:rsidP="00D602AB">
            <w:pPr>
              <w:pStyle w:val="ListParagraph"/>
              <w:numPr>
                <w:ilvl w:val="0"/>
                <w:numId w:val="5"/>
              </w:numPr>
              <w:autoSpaceDE w:val="0"/>
              <w:autoSpaceDN w:val="0"/>
              <w:adjustRightInd w:val="0"/>
              <w:spacing w:after="0" w:line="240" w:lineRule="auto"/>
              <w:rPr>
                <w:sz w:val="20"/>
                <w:szCs w:val="20"/>
              </w:rPr>
            </w:pPr>
            <w:r w:rsidRPr="00D602AB">
              <w:rPr>
                <w:b/>
                <w:sz w:val="20"/>
                <w:szCs w:val="20"/>
              </w:rPr>
              <w:t>Target setting.</w:t>
            </w:r>
            <w:r w:rsidRPr="00D602AB">
              <w:rPr>
                <w:sz w:val="20"/>
                <w:szCs w:val="20"/>
              </w:rPr>
              <w:t xml:space="preserve"> 75% of MCC organisations have targets to improve the</w:t>
            </w:r>
            <w:r>
              <w:rPr>
                <w:sz w:val="20"/>
                <w:szCs w:val="20"/>
              </w:rPr>
              <w:t xml:space="preserve"> </w:t>
            </w:r>
            <w:r w:rsidRPr="00D602AB">
              <w:rPr>
                <w:sz w:val="20"/>
                <w:szCs w:val="20"/>
              </w:rPr>
              <w:t>representation of women in leadership embedded in senior executive KPIs.</w:t>
            </w:r>
          </w:p>
          <w:p w:rsidR="005C1C96" w:rsidRDefault="00D602AB" w:rsidP="005C1C96">
            <w:pPr>
              <w:pStyle w:val="ListParagraph"/>
              <w:numPr>
                <w:ilvl w:val="0"/>
                <w:numId w:val="5"/>
              </w:numPr>
              <w:autoSpaceDE w:val="0"/>
              <w:autoSpaceDN w:val="0"/>
              <w:adjustRightInd w:val="0"/>
              <w:spacing w:after="0" w:line="240" w:lineRule="auto"/>
              <w:rPr>
                <w:sz w:val="20"/>
                <w:szCs w:val="20"/>
              </w:rPr>
            </w:pPr>
            <w:r w:rsidRPr="00D602AB">
              <w:rPr>
                <w:b/>
                <w:sz w:val="20"/>
                <w:szCs w:val="20"/>
              </w:rPr>
              <w:t>The Panel Pledge.</w:t>
            </w:r>
            <w:r w:rsidRPr="00D602AB">
              <w:rPr>
                <w:sz w:val="20"/>
                <w:szCs w:val="20"/>
              </w:rPr>
              <w:t xml:space="preserve"> MCCs remain committed to their ‘Panel Pledge’ to</w:t>
            </w:r>
            <w:r w:rsidR="005C1C96">
              <w:rPr>
                <w:sz w:val="20"/>
                <w:szCs w:val="20"/>
              </w:rPr>
              <w:t xml:space="preserve"> </w:t>
            </w:r>
            <w:r w:rsidRPr="005C1C96">
              <w:rPr>
                <w:sz w:val="20"/>
                <w:szCs w:val="20"/>
              </w:rPr>
              <w:t>increase women’s representation in public forums, panels and taskforces they</w:t>
            </w:r>
            <w:r w:rsidR="005C1C96">
              <w:rPr>
                <w:sz w:val="20"/>
                <w:szCs w:val="20"/>
              </w:rPr>
              <w:t xml:space="preserve"> </w:t>
            </w:r>
            <w:r w:rsidRPr="005C1C96">
              <w:rPr>
                <w:sz w:val="20"/>
                <w:szCs w:val="20"/>
              </w:rPr>
              <w:t>participate in. When asked to be involved in, or sponsor, a panel or conference</w:t>
            </w:r>
            <w:r w:rsidR="005C1C96">
              <w:rPr>
                <w:sz w:val="20"/>
                <w:szCs w:val="20"/>
              </w:rPr>
              <w:t xml:space="preserve"> </w:t>
            </w:r>
            <w:r w:rsidRPr="005C1C96">
              <w:rPr>
                <w:sz w:val="20"/>
                <w:szCs w:val="20"/>
              </w:rPr>
              <w:t>each MCC asks about organiser efforts to ensure women leaders are</w:t>
            </w:r>
            <w:r w:rsidR="005C1C96">
              <w:rPr>
                <w:sz w:val="20"/>
                <w:szCs w:val="20"/>
              </w:rPr>
              <w:t xml:space="preserve"> </w:t>
            </w:r>
            <w:r w:rsidRPr="005C1C96">
              <w:rPr>
                <w:sz w:val="20"/>
                <w:szCs w:val="20"/>
              </w:rPr>
              <w:t>represented. ANZ and Telstra have cascaded</w:t>
            </w:r>
            <w:r w:rsidR="005C1C96">
              <w:rPr>
                <w:sz w:val="20"/>
                <w:szCs w:val="20"/>
              </w:rPr>
              <w:t xml:space="preserve"> the Panel Pledge to executives </w:t>
            </w:r>
          </w:p>
          <w:p w:rsidR="00956DD4" w:rsidRPr="005C1C96" w:rsidRDefault="00D602AB" w:rsidP="005C1C96">
            <w:pPr>
              <w:pStyle w:val="ListParagraph"/>
              <w:numPr>
                <w:ilvl w:val="0"/>
                <w:numId w:val="5"/>
              </w:numPr>
              <w:autoSpaceDE w:val="0"/>
              <w:autoSpaceDN w:val="0"/>
              <w:adjustRightInd w:val="0"/>
              <w:spacing w:after="0" w:line="240" w:lineRule="auto"/>
              <w:rPr>
                <w:sz w:val="20"/>
                <w:szCs w:val="20"/>
              </w:rPr>
            </w:pPr>
            <w:r w:rsidRPr="005C1C96">
              <w:rPr>
                <w:b/>
                <w:sz w:val="20"/>
                <w:szCs w:val="20"/>
              </w:rPr>
              <w:t>Continuing to seize opportunities for influence</w:t>
            </w:r>
            <w:r w:rsidRPr="005C1C96">
              <w:rPr>
                <w:sz w:val="20"/>
                <w:szCs w:val="20"/>
              </w:rPr>
              <w:t>. In response to the Panel</w:t>
            </w:r>
            <w:r w:rsidR="005C1C96">
              <w:rPr>
                <w:sz w:val="20"/>
                <w:szCs w:val="20"/>
              </w:rPr>
              <w:t xml:space="preserve"> </w:t>
            </w:r>
            <w:r w:rsidRPr="005C1C96">
              <w:rPr>
                <w:sz w:val="20"/>
                <w:szCs w:val="20"/>
              </w:rPr>
              <w:t>Pledge initiative, conference organisers are taking a more deliberate approach</w:t>
            </w:r>
            <w:r w:rsidR="005C1C96">
              <w:rPr>
                <w:sz w:val="20"/>
                <w:szCs w:val="20"/>
              </w:rPr>
              <w:t xml:space="preserve"> </w:t>
            </w:r>
            <w:r w:rsidRPr="005C1C96">
              <w:rPr>
                <w:sz w:val="20"/>
                <w:szCs w:val="20"/>
              </w:rPr>
              <w:t>to the inclusion of women. Despite this, the MCCs acknowledge and have</w:t>
            </w:r>
            <w:r w:rsidR="005C1C96">
              <w:rPr>
                <w:sz w:val="20"/>
                <w:szCs w:val="20"/>
              </w:rPr>
              <w:t xml:space="preserve"> </w:t>
            </w:r>
            <w:r w:rsidRPr="005C1C96">
              <w:rPr>
                <w:sz w:val="20"/>
                <w:szCs w:val="20"/>
              </w:rPr>
              <w:t>learned from a missed</w:t>
            </w:r>
            <w:r w:rsidR="005C1C96">
              <w:rPr>
                <w:sz w:val="20"/>
                <w:szCs w:val="20"/>
              </w:rPr>
              <w:t xml:space="preserve"> opportunity to ensure stronger </w:t>
            </w:r>
            <w:r w:rsidRPr="005C1C96">
              <w:rPr>
                <w:sz w:val="20"/>
                <w:szCs w:val="20"/>
              </w:rPr>
              <w:t>representation of women</w:t>
            </w:r>
            <w:r w:rsidR="005C1C96">
              <w:rPr>
                <w:sz w:val="20"/>
                <w:szCs w:val="20"/>
              </w:rPr>
              <w:t xml:space="preserve"> </w:t>
            </w:r>
            <w:r w:rsidRPr="005C1C96">
              <w:rPr>
                <w:sz w:val="20"/>
                <w:szCs w:val="20"/>
              </w:rPr>
              <w:t>leaders as part of B20-related forums.</w:t>
            </w:r>
          </w:p>
        </w:tc>
      </w:tr>
      <w:tr w:rsidR="00956DD4" w:rsidTr="005C1C96">
        <w:tc>
          <w:tcPr>
            <w:tcW w:w="2689" w:type="dxa"/>
          </w:tcPr>
          <w:p w:rsidR="005C1C96" w:rsidRPr="005C1C96" w:rsidRDefault="005C1C96" w:rsidP="005C1C96">
            <w:pPr>
              <w:autoSpaceDE w:val="0"/>
              <w:autoSpaceDN w:val="0"/>
              <w:adjustRightInd w:val="0"/>
              <w:rPr>
                <w:rFonts w:ascii="Calibri" w:eastAsia="Calibri" w:hAnsi="Calibri" w:cs="Calibri"/>
                <w:b/>
                <w:color w:val="181717"/>
                <w:sz w:val="24"/>
                <w:szCs w:val="24"/>
                <w:lang w:eastAsia="en-AU"/>
              </w:rPr>
            </w:pPr>
            <w:r w:rsidRPr="005C1C96">
              <w:rPr>
                <w:rFonts w:ascii="Calibri" w:eastAsia="Calibri" w:hAnsi="Calibri" w:cs="Calibri"/>
                <w:b/>
                <w:color w:val="181717"/>
                <w:sz w:val="24"/>
                <w:szCs w:val="24"/>
                <w:lang w:eastAsia="en-AU"/>
              </w:rPr>
              <w:t>Drive a supplier</w:t>
            </w:r>
          </w:p>
          <w:p w:rsidR="005C1C96" w:rsidRPr="005C1C96" w:rsidRDefault="005C1C96" w:rsidP="005C1C96">
            <w:pPr>
              <w:autoSpaceDE w:val="0"/>
              <w:autoSpaceDN w:val="0"/>
              <w:adjustRightInd w:val="0"/>
              <w:rPr>
                <w:rFonts w:ascii="Calibri" w:eastAsia="Calibri" w:hAnsi="Calibri" w:cs="Calibri"/>
                <w:b/>
                <w:color w:val="181717"/>
                <w:sz w:val="24"/>
                <w:szCs w:val="24"/>
                <w:lang w:eastAsia="en-AU"/>
              </w:rPr>
            </w:pPr>
            <w:proofErr w:type="gramStart"/>
            <w:r w:rsidRPr="005C1C96">
              <w:rPr>
                <w:rFonts w:ascii="Calibri" w:eastAsia="Calibri" w:hAnsi="Calibri" w:cs="Calibri"/>
                <w:b/>
                <w:color w:val="181717"/>
                <w:sz w:val="24"/>
                <w:szCs w:val="24"/>
                <w:lang w:eastAsia="en-AU"/>
              </w:rPr>
              <w:t>multiplier</w:t>
            </w:r>
            <w:proofErr w:type="gramEnd"/>
            <w:r w:rsidRPr="005C1C96">
              <w:rPr>
                <w:rFonts w:ascii="Calibri" w:eastAsia="Calibri" w:hAnsi="Calibri" w:cs="Calibri"/>
                <w:b/>
                <w:color w:val="181717"/>
                <w:sz w:val="24"/>
                <w:szCs w:val="24"/>
                <w:lang w:eastAsia="en-AU"/>
              </w:rPr>
              <w:t>.</w:t>
            </w:r>
          </w:p>
          <w:p w:rsidR="005C1C96" w:rsidRPr="005C1C96" w:rsidRDefault="005C1C96" w:rsidP="005C1C96">
            <w:pPr>
              <w:autoSpaceDE w:val="0"/>
              <w:autoSpaceDN w:val="0"/>
              <w:adjustRightInd w:val="0"/>
              <w:rPr>
                <w:rFonts w:ascii="Calibri" w:eastAsia="Calibri" w:hAnsi="Calibri" w:cs="Calibri"/>
                <w:color w:val="181717"/>
                <w:sz w:val="24"/>
                <w:szCs w:val="24"/>
                <w:lang w:eastAsia="en-AU"/>
              </w:rPr>
            </w:pPr>
            <w:r w:rsidRPr="005C1C96">
              <w:rPr>
                <w:rFonts w:ascii="Calibri" w:eastAsia="Calibri" w:hAnsi="Calibri" w:cs="Calibri"/>
                <w:color w:val="181717"/>
                <w:sz w:val="24"/>
                <w:szCs w:val="24"/>
                <w:lang w:eastAsia="en-AU"/>
              </w:rPr>
              <w:t>Communicate to</w:t>
            </w:r>
          </w:p>
          <w:p w:rsidR="005C1C96" w:rsidRPr="005C1C96" w:rsidRDefault="005C1C96" w:rsidP="005C1C96">
            <w:pPr>
              <w:autoSpaceDE w:val="0"/>
              <w:autoSpaceDN w:val="0"/>
              <w:adjustRightInd w:val="0"/>
              <w:rPr>
                <w:rFonts w:ascii="Calibri" w:eastAsia="Calibri" w:hAnsi="Calibri" w:cs="Calibri"/>
                <w:color w:val="181717"/>
                <w:sz w:val="24"/>
                <w:szCs w:val="24"/>
                <w:lang w:eastAsia="en-AU"/>
              </w:rPr>
            </w:pPr>
            <w:r w:rsidRPr="005C1C96">
              <w:rPr>
                <w:rFonts w:ascii="Calibri" w:eastAsia="Calibri" w:hAnsi="Calibri" w:cs="Calibri"/>
                <w:color w:val="181717"/>
                <w:sz w:val="24"/>
                <w:szCs w:val="24"/>
                <w:lang w:eastAsia="en-AU"/>
              </w:rPr>
              <w:t>suppliers how important</w:t>
            </w:r>
          </w:p>
          <w:p w:rsidR="005C1C96" w:rsidRPr="005C1C96" w:rsidRDefault="005C1C96" w:rsidP="005C1C96">
            <w:pPr>
              <w:autoSpaceDE w:val="0"/>
              <w:autoSpaceDN w:val="0"/>
              <w:adjustRightInd w:val="0"/>
              <w:rPr>
                <w:rFonts w:ascii="Calibri" w:eastAsia="Calibri" w:hAnsi="Calibri" w:cs="Calibri"/>
                <w:color w:val="181717"/>
                <w:sz w:val="24"/>
                <w:szCs w:val="24"/>
                <w:lang w:eastAsia="en-AU"/>
              </w:rPr>
            </w:pPr>
            <w:proofErr w:type="gramStart"/>
            <w:r w:rsidRPr="005C1C96">
              <w:rPr>
                <w:rFonts w:ascii="Calibri" w:eastAsia="Calibri" w:hAnsi="Calibri" w:cs="Calibri"/>
                <w:color w:val="181717"/>
                <w:sz w:val="24"/>
                <w:szCs w:val="24"/>
                <w:lang w:eastAsia="en-AU"/>
              </w:rPr>
              <w:t>gender</w:t>
            </w:r>
            <w:proofErr w:type="gramEnd"/>
            <w:r w:rsidRPr="005C1C96">
              <w:rPr>
                <w:rFonts w:ascii="Calibri" w:eastAsia="Calibri" w:hAnsi="Calibri" w:cs="Calibri"/>
                <w:color w:val="181717"/>
                <w:sz w:val="24"/>
                <w:szCs w:val="24"/>
                <w:lang w:eastAsia="en-AU"/>
              </w:rPr>
              <w:t xml:space="preserve"> balance is to you.</w:t>
            </w:r>
          </w:p>
          <w:p w:rsidR="005C1C96" w:rsidRPr="005C1C96" w:rsidRDefault="005C1C96" w:rsidP="005C1C96">
            <w:pPr>
              <w:autoSpaceDE w:val="0"/>
              <w:autoSpaceDN w:val="0"/>
              <w:adjustRightInd w:val="0"/>
              <w:rPr>
                <w:rFonts w:ascii="Calibri" w:eastAsia="Calibri" w:hAnsi="Calibri" w:cs="Calibri"/>
                <w:color w:val="181717"/>
                <w:sz w:val="24"/>
                <w:szCs w:val="24"/>
                <w:lang w:eastAsia="en-AU"/>
              </w:rPr>
            </w:pPr>
            <w:r w:rsidRPr="005C1C96">
              <w:rPr>
                <w:rFonts w:ascii="Calibri" w:eastAsia="Calibri" w:hAnsi="Calibri" w:cs="Calibri"/>
                <w:color w:val="181717"/>
                <w:sz w:val="24"/>
                <w:szCs w:val="24"/>
                <w:lang w:eastAsia="en-AU"/>
              </w:rPr>
              <w:t>Encourage and support</w:t>
            </w:r>
          </w:p>
          <w:p w:rsidR="005C1C96" w:rsidRPr="005C1C96" w:rsidRDefault="005C1C96" w:rsidP="005C1C96">
            <w:pPr>
              <w:autoSpaceDE w:val="0"/>
              <w:autoSpaceDN w:val="0"/>
              <w:adjustRightInd w:val="0"/>
              <w:rPr>
                <w:rFonts w:ascii="Calibri" w:eastAsia="Calibri" w:hAnsi="Calibri" w:cs="Calibri"/>
                <w:color w:val="181717"/>
                <w:sz w:val="24"/>
                <w:szCs w:val="24"/>
                <w:lang w:eastAsia="en-AU"/>
              </w:rPr>
            </w:pPr>
            <w:r w:rsidRPr="005C1C96">
              <w:rPr>
                <w:rFonts w:ascii="Calibri" w:eastAsia="Calibri" w:hAnsi="Calibri" w:cs="Calibri"/>
                <w:color w:val="181717"/>
                <w:sz w:val="24"/>
                <w:szCs w:val="24"/>
                <w:lang w:eastAsia="en-AU"/>
              </w:rPr>
              <w:t>suppliers who build and</w:t>
            </w:r>
          </w:p>
          <w:p w:rsidR="00956DD4" w:rsidRPr="005C1C96" w:rsidRDefault="005C1C96" w:rsidP="005C1C96">
            <w:pPr>
              <w:autoSpaceDE w:val="0"/>
              <w:autoSpaceDN w:val="0"/>
              <w:adjustRightInd w:val="0"/>
              <w:rPr>
                <w:rFonts w:ascii="Calibri" w:eastAsia="Calibri" w:hAnsi="Calibri" w:cs="Calibri"/>
                <w:color w:val="181717"/>
                <w:sz w:val="24"/>
                <w:szCs w:val="24"/>
                <w:lang w:eastAsia="en-AU"/>
              </w:rPr>
            </w:pPr>
            <w:proofErr w:type="gramStart"/>
            <w:r w:rsidRPr="005C1C96">
              <w:rPr>
                <w:rFonts w:ascii="Calibri" w:eastAsia="Calibri" w:hAnsi="Calibri" w:cs="Calibri"/>
                <w:color w:val="181717"/>
                <w:sz w:val="24"/>
                <w:szCs w:val="24"/>
                <w:lang w:eastAsia="en-AU"/>
              </w:rPr>
              <w:t>present</w:t>
            </w:r>
            <w:proofErr w:type="gramEnd"/>
            <w:r w:rsidRPr="005C1C96">
              <w:rPr>
                <w:rFonts w:ascii="Calibri" w:eastAsia="Calibri" w:hAnsi="Calibri" w:cs="Calibri"/>
                <w:color w:val="181717"/>
                <w:sz w:val="24"/>
                <w:szCs w:val="24"/>
                <w:lang w:eastAsia="en-AU"/>
              </w:rPr>
              <w:t xml:space="preserve"> more gender</w:t>
            </w:r>
            <w:r>
              <w:rPr>
                <w:rFonts w:ascii="Calibri" w:eastAsia="Calibri" w:hAnsi="Calibri" w:cs="Calibri"/>
                <w:color w:val="181717"/>
                <w:sz w:val="24"/>
                <w:szCs w:val="24"/>
                <w:lang w:eastAsia="en-AU"/>
              </w:rPr>
              <w:t xml:space="preserve"> balanced </w:t>
            </w:r>
            <w:r w:rsidRPr="005C1C96">
              <w:rPr>
                <w:rFonts w:ascii="Calibri" w:eastAsia="Calibri" w:hAnsi="Calibri" w:cs="Calibri"/>
                <w:color w:val="181717"/>
                <w:sz w:val="24"/>
                <w:szCs w:val="24"/>
                <w:lang w:eastAsia="en-AU"/>
              </w:rPr>
              <w:t>teams.</w:t>
            </w:r>
          </w:p>
        </w:tc>
        <w:tc>
          <w:tcPr>
            <w:tcW w:w="13041" w:type="dxa"/>
          </w:tcPr>
          <w:p w:rsidR="005C1C96" w:rsidRPr="005C1C96" w:rsidRDefault="005C1C96" w:rsidP="005C1C96">
            <w:pPr>
              <w:pStyle w:val="ListParagraph"/>
              <w:numPr>
                <w:ilvl w:val="0"/>
                <w:numId w:val="6"/>
              </w:numPr>
              <w:autoSpaceDE w:val="0"/>
              <w:autoSpaceDN w:val="0"/>
              <w:adjustRightInd w:val="0"/>
              <w:spacing w:after="0" w:line="240" w:lineRule="auto"/>
              <w:rPr>
                <w:rFonts w:cs="Swiss721BT-Light"/>
                <w:szCs w:val="19"/>
              </w:rPr>
            </w:pPr>
            <w:r w:rsidRPr="005C1C96">
              <w:rPr>
                <w:rFonts w:cs="Swiss721BT-Bold"/>
                <w:b/>
                <w:bCs/>
                <w:szCs w:val="19"/>
              </w:rPr>
              <w:t xml:space="preserve">Supplier partnerships. </w:t>
            </w:r>
            <w:r w:rsidRPr="005C1C96">
              <w:rPr>
                <w:rFonts w:cs="Swiss721BT-Light"/>
                <w:szCs w:val="19"/>
              </w:rPr>
              <w:t>A number of MCC organisations finalised changes to</w:t>
            </w:r>
            <w:r>
              <w:rPr>
                <w:rFonts w:cs="Swiss721BT-Light"/>
                <w:szCs w:val="19"/>
              </w:rPr>
              <w:t xml:space="preserve"> </w:t>
            </w:r>
            <w:r w:rsidRPr="005C1C96">
              <w:rPr>
                <w:rFonts w:asciiTheme="minorHAnsi" w:hAnsiTheme="minorHAnsi" w:cs="Swiss721BT-Light"/>
                <w:szCs w:val="19"/>
              </w:rPr>
              <w:t>their Supplier Codes of Conduct to include expectations of gender balance. This</w:t>
            </w:r>
            <w:r>
              <w:rPr>
                <w:rFonts w:asciiTheme="minorHAnsi" w:hAnsiTheme="minorHAnsi" w:cs="Swiss721BT-Light"/>
                <w:szCs w:val="19"/>
              </w:rPr>
              <w:t xml:space="preserve"> </w:t>
            </w:r>
            <w:r w:rsidRPr="005C1C96">
              <w:rPr>
                <w:rFonts w:asciiTheme="minorHAnsi" w:hAnsiTheme="minorHAnsi" w:cs="Swiss721BT-Light"/>
                <w:szCs w:val="19"/>
              </w:rPr>
              <w:t>includes ANZ, ASX, Citi, CBA, Deloitte, Goldman Sachs, KPMG, Telstra, and</w:t>
            </w:r>
            <w:r>
              <w:rPr>
                <w:rFonts w:asciiTheme="minorHAnsi" w:hAnsiTheme="minorHAnsi" w:cs="Swiss721BT-Light"/>
                <w:szCs w:val="19"/>
              </w:rPr>
              <w:t xml:space="preserve"> </w:t>
            </w:r>
            <w:r w:rsidRPr="005C1C96">
              <w:rPr>
                <w:rFonts w:asciiTheme="minorHAnsi" w:hAnsiTheme="minorHAnsi" w:cs="Swiss721BT-Light"/>
                <w:szCs w:val="19"/>
              </w:rPr>
              <w:t>Qantas.</w:t>
            </w:r>
          </w:p>
          <w:p w:rsidR="005C1C96" w:rsidRPr="005C1C96" w:rsidRDefault="005C1C96" w:rsidP="005C1C96">
            <w:pPr>
              <w:pStyle w:val="ListParagraph"/>
              <w:numPr>
                <w:ilvl w:val="0"/>
                <w:numId w:val="7"/>
              </w:numPr>
              <w:autoSpaceDE w:val="0"/>
              <w:autoSpaceDN w:val="0"/>
              <w:adjustRightInd w:val="0"/>
              <w:spacing w:after="0" w:line="240" w:lineRule="auto"/>
              <w:rPr>
                <w:rFonts w:cs="Swiss721BT-Light"/>
                <w:szCs w:val="19"/>
              </w:rPr>
            </w:pPr>
            <w:r w:rsidRPr="005C1C96">
              <w:rPr>
                <w:rFonts w:cs="Swiss721BT-Bold"/>
                <w:b/>
                <w:bCs/>
                <w:szCs w:val="19"/>
              </w:rPr>
              <w:t xml:space="preserve">Example initiatives. </w:t>
            </w:r>
            <w:r w:rsidRPr="005C1C96">
              <w:rPr>
                <w:rFonts w:cs="Swiss721BT-Light"/>
                <w:szCs w:val="19"/>
              </w:rPr>
              <w:t xml:space="preserve">As members of </w:t>
            </w:r>
            <w:proofErr w:type="spellStart"/>
            <w:r w:rsidRPr="005C1C96">
              <w:rPr>
                <w:rFonts w:cs="Swiss721BT-Light"/>
                <w:szCs w:val="19"/>
              </w:rPr>
              <w:t>WeConnect</w:t>
            </w:r>
            <w:proofErr w:type="spellEnd"/>
            <w:r w:rsidRPr="005C1C96">
              <w:rPr>
                <w:rFonts w:cs="Swiss721BT-Light"/>
                <w:szCs w:val="19"/>
              </w:rPr>
              <w:t xml:space="preserve"> in Australia, Goldman Sachs</w:t>
            </w:r>
            <w:r>
              <w:rPr>
                <w:rFonts w:cs="Swiss721BT-Light"/>
                <w:szCs w:val="19"/>
              </w:rPr>
              <w:t xml:space="preserve"> </w:t>
            </w:r>
            <w:r w:rsidRPr="005C1C96">
              <w:rPr>
                <w:rFonts w:asciiTheme="minorHAnsi" w:hAnsiTheme="minorHAnsi" w:cs="Swiss721BT-Light"/>
                <w:szCs w:val="19"/>
              </w:rPr>
              <w:t>and IBM track dollars spent with women-owned en</w:t>
            </w:r>
            <w:r>
              <w:rPr>
                <w:rFonts w:asciiTheme="minorHAnsi" w:hAnsiTheme="minorHAnsi" w:cs="Swiss721BT-Light"/>
                <w:szCs w:val="19"/>
              </w:rPr>
              <w:t>terprises in their supply chains.</w:t>
            </w:r>
          </w:p>
          <w:p w:rsidR="005C1C96" w:rsidRPr="005C1C96" w:rsidRDefault="005C1C96" w:rsidP="005C1C96">
            <w:pPr>
              <w:pStyle w:val="ListParagraph"/>
              <w:numPr>
                <w:ilvl w:val="0"/>
                <w:numId w:val="7"/>
              </w:numPr>
              <w:autoSpaceDE w:val="0"/>
              <w:autoSpaceDN w:val="0"/>
              <w:adjustRightInd w:val="0"/>
              <w:spacing w:after="0" w:line="240" w:lineRule="auto"/>
              <w:rPr>
                <w:rFonts w:cs="Swiss721BT-Light"/>
                <w:szCs w:val="19"/>
              </w:rPr>
            </w:pPr>
            <w:r w:rsidRPr="005C1C96">
              <w:rPr>
                <w:rFonts w:asciiTheme="minorHAnsi" w:hAnsiTheme="minorHAnsi" w:cs="Swiss721BT-Bold"/>
                <w:b/>
                <w:bCs/>
                <w:szCs w:val="19"/>
              </w:rPr>
              <w:t xml:space="preserve">Focus on results. </w:t>
            </w:r>
            <w:r w:rsidRPr="005C1C96">
              <w:rPr>
                <w:rFonts w:asciiTheme="minorHAnsi" w:hAnsiTheme="minorHAnsi" w:cs="Swiss721BT-Light"/>
                <w:szCs w:val="19"/>
              </w:rPr>
              <w:t>The results are promising, with many suppliers lifting their</w:t>
            </w:r>
            <w:r>
              <w:rPr>
                <w:rFonts w:asciiTheme="minorHAnsi" w:hAnsiTheme="minorHAnsi" w:cs="Swiss721BT-Light"/>
                <w:szCs w:val="19"/>
              </w:rPr>
              <w:t xml:space="preserve"> </w:t>
            </w:r>
            <w:r w:rsidRPr="005C1C96">
              <w:rPr>
                <w:rFonts w:asciiTheme="minorHAnsi" w:hAnsiTheme="minorHAnsi" w:cs="Swiss721BT-Light"/>
                <w:szCs w:val="19"/>
              </w:rPr>
              <w:t>gender balance aspirations. At ANZ, diversity and inclusion is now a scored</w:t>
            </w:r>
            <w:r>
              <w:rPr>
                <w:rFonts w:asciiTheme="minorHAnsi" w:hAnsiTheme="minorHAnsi" w:cs="Swiss721BT-Light"/>
                <w:szCs w:val="19"/>
              </w:rPr>
              <w:t xml:space="preserve"> </w:t>
            </w:r>
            <w:r w:rsidRPr="005C1C96">
              <w:rPr>
                <w:rFonts w:asciiTheme="minorHAnsi" w:hAnsiTheme="minorHAnsi" w:cs="Swiss721BT-Light"/>
                <w:szCs w:val="19"/>
              </w:rPr>
              <w:t>element in the evaluation criteria for all suppliers.</w:t>
            </w:r>
          </w:p>
          <w:p w:rsidR="00956DD4" w:rsidRPr="005C1C96" w:rsidRDefault="005C1C96" w:rsidP="005C1C96">
            <w:pPr>
              <w:pStyle w:val="ListParagraph"/>
              <w:numPr>
                <w:ilvl w:val="0"/>
                <w:numId w:val="7"/>
              </w:numPr>
              <w:autoSpaceDE w:val="0"/>
              <w:autoSpaceDN w:val="0"/>
              <w:adjustRightInd w:val="0"/>
              <w:spacing w:after="0" w:line="240" w:lineRule="auto"/>
              <w:rPr>
                <w:rFonts w:cs="Swiss721BT-Light"/>
                <w:szCs w:val="19"/>
              </w:rPr>
            </w:pPr>
            <w:r w:rsidRPr="005C1C96">
              <w:rPr>
                <w:rFonts w:cs="Swiss721BT-Bold"/>
                <w:b/>
                <w:bCs/>
                <w:szCs w:val="19"/>
              </w:rPr>
              <w:t xml:space="preserve">Awards and recognition. </w:t>
            </w:r>
            <w:r w:rsidRPr="005C1C96">
              <w:rPr>
                <w:rFonts w:cs="Swiss721BT-Light"/>
                <w:szCs w:val="19"/>
              </w:rPr>
              <w:t>Telstra incorporated diversity and inclusion criteria</w:t>
            </w:r>
            <w:r>
              <w:rPr>
                <w:rFonts w:cs="Swiss721BT-Light"/>
                <w:szCs w:val="19"/>
              </w:rPr>
              <w:t xml:space="preserve"> </w:t>
            </w:r>
            <w:r w:rsidRPr="005C1C96">
              <w:rPr>
                <w:rFonts w:asciiTheme="minorHAnsi" w:hAnsiTheme="minorHAnsi" w:cs="Swiss721BT-Light"/>
                <w:szCs w:val="19"/>
              </w:rPr>
              <w:t>into its 2015 Australian Business Award program by asking entrants questions</w:t>
            </w:r>
            <w:r>
              <w:rPr>
                <w:rFonts w:asciiTheme="minorHAnsi" w:hAnsiTheme="minorHAnsi" w:cs="Swiss721BT-Light"/>
                <w:szCs w:val="19"/>
              </w:rPr>
              <w:t xml:space="preserve"> </w:t>
            </w:r>
            <w:r w:rsidRPr="005C1C96">
              <w:rPr>
                <w:rFonts w:asciiTheme="minorHAnsi" w:hAnsiTheme="minorHAnsi" w:cs="Swiss721BT-Light"/>
                <w:szCs w:val="19"/>
              </w:rPr>
              <w:t>around targets for improving workplace gender equality, efforts to create</w:t>
            </w:r>
            <w:r>
              <w:rPr>
                <w:rFonts w:asciiTheme="minorHAnsi" w:hAnsiTheme="minorHAnsi" w:cs="Swiss721BT-Light"/>
                <w:szCs w:val="19"/>
              </w:rPr>
              <w:t xml:space="preserve"> </w:t>
            </w:r>
            <w:r w:rsidRPr="005C1C96">
              <w:rPr>
                <w:rFonts w:asciiTheme="minorHAnsi" w:hAnsiTheme="minorHAnsi" w:cs="Swiss721BT-Light"/>
                <w:szCs w:val="19"/>
              </w:rPr>
              <w:t>an inclusive culture, reflect their diverse customer bases and Flexible Work</w:t>
            </w:r>
            <w:r>
              <w:rPr>
                <w:rFonts w:asciiTheme="minorHAnsi" w:hAnsiTheme="minorHAnsi" w:cs="Swiss721BT-Light"/>
                <w:szCs w:val="19"/>
              </w:rPr>
              <w:t xml:space="preserve"> </w:t>
            </w:r>
            <w:r w:rsidRPr="005C1C96">
              <w:rPr>
                <w:rFonts w:asciiTheme="minorHAnsi" w:hAnsiTheme="minorHAnsi" w:cs="Swiss721BT-Light"/>
                <w:szCs w:val="19"/>
              </w:rPr>
              <w:t>practices.</w:t>
            </w:r>
          </w:p>
        </w:tc>
      </w:tr>
    </w:tbl>
    <w:p w:rsidR="00F134C0" w:rsidRDefault="00F134C0" w:rsidP="00B5234A"/>
    <w:p w:rsidR="00F134C0" w:rsidRDefault="00F134C0">
      <w:r>
        <w:br w:type="page"/>
      </w:r>
    </w:p>
    <w:p w:rsidR="00F134C0" w:rsidRPr="00F134C0" w:rsidRDefault="00F134C0" w:rsidP="00F134C0">
      <w:pPr>
        <w:rPr>
          <w:rFonts w:cs="TiemposText-Regular"/>
          <w:color w:val="FF3B12"/>
          <w:sz w:val="64"/>
          <w:szCs w:val="64"/>
        </w:rPr>
      </w:pPr>
      <w:r w:rsidRPr="00F134C0">
        <w:rPr>
          <w:rFonts w:cs="TiemposText-Regular"/>
          <w:color w:val="FF3B12"/>
          <w:sz w:val="64"/>
          <w:szCs w:val="64"/>
        </w:rPr>
        <w:lastRenderedPageBreak/>
        <w:t>3.  Disrupting the status quo</w:t>
      </w:r>
    </w:p>
    <w:tbl>
      <w:tblPr>
        <w:tblStyle w:val="TableGrid"/>
        <w:tblW w:w="15730" w:type="dxa"/>
        <w:tblLook w:val="04A0" w:firstRow="1" w:lastRow="0" w:firstColumn="1" w:lastColumn="0" w:noHBand="0" w:noVBand="1"/>
      </w:tblPr>
      <w:tblGrid>
        <w:gridCol w:w="2689"/>
        <w:gridCol w:w="13041"/>
      </w:tblGrid>
      <w:tr w:rsidR="00F134C0" w:rsidRPr="00F134C0" w:rsidTr="007729F5">
        <w:tc>
          <w:tcPr>
            <w:tcW w:w="2689" w:type="dxa"/>
          </w:tcPr>
          <w:p w:rsidR="00F134C0" w:rsidRPr="00F134C0" w:rsidRDefault="00F134C0" w:rsidP="00F134C0">
            <w:pPr>
              <w:rPr>
                <w:b/>
              </w:rPr>
            </w:pPr>
            <w:r w:rsidRPr="00F134C0">
              <w:rPr>
                <w:b/>
              </w:rPr>
              <w:t>Action</w:t>
            </w:r>
          </w:p>
        </w:tc>
        <w:tc>
          <w:tcPr>
            <w:tcW w:w="13041" w:type="dxa"/>
          </w:tcPr>
          <w:p w:rsidR="00F134C0" w:rsidRPr="00F134C0" w:rsidRDefault="00F134C0" w:rsidP="00F134C0">
            <w:pPr>
              <w:rPr>
                <w:b/>
              </w:rPr>
            </w:pPr>
            <w:r w:rsidRPr="00F134C0">
              <w:rPr>
                <w:b/>
              </w:rPr>
              <w:t>Progress</w:t>
            </w:r>
          </w:p>
        </w:tc>
      </w:tr>
      <w:tr w:rsidR="00F134C0" w:rsidRPr="00F134C0" w:rsidTr="007729F5">
        <w:tc>
          <w:tcPr>
            <w:tcW w:w="2689" w:type="dxa"/>
          </w:tcPr>
          <w:p w:rsidR="00514A97" w:rsidRDefault="00514A97" w:rsidP="00514A97">
            <w:r w:rsidRPr="003B7B4A">
              <w:rPr>
                <w:b/>
              </w:rPr>
              <w:t>Ask ‘50/50: If not, why not?’</w:t>
            </w:r>
            <w:r>
              <w:t xml:space="preserve"> Ask ‘why not 50/50?’ across career lifecycles, from recruitment and </w:t>
            </w:r>
            <w:r>
              <w:t>talent development to</w:t>
            </w:r>
          </w:p>
          <w:p w:rsidR="00F134C0" w:rsidRPr="00F134C0" w:rsidRDefault="00514A97" w:rsidP="00514A97">
            <w:proofErr w:type="gramStart"/>
            <w:r>
              <w:t>committees</w:t>
            </w:r>
            <w:proofErr w:type="gramEnd"/>
            <w:r>
              <w:t xml:space="preserve"> and panels. Broaden your searches </w:t>
            </w:r>
            <w:r>
              <w:t>and challenge results.</w:t>
            </w:r>
          </w:p>
        </w:tc>
        <w:tc>
          <w:tcPr>
            <w:tcW w:w="13041" w:type="dxa"/>
          </w:tcPr>
          <w:p w:rsidR="00514A97" w:rsidRDefault="00514A97" w:rsidP="00514A97">
            <w:pPr>
              <w:pStyle w:val="ListParagraph"/>
              <w:numPr>
                <w:ilvl w:val="0"/>
                <w:numId w:val="8"/>
              </w:numPr>
              <w:autoSpaceDE w:val="0"/>
              <w:autoSpaceDN w:val="0"/>
              <w:adjustRightInd w:val="0"/>
              <w:spacing w:after="0" w:line="240" w:lineRule="auto"/>
              <w:rPr>
                <w:rFonts w:cs="Swiss721BT-Light"/>
              </w:rPr>
            </w:pPr>
            <w:r w:rsidRPr="00514A97">
              <w:rPr>
                <w:rFonts w:cs="Swiss721BT-Bold"/>
                <w:b/>
                <w:bCs/>
              </w:rPr>
              <w:t xml:space="preserve">Gender balance in recruitment. </w:t>
            </w:r>
            <w:r w:rsidRPr="00514A97">
              <w:rPr>
                <w:rFonts w:cs="Swiss721BT-Light"/>
              </w:rPr>
              <w:t>69% of MCC organisations with graduate</w:t>
            </w:r>
            <w:r w:rsidRPr="00514A97">
              <w:rPr>
                <w:rFonts w:cs="Swiss721BT-Light"/>
              </w:rPr>
              <w:t xml:space="preserve"> </w:t>
            </w:r>
            <w:r w:rsidRPr="00514A97">
              <w:rPr>
                <w:rFonts w:cs="Swiss721BT-Light"/>
              </w:rPr>
              <w:t xml:space="preserve">recruitment programs achieved gender </w:t>
            </w:r>
            <w:r w:rsidRPr="00514A97">
              <w:rPr>
                <w:rFonts w:cs="Swiss721BT-Light"/>
              </w:rPr>
              <w:t xml:space="preserve">balance, 31% achieved more than </w:t>
            </w:r>
            <w:r w:rsidRPr="00514A97">
              <w:rPr>
                <w:rFonts w:cs="Swiss721BT-Light"/>
              </w:rPr>
              <w:t xml:space="preserve">50%. Army almost doubled the number of </w:t>
            </w:r>
            <w:r w:rsidRPr="00514A97">
              <w:rPr>
                <w:rFonts w:cs="Swiss721BT-Light"/>
              </w:rPr>
              <w:t xml:space="preserve">women recruited, reflecting new </w:t>
            </w:r>
            <w:r w:rsidRPr="00514A97">
              <w:rPr>
                <w:rFonts w:cs="Swiss721BT-Light"/>
              </w:rPr>
              <w:t>approaches. This will continue to b</w:t>
            </w:r>
            <w:r w:rsidRPr="00514A97">
              <w:rPr>
                <w:rFonts w:cs="Swiss721BT-Light"/>
              </w:rPr>
              <w:t>e an area of attention in 2015.</w:t>
            </w:r>
          </w:p>
          <w:p w:rsidR="00514A97" w:rsidRPr="00514A97" w:rsidRDefault="00514A97" w:rsidP="00514A97">
            <w:pPr>
              <w:pStyle w:val="ListParagraph"/>
              <w:numPr>
                <w:ilvl w:val="0"/>
                <w:numId w:val="8"/>
              </w:numPr>
              <w:autoSpaceDE w:val="0"/>
              <w:autoSpaceDN w:val="0"/>
              <w:adjustRightInd w:val="0"/>
              <w:spacing w:after="0" w:line="240" w:lineRule="auto"/>
              <w:rPr>
                <w:rFonts w:cs="Swiss721BT-Light"/>
              </w:rPr>
            </w:pPr>
            <w:r w:rsidRPr="00514A97">
              <w:rPr>
                <w:rFonts w:asciiTheme="minorHAnsi" w:hAnsiTheme="minorHAnsi" w:cs="Swiss721BT-Bold"/>
                <w:b/>
                <w:bCs/>
                <w:sz w:val="22"/>
              </w:rPr>
              <w:t xml:space="preserve">Talent: </w:t>
            </w:r>
            <w:r w:rsidRPr="00514A97">
              <w:rPr>
                <w:rFonts w:asciiTheme="minorHAnsi" w:hAnsiTheme="minorHAnsi" w:cs="Swiss721BT-Light"/>
                <w:sz w:val="22"/>
              </w:rPr>
              <w:t xml:space="preserve">58% of MCC corporations with </w:t>
            </w:r>
            <w:proofErr w:type="spellStart"/>
            <w:r w:rsidRPr="00514A97">
              <w:rPr>
                <w:rFonts w:asciiTheme="minorHAnsi" w:hAnsiTheme="minorHAnsi" w:cs="Swiss721BT-Light"/>
                <w:sz w:val="22"/>
              </w:rPr>
              <w:t>mid level</w:t>
            </w:r>
            <w:proofErr w:type="spellEnd"/>
            <w:r w:rsidRPr="00514A97">
              <w:rPr>
                <w:rFonts w:asciiTheme="minorHAnsi" w:hAnsiTheme="minorHAnsi" w:cs="Swiss721BT-Light"/>
                <w:sz w:val="22"/>
              </w:rPr>
              <w:t xml:space="preserve"> talent development programs</w:t>
            </w:r>
            <w:r>
              <w:rPr>
                <w:rFonts w:asciiTheme="minorHAnsi" w:hAnsiTheme="minorHAnsi" w:cs="Swiss721BT-Light"/>
                <w:sz w:val="22"/>
              </w:rPr>
              <w:t xml:space="preserve"> </w:t>
            </w:r>
            <w:r w:rsidRPr="00514A97">
              <w:rPr>
                <w:rFonts w:asciiTheme="minorHAnsi" w:hAnsiTheme="minorHAnsi" w:cs="Swiss721BT-Light"/>
                <w:sz w:val="22"/>
              </w:rPr>
              <w:t>achieved at least 40% female representation; 25% achieved balance in senior</w:t>
            </w:r>
            <w:r>
              <w:rPr>
                <w:rFonts w:asciiTheme="minorHAnsi" w:hAnsiTheme="minorHAnsi" w:cs="Swiss721BT-Light"/>
                <w:sz w:val="22"/>
              </w:rPr>
              <w:t xml:space="preserve"> </w:t>
            </w:r>
            <w:r w:rsidRPr="00514A97">
              <w:rPr>
                <w:rFonts w:asciiTheme="minorHAnsi" w:hAnsiTheme="minorHAnsi" w:cs="Swiss721BT-Light"/>
                <w:sz w:val="22"/>
              </w:rPr>
              <w:t>level talent programs. We are conscious that more progress must be made here.</w:t>
            </w:r>
          </w:p>
          <w:p w:rsidR="00514A97" w:rsidRPr="00514A97" w:rsidRDefault="00514A97" w:rsidP="00514A97">
            <w:pPr>
              <w:pStyle w:val="ListParagraph"/>
              <w:numPr>
                <w:ilvl w:val="0"/>
                <w:numId w:val="8"/>
              </w:numPr>
              <w:autoSpaceDE w:val="0"/>
              <w:autoSpaceDN w:val="0"/>
              <w:adjustRightInd w:val="0"/>
              <w:spacing w:after="0" w:line="240" w:lineRule="auto"/>
              <w:rPr>
                <w:rFonts w:cs="Swiss721BT-Light"/>
              </w:rPr>
            </w:pPr>
            <w:r w:rsidRPr="00514A97">
              <w:rPr>
                <w:rFonts w:asciiTheme="minorHAnsi" w:hAnsiTheme="minorHAnsi" w:cs="Swiss721BT-Bold"/>
                <w:b/>
                <w:bCs/>
                <w:sz w:val="22"/>
              </w:rPr>
              <w:t xml:space="preserve">Lifting external hiring. </w:t>
            </w:r>
            <w:r w:rsidRPr="00514A97">
              <w:rPr>
                <w:rFonts w:asciiTheme="minorHAnsi" w:hAnsiTheme="minorHAnsi" w:cs="Swiss721BT-Light"/>
                <w:sz w:val="22"/>
              </w:rPr>
              <w:t>71% of MCC corporations improved the gender</w:t>
            </w:r>
            <w:r>
              <w:rPr>
                <w:rFonts w:asciiTheme="minorHAnsi" w:hAnsiTheme="minorHAnsi" w:cs="Swiss721BT-Light"/>
                <w:sz w:val="22"/>
              </w:rPr>
              <w:t xml:space="preserve"> </w:t>
            </w:r>
            <w:r w:rsidRPr="00514A97">
              <w:rPr>
                <w:rFonts w:asciiTheme="minorHAnsi" w:hAnsiTheme="minorHAnsi" w:cs="Swiss721BT-Light"/>
                <w:sz w:val="22"/>
              </w:rPr>
              <w:t>balance of their external hiring.</w:t>
            </w:r>
          </w:p>
          <w:p w:rsidR="00B5234A" w:rsidRPr="00514A97" w:rsidRDefault="00514A97" w:rsidP="00514A97">
            <w:pPr>
              <w:pStyle w:val="ListParagraph"/>
              <w:numPr>
                <w:ilvl w:val="0"/>
                <w:numId w:val="8"/>
              </w:numPr>
              <w:autoSpaceDE w:val="0"/>
              <w:autoSpaceDN w:val="0"/>
              <w:adjustRightInd w:val="0"/>
              <w:spacing w:after="0" w:line="240" w:lineRule="auto"/>
              <w:rPr>
                <w:rFonts w:cs="Swiss721BT-Light"/>
              </w:rPr>
            </w:pPr>
            <w:r w:rsidRPr="00514A97">
              <w:rPr>
                <w:rFonts w:asciiTheme="minorHAnsi" w:hAnsiTheme="minorHAnsi" w:cs="Swiss721BT-Bold"/>
                <w:b/>
                <w:bCs/>
                <w:sz w:val="22"/>
              </w:rPr>
              <w:t xml:space="preserve">Attending to process details. </w:t>
            </w:r>
            <w:r w:rsidRPr="00514A97">
              <w:rPr>
                <w:rFonts w:asciiTheme="minorHAnsi" w:hAnsiTheme="minorHAnsi" w:cs="Swiss721BT-Light"/>
                <w:sz w:val="22"/>
              </w:rPr>
              <w:t>ANZ, CBA, McKinsey and Telstra have put</w:t>
            </w:r>
            <w:r>
              <w:rPr>
                <w:rFonts w:asciiTheme="minorHAnsi" w:hAnsiTheme="minorHAnsi" w:cs="Swiss721BT-Light"/>
                <w:sz w:val="22"/>
              </w:rPr>
              <w:t xml:space="preserve"> </w:t>
            </w:r>
            <w:r w:rsidRPr="00514A97">
              <w:rPr>
                <w:rFonts w:asciiTheme="minorHAnsi" w:hAnsiTheme="minorHAnsi" w:cs="Swiss721BT-Light"/>
                <w:sz w:val="22"/>
              </w:rPr>
              <w:t>in place detailed requirements around women’s representation on interview</w:t>
            </w:r>
            <w:r>
              <w:rPr>
                <w:rFonts w:asciiTheme="minorHAnsi" w:hAnsiTheme="minorHAnsi" w:cs="Swiss721BT-Light"/>
                <w:sz w:val="22"/>
              </w:rPr>
              <w:t xml:space="preserve"> </w:t>
            </w:r>
            <w:r w:rsidRPr="00514A97">
              <w:rPr>
                <w:rFonts w:asciiTheme="minorHAnsi" w:hAnsiTheme="minorHAnsi" w:cs="Swiss721BT-Light"/>
                <w:sz w:val="22"/>
              </w:rPr>
              <w:t>panels, as well as reporting requirements for each stage of the recruitment</w:t>
            </w:r>
            <w:r>
              <w:rPr>
                <w:rFonts w:asciiTheme="minorHAnsi" w:hAnsiTheme="minorHAnsi" w:cs="Swiss721BT-Light"/>
                <w:sz w:val="22"/>
              </w:rPr>
              <w:t xml:space="preserve"> </w:t>
            </w:r>
            <w:r w:rsidRPr="00514A97">
              <w:rPr>
                <w:rFonts w:asciiTheme="minorHAnsi" w:hAnsiTheme="minorHAnsi" w:cs="Swiss721BT-Light"/>
                <w:sz w:val="22"/>
              </w:rPr>
              <w:t>process. At ANZ, this means at least one woman on all internal and external</w:t>
            </w:r>
            <w:r>
              <w:rPr>
                <w:rFonts w:asciiTheme="minorHAnsi" w:hAnsiTheme="minorHAnsi" w:cs="Swiss721BT-Light"/>
                <w:sz w:val="22"/>
              </w:rPr>
              <w:t xml:space="preserve"> </w:t>
            </w:r>
            <w:r w:rsidRPr="00514A97">
              <w:rPr>
                <w:rFonts w:asciiTheme="minorHAnsi" w:hAnsiTheme="minorHAnsi" w:cs="Swiss721BT-Light"/>
                <w:sz w:val="22"/>
              </w:rPr>
              <w:t>recruitment shortlists and succession plans, and a specific focus on balance</w:t>
            </w:r>
            <w:r>
              <w:rPr>
                <w:rFonts w:asciiTheme="minorHAnsi" w:hAnsiTheme="minorHAnsi" w:cs="Swiss721BT-Light"/>
                <w:sz w:val="22"/>
              </w:rPr>
              <w:t xml:space="preserve"> </w:t>
            </w:r>
            <w:r w:rsidRPr="00514A97">
              <w:rPr>
                <w:rFonts w:asciiTheme="minorHAnsi" w:hAnsiTheme="minorHAnsi" w:cs="Swiss721BT-Light"/>
                <w:sz w:val="22"/>
              </w:rPr>
              <w:t>for recruitment, promotions, talent participants and winners of CEO recognition</w:t>
            </w:r>
            <w:r>
              <w:rPr>
                <w:rFonts w:asciiTheme="minorHAnsi" w:hAnsiTheme="minorHAnsi" w:cs="Swiss721BT-Light"/>
                <w:sz w:val="22"/>
              </w:rPr>
              <w:t xml:space="preserve"> </w:t>
            </w:r>
            <w:r w:rsidRPr="00514A97">
              <w:rPr>
                <w:rFonts w:asciiTheme="minorHAnsi" w:hAnsiTheme="minorHAnsi" w:cs="Swiss721BT-Light"/>
                <w:sz w:val="22"/>
              </w:rPr>
              <w:t>programs. Rio Tinto has put in place shortlisting targets for women.</w:t>
            </w:r>
          </w:p>
        </w:tc>
      </w:tr>
      <w:tr w:rsidR="00F134C0" w:rsidRPr="00F134C0" w:rsidTr="007729F5">
        <w:tc>
          <w:tcPr>
            <w:tcW w:w="2689" w:type="dxa"/>
          </w:tcPr>
          <w:p w:rsidR="00514A97" w:rsidRPr="00514A97" w:rsidRDefault="00514A97" w:rsidP="00514A97">
            <w:pPr>
              <w:rPr>
                <w:b/>
              </w:rPr>
            </w:pPr>
            <w:r w:rsidRPr="00514A97">
              <w:rPr>
                <w:b/>
              </w:rPr>
              <w:t>Raise the bar on</w:t>
            </w:r>
          </w:p>
          <w:p w:rsidR="00514A97" w:rsidRPr="00514A97" w:rsidRDefault="00514A97" w:rsidP="00514A97">
            <w:pPr>
              <w:rPr>
                <w:b/>
              </w:rPr>
            </w:pPr>
            <w:proofErr w:type="gramStart"/>
            <w:r w:rsidRPr="00514A97">
              <w:rPr>
                <w:b/>
              </w:rPr>
              <w:t>women’s</w:t>
            </w:r>
            <w:proofErr w:type="gramEnd"/>
            <w:r w:rsidRPr="00514A97">
              <w:rPr>
                <w:b/>
              </w:rPr>
              <w:t xml:space="preserve"> careers.</w:t>
            </w:r>
          </w:p>
          <w:p w:rsidR="00F134C0" w:rsidRPr="00F134C0" w:rsidRDefault="00514A97" w:rsidP="00514A97">
            <w:r>
              <w:t xml:space="preserve">Understand the types of experiences your organisation requires and broaden the success profiles you consider for senior roles. Ensure women get critical experiences in ‘hot jobs.’ Personally sponsor talented women and expect your senior executives to do </w:t>
            </w:r>
            <w:r w:rsidRPr="00514A97">
              <w:t>the same.</w:t>
            </w:r>
          </w:p>
        </w:tc>
        <w:tc>
          <w:tcPr>
            <w:tcW w:w="13041" w:type="dxa"/>
          </w:tcPr>
          <w:p w:rsidR="00514A97" w:rsidRDefault="00514A97" w:rsidP="00514A97">
            <w:pPr>
              <w:pStyle w:val="ListParagraph"/>
              <w:numPr>
                <w:ilvl w:val="0"/>
                <w:numId w:val="9"/>
              </w:numPr>
              <w:spacing w:after="0" w:line="240" w:lineRule="auto"/>
            </w:pPr>
            <w:r w:rsidRPr="00514A97">
              <w:rPr>
                <w:b/>
              </w:rPr>
              <w:t>Formal sponsorship programs.</w:t>
            </w:r>
            <w:r>
              <w:t xml:space="preserve"> 76% of MCC organisations have put in place</w:t>
            </w:r>
            <w:r>
              <w:t xml:space="preserve"> </w:t>
            </w:r>
            <w:r>
              <w:t>formal sponsorship programs to ensure women have the same access to</w:t>
            </w:r>
            <w:r>
              <w:t xml:space="preserve"> </w:t>
            </w:r>
            <w:r>
              <w:t>opportunities and advocacy as men.</w:t>
            </w:r>
          </w:p>
          <w:p w:rsidR="00514A97" w:rsidRDefault="00514A97" w:rsidP="00514A97">
            <w:pPr>
              <w:pStyle w:val="ListParagraph"/>
              <w:numPr>
                <w:ilvl w:val="0"/>
                <w:numId w:val="9"/>
              </w:numPr>
              <w:spacing w:after="0" w:line="240" w:lineRule="auto"/>
            </w:pPr>
            <w:r w:rsidRPr="00514A97">
              <w:rPr>
                <w:b/>
              </w:rPr>
              <w:t>CBA</w:t>
            </w:r>
            <w:r>
              <w:t>. Focus on internal advancement delivered. Women made up more than</w:t>
            </w:r>
            <w:r>
              <w:t xml:space="preserve"> </w:t>
            </w:r>
            <w:r>
              <w:t>44% of Executive Manager and above promotions. CBA’s Springboard program</w:t>
            </w:r>
            <w:r>
              <w:t xml:space="preserve"> </w:t>
            </w:r>
            <w:r>
              <w:t>provides development for 700 women with a focus on Executive Manager</w:t>
            </w:r>
            <w:r>
              <w:t xml:space="preserve"> </w:t>
            </w:r>
            <w:proofErr w:type="gramStart"/>
            <w:r>
              <w:t>readiness</w:t>
            </w:r>
            <w:proofErr w:type="gramEnd"/>
            <w:r>
              <w:t>.</w:t>
            </w:r>
          </w:p>
          <w:p w:rsidR="00514A97" w:rsidRDefault="00514A97" w:rsidP="00514A97">
            <w:pPr>
              <w:pStyle w:val="ListParagraph"/>
              <w:numPr>
                <w:ilvl w:val="0"/>
                <w:numId w:val="9"/>
              </w:numPr>
              <w:spacing w:after="0" w:line="240" w:lineRule="auto"/>
            </w:pPr>
            <w:r w:rsidRPr="00514A97">
              <w:rPr>
                <w:b/>
              </w:rPr>
              <w:t>Army.</w:t>
            </w:r>
            <w:r>
              <w:t xml:space="preserve"> Women’s representation in officer training, the entry point into military</w:t>
            </w:r>
            <w:r>
              <w:t xml:space="preserve"> </w:t>
            </w:r>
            <w:r>
              <w:t>executive levels, increased to 20%.</w:t>
            </w:r>
          </w:p>
          <w:p w:rsidR="00514A97" w:rsidRDefault="00514A97" w:rsidP="00514A97">
            <w:pPr>
              <w:pStyle w:val="ListParagraph"/>
              <w:numPr>
                <w:ilvl w:val="0"/>
                <w:numId w:val="9"/>
              </w:numPr>
              <w:spacing w:after="0" w:line="240" w:lineRule="auto"/>
            </w:pPr>
            <w:r w:rsidRPr="00514A97">
              <w:rPr>
                <w:b/>
              </w:rPr>
              <w:t>Citi.</w:t>
            </w:r>
            <w:r>
              <w:t xml:space="preserve"> Citi’s ‘Reverse Mentoring’ Program, profiled as a WGEA’s Employer of</w:t>
            </w:r>
            <w:r>
              <w:t xml:space="preserve"> </w:t>
            </w:r>
            <w:r>
              <w:t>Choice practice, provided mentorship for senior men by mid-level women, and</w:t>
            </w:r>
            <w:r>
              <w:t xml:space="preserve"> </w:t>
            </w:r>
            <w:r>
              <w:t>also created sponsorship.</w:t>
            </w:r>
          </w:p>
          <w:p w:rsidR="00514A97" w:rsidRDefault="00514A97" w:rsidP="00514A97">
            <w:pPr>
              <w:pStyle w:val="ListParagraph"/>
              <w:numPr>
                <w:ilvl w:val="0"/>
                <w:numId w:val="9"/>
              </w:numPr>
              <w:spacing w:after="0" w:line="240" w:lineRule="auto"/>
            </w:pPr>
            <w:r w:rsidRPr="00514A97">
              <w:rPr>
                <w:b/>
              </w:rPr>
              <w:t>KPMG.</w:t>
            </w:r>
            <w:r>
              <w:t xml:space="preserve"> KPMG’s redesign of its partner admission process, profiled as a WGEA</w:t>
            </w:r>
            <w:r>
              <w:t xml:space="preserve"> </w:t>
            </w:r>
            <w:r>
              <w:t>Employer of Choice practice, planned for critical experiences and delivered</w:t>
            </w:r>
            <w:r>
              <w:t xml:space="preserve"> </w:t>
            </w:r>
            <w:r>
              <w:t>improved representation.</w:t>
            </w:r>
          </w:p>
          <w:p w:rsidR="00514A97" w:rsidRDefault="00514A97" w:rsidP="00514A97">
            <w:pPr>
              <w:pStyle w:val="ListParagraph"/>
              <w:numPr>
                <w:ilvl w:val="0"/>
                <w:numId w:val="9"/>
              </w:numPr>
              <w:spacing w:after="0" w:line="240" w:lineRule="auto"/>
            </w:pPr>
            <w:r w:rsidRPr="00514A97">
              <w:rPr>
                <w:b/>
              </w:rPr>
              <w:t>ANZ.</w:t>
            </w:r>
            <w:r>
              <w:t xml:space="preserve"> ANZ’s ‘Notable Women’ program supported mid-to senior level women</w:t>
            </w:r>
            <w:r>
              <w:t xml:space="preserve"> </w:t>
            </w:r>
            <w:r>
              <w:t>to increase their public profile through speaking engagements and media</w:t>
            </w:r>
            <w:r>
              <w:t xml:space="preserve"> </w:t>
            </w:r>
            <w:r>
              <w:t>appearances.</w:t>
            </w:r>
            <w:r>
              <w:t xml:space="preserve"> </w:t>
            </w:r>
          </w:p>
          <w:p w:rsidR="00514A97" w:rsidRDefault="00514A97" w:rsidP="00514A97">
            <w:pPr>
              <w:pStyle w:val="ListParagraph"/>
              <w:numPr>
                <w:ilvl w:val="0"/>
                <w:numId w:val="9"/>
              </w:numPr>
              <w:spacing w:after="0" w:line="240" w:lineRule="auto"/>
            </w:pPr>
            <w:r w:rsidRPr="00514A97">
              <w:rPr>
                <w:b/>
              </w:rPr>
              <w:t>Qantas</w:t>
            </w:r>
            <w:r>
              <w:t>. Qantas appointed a woman as Chief Pilot for Jetstar - an Australian first.</w:t>
            </w:r>
          </w:p>
          <w:p w:rsidR="00514A97" w:rsidRDefault="00514A97" w:rsidP="00514A97">
            <w:pPr>
              <w:pStyle w:val="ListParagraph"/>
              <w:numPr>
                <w:ilvl w:val="0"/>
                <w:numId w:val="9"/>
              </w:numPr>
              <w:spacing w:after="0" w:line="240" w:lineRule="auto"/>
            </w:pPr>
            <w:r w:rsidRPr="00514A97">
              <w:rPr>
                <w:b/>
              </w:rPr>
              <w:t>Pay equity.</w:t>
            </w:r>
            <w:r>
              <w:t xml:space="preserve"> 93% of MCC corporations completed a gender pay gap analysis,</w:t>
            </w:r>
            <w:r>
              <w:t xml:space="preserve"> </w:t>
            </w:r>
            <w:r>
              <w:t xml:space="preserve">with 85% of these taking action as a result. Hamish McLennan, Ian </w:t>
            </w:r>
            <w:proofErr w:type="spellStart"/>
            <w:r>
              <w:t>Narev</w:t>
            </w:r>
            <w:proofErr w:type="spellEnd"/>
            <w:r>
              <w:t>, Mike</w:t>
            </w:r>
            <w:r>
              <w:t xml:space="preserve"> </w:t>
            </w:r>
            <w:r>
              <w:t xml:space="preserve">Smith, David </w:t>
            </w:r>
            <w:proofErr w:type="spellStart"/>
            <w:r>
              <w:t>Thodey</w:t>
            </w:r>
            <w:proofErr w:type="spellEnd"/>
            <w:r>
              <w:t xml:space="preserve">, and Gary </w:t>
            </w:r>
            <w:proofErr w:type="spellStart"/>
            <w:r>
              <w:t>Wingrove</w:t>
            </w:r>
            <w:proofErr w:type="spellEnd"/>
            <w:r>
              <w:t xml:space="preserve"> joined the WGEA campaign as Pay</w:t>
            </w:r>
            <w:r>
              <w:t xml:space="preserve"> </w:t>
            </w:r>
            <w:r>
              <w:t>Equity Ambassadors. CBA, KPMG and Ten provided support as members</w:t>
            </w:r>
            <w:r>
              <w:t xml:space="preserve"> </w:t>
            </w:r>
            <w:r>
              <w:t>of the WGEA Pay Equity Advisory Group. An in-depth case study on Telstra’s</w:t>
            </w:r>
            <w:r>
              <w:t xml:space="preserve"> </w:t>
            </w:r>
            <w:r>
              <w:t>approach to pay equity was published.</w:t>
            </w:r>
          </w:p>
          <w:p w:rsidR="00B5234A" w:rsidRPr="00F134C0" w:rsidRDefault="00B5234A" w:rsidP="00514A97"/>
        </w:tc>
      </w:tr>
      <w:tr w:rsidR="00F134C0" w:rsidRPr="00F134C0" w:rsidTr="007729F5">
        <w:tc>
          <w:tcPr>
            <w:tcW w:w="2689" w:type="dxa"/>
          </w:tcPr>
          <w:p w:rsidR="00514A97" w:rsidRPr="00514A97" w:rsidRDefault="00514A97" w:rsidP="00514A97">
            <w:pPr>
              <w:rPr>
                <w:b/>
              </w:rPr>
            </w:pPr>
            <w:r w:rsidRPr="00514A97">
              <w:rPr>
                <w:b/>
              </w:rPr>
              <w:t>Mainstream flexibility.</w:t>
            </w:r>
          </w:p>
          <w:p w:rsidR="00514A97" w:rsidRDefault="00514A97" w:rsidP="00514A97">
            <w:r>
              <w:t>Reflect on work patterns</w:t>
            </w:r>
          </w:p>
          <w:p w:rsidR="00514A97" w:rsidRDefault="00514A97" w:rsidP="00514A97">
            <w:r>
              <w:t>and ‘what it takes</w:t>
            </w:r>
          </w:p>
          <w:p w:rsidR="00514A97" w:rsidRDefault="00514A97" w:rsidP="00514A97">
            <w:r>
              <w:t>to succeed’ in your</w:t>
            </w:r>
          </w:p>
          <w:p w:rsidR="00514A97" w:rsidRDefault="00514A97" w:rsidP="00514A97">
            <w:proofErr w:type="gramStart"/>
            <w:r>
              <w:t>organisation</w:t>
            </w:r>
            <w:proofErr w:type="gramEnd"/>
            <w:r>
              <w:t>. Change the</w:t>
            </w:r>
          </w:p>
          <w:p w:rsidR="00514A97" w:rsidRDefault="00514A97" w:rsidP="00514A97">
            <w:r>
              <w:t>presumption – ask what</w:t>
            </w:r>
          </w:p>
          <w:p w:rsidR="00514A97" w:rsidRDefault="00514A97" w:rsidP="00514A97">
            <w:r>
              <w:t>can’t be done flexibly,</w:t>
            </w:r>
          </w:p>
          <w:p w:rsidR="00514A97" w:rsidRDefault="00514A97" w:rsidP="00514A97">
            <w:r>
              <w:t>rather than what can be</w:t>
            </w:r>
          </w:p>
          <w:p w:rsidR="00F134C0" w:rsidRPr="00F134C0" w:rsidRDefault="00514A97" w:rsidP="00514A97">
            <w:proofErr w:type="gramStart"/>
            <w:r>
              <w:t>done</w:t>
            </w:r>
            <w:proofErr w:type="gramEnd"/>
            <w:r>
              <w:t xml:space="preserve"> flexibly.</w:t>
            </w:r>
          </w:p>
        </w:tc>
        <w:tc>
          <w:tcPr>
            <w:tcW w:w="13041" w:type="dxa"/>
          </w:tcPr>
          <w:p w:rsidR="00514A97" w:rsidRDefault="00514A97" w:rsidP="00514A97">
            <w:pPr>
              <w:numPr>
                <w:ilvl w:val="0"/>
                <w:numId w:val="7"/>
              </w:numPr>
            </w:pPr>
            <w:r w:rsidRPr="00514A97">
              <w:rPr>
                <w:b/>
              </w:rPr>
              <w:t>Flexibility not optional.</w:t>
            </w:r>
            <w:r>
              <w:t xml:space="preserve"> 100% of MCC corporations have a formal policy or</w:t>
            </w:r>
            <w:r>
              <w:t xml:space="preserve"> </w:t>
            </w:r>
            <w:r>
              <w:t>strategy on Flexible Work.</w:t>
            </w:r>
          </w:p>
          <w:p w:rsidR="00514A97" w:rsidRDefault="00514A97" w:rsidP="00514A97">
            <w:pPr>
              <w:numPr>
                <w:ilvl w:val="0"/>
                <w:numId w:val="7"/>
              </w:numPr>
            </w:pPr>
            <w:r w:rsidRPr="00514A97">
              <w:rPr>
                <w:b/>
              </w:rPr>
              <w:t>All roles flex.</w:t>
            </w:r>
            <w:r>
              <w:t xml:space="preserve"> Telstra introduced ‘All Roles Flex’, a company-wide approach</w:t>
            </w:r>
            <w:r>
              <w:t xml:space="preserve"> </w:t>
            </w:r>
            <w:r>
              <w:t>whereby flexibility is now considered the starting point for work. ASX and the</w:t>
            </w:r>
            <w:r>
              <w:t xml:space="preserve"> </w:t>
            </w:r>
            <w:r>
              <w:t>Treasury have also adopted the approach.</w:t>
            </w:r>
          </w:p>
          <w:p w:rsidR="00B5234A" w:rsidRPr="00F134C0" w:rsidRDefault="00514A97" w:rsidP="00514A97">
            <w:pPr>
              <w:numPr>
                <w:ilvl w:val="0"/>
                <w:numId w:val="7"/>
              </w:numPr>
            </w:pPr>
            <w:r w:rsidRPr="00514A97">
              <w:rPr>
                <w:b/>
              </w:rPr>
              <w:t>Innovative piloting example.</w:t>
            </w:r>
            <w:r>
              <w:t xml:space="preserve"> </w:t>
            </w:r>
            <w:proofErr w:type="gramStart"/>
            <w:r>
              <w:t>Woolworths</w:t>
            </w:r>
            <w:proofErr w:type="gramEnd"/>
            <w:r>
              <w:t xml:space="preserve"> new workplace flexibility program,</w:t>
            </w:r>
            <w:r>
              <w:t xml:space="preserve"> </w:t>
            </w:r>
            <w:proofErr w:type="spellStart"/>
            <w:r>
              <w:t>WoWFlex</w:t>
            </w:r>
            <w:proofErr w:type="spellEnd"/>
            <w:r>
              <w:t>, was launched covering more than 550 employees from 7 teams. The</w:t>
            </w:r>
            <w:r>
              <w:t xml:space="preserve"> </w:t>
            </w:r>
            <w:r>
              <w:t>pilot is focused on encouraging flexible work and supported by a new flexibility</w:t>
            </w:r>
            <w:r>
              <w:t xml:space="preserve"> </w:t>
            </w:r>
            <w:r>
              <w:t>policy, activity-based working model and physical office redesign.</w:t>
            </w:r>
          </w:p>
        </w:tc>
      </w:tr>
    </w:tbl>
    <w:p w:rsidR="009858EA" w:rsidRDefault="009858EA" w:rsidP="00B5234A">
      <w:pPr>
        <w:spacing w:after="0" w:line="240" w:lineRule="auto"/>
      </w:pPr>
    </w:p>
    <w:p w:rsidR="009858EA" w:rsidRPr="00F134C0" w:rsidRDefault="009858EA" w:rsidP="009858EA">
      <w:pPr>
        <w:rPr>
          <w:rFonts w:cs="TiemposText-Regular"/>
          <w:color w:val="FF3B12"/>
          <w:sz w:val="64"/>
          <w:szCs w:val="64"/>
        </w:rPr>
      </w:pPr>
      <w:r>
        <w:br w:type="page"/>
      </w:r>
      <w:r w:rsidRPr="00F134C0">
        <w:rPr>
          <w:rFonts w:cs="TiemposText-Regular"/>
          <w:color w:val="FF3B12"/>
          <w:sz w:val="64"/>
          <w:szCs w:val="64"/>
        </w:rPr>
        <w:lastRenderedPageBreak/>
        <w:t>3.  Disrupting the status quo</w:t>
      </w:r>
    </w:p>
    <w:tbl>
      <w:tblPr>
        <w:tblStyle w:val="TableGrid"/>
        <w:tblW w:w="15730" w:type="dxa"/>
        <w:tblLook w:val="04A0" w:firstRow="1" w:lastRow="0" w:firstColumn="1" w:lastColumn="0" w:noHBand="0" w:noVBand="1"/>
      </w:tblPr>
      <w:tblGrid>
        <w:gridCol w:w="2689"/>
        <w:gridCol w:w="13041"/>
      </w:tblGrid>
      <w:tr w:rsidR="009858EA" w:rsidRPr="00F134C0" w:rsidTr="007729F5">
        <w:tc>
          <w:tcPr>
            <w:tcW w:w="2689" w:type="dxa"/>
          </w:tcPr>
          <w:p w:rsidR="009858EA" w:rsidRPr="00F134C0" w:rsidRDefault="009858EA" w:rsidP="007729F5">
            <w:pPr>
              <w:rPr>
                <w:b/>
              </w:rPr>
            </w:pPr>
            <w:r w:rsidRPr="00F134C0">
              <w:rPr>
                <w:b/>
              </w:rPr>
              <w:t>Action</w:t>
            </w:r>
          </w:p>
        </w:tc>
        <w:tc>
          <w:tcPr>
            <w:tcW w:w="13041" w:type="dxa"/>
          </w:tcPr>
          <w:p w:rsidR="009858EA" w:rsidRPr="00F134C0" w:rsidRDefault="009858EA" w:rsidP="007729F5">
            <w:pPr>
              <w:rPr>
                <w:b/>
              </w:rPr>
            </w:pPr>
            <w:r w:rsidRPr="00F134C0">
              <w:rPr>
                <w:b/>
              </w:rPr>
              <w:t>Progress</w:t>
            </w:r>
          </w:p>
        </w:tc>
      </w:tr>
      <w:tr w:rsidR="009858EA" w:rsidRPr="00F134C0" w:rsidTr="007729F5">
        <w:tc>
          <w:tcPr>
            <w:tcW w:w="2689" w:type="dxa"/>
          </w:tcPr>
          <w:p w:rsidR="003B7B4A" w:rsidRPr="003B7B4A" w:rsidRDefault="003B7B4A" w:rsidP="003B7B4A">
            <w:pPr>
              <w:rPr>
                <w:b/>
              </w:rPr>
            </w:pPr>
            <w:r w:rsidRPr="003B7B4A">
              <w:rPr>
                <w:b/>
              </w:rPr>
              <w:t>Get the basics right.</w:t>
            </w:r>
          </w:p>
          <w:p w:rsidR="009858EA" w:rsidRPr="00F134C0" w:rsidRDefault="003B7B4A" w:rsidP="003B7B4A">
            <w:r>
              <w:t xml:space="preserve">Celebrate parenthood and unambiguously encourage return. Stay in touch with parental leavers and make the </w:t>
            </w:r>
            <w:r w:rsidRPr="003B7B4A">
              <w:t>transitions easy.</w:t>
            </w:r>
          </w:p>
        </w:tc>
        <w:tc>
          <w:tcPr>
            <w:tcW w:w="13041" w:type="dxa"/>
          </w:tcPr>
          <w:p w:rsidR="009858EA" w:rsidRPr="003B7B4A" w:rsidRDefault="003B7B4A" w:rsidP="003B7B4A">
            <w:pPr>
              <w:pStyle w:val="ListParagraph"/>
              <w:numPr>
                <w:ilvl w:val="0"/>
                <w:numId w:val="10"/>
              </w:numPr>
              <w:autoSpaceDE w:val="0"/>
              <w:autoSpaceDN w:val="0"/>
              <w:adjustRightInd w:val="0"/>
              <w:spacing w:after="0" w:line="240" w:lineRule="auto"/>
              <w:rPr>
                <w:rFonts w:cs="Swiss721BT-Light"/>
                <w:sz w:val="22"/>
              </w:rPr>
            </w:pPr>
            <w:r w:rsidRPr="003B7B4A">
              <w:rPr>
                <w:rFonts w:cs="Swiss721BT-Light"/>
                <w:b/>
                <w:sz w:val="22"/>
              </w:rPr>
              <w:t>Implementing parent focused career outcomes.</w:t>
            </w:r>
            <w:r w:rsidRPr="003B7B4A">
              <w:rPr>
                <w:rFonts w:cs="Swiss721BT-Light"/>
                <w:sz w:val="22"/>
              </w:rPr>
              <w:t xml:space="preserve"> MCCs conducted reviews</w:t>
            </w:r>
            <w:r w:rsidRPr="003B7B4A">
              <w:rPr>
                <w:rFonts w:cs="Swiss721BT-Light"/>
                <w:sz w:val="22"/>
              </w:rPr>
              <w:t xml:space="preserve"> </w:t>
            </w:r>
            <w:r w:rsidRPr="003B7B4A">
              <w:rPr>
                <w:rFonts w:cs="Swiss721BT-Light"/>
                <w:sz w:val="22"/>
              </w:rPr>
              <w:t>of their parental leave process, implementing targeted changes. For example,</w:t>
            </w:r>
            <w:r w:rsidRPr="003B7B4A">
              <w:rPr>
                <w:rFonts w:cs="Swiss721BT-Light"/>
                <w:sz w:val="22"/>
              </w:rPr>
              <w:t xml:space="preserve"> </w:t>
            </w:r>
            <w:r w:rsidRPr="003B7B4A">
              <w:rPr>
                <w:rFonts w:cs="Swiss721BT-Light"/>
                <w:sz w:val="22"/>
              </w:rPr>
              <w:t>KPMG’s new Supporting Parents at Work program, which included a new</w:t>
            </w:r>
            <w:r w:rsidRPr="003B7B4A">
              <w:rPr>
                <w:rFonts w:cs="Swiss721BT-Light"/>
                <w:sz w:val="22"/>
              </w:rPr>
              <w:t xml:space="preserve"> </w:t>
            </w:r>
            <w:r w:rsidRPr="003B7B4A">
              <w:rPr>
                <w:rFonts w:cs="Swiss721BT-Light"/>
                <w:sz w:val="22"/>
              </w:rPr>
              <w:t>portal, and heightened expectations of managers, saw an increase in return to</w:t>
            </w:r>
            <w:r w:rsidRPr="003B7B4A">
              <w:rPr>
                <w:rFonts w:cs="Swiss721BT-Light"/>
                <w:sz w:val="22"/>
              </w:rPr>
              <w:t xml:space="preserve"> </w:t>
            </w:r>
            <w:r w:rsidRPr="003B7B4A">
              <w:rPr>
                <w:rFonts w:cs="Swiss721BT-Light"/>
                <w:sz w:val="22"/>
              </w:rPr>
              <w:t>work rates to 95%. Qantas also increased focus on working parents, piloting</w:t>
            </w:r>
            <w:r w:rsidRPr="003B7B4A">
              <w:rPr>
                <w:rFonts w:cs="Swiss721BT-Light"/>
                <w:sz w:val="22"/>
              </w:rPr>
              <w:t xml:space="preserve"> </w:t>
            </w:r>
            <w:r w:rsidRPr="003B7B4A">
              <w:rPr>
                <w:rFonts w:cs="Swiss721BT-Light"/>
                <w:sz w:val="22"/>
              </w:rPr>
              <w:t>an approach with transition coaching, and centralised resources with strong</w:t>
            </w:r>
            <w:r w:rsidRPr="003B7B4A">
              <w:rPr>
                <w:rFonts w:cs="Swiss721BT-Light"/>
                <w:sz w:val="22"/>
              </w:rPr>
              <w:t xml:space="preserve"> </w:t>
            </w:r>
            <w:r w:rsidRPr="003B7B4A">
              <w:rPr>
                <w:rFonts w:cs="Swiss721BT-Light"/>
                <w:sz w:val="22"/>
              </w:rPr>
              <w:t>results.</w:t>
            </w:r>
          </w:p>
        </w:tc>
      </w:tr>
      <w:tr w:rsidR="009858EA" w:rsidRPr="00F134C0" w:rsidTr="007729F5">
        <w:tc>
          <w:tcPr>
            <w:tcW w:w="2689" w:type="dxa"/>
          </w:tcPr>
          <w:p w:rsidR="003B7B4A" w:rsidRPr="003B7B4A" w:rsidRDefault="003B7B4A" w:rsidP="003B7B4A">
            <w:pPr>
              <w:rPr>
                <w:b/>
              </w:rPr>
            </w:pPr>
            <w:r w:rsidRPr="003B7B4A">
              <w:rPr>
                <w:b/>
              </w:rPr>
              <w:t>Build environments</w:t>
            </w:r>
          </w:p>
          <w:p w:rsidR="003B7B4A" w:rsidRPr="003B7B4A" w:rsidRDefault="003B7B4A" w:rsidP="003B7B4A">
            <w:pPr>
              <w:rPr>
                <w:b/>
              </w:rPr>
            </w:pPr>
            <w:r w:rsidRPr="003B7B4A">
              <w:rPr>
                <w:b/>
              </w:rPr>
              <w:t>where parents and</w:t>
            </w:r>
          </w:p>
          <w:p w:rsidR="003B7B4A" w:rsidRDefault="003B7B4A" w:rsidP="003B7B4A">
            <w:proofErr w:type="gramStart"/>
            <w:r w:rsidRPr="003B7B4A">
              <w:rPr>
                <w:b/>
              </w:rPr>
              <w:t>carers</w:t>
            </w:r>
            <w:proofErr w:type="gramEnd"/>
            <w:r w:rsidRPr="003B7B4A">
              <w:rPr>
                <w:b/>
              </w:rPr>
              <w:t xml:space="preserve"> thrive.</w:t>
            </w:r>
            <w:r>
              <w:t xml:space="preserve"> Get under the numbers to see whether parents returning from leave continue to develop </w:t>
            </w:r>
            <w:r>
              <w:t>their careers. Question</w:t>
            </w:r>
            <w:r>
              <w:t xml:space="preserve"> </w:t>
            </w:r>
            <w:r>
              <w:t>deceleration and</w:t>
            </w:r>
          </w:p>
          <w:p w:rsidR="009858EA" w:rsidRPr="00F134C0" w:rsidRDefault="003B7B4A" w:rsidP="003B7B4A">
            <w:proofErr w:type="gramStart"/>
            <w:r>
              <w:t>intervene</w:t>
            </w:r>
            <w:proofErr w:type="gramEnd"/>
            <w:r>
              <w:t xml:space="preserve"> when </w:t>
            </w:r>
            <w:r>
              <w:t>needed.</w:t>
            </w:r>
          </w:p>
        </w:tc>
        <w:tc>
          <w:tcPr>
            <w:tcW w:w="13041" w:type="dxa"/>
          </w:tcPr>
          <w:p w:rsidR="003B7B4A" w:rsidRPr="003B7B4A" w:rsidRDefault="003B7B4A" w:rsidP="003B7B4A">
            <w:pPr>
              <w:pStyle w:val="ListParagraph"/>
              <w:numPr>
                <w:ilvl w:val="0"/>
                <w:numId w:val="10"/>
              </w:numPr>
              <w:spacing w:after="0" w:line="240" w:lineRule="auto"/>
              <w:rPr>
                <w:sz w:val="22"/>
              </w:rPr>
            </w:pPr>
            <w:r w:rsidRPr="003B7B4A">
              <w:rPr>
                <w:b/>
                <w:sz w:val="22"/>
              </w:rPr>
              <w:t>Acknowledged gaps and performance shortfalls.</w:t>
            </w:r>
            <w:r w:rsidRPr="003B7B4A">
              <w:rPr>
                <w:sz w:val="22"/>
              </w:rPr>
              <w:t xml:space="preserve"> The MCCs are viewing</w:t>
            </w:r>
            <w:r w:rsidRPr="003B7B4A">
              <w:rPr>
                <w:sz w:val="22"/>
              </w:rPr>
              <w:t xml:space="preserve"> </w:t>
            </w:r>
            <w:r w:rsidRPr="003B7B4A">
              <w:rPr>
                <w:sz w:val="22"/>
              </w:rPr>
              <w:t>the results of the Australian Human Rights Commission’s National Review into</w:t>
            </w:r>
            <w:r w:rsidRPr="003B7B4A">
              <w:rPr>
                <w:sz w:val="22"/>
              </w:rPr>
              <w:t xml:space="preserve"> </w:t>
            </w:r>
            <w:r w:rsidRPr="003B7B4A">
              <w:rPr>
                <w:sz w:val="22"/>
              </w:rPr>
              <w:t>Pregnancy and Return to Work as motivation to formulate and take further action</w:t>
            </w:r>
            <w:r w:rsidRPr="003B7B4A">
              <w:rPr>
                <w:sz w:val="22"/>
              </w:rPr>
              <w:t xml:space="preserve"> </w:t>
            </w:r>
            <w:r w:rsidRPr="003B7B4A">
              <w:rPr>
                <w:sz w:val="22"/>
              </w:rPr>
              <w:t>in 2015. The review found that:</w:t>
            </w:r>
          </w:p>
          <w:p w:rsidR="003B7B4A" w:rsidRPr="003B7B4A" w:rsidRDefault="003B7B4A" w:rsidP="003B7B4A">
            <w:pPr>
              <w:pStyle w:val="ListParagraph"/>
              <w:numPr>
                <w:ilvl w:val="1"/>
                <w:numId w:val="10"/>
              </w:numPr>
              <w:spacing w:after="0" w:line="240" w:lineRule="auto"/>
              <w:rPr>
                <w:sz w:val="22"/>
              </w:rPr>
            </w:pPr>
            <w:r w:rsidRPr="003B7B4A">
              <w:rPr>
                <w:sz w:val="22"/>
              </w:rPr>
              <w:t>49% of mothers reported experiencing discrimination in the workplace at some</w:t>
            </w:r>
            <w:r w:rsidRPr="003B7B4A">
              <w:rPr>
                <w:sz w:val="22"/>
              </w:rPr>
              <w:t xml:space="preserve"> </w:t>
            </w:r>
            <w:r w:rsidRPr="003B7B4A">
              <w:rPr>
                <w:sz w:val="22"/>
              </w:rPr>
              <w:t>point during pregnancy, parental leave or return to work.</w:t>
            </w:r>
          </w:p>
          <w:p w:rsidR="003B7B4A" w:rsidRPr="003B7B4A" w:rsidRDefault="003B7B4A" w:rsidP="003B7B4A">
            <w:pPr>
              <w:pStyle w:val="ListParagraph"/>
              <w:numPr>
                <w:ilvl w:val="1"/>
                <w:numId w:val="10"/>
              </w:numPr>
              <w:spacing w:after="0" w:line="240" w:lineRule="auto"/>
              <w:rPr>
                <w:sz w:val="22"/>
              </w:rPr>
            </w:pPr>
            <w:r w:rsidRPr="003B7B4A">
              <w:rPr>
                <w:sz w:val="22"/>
              </w:rPr>
              <w:t>27% of the fathers and partner respondents also reported experiencing</w:t>
            </w:r>
            <w:r w:rsidRPr="003B7B4A">
              <w:rPr>
                <w:sz w:val="22"/>
              </w:rPr>
              <w:t xml:space="preserve"> </w:t>
            </w:r>
            <w:r w:rsidRPr="003B7B4A">
              <w:rPr>
                <w:sz w:val="22"/>
              </w:rPr>
              <w:t>discrimination when requesting or during parental leave or return to work.</w:t>
            </w:r>
          </w:p>
          <w:p w:rsidR="009858EA" w:rsidRPr="003B7B4A" w:rsidRDefault="003B7B4A" w:rsidP="003B7B4A">
            <w:pPr>
              <w:pStyle w:val="ListParagraph"/>
              <w:numPr>
                <w:ilvl w:val="1"/>
                <w:numId w:val="10"/>
              </w:numPr>
              <w:spacing w:after="0" w:line="240" w:lineRule="auto"/>
              <w:rPr>
                <w:sz w:val="22"/>
              </w:rPr>
            </w:pPr>
            <w:r w:rsidRPr="003B7B4A">
              <w:rPr>
                <w:sz w:val="22"/>
              </w:rPr>
              <w:t>The experience was perceived to be worse in larger organisations.</w:t>
            </w:r>
          </w:p>
        </w:tc>
      </w:tr>
      <w:tr w:rsidR="009858EA" w:rsidRPr="00F134C0" w:rsidTr="007729F5">
        <w:tc>
          <w:tcPr>
            <w:tcW w:w="2689" w:type="dxa"/>
          </w:tcPr>
          <w:p w:rsidR="003B7B4A" w:rsidRPr="003B7B4A" w:rsidRDefault="003B7B4A" w:rsidP="003B7B4A">
            <w:pPr>
              <w:rPr>
                <w:b/>
              </w:rPr>
            </w:pPr>
            <w:r w:rsidRPr="003B7B4A">
              <w:rPr>
                <w:b/>
              </w:rPr>
              <w:t>Support an expansive</w:t>
            </w:r>
          </w:p>
          <w:p w:rsidR="003B7B4A" w:rsidRPr="003B7B4A" w:rsidRDefault="003B7B4A" w:rsidP="003B7B4A">
            <w:pPr>
              <w:rPr>
                <w:b/>
              </w:rPr>
            </w:pPr>
            <w:r w:rsidRPr="003B7B4A">
              <w:rPr>
                <w:b/>
              </w:rPr>
              <w:t>review of caring,</w:t>
            </w:r>
          </w:p>
          <w:p w:rsidR="003B7B4A" w:rsidRPr="003B7B4A" w:rsidRDefault="003B7B4A" w:rsidP="003B7B4A">
            <w:pPr>
              <w:rPr>
                <w:b/>
              </w:rPr>
            </w:pPr>
            <w:r w:rsidRPr="003B7B4A">
              <w:rPr>
                <w:b/>
              </w:rPr>
              <w:t>including childcare</w:t>
            </w:r>
          </w:p>
          <w:p w:rsidR="003B7B4A" w:rsidRPr="003B7B4A" w:rsidRDefault="003B7B4A" w:rsidP="003B7B4A">
            <w:proofErr w:type="gramStart"/>
            <w:r w:rsidRPr="003B7B4A">
              <w:rPr>
                <w:b/>
              </w:rPr>
              <w:t>options</w:t>
            </w:r>
            <w:proofErr w:type="gramEnd"/>
            <w:r w:rsidRPr="003B7B4A">
              <w:rPr>
                <w:b/>
              </w:rPr>
              <w:t xml:space="preserve">. </w:t>
            </w:r>
            <w:r w:rsidRPr="003B7B4A">
              <w:t>The issues are</w:t>
            </w:r>
          </w:p>
          <w:p w:rsidR="003B7B4A" w:rsidRPr="003B7B4A" w:rsidRDefault="003B7B4A" w:rsidP="003B7B4A">
            <w:r w:rsidRPr="003B7B4A">
              <w:t>system-wide and need</w:t>
            </w:r>
          </w:p>
          <w:p w:rsidR="003B7B4A" w:rsidRPr="003B7B4A" w:rsidRDefault="003B7B4A" w:rsidP="003B7B4A">
            <w:r w:rsidRPr="003B7B4A">
              <w:t>to be addressed at the</w:t>
            </w:r>
          </w:p>
          <w:p w:rsidR="009858EA" w:rsidRPr="00F134C0" w:rsidRDefault="003B7B4A" w:rsidP="003B7B4A">
            <w:proofErr w:type="gramStart"/>
            <w:r w:rsidRPr="003B7B4A">
              <w:t>appropriate</w:t>
            </w:r>
            <w:proofErr w:type="gramEnd"/>
            <w:r w:rsidRPr="003B7B4A">
              <w:t xml:space="preserve"> level</w:t>
            </w:r>
            <w:r w:rsidRPr="003B7B4A">
              <w:rPr>
                <w:b/>
              </w:rPr>
              <w:t>.</w:t>
            </w:r>
          </w:p>
        </w:tc>
        <w:tc>
          <w:tcPr>
            <w:tcW w:w="13041" w:type="dxa"/>
          </w:tcPr>
          <w:p w:rsidR="003B7B4A" w:rsidRDefault="003B7B4A" w:rsidP="003B7B4A">
            <w:pPr>
              <w:numPr>
                <w:ilvl w:val="0"/>
                <w:numId w:val="7"/>
              </w:numPr>
            </w:pPr>
            <w:r w:rsidRPr="003B7B4A">
              <w:rPr>
                <w:b/>
              </w:rPr>
              <w:t>Contribution to Productivity Commission review.</w:t>
            </w:r>
            <w:r>
              <w:t xml:space="preserve"> MCC organisations</w:t>
            </w:r>
            <w:r>
              <w:t xml:space="preserve"> c</w:t>
            </w:r>
            <w:r>
              <w:t>ontributed to submissions to the Productivity Commission review into Childcare</w:t>
            </w:r>
            <w:r>
              <w:t xml:space="preserve"> </w:t>
            </w:r>
            <w:r>
              <w:t>and Early Learning through partner organisations (i.e. Business Council</w:t>
            </w:r>
            <w:r>
              <w:t xml:space="preserve"> </w:t>
            </w:r>
            <w:r>
              <w:t>of Australia, Div</w:t>
            </w:r>
            <w:r>
              <w:t xml:space="preserve">ersity Council of Australia) or </w:t>
            </w:r>
            <w:r>
              <w:t xml:space="preserve">independently (ANZ, </w:t>
            </w:r>
            <w:proofErr w:type="spellStart"/>
            <w:r>
              <w:t>Telstra</w:t>
            </w:r>
            <w:proofErr w:type="gramStart"/>
            <w:r>
              <w:t>,Woolworths</w:t>
            </w:r>
            <w:proofErr w:type="spellEnd"/>
            <w:proofErr w:type="gramEnd"/>
            <w:r>
              <w:t>).</w:t>
            </w:r>
          </w:p>
          <w:p w:rsidR="009858EA" w:rsidRPr="00F134C0" w:rsidRDefault="003B7B4A" w:rsidP="003B7B4A">
            <w:pPr>
              <w:numPr>
                <w:ilvl w:val="0"/>
                <w:numId w:val="7"/>
              </w:numPr>
            </w:pPr>
            <w:r w:rsidRPr="003B7B4A">
              <w:rPr>
                <w:b/>
              </w:rPr>
              <w:t>Keeping up MCC’s interest in the process.</w:t>
            </w:r>
            <w:r>
              <w:t xml:space="preserve"> The Productivity Commission’s</w:t>
            </w:r>
            <w:r>
              <w:t xml:space="preserve"> </w:t>
            </w:r>
            <w:r>
              <w:t>Draft Report was delivered in July 2014, and sent to government in October.</w:t>
            </w:r>
            <w:r>
              <w:t xml:space="preserve"> </w:t>
            </w:r>
            <w:r>
              <w:t>The MCC look forward to actively supporting the implementation of</w:t>
            </w:r>
            <w:r>
              <w:t xml:space="preserve"> </w:t>
            </w:r>
            <w:r>
              <w:t>recommendations that remove barriers to parents’ workforce participation.</w:t>
            </w:r>
          </w:p>
        </w:tc>
      </w:tr>
    </w:tbl>
    <w:p w:rsidR="00EB01F5" w:rsidRDefault="00EB01F5" w:rsidP="00B5234A">
      <w:pPr>
        <w:spacing w:after="0" w:line="240" w:lineRule="auto"/>
        <w:sectPr w:rsidR="00EB01F5" w:rsidSect="00956DD4">
          <w:pgSz w:w="16838" w:h="11906" w:orient="landscape"/>
          <w:pgMar w:top="720" w:right="720" w:bottom="720" w:left="720" w:header="708" w:footer="708" w:gutter="0"/>
          <w:cols w:space="708"/>
          <w:docGrid w:linePitch="360"/>
        </w:sectPr>
      </w:pPr>
    </w:p>
    <w:p w:rsidR="00EB01F5" w:rsidRPr="00EB01F5" w:rsidRDefault="00EB01F5" w:rsidP="00EB01F5">
      <w:pPr>
        <w:keepNext/>
        <w:keepLines/>
        <w:spacing w:after="0"/>
        <w:ind w:left="104" w:right="62" w:hanging="10"/>
        <w:jc w:val="center"/>
        <w:outlineLvl w:val="1"/>
        <w:rPr>
          <w:rFonts w:ascii="Times New Roman" w:eastAsia="Times New Roman" w:hAnsi="Times New Roman" w:cs="Times New Roman"/>
          <w:color w:val="181717"/>
          <w:sz w:val="35"/>
          <w:lang w:eastAsia="en-AU"/>
        </w:rPr>
      </w:pPr>
      <w:r w:rsidRPr="00EB01F5">
        <w:rPr>
          <w:rFonts w:ascii="Calibri" w:eastAsia="Calibri" w:hAnsi="Calibri" w:cs="Calibri"/>
          <w:b/>
          <w:color w:val="EA6034"/>
          <w:sz w:val="40"/>
          <w:lang w:eastAsia="en-AU"/>
        </w:rPr>
        <w:lastRenderedPageBreak/>
        <w:t xml:space="preserve">Table 1: </w:t>
      </w:r>
      <w:r w:rsidRPr="00EB01F5">
        <w:rPr>
          <w:rFonts w:ascii="Calibri" w:eastAsia="Calibri" w:hAnsi="Calibri" w:cs="Calibri"/>
          <w:color w:val="EA6034"/>
          <w:sz w:val="40"/>
          <w:lang w:eastAsia="en-AU"/>
        </w:rPr>
        <w:t>Women’s Representation Summary</w:t>
      </w:r>
    </w:p>
    <w:p w:rsidR="00EB01F5" w:rsidRPr="00EB01F5" w:rsidRDefault="00EB01F5" w:rsidP="00EB01F5">
      <w:pPr>
        <w:spacing w:after="140"/>
        <w:ind w:left="1303"/>
        <w:rPr>
          <w:rFonts w:ascii="Calibri" w:eastAsia="Calibri" w:hAnsi="Calibri" w:cs="Calibri"/>
          <w:color w:val="181717"/>
          <w:sz w:val="19"/>
          <w:lang w:eastAsia="en-AU"/>
        </w:rPr>
      </w:pPr>
      <w:r w:rsidRPr="00EB01F5">
        <w:rPr>
          <w:rFonts w:ascii="Calibri" w:eastAsia="Calibri" w:hAnsi="Calibri" w:cs="Calibri"/>
          <w:color w:val="63676D"/>
          <w:sz w:val="30"/>
          <w:lang w:eastAsia="en-AU"/>
        </w:rPr>
        <w:t>Compared with WGEA Comparison Group</w:t>
      </w:r>
    </w:p>
    <w:p w:rsidR="00EB01F5" w:rsidRPr="00EB01F5" w:rsidRDefault="00EB01F5" w:rsidP="00EB01F5">
      <w:pPr>
        <w:tabs>
          <w:tab w:val="center" w:pos="2961"/>
          <w:tab w:val="center" w:pos="4714"/>
          <w:tab w:val="center" w:pos="5737"/>
          <w:tab w:val="center" w:pos="6749"/>
        </w:tabs>
        <w:spacing w:after="15"/>
        <w:rPr>
          <w:rFonts w:ascii="Calibri" w:eastAsia="Calibri" w:hAnsi="Calibri" w:cs="Calibri"/>
          <w:color w:val="181717"/>
          <w:sz w:val="19"/>
          <w:lang w:eastAsia="en-AU"/>
        </w:rPr>
      </w:pPr>
      <w:r w:rsidRPr="00EB01F5">
        <w:rPr>
          <w:rFonts w:ascii="Calibri" w:eastAsia="Calibri" w:hAnsi="Calibri" w:cs="Calibri"/>
          <w:color w:val="000000"/>
          <w:lang w:eastAsia="en-AU"/>
        </w:rPr>
        <w:tab/>
      </w:r>
      <w:r w:rsidRPr="00EB01F5">
        <w:rPr>
          <w:rFonts w:ascii="Calibri" w:eastAsia="Calibri" w:hAnsi="Calibri" w:cs="Calibri"/>
          <w:noProof/>
          <w:color w:val="000000"/>
          <w:lang w:eastAsia="en-AU"/>
        </w:rPr>
        <mc:AlternateContent>
          <mc:Choice Requires="wpg">
            <w:drawing>
              <wp:inline distT="0" distB="0" distL="0" distR="0" wp14:anchorId="0BFD9250" wp14:editId="19E2C8B4">
                <wp:extent cx="108001" cy="108001"/>
                <wp:effectExtent l="0" t="0" r="0" b="0"/>
                <wp:docPr id="24164" name="Group 24164"/>
                <wp:cNvGraphicFramePr/>
                <a:graphic xmlns:a="http://schemas.openxmlformats.org/drawingml/2006/main">
                  <a:graphicData uri="http://schemas.microsoft.com/office/word/2010/wordprocessingGroup">
                    <wpg:wgp>
                      <wpg:cNvGrpSpPr/>
                      <wpg:grpSpPr>
                        <a:xfrm>
                          <a:off x="0" y="0"/>
                          <a:ext cx="108001" cy="108001"/>
                          <a:chOff x="0" y="0"/>
                          <a:chExt cx="108001" cy="108001"/>
                        </a:xfrm>
                      </wpg:grpSpPr>
                      <wps:wsp>
                        <wps:cNvPr id="25908" name="Shape 25908"/>
                        <wps:cNvSpPr/>
                        <wps:spPr>
                          <a:xfrm>
                            <a:off x="0" y="0"/>
                            <a:ext cx="108001" cy="108001"/>
                          </a:xfrm>
                          <a:custGeom>
                            <a:avLst/>
                            <a:gdLst/>
                            <a:ahLst/>
                            <a:cxnLst/>
                            <a:rect l="0" t="0" r="0" b="0"/>
                            <a:pathLst>
                              <a:path w="108001" h="108001">
                                <a:moveTo>
                                  <a:pt x="0" y="0"/>
                                </a:moveTo>
                                <a:lnTo>
                                  <a:pt x="108001" y="0"/>
                                </a:lnTo>
                                <a:lnTo>
                                  <a:pt x="108001" y="108001"/>
                                </a:lnTo>
                                <a:lnTo>
                                  <a:pt x="0" y="108001"/>
                                </a:lnTo>
                                <a:lnTo>
                                  <a:pt x="0" y="0"/>
                                </a:lnTo>
                              </a:path>
                            </a:pathLst>
                          </a:custGeom>
                          <a:solidFill>
                            <a:srgbClr val="2B5F33"/>
                          </a:solidFill>
                          <a:ln w="0" cap="flat">
                            <a:noFill/>
                            <a:miter lim="127000"/>
                          </a:ln>
                          <a:effectLst/>
                        </wps:spPr>
                        <wps:bodyPr/>
                      </wps:wsp>
                    </wpg:wgp>
                  </a:graphicData>
                </a:graphic>
              </wp:inline>
            </w:drawing>
          </mc:Choice>
          <mc:Fallback>
            <w:pict>
              <v:group w14:anchorId="75AB4B6D" id="Group 24164" o:spid="_x0000_s1026" style="width:8.5pt;height:8.5pt;mso-position-horizontal-relative:char;mso-position-vertical-relative:line" coordsize="108001,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">
                <v:shape id="Shape 25908" o:spid="_x0000_s1027" style="position:absolute;width:108001;height:108001;visibility:visible;mso-wrap-style:square;v-text-anchor:top" coordsize="108001,108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MMA&#10;AADeAAAADwAAAGRycy9kb3ducmV2LnhtbERPy4rCMBTdD/gP4QruxtTn2GoUERRBQXRmMe4uzbUt&#10;NjeliVr/3iwEl4fzni0aU4o71a6wrKDXjUAQp1YXnCn4+11/T0A4j6yxtEwKnuRgMW99zTDR9sFH&#10;up98JkIIuwQV5N5XiZQuzcmg69qKOHAXWxv0AdaZ1DU+QrgpZT+KxtJgwaEhx4pWOaXX080oOMd2&#10;c4if/LMa7fcDf5jY4Q7/leq0m+UUhKfGf8Rv91Yr6I/iKOwNd8IV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g/+MMAAADeAAAADwAAAAAAAAAAAAAAAACYAgAAZHJzL2Rv&#10;d25yZXYueG1sUEsFBgAAAAAEAAQA9QAAAIgDAAAAAA==&#10;" path="m,l108001,r,108001l,108001,,e" fillcolor="#2b5f33" stroked="f" strokeweight="0">
                  <v:stroke miterlimit="83231f" joinstyle="miter"/>
                  <v:path arrowok="t" textboxrect="0,0,108001,108001"/>
                </v:shape>
                <w10:anchorlock/>
              </v:group>
            </w:pict>
          </mc:Fallback>
        </mc:AlternateContent>
      </w:r>
      <w:r w:rsidRPr="00EB01F5">
        <w:rPr>
          <w:rFonts w:ascii="Calibri" w:eastAsia="Calibri" w:hAnsi="Calibri" w:cs="Calibri"/>
          <w:color w:val="181717"/>
          <w:sz w:val="15"/>
          <w:lang w:eastAsia="en-AU"/>
        </w:rPr>
        <w:t xml:space="preserve"> BALANCE (40-60% WOMEN) </w:t>
      </w:r>
      <w:r w:rsidRPr="00EB01F5">
        <w:rPr>
          <w:rFonts w:ascii="Calibri" w:eastAsia="Calibri" w:hAnsi="Calibri" w:cs="Calibri"/>
          <w:color w:val="181717"/>
          <w:sz w:val="13"/>
          <w:vertAlign w:val="superscript"/>
          <w:lang w:eastAsia="en-AU"/>
        </w:rPr>
        <w:footnoteReference w:id="1"/>
      </w:r>
      <w:r w:rsidRPr="00EB01F5">
        <w:rPr>
          <w:rFonts w:ascii="Calibri" w:eastAsia="Calibri" w:hAnsi="Calibri" w:cs="Calibri"/>
          <w:color w:val="181717"/>
          <w:sz w:val="13"/>
          <w:vertAlign w:val="superscript"/>
          <w:lang w:eastAsia="en-AU"/>
        </w:rPr>
        <w:tab/>
      </w:r>
      <w:r w:rsidRPr="00EB01F5">
        <w:rPr>
          <w:rFonts w:ascii="Calibri" w:eastAsia="Calibri" w:hAnsi="Calibri" w:cs="Calibri"/>
          <w:noProof/>
          <w:color w:val="000000"/>
          <w:lang w:eastAsia="en-AU"/>
        </w:rPr>
        <mc:AlternateContent>
          <mc:Choice Requires="wpg">
            <w:drawing>
              <wp:inline distT="0" distB="0" distL="0" distR="0" wp14:anchorId="2C3A595D" wp14:editId="5583128F">
                <wp:extent cx="108001" cy="108001"/>
                <wp:effectExtent l="0" t="0" r="0" b="0"/>
                <wp:docPr id="24166" name="Group 24166"/>
                <wp:cNvGraphicFramePr/>
                <a:graphic xmlns:a="http://schemas.openxmlformats.org/drawingml/2006/main">
                  <a:graphicData uri="http://schemas.microsoft.com/office/word/2010/wordprocessingGroup">
                    <wpg:wgp>
                      <wpg:cNvGrpSpPr/>
                      <wpg:grpSpPr>
                        <a:xfrm>
                          <a:off x="0" y="0"/>
                          <a:ext cx="108001" cy="108001"/>
                          <a:chOff x="0" y="0"/>
                          <a:chExt cx="108001" cy="108001"/>
                        </a:xfrm>
                      </wpg:grpSpPr>
                      <wps:wsp>
                        <wps:cNvPr id="25909" name="Shape 25909"/>
                        <wps:cNvSpPr/>
                        <wps:spPr>
                          <a:xfrm>
                            <a:off x="0" y="0"/>
                            <a:ext cx="108001" cy="108001"/>
                          </a:xfrm>
                          <a:custGeom>
                            <a:avLst/>
                            <a:gdLst/>
                            <a:ahLst/>
                            <a:cxnLst/>
                            <a:rect l="0" t="0" r="0" b="0"/>
                            <a:pathLst>
                              <a:path w="108001" h="108001">
                                <a:moveTo>
                                  <a:pt x="0" y="0"/>
                                </a:moveTo>
                                <a:lnTo>
                                  <a:pt x="108001" y="0"/>
                                </a:lnTo>
                                <a:lnTo>
                                  <a:pt x="108001" y="108001"/>
                                </a:lnTo>
                                <a:lnTo>
                                  <a:pt x="0" y="108001"/>
                                </a:lnTo>
                                <a:lnTo>
                                  <a:pt x="0" y="0"/>
                                </a:lnTo>
                              </a:path>
                            </a:pathLst>
                          </a:custGeom>
                          <a:solidFill>
                            <a:srgbClr val="647876"/>
                          </a:solidFill>
                          <a:ln w="0" cap="flat">
                            <a:noFill/>
                            <a:miter lim="127000"/>
                          </a:ln>
                          <a:effectLst/>
                        </wps:spPr>
                        <wps:bodyPr/>
                      </wps:wsp>
                    </wpg:wgp>
                  </a:graphicData>
                </a:graphic>
              </wp:inline>
            </w:drawing>
          </mc:Choice>
          <mc:Fallback>
            <w:pict>
              <v:group w14:anchorId="5A57FE5B" id="Group 24166" o:spid="_x0000_s1026" style="width:8.5pt;height:8.5pt;mso-position-horizontal-relative:char;mso-position-vertical-relative:line" coordsize="108001,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">
                <v:shape id="Shape 25909" o:spid="_x0000_s1027" style="position:absolute;width:108001;height:108001;visibility:visible;mso-wrap-style:square;v-text-anchor:top" coordsize="108001,108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4qUMYA&#10;AADeAAAADwAAAGRycy9kb3ducmV2LnhtbESPQWvCQBSE74X+h+UVvOmmKUqNrlJaClF6Mamen9ln&#10;Esy+Ddk1xn/vFoQeh5n5hlmuB9OInjpXW1bwOolAEBdW11wq+M2/x+8gnEfW2FgmBTdysF49Py0x&#10;0fbKO+ozX4oAYZeggsr7NpHSFRUZdBPbEgfvZDuDPsiulLrDa4CbRsZRNJMGaw4LFbb0WVFxzi5G&#10;wXbzk3Hfc3o4bugtn33l+1bnSo1eho8FCE+D/w8/2qlWEE/n0Rz+7oQr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4qUMYAAADeAAAADwAAAAAAAAAAAAAAAACYAgAAZHJz&#10;L2Rvd25yZXYueG1sUEsFBgAAAAAEAAQA9QAAAIsDAAAAAA==&#10;" path="m,l108001,r,108001l,108001,,e" fillcolor="#647876" stroked="f" strokeweight="0">
                  <v:stroke miterlimit="83231f" joinstyle="miter"/>
                  <v:path arrowok="t" textboxrect="0,0,108001,108001"/>
                </v:shape>
                <w10:anchorlock/>
              </v:group>
            </w:pict>
          </mc:Fallback>
        </mc:AlternateContent>
      </w:r>
      <w:r w:rsidRPr="00EB01F5">
        <w:rPr>
          <w:rFonts w:ascii="Calibri" w:eastAsia="Calibri" w:hAnsi="Calibri" w:cs="Calibri"/>
          <w:color w:val="181717"/>
          <w:sz w:val="15"/>
          <w:lang w:eastAsia="en-AU"/>
        </w:rPr>
        <w:t xml:space="preserve"> ABOVE</w:t>
      </w:r>
      <w:r w:rsidRPr="00EB01F5">
        <w:rPr>
          <w:rFonts w:ascii="Calibri" w:eastAsia="Calibri" w:hAnsi="Calibri" w:cs="Calibri"/>
          <w:color w:val="181717"/>
          <w:sz w:val="15"/>
          <w:lang w:eastAsia="en-AU"/>
        </w:rPr>
        <w:tab/>
      </w:r>
      <w:r w:rsidRPr="00EB01F5">
        <w:rPr>
          <w:rFonts w:ascii="Calibri" w:eastAsia="Calibri" w:hAnsi="Calibri" w:cs="Calibri"/>
          <w:noProof/>
          <w:color w:val="000000"/>
          <w:lang w:eastAsia="en-AU"/>
        </w:rPr>
        <mc:AlternateContent>
          <mc:Choice Requires="wpg">
            <w:drawing>
              <wp:inline distT="0" distB="0" distL="0" distR="0" wp14:anchorId="206BE69F" wp14:editId="667B201A">
                <wp:extent cx="108001" cy="108001"/>
                <wp:effectExtent l="0" t="0" r="0" b="0"/>
                <wp:docPr id="24165" name="Group 24165"/>
                <wp:cNvGraphicFramePr/>
                <a:graphic xmlns:a="http://schemas.openxmlformats.org/drawingml/2006/main">
                  <a:graphicData uri="http://schemas.microsoft.com/office/word/2010/wordprocessingGroup">
                    <wpg:wgp>
                      <wpg:cNvGrpSpPr/>
                      <wpg:grpSpPr>
                        <a:xfrm>
                          <a:off x="0" y="0"/>
                          <a:ext cx="108001" cy="108001"/>
                          <a:chOff x="0" y="0"/>
                          <a:chExt cx="108001" cy="108001"/>
                        </a:xfrm>
                      </wpg:grpSpPr>
                      <wps:wsp>
                        <wps:cNvPr id="25910" name="Shape 25910"/>
                        <wps:cNvSpPr/>
                        <wps:spPr>
                          <a:xfrm>
                            <a:off x="0" y="0"/>
                            <a:ext cx="108001" cy="108001"/>
                          </a:xfrm>
                          <a:custGeom>
                            <a:avLst/>
                            <a:gdLst/>
                            <a:ahLst/>
                            <a:cxnLst/>
                            <a:rect l="0" t="0" r="0" b="0"/>
                            <a:pathLst>
                              <a:path w="108001" h="108001">
                                <a:moveTo>
                                  <a:pt x="0" y="0"/>
                                </a:moveTo>
                                <a:lnTo>
                                  <a:pt x="108001" y="0"/>
                                </a:lnTo>
                                <a:lnTo>
                                  <a:pt x="108001" y="108001"/>
                                </a:lnTo>
                                <a:lnTo>
                                  <a:pt x="0" y="108001"/>
                                </a:lnTo>
                                <a:lnTo>
                                  <a:pt x="0" y="0"/>
                                </a:lnTo>
                              </a:path>
                            </a:pathLst>
                          </a:custGeom>
                          <a:solidFill>
                            <a:srgbClr val="F09B57"/>
                          </a:solidFill>
                          <a:ln w="0" cap="flat">
                            <a:noFill/>
                            <a:miter lim="127000"/>
                          </a:ln>
                          <a:effectLst/>
                        </wps:spPr>
                        <wps:bodyPr/>
                      </wps:wsp>
                    </wpg:wgp>
                  </a:graphicData>
                </a:graphic>
              </wp:inline>
            </w:drawing>
          </mc:Choice>
          <mc:Fallback>
            <w:pict>
              <v:group w14:anchorId="4E84B7C4" id="Group 24165" o:spid="_x0000_s1026" style="width:8.5pt;height:8.5pt;mso-position-horizontal-relative:char;mso-position-vertical-relative:line" coordsize="108001,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">
                <v:shape id="Shape 25910" o:spid="_x0000_s1027" style="position:absolute;width:108001;height:108001;visibility:visible;mso-wrap-style:square;v-text-anchor:top" coordsize="108001,108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cR8YA&#10;AADeAAAADwAAAGRycy9kb3ducmV2LnhtbESPzWrCQBSF9wXfYbhCdzoxYNHUUURQ40JE7aLL28w1&#10;CWbuxMxo0j69sxC6PJw/vtmiM5V4UONKywpGwwgEcWZ1ybmCr/N6MAHhPLLGyjIp+CUHi3nvbYaJ&#10;ti0f6XHyuQgj7BJUUHhfJ1K6rCCDbmhr4uBdbGPQB9nkUjfYhnFTyTiKPqTBksNDgTWtCsqup7tR&#10;cE/jfat36VrfNrub/fk+bMu/i1Lv/W75CcJT5//Dr3aqFcTj6SgABJyA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BcR8YAAADeAAAADwAAAAAAAAAAAAAAAACYAgAAZHJz&#10;L2Rvd25yZXYueG1sUEsFBgAAAAAEAAQA9QAAAIsDAAAAAA==&#10;" path="m,l108001,r,108001l,108001,,e" fillcolor="#f09b57" stroked="f" strokeweight="0">
                  <v:stroke miterlimit="83231f" joinstyle="miter"/>
                  <v:path arrowok="t" textboxrect="0,0,108001,108001"/>
                </v:shape>
                <w10:anchorlock/>
              </v:group>
            </w:pict>
          </mc:Fallback>
        </mc:AlternateContent>
      </w:r>
      <w:r w:rsidRPr="00EB01F5">
        <w:rPr>
          <w:rFonts w:ascii="Calibri" w:eastAsia="Calibri" w:hAnsi="Calibri" w:cs="Calibri"/>
          <w:color w:val="181717"/>
          <w:sz w:val="15"/>
          <w:lang w:eastAsia="en-AU"/>
        </w:rPr>
        <w:t xml:space="preserve"> AT </w:t>
      </w:r>
      <w:r w:rsidRPr="00EB01F5">
        <w:rPr>
          <w:rFonts w:ascii="Calibri" w:eastAsia="Calibri" w:hAnsi="Calibri" w:cs="Calibri"/>
          <w:color w:val="181717"/>
          <w:sz w:val="13"/>
          <w:vertAlign w:val="superscript"/>
          <w:lang w:eastAsia="en-AU"/>
        </w:rPr>
        <w:t>2</w:t>
      </w:r>
      <w:r w:rsidRPr="00EB01F5">
        <w:rPr>
          <w:rFonts w:ascii="Calibri" w:eastAsia="Calibri" w:hAnsi="Calibri" w:cs="Calibri"/>
          <w:color w:val="181717"/>
          <w:sz w:val="13"/>
          <w:vertAlign w:val="superscript"/>
          <w:lang w:eastAsia="en-AU"/>
        </w:rPr>
        <w:tab/>
      </w:r>
      <w:r w:rsidRPr="00EB01F5">
        <w:rPr>
          <w:rFonts w:ascii="Calibri" w:eastAsia="Calibri" w:hAnsi="Calibri" w:cs="Calibri"/>
          <w:noProof/>
          <w:color w:val="000000"/>
          <w:lang w:eastAsia="en-AU"/>
        </w:rPr>
        <mc:AlternateContent>
          <mc:Choice Requires="wpg">
            <w:drawing>
              <wp:inline distT="0" distB="0" distL="0" distR="0" wp14:anchorId="1C8B6415" wp14:editId="2A8B3CEB">
                <wp:extent cx="108001" cy="108001"/>
                <wp:effectExtent l="0" t="0" r="0" b="0"/>
                <wp:docPr id="24167" name="Group 24167"/>
                <wp:cNvGraphicFramePr/>
                <a:graphic xmlns:a="http://schemas.openxmlformats.org/drawingml/2006/main">
                  <a:graphicData uri="http://schemas.microsoft.com/office/word/2010/wordprocessingGroup">
                    <wpg:wgp>
                      <wpg:cNvGrpSpPr/>
                      <wpg:grpSpPr>
                        <a:xfrm>
                          <a:off x="0" y="0"/>
                          <a:ext cx="108001" cy="108001"/>
                          <a:chOff x="0" y="0"/>
                          <a:chExt cx="108001" cy="108001"/>
                        </a:xfrm>
                      </wpg:grpSpPr>
                      <wps:wsp>
                        <wps:cNvPr id="25911" name="Shape 25911"/>
                        <wps:cNvSpPr/>
                        <wps:spPr>
                          <a:xfrm>
                            <a:off x="0" y="0"/>
                            <a:ext cx="108001" cy="108001"/>
                          </a:xfrm>
                          <a:custGeom>
                            <a:avLst/>
                            <a:gdLst/>
                            <a:ahLst/>
                            <a:cxnLst/>
                            <a:rect l="0" t="0" r="0" b="0"/>
                            <a:pathLst>
                              <a:path w="108001" h="108001">
                                <a:moveTo>
                                  <a:pt x="0" y="0"/>
                                </a:moveTo>
                                <a:lnTo>
                                  <a:pt x="108001" y="0"/>
                                </a:lnTo>
                                <a:lnTo>
                                  <a:pt x="108001" y="108001"/>
                                </a:lnTo>
                                <a:lnTo>
                                  <a:pt x="0" y="108001"/>
                                </a:lnTo>
                                <a:lnTo>
                                  <a:pt x="0" y="0"/>
                                </a:lnTo>
                              </a:path>
                            </a:pathLst>
                          </a:custGeom>
                          <a:solidFill>
                            <a:srgbClr val="CE4B49"/>
                          </a:solidFill>
                          <a:ln w="0" cap="flat">
                            <a:noFill/>
                            <a:miter lim="127000"/>
                          </a:ln>
                          <a:effectLst/>
                        </wps:spPr>
                        <wps:bodyPr/>
                      </wps:wsp>
                    </wpg:wgp>
                  </a:graphicData>
                </a:graphic>
              </wp:inline>
            </w:drawing>
          </mc:Choice>
          <mc:Fallback>
            <w:pict>
              <v:group w14:anchorId="3CEC0178" id="Group 24167" o:spid="_x0000_s1026" style="width:8.5pt;height:8.5pt;mso-position-horizontal-relative:char;mso-position-vertical-relative:line" coordsize="108001,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">
                <v:shape id="Shape 25911" o:spid="_x0000_s1027" style="position:absolute;width:108001;height:108001;visibility:visible;mso-wrap-style:square;v-text-anchor:top" coordsize="108001,108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k78A&#10;AADeAAAADwAAAGRycy9kb3ducmV2LnhtbESPywrCMBBF94L/EEZwp0kFRatRRBBcuPHxAUMztsVm&#10;Upuo1a83guDych+Hu1i1thIPanzpWEMyVCCIM2dKzjWcT9vBFIQPyAYrx6ThRR5Wy25ngalxTz7Q&#10;4xhyEUfYp6ihCKFOpfRZQRb90NXE0bu4xmKIssmlafAZx20lR0pNpMWSI6HAmjYFZdfj3WqY3icy&#10;r9RZudvhzXZfR0pLWvd77XoOIlAb/uFfe2c0jMazJIHvnXgF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b6yTvwAAAN4AAAAPAAAAAAAAAAAAAAAAAJgCAABkcnMvZG93bnJl&#10;di54bWxQSwUGAAAAAAQABAD1AAAAhAMAAAAA&#10;" path="m,l108001,r,108001l,108001,,e" fillcolor="#ce4b49" stroked="f" strokeweight="0">
                  <v:stroke miterlimit="83231f" joinstyle="miter"/>
                  <v:path arrowok="t" textboxrect="0,0,108001,108001"/>
                </v:shape>
                <w10:anchorlock/>
              </v:group>
            </w:pict>
          </mc:Fallback>
        </mc:AlternateContent>
      </w:r>
      <w:r w:rsidRPr="00EB01F5">
        <w:rPr>
          <w:rFonts w:ascii="Calibri" w:eastAsia="Calibri" w:hAnsi="Calibri" w:cs="Calibri"/>
          <w:color w:val="181717"/>
          <w:sz w:val="15"/>
          <w:lang w:eastAsia="en-AU"/>
        </w:rPr>
        <w:t xml:space="preserve"> BELOW</w:t>
      </w:r>
    </w:p>
    <w:tbl>
      <w:tblPr>
        <w:tblStyle w:val="TableGrid0"/>
        <w:tblW w:w="8334" w:type="dxa"/>
        <w:tblInd w:w="376" w:type="dxa"/>
        <w:tblCellMar>
          <w:top w:w="27" w:type="dxa"/>
          <w:left w:w="36" w:type="dxa"/>
          <w:bottom w:w="0" w:type="dxa"/>
          <w:right w:w="1" w:type="dxa"/>
        </w:tblCellMar>
        <w:tblLook w:val="04A0" w:firstRow="1" w:lastRow="0" w:firstColumn="1" w:lastColumn="0" w:noHBand="0" w:noVBand="1"/>
      </w:tblPr>
      <w:tblGrid>
        <w:gridCol w:w="1299"/>
        <w:gridCol w:w="818"/>
        <w:gridCol w:w="791"/>
        <w:gridCol w:w="793"/>
        <w:gridCol w:w="792"/>
        <w:gridCol w:w="793"/>
        <w:gridCol w:w="2260"/>
        <w:gridCol w:w="788"/>
      </w:tblGrid>
      <w:tr w:rsidR="00EB01F5" w:rsidRPr="00EB01F5" w:rsidTr="007729F5">
        <w:trPr>
          <w:trHeight w:val="397"/>
        </w:trPr>
        <w:tc>
          <w:tcPr>
            <w:tcW w:w="3685" w:type="dxa"/>
            <w:gridSpan w:val="4"/>
            <w:tcBorders>
              <w:top w:val="single" w:sz="2" w:space="0" w:color="BCC2C8"/>
              <w:left w:val="single" w:sz="2" w:space="0" w:color="BCC2C8"/>
              <w:bottom w:val="single" w:sz="16" w:space="0" w:color="FFFEFD"/>
              <w:right w:val="nil"/>
            </w:tcBorders>
            <w:shd w:val="clear" w:color="auto" w:fill="BCC2C8"/>
          </w:tcPr>
          <w:p w:rsidR="00EB01F5" w:rsidRPr="00EB01F5" w:rsidRDefault="00EB01F5" w:rsidP="00EB01F5">
            <w:pPr>
              <w:ind w:left="21"/>
              <w:rPr>
                <w:rFonts w:ascii="Calibri" w:eastAsia="Calibri" w:hAnsi="Calibri" w:cs="Calibri"/>
                <w:color w:val="181717"/>
                <w:sz w:val="19"/>
              </w:rPr>
            </w:pPr>
            <w:r w:rsidRPr="00EB01F5">
              <w:rPr>
                <w:rFonts w:ascii="Calibri" w:eastAsia="Calibri" w:hAnsi="Calibri" w:cs="Calibri"/>
                <w:b/>
                <w:color w:val="FFFEFD"/>
                <w:sz w:val="16"/>
              </w:rPr>
              <w:t>Women’s Representation (%)</w:t>
            </w:r>
          </w:p>
        </w:tc>
        <w:tc>
          <w:tcPr>
            <w:tcW w:w="1587" w:type="dxa"/>
            <w:gridSpan w:val="2"/>
            <w:tcBorders>
              <w:top w:val="single" w:sz="2" w:space="0" w:color="BCC2C8"/>
              <w:left w:val="nil"/>
              <w:bottom w:val="single" w:sz="16" w:space="0" w:color="FFFEFD"/>
              <w:right w:val="nil"/>
            </w:tcBorders>
            <w:shd w:val="clear" w:color="auto" w:fill="BCC2C8"/>
          </w:tcPr>
          <w:p w:rsidR="00EB01F5" w:rsidRPr="00EB01F5" w:rsidRDefault="00EB01F5" w:rsidP="00EB01F5">
            <w:pPr>
              <w:rPr>
                <w:rFonts w:ascii="Calibri" w:eastAsia="Calibri" w:hAnsi="Calibri" w:cs="Calibri"/>
                <w:color w:val="181717"/>
                <w:sz w:val="19"/>
              </w:rPr>
            </w:pPr>
          </w:p>
        </w:tc>
        <w:tc>
          <w:tcPr>
            <w:tcW w:w="2268" w:type="dxa"/>
            <w:tcBorders>
              <w:top w:val="single" w:sz="2" w:space="0" w:color="BCC2C8"/>
              <w:left w:val="nil"/>
              <w:bottom w:val="single" w:sz="16" w:space="0" w:color="FFFEFD"/>
              <w:right w:val="nil"/>
            </w:tcBorders>
            <w:shd w:val="clear" w:color="auto" w:fill="BCC2C8"/>
          </w:tcPr>
          <w:p w:rsidR="00EB01F5" w:rsidRPr="00EB01F5" w:rsidRDefault="00EB01F5" w:rsidP="00EB01F5">
            <w:pPr>
              <w:rPr>
                <w:rFonts w:ascii="Calibri" w:eastAsia="Calibri" w:hAnsi="Calibri" w:cs="Calibri"/>
                <w:color w:val="181717"/>
                <w:sz w:val="19"/>
              </w:rPr>
            </w:pPr>
          </w:p>
        </w:tc>
        <w:tc>
          <w:tcPr>
            <w:tcW w:w="794" w:type="dxa"/>
            <w:tcBorders>
              <w:top w:val="single" w:sz="2" w:space="0" w:color="BCC2C8"/>
              <w:left w:val="nil"/>
              <w:bottom w:val="single" w:sz="16" w:space="0" w:color="FFFEFD"/>
              <w:right w:val="single" w:sz="2" w:space="0" w:color="BCC2C8"/>
            </w:tcBorders>
            <w:shd w:val="clear" w:color="auto" w:fill="BCC2C8"/>
          </w:tcPr>
          <w:p w:rsidR="00EB01F5" w:rsidRPr="00EB01F5" w:rsidRDefault="00EB01F5" w:rsidP="00EB01F5">
            <w:pPr>
              <w:rPr>
                <w:rFonts w:ascii="Calibri" w:eastAsia="Calibri" w:hAnsi="Calibri" w:cs="Calibri"/>
                <w:color w:val="181717"/>
                <w:sz w:val="19"/>
              </w:rPr>
            </w:pPr>
          </w:p>
        </w:tc>
      </w:tr>
      <w:tr w:rsidR="00EB01F5" w:rsidRPr="00EB01F5" w:rsidTr="007729F5">
        <w:trPr>
          <w:trHeight w:val="794"/>
        </w:trPr>
        <w:tc>
          <w:tcPr>
            <w:tcW w:w="1304" w:type="dxa"/>
            <w:tcBorders>
              <w:top w:val="single" w:sz="16" w:space="0" w:color="FFFEFD"/>
              <w:left w:val="single" w:sz="2" w:space="0" w:color="BCC2C8"/>
              <w:bottom w:val="single" w:sz="2" w:space="0" w:color="D3D2D2"/>
              <w:right w:val="single" w:sz="2" w:space="0" w:color="FFFEFD"/>
            </w:tcBorders>
            <w:shd w:val="clear" w:color="auto" w:fill="63676D"/>
            <w:vAlign w:val="center"/>
          </w:tcPr>
          <w:p w:rsidR="00EB01F5" w:rsidRPr="00EB01F5" w:rsidRDefault="00EB01F5" w:rsidP="00EB01F5">
            <w:pPr>
              <w:ind w:right="35"/>
              <w:jc w:val="center"/>
              <w:rPr>
                <w:rFonts w:ascii="Calibri" w:eastAsia="Calibri" w:hAnsi="Calibri" w:cs="Calibri"/>
                <w:color w:val="181717"/>
                <w:sz w:val="19"/>
              </w:rPr>
            </w:pPr>
            <w:r w:rsidRPr="00EB01F5">
              <w:rPr>
                <w:rFonts w:ascii="Calibri" w:eastAsia="Calibri" w:hAnsi="Calibri" w:cs="Calibri"/>
                <w:b/>
                <w:color w:val="FFFEFD"/>
                <w:sz w:val="16"/>
              </w:rPr>
              <w:t>Organisation</w:t>
            </w:r>
          </w:p>
        </w:tc>
        <w:tc>
          <w:tcPr>
            <w:tcW w:w="794" w:type="dxa"/>
            <w:tcBorders>
              <w:top w:val="single" w:sz="16" w:space="0" w:color="FFFEFD"/>
              <w:left w:val="single" w:sz="2" w:space="0" w:color="FFFEFD"/>
              <w:bottom w:val="single" w:sz="2" w:space="0" w:color="FFFEFD"/>
              <w:right w:val="single" w:sz="2" w:space="0" w:color="FFFEFD"/>
            </w:tcBorders>
            <w:shd w:val="clear" w:color="auto" w:fill="63676D"/>
            <w:vAlign w:val="center"/>
          </w:tcPr>
          <w:p w:rsidR="00EB01F5" w:rsidRPr="00EB01F5" w:rsidRDefault="00EB01F5" w:rsidP="00EB01F5">
            <w:pPr>
              <w:ind w:right="35"/>
              <w:jc w:val="center"/>
              <w:rPr>
                <w:rFonts w:ascii="Calibri" w:eastAsia="Calibri" w:hAnsi="Calibri" w:cs="Calibri"/>
                <w:color w:val="181717"/>
                <w:sz w:val="19"/>
              </w:rPr>
            </w:pPr>
            <w:r w:rsidRPr="00EB01F5">
              <w:rPr>
                <w:rFonts w:ascii="Calibri" w:eastAsia="Calibri" w:hAnsi="Calibri" w:cs="Calibri"/>
                <w:b/>
                <w:color w:val="FFFEFD"/>
                <w:sz w:val="14"/>
              </w:rPr>
              <w:t xml:space="preserve">Key </w:t>
            </w:r>
          </w:p>
          <w:p w:rsidR="00EB01F5" w:rsidRPr="00EB01F5" w:rsidRDefault="00EB01F5" w:rsidP="00EB01F5">
            <w:pPr>
              <w:jc w:val="center"/>
              <w:rPr>
                <w:rFonts w:ascii="Calibri" w:eastAsia="Calibri" w:hAnsi="Calibri" w:cs="Calibri"/>
                <w:color w:val="181717"/>
                <w:sz w:val="19"/>
              </w:rPr>
            </w:pPr>
            <w:r w:rsidRPr="00EB01F5">
              <w:rPr>
                <w:rFonts w:ascii="Calibri" w:eastAsia="Calibri" w:hAnsi="Calibri" w:cs="Calibri"/>
                <w:b/>
                <w:color w:val="FFFEFD"/>
                <w:sz w:val="14"/>
              </w:rPr>
              <w:t>Management Personnel</w:t>
            </w:r>
          </w:p>
        </w:tc>
        <w:tc>
          <w:tcPr>
            <w:tcW w:w="794" w:type="dxa"/>
            <w:tcBorders>
              <w:top w:val="single" w:sz="16" w:space="0" w:color="FFFEFD"/>
              <w:left w:val="single" w:sz="2" w:space="0" w:color="FFFEFD"/>
              <w:bottom w:val="single" w:sz="2" w:space="0" w:color="FFFEFD"/>
              <w:right w:val="single" w:sz="2" w:space="0" w:color="FFFEFD"/>
            </w:tcBorders>
            <w:shd w:val="clear" w:color="auto" w:fill="63676D"/>
          </w:tcPr>
          <w:p w:rsidR="00EB01F5" w:rsidRPr="00EB01F5" w:rsidRDefault="00EB01F5" w:rsidP="00EB01F5">
            <w:pPr>
              <w:ind w:right="35"/>
              <w:jc w:val="center"/>
              <w:rPr>
                <w:rFonts w:ascii="Calibri" w:eastAsia="Calibri" w:hAnsi="Calibri" w:cs="Calibri"/>
                <w:color w:val="181717"/>
                <w:sz w:val="19"/>
              </w:rPr>
            </w:pPr>
            <w:r w:rsidRPr="00EB01F5">
              <w:rPr>
                <w:rFonts w:ascii="Calibri" w:eastAsia="Calibri" w:hAnsi="Calibri" w:cs="Calibri"/>
                <w:b/>
                <w:color w:val="FFFEFD"/>
                <w:sz w:val="14"/>
              </w:rPr>
              <w:t xml:space="preserve">Other  </w:t>
            </w:r>
          </w:p>
          <w:p w:rsidR="00EB01F5" w:rsidRPr="00EB01F5" w:rsidRDefault="00EB01F5" w:rsidP="00EB01F5">
            <w:pPr>
              <w:ind w:right="35"/>
              <w:jc w:val="center"/>
              <w:rPr>
                <w:rFonts w:ascii="Calibri" w:eastAsia="Calibri" w:hAnsi="Calibri" w:cs="Calibri"/>
                <w:color w:val="181717"/>
                <w:sz w:val="19"/>
              </w:rPr>
            </w:pPr>
            <w:r w:rsidRPr="00EB01F5">
              <w:rPr>
                <w:rFonts w:ascii="Calibri" w:eastAsia="Calibri" w:hAnsi="Calibri" w:cs="Calibri"/>
                <w:b/>
                <w:color w:val="FFFEFD"/>
                <w:sz w:val="14"/>
              </w:rPr>
              <w:t>Execs/</w:t>
            </w:r>
          </w:p>
          <w:p w:rsidR="00EB01F5" w:rsidRPr="00EB01F5" w:rsidRDefault="00EB01F5" w:rsidP="00EB01F5">
            <w:pPr>
              <w:ind w:right="35"/>
              <w:jc w:val="center"/>
              <w:rPr>
                <w:rFonts w:ascii="Calibri" w:eastAsia="Calibri" w:hAnsi="Calibri" w:cs="Calibri"/>
                <w:color w:val="181717"/>
                <w:sz w:val="19"/>
              </w:rPr>
            </w:pPr>
            <w:r w:rsidRPr="00EB01F5">
              <w:rPr>
                <w:rFonts w:ascii="Calibri" w:eastAsia="Calibri" w:hAnsi="Calibri" w:cs="Calibri"/>
                <w:b/>
                <w:color w:val="FFFEFD"/>
                <w:sz w:val="14"/>
              </w:rPr>
              <w:t xml:space="preserve">General </w:t>
            </w:r>
          </w:p>
          <w:p w:rsidR="00EB01F5" w:rsidRPr="00EB01F5" w:rsidRDefault="00EB01F5" w:rsidP="00EB01F5">
            <w:pPr>
              <w:ind w:right="35"/>
              <w:jc w:val="center"/>
              <w:rPr>
                <w:rFonts w:ascii="Calibri" w:eastAsia="Calibri" w:hAnsi="Calibri" w:cs="Calibri"/>
                <w:color w:val="181717"/>
                <w:sz w:val="19"/>
              </w:rPr>
            </w:pPr>
            <w:r w:rsidRPr="00EB01F5">
              <w:rPr>
                <w:rFonts w:ascii="Calibri" w:eastAsia="Calibri" w:hAnsi="Calibri" w:cs="Calibri"/>
                <w:b/>
                <w:color w:val="FFFEFD"/>
                <w:sz w:val="14"/>
              </w:rPr>
              <w:t>Manager</w:t>
            </w:r>
          </w:p>
        </w:tc>
        <w:tc>
          <w:tcPr>
            <w:tcW w:w="794" w:type="dxa"/>
            <w:tcBorders>
              <w:top w:val="single" w:sz="16" w:space="0" w:color="FFFEFD"/>
              <w:left w:val="single" w:sz="2" w:space="0" w:color="FFFEFD"/>
              <w:bottom w:val="single" w:sz="2" w:space="0" w:color="FFFEFD"/>
              <w:right w:val="nil"/>
            </w:tcBorders>
            <w:shd w:val="clear" w:color="auto" w:fill="63676D"/>
            <w:vAlign w:val="center"/>
          </w:tcPr>
          <w:p w:rsidR="00EB01F5" w:rsidRPr="00EB01F5" w:rsidRDefault="00EB01F5" w:rsidP="00EB01F5">
            <w:pPr>
              <w:ind w:right="35"/>
              <w:jc w:val="center"/>
              <w:rPr>
                <w:rFonts w:ascii="Calibri" w:eastAsia="Calibri" w:hAnsi="Calibri" w:cs="Calibri"/>
                <w:color w:val="181717"/>
                <w:sz w:val="19"/>
              </w:rPr>
            </w:pPr>
            <w:r w:rsidRPr="00EB01F5">
              <w:rPr>
                <w:rFonts w:ascii="Calibri" w:eastAsia="Calibri" w:hAnsi="Calibri" w:cs="Calibri"/>
                <w:b/>
                <w:color w:val="FFFEFD"/>
                <w:sz w:val="14"/>
              </w:rPr>
              <w:t xml:space="preserve">Senior </w:t>
            </w:r>
          </w:p>
          <w:p w:rsidR="00EB01F5" w:rsidRPr="00EB01F5" w:rsidRDefault="00EB01F5" w:rsidP="00EB01F5">
            <w:pPr>
              <w:ind w:left="84"/>
              <w:rPr>
                <w:rFonts w:ascii="Calibri" w:eastAsia="Calibri" w:hAnsi="Calibri" w:cs="Calibri"/>
                <w:color w:val="181717"/>
                <w:sz w:val="19"/>
              </w:rPr>
            </w:pPr>
            <w:r w:rsidRPr="00EB01F5">
              <w:rPr>
                <w:rFonts w:ascii="Calibri" w:eastAsia="Calibri" w:hAnsi="Calibri" w:cs="Calibri"/>
                <w:b/>
                <w:color w:val="FFFEFD"/>
                <w:sz w:val="14"/>
              </w:rPr>
              <w:t>Managers</w:t>
            </w:r>
          </w:p>
        </w:tc>
        <w:tc>
          <w:tcPr>
            <w:tcW w:w="794" w:type="dxa"/>
            <w:tcBorders>
              <w:top w:val="single" w:sz="16" w:space="0" w:color="FFFEFD"/>
              <w:left w:val="nil"/>
              <w:bottom w:val="single" w:sz="2" w:space="0" w:color="FFFEFD"/>
              <w:right w:val="single" w:sz="2" w:space="0" w:color="FFFEFD"/>
            </w:tcBorders>
            <w:shd w:val="clear" w:color="auto" w:fill="63676D"/>
            <w:vAlign w:val="center"/>
          </w:tcPr>
          <w:p w:rsidR="00EB01F5" w:rsidRPr="00EB01F5" w:rsidRDefault="00EB01F5" w:rsidP="00EB01F5">
            <w:pPr>
              <w:ind w:right="35"/>
              <w:jc w:val="center"/>
              <w:rPr>
                <w:rFonts w:ascii="Calibri" w:eastAsia="Calibri" w:hAnsi="Calibri" w:cs="Calibri"/>
                <w:color w:val="181717"/>
                <w:sz w:val="19"/>
              </w:rPr>
            </w:pPr>
            <w:r w:rsidRPr="00EB01F5">
              <w:rPr>
                <w:rFonts w:ascii="Calibri" w:eastAsia="Calibri" w:hAnsi="Calibri" w:cs="Calibri"/>
                <w:b/>
                <w:color w:val="FFFEFD"/>
                <w:sz w:val="14"/>
              </w:rPr>
              <w:t xml:space="preserve">Other  </w:t>
            </w:r>
          </w:p>
          <w:p w:rsidR="00EB01F5" w:rsidRPr="00EB01F5" w:rsidRDefault="00EB01F5" w:rsidP="00EB01F5">
            <w:pPr>
              <w:ind w:left="85"/>
              <w:rPr>
                <w:rFonts w:ascii="Calibri" w:eastAsia="Calibri" w:hAnsi="Calibri" w:cs="Calibri"/>
                <w:color w:val="181717"/>
                <w:sz w:val="19"/>
              </w:rPr>
            </w:pPr>
            <w:r w:rsidRPr="00EB01F5">
              <w:rPr>
                <w:rFonts w:ascii="Calibri" w:eastAsia="Calibri" w:hAnsi="Calibri" w:cs="Calibri"/>
                <w:b/>
                <w:color w:val="FFFEFD"/>
                <w:sz w:val="14"/>
              </w:rPr>
              <w:t>managers</w:t>
            </w:r>
          </w:p>
        </w:tc>
        <w:tc>
          <w:tcPr>
            <w:tcW w:w="794" w:type="dxa"/>
            <w:tcBorders>
              <w:top w:val="single" w:sz="16" w:space="0" w:color="FFFEFD"/>
              <w:left w:val="single" w:sz="2" w:space="0" w:color="FFFEFD"/>
              <w:bottom w:val="single" w:sz="2" w:space="0" w:color="FFFEFD"/>
              <w:right w:val="single" w:sz="2" w:space="0" w:color="BCC2C8"/>
            </w:tcBorders>
            <w:shd w:val="clear" w:color="auto" w:fill="63676D"/>
            <w:vAlign w:val="center"/>
          </w:tcPr>
          <w:p w:rsidR="00EB01F5" w:rsidRPr="00EB01F5" w:rsidRDefault="00EB01F5" w:rsidP="00EB01F5">
            <w:pPr>
              <w:ind w:right="35"/>
              <w:jc w:val="center"/>
              <w:rPr>
                <w:rFonts w:ascii="Calibri" w:eastAsia="Calibri" w:hAnsi="Calibri" w:cs="Calibri"/>
                <w:color w:val="181717"/>
                <w:sz w:val="19"/>
              </w:rPr>
            </w:pPr>
            <w:r w:rsidRPr="00EB01F5">
              <w:rPr>
                <w:rFonts w:ascii="Calibri" w:eastAsia="Calibri" w:hAnsi="Calibri" w:cs="Calibri"/>
                <w:b/>
                <w:color w:val="FFFEFD"/>
                <w:sz w:val="14"/>
              </w:rPr>
              <w:t xml:space="preserve">Non- </w:t>
            </w:r>
          </w:p>
          <w:p w:rsidR="00EB01F5" w:rsidRPr="00EB01F5" w:rsidRDefault="00EB01F5" w:rsidP="00EB01F5">
            <w:pPr>
              <w:ind w:left="84"/>
              <w:rPr>
                <w:rFonts w:ascii="Calibri" w:eastAsia="Calibri" w:hAnsi="Calibri" w:cs="Calibri"/>
                <w:color w:val="181717"/>
                <w:sz w:val="19"/>
              </w:rPr>
            </w:pPr>
            <w:r w:rsidRPr="00EB01F5">
              <w:rPr>
                <w:rFonts w:ascii="Calibri" w:eastAsia="Calibri" w:hAnsi="Calibri" w:cs="Calibri"/>
                <w:b/>
                <w:color w:val="FFFEFD"/>
                <w:sz w:val="14"/>
              </w:rPr>
              <w:t>Managers</w:t>
            </w:r>
          </w:p>
        </w:tc>
        <w:tc>
          <w:tcPr>
            <w:tcW w:w="2268" w:type="dxa"/>
            <w:tcBorders>
              <w:top w:val="single" w:sz="16" w:space="0" w:color="FFFEFD"/>
              <w:left w:val="single" w:sz="2" w:space="0" w:color="BCC2C8"/>
              <w:bottom w:val="single" w:sz="2" w:space="0" w:color="BCC2C8"/>
              <w:right w:val="single" w:sz="16" w:space="0" w:color="FFFEFD"/>
            </w:tcBorders>
            <w:shd w:val="clear" w:color="auto" w:fill="63676D"/>
            <w:vAlign w:val="center"/>
          </w:tcPr>
          <w:p w:rsidR="00EB01F5" w:rsidRPr="00EB01F5" w:rsidRDefault="00EB01F5" w:rsidP="00EB01F5">
            <w:pPr>
              <w:ind w:right="35"/>
              <w:jc w:val="center"/>
              <w:rPr>
                <w:rFonts w:ascii="Calibri" w:eastAsia="Calibri" w:hAnsi="Calibri" w:cs="Calibri"/>
                <w:color w:val="181717"/>
                <w:sz w:val="19"/>
              </w:rPr>
            </w:pPr>
            <w:r w:rsidRPr="00EB01F5">
              <w:rPr>
                <w:rFonts w:ascii="Calibri" w:eastAsia="Calibri" w:hAnsi="Calibri" w:cs="Calibri"/>
                <w:b/>
                <w:color w:val="FFFEFD"/>
                <w:sz w:val="14"/>
              </w:rPr>
              <w:t xml:space="preserve">WGEA Comparison Group </w:t>
            </w:r>
            <w:r w:rsidRPr="00EB01F5">
              <w:rPr>
                <w:rFonts w:ascii="Calibri" w:eastAsia="Calibri" w:hAnsi="Calibri" w:cs="Calibri"/>
                <w:color w:val="FFFEFD"/>
                <w:sz w:val="14"/>
                <w:vertAlign w:val="superscript"/>
              </w:rPr>
              <w:t>3</w:t>
            </w:r>
          </w:p>
        </w:tc>
        <w:tc>
          <w:tcPr>
            <w:tcW w:w="794" w:type="dxa"/>
            <w:tcBorders>
              <w:top w:val="single" w:sz="16" w:space="0" w:color="FFFEFD"/>
              <w:left w:val="single" w:sz="16" w:space="0" w:color="FFFEFD"/>
              <w:bottom w:val="single" w:sz="2" w:space="0" w:color="FFFEFD"/>
              <w:right w:val="single" w:sz="2" w:space="0" w:color="BCC2C8"/>
            </w:tcBorders>
            <w:shd w:val="clear" w:color="auto" w:fill="63676D"/>
            <w:vAlign w:val="center"/>
          </w:tcPr>
          <w:p w:rsidR="00EB01F5" w:rsidRPr="00EB01F5" w:rsidRDefault="00EB01F5" w:rsidP="00EB01F5">
            <w:pPr>
              <w:ind w:right="35"/>
              <w:jc w:val="center"/>
              <w:rPr>
                <w:rFonts w:ascii="Calibri" w:eastAsia="Calibri" w:hAnsi="Calibri" w:cs="Calibri"/>
                <w:color w:val="181717"/>
                <w:sz w:val="19"/>
              </w:rPr>
            </w:pPr>
            <w:r w:rsidRPr="00EB01F5">
              <w:rPr>
                <w:rFonts w:ascii="Calibri" w:eastAsia="Calibri" w:hAnsi="Calibri" w:cs="Calibri"/>
                <w:b/>
                <w:color w:val="FFFEFD"/>
                <w:sz w:val="14"/>
              </w:rPr>
              <w:t>Board</w:t>
            </w:r>
          </w:p>
        </w:tc>
      </w:tr>
      <w:tr w:rsidR="00EB01F5" w:rsidRPr="00EB01F5" w:rsidTr="007729F5">
        <w:trPr>
          <w:trHeight w:val="624"/>
        </w:trPr>
        <w:tc>
          <w:tcPr>
            <w:tcW w:w="1304" w:type="dxa"/>
            <w:tcBorders>
              <w:top w:val="single" w:sz="2" w:space="0" w:color="D3D2D2"/>
              <w:left w:val="single" w:sz="2" w:space="0" w:color="BCC2C8"/>
              <w:bottom w:val="single" w:sz="2" w:space="0" w:color="BCC2C8"/>
              <w:right w:val="single" w:sz="2" w:space="0" w:color="FFFEFD"/>
            </w:tcBorders>
            <w:shd w:val="clear" w:color="auto" w:fill="E9E8E7"/>
            <w:vAlign w:val="center"/>
          </w:tcPr>
          <w:p w:rsidR="00EB01F5" w:rsidRPr="00EB01F5" w:rsidRDefault="00EB01F5" w:rsidP="00EB01F5">
            <w:pPr>
              <w:ind w:left="21"/>
              <w:rPr>
                <w:rFonts w:ascii="Calibri" w:eastAsia="Calibri" w:hAnsi="Calibri" w:cs="Calibri"/>
                <w:color w:val="181717"/>
                <w:sz w:val="19"/>
              </w:rPr>
            </w:pPr>
            <w:r w:rsidRPr="00EB01F5">
              <w:rPr>
                <w:rFonts w:ascii="Calibri" w:eastAsia="Calibri" w:hAnsi="Calibri" w:cs="Calibri"/>
                <w:b/>
                <w:color w:val="181717"/>
                <w:sz w:val="18"/>
              </w:rPr>
              <w:t>ANZ</w:t>
            </w:r>
          </w:p>
        </w:tc>
        <w:tc>
          <w:tcPr>
            <w:tcW w:w="794" w:type="dxa"/>
            <w:tcBorders>
              <w:top w:val="single" w:sz="2" w:space="0" w:color="FFFEFD"/>
              <w:left w:val="single" w:sz="2" w:space="0" w:color="FFFEFD"/>
              <w:bottom w:val="single" w:sz="2" w:space="0" w:color="BCC2C8"/>
              <w:right w:val="single" w:sz="2" w:space="0" w:color="FFFEFD"/>
            </w:tcBorders>
            <w:shd w:val="clear" w:color="auto" w:fill="718280"/>
            <w:vAlign w:val="center"/>
          </w:tcPr>
          <w:p w:rsidR="00EB01F5" w:rsidRPr="00EB01F5" w:rsidRDefault="00EB01F5" w:rsidP="00EB01F5">
            <w:pPr>
              <w:ind w:right="35"/>
              <w:jc w:val="center"/>
              <w:rPr>
                <w:rFonts w:ascii="Calibri" w:eastAsia="Calibri" w:hAnsi="Calibri" w:cs="Calibri"/>
                <w:color w:val="181717"/>
                <w:sz w:val="19"/>
              </w:rPr>
            </w:pPr>
            <w:r w:rsidRPr="00EB01F5">
              <w:rPr>
                <w:rFonts w:ascii="Calibri" w:eastAsia="Calibri" w:hAnsi="Calibri" w:cs="Calibri"/>
                <w:color w:val="FFFEFD"/>
                <w:sz w:val="16"/>
              </w:rPr>
              <w:t>33.3</w:t>
            </w:r>
          </w:p>
        </w:tc>
        <w:tc>
          <w:tcPr>
            <w:tcW w:w="794" w:type="dxa"/>
            <w:tcBorders>
              <w:top w:val="single" w:sz="2" w:space="0" w:color="FFFEFD"/>
              <w:left w:val="single" w:sz="2" w:space="0" w:color="FFFEFD"/>
              <w:bottom w:val="single" w:sz="2" w:space="0" w:color="BCC2C8"/>
              <w:right w:val="single" w:sz="2" w:space="0" w:color="FFFEFD"/>
            </w:tcBorders>
            <w:shd w:val="clear" w:color="auto" w:fill="718280"/>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26.9</w:t>
            </w:r>
          </w:p>
        </w:tc>
        <w:tc>
          <w:tcPr>
            <w:tcW w:w="794" w:type="dxa"/>
            <w:tcBorders>
              <w:top w:val="single" w:sz="2" w:space="0" w:color="FFFEFD"/>
              <w:left w:val="single" w:sz="2" w:space="0" w:color="FFFEFD"/>
              <w:bottom w:val="single" w:sz="2" w:space="0" w:color="BCC2C8"/>
              <w:right w:val="nil"/>
            </w:tcBorders>
            <w:shd w:val="clear" w:color="auto" w:fill="F09B57"/>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30.1</w:t>
            </w:r>
          </w:p>
        </w:tc>
        <w:tc>
          <w:tcPr>
            <w:tcW w:w="794" w:type="dxa"/>
            <w:tcBorders>
              <w:top w:val="single" w:sz="2" w:space="0" w:color="FFFEFD"/>
              <w:left w:val="nil"/>
              <w:bottom w:val="single" w:sz="2" w:space="0" w:color="BCC2C8"/>
              <w:right w:val="single" w:sz="2" w:space="0" w:color="FFFEFD"/>
            </w:tcBorders>
            <w:shd w:val="clear" w:color="auto" w:fill="2B5F33"/>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41.6</w:t>
            </w:r>
          </w:p>
        </w:tc>
        <w:tc>
          <w:tcPr>
            <w:tcW w:w="794" w:type="dxa"/>
            <w:tcBorders>
              <w:top w:val="single" w:sz="2" w:space="0" w:color="FFFEFD"/>
              <w:left w:val="single" w:sz="2" w:space="0" w:color="FFFEFD"/>
              <w:bottom w:val="single" w:sz="2" w:space="0" w:color="BCC2C8"/>
              <w:right w:val="single" w:sz="2" w:space="0" w:color="BCC2C8"/>
            </w:tcBorders>
            <w:shd w:val="clear" w:color="auto" w:fill="CE4B49"/>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70.2</w:t>
            </w:r>
          </w:p>
        </w:tc>
        <w:tc>
          <w:tcPr>
            <w:tcW w:w="2268" w:type="dxa"/>
            <w:tcBorders>
              <w:top w:val="single" w:sz="2" w:space="0" w:color="BCC2C8"/>
              <w:left w:val="single" w:sz="2" w:space="0" w:color="BCC2C8"/>
              <w:bottom w:val="single" w:sz="2" w:space="0" w:color="BCC2C8"/>
              <w:right w:val="single" w:sz="16" w:space="0" w:color="FFFEFD"/>
            </w:tcBorders>
            <w:shd w:val="clear" w:color="auto" w:fill="E9E8E7"/>
            <w:vAlign w:val="center"/>
          </w:tcPr>
          <w:p w:rsidR="00EB01F5" w:rsidRPr="00EB01F5" w:rsidRDefault="00EB01F5" w:rsidP="00EB01F5">
            <w:pPr>
              <w:ind w:left="21"/>
              <w:rPr>
                <w:rFonts w:ascii="Calibri" w:eastAsia="Calibri" w:hAnsi="Calibri" w:cs="Calibri"/>
                <w:color w:val="181717"/>
                <w:sz w:val="19"/>
              </w:rPr>
            </w:pPr>
            <w:r w:rsidRPr="00EB01F5">
              <w:rPr>
                <w:rFonts w:ascii="Calibri" w:eastAsia="Calibri" w:hAnsi="Calibri" w:cs="Calibri"/>
                <w:color w:val="343433"/>
                <w:sz w:val="16"/>
              </w:rPr>
              <w:t xml:space="preserve">Banking  </w:t>
            </w:r>
          </w:p>
          <w:p w:rsidR="00EB01F5" w:rsidRPr="00EB01F5" w:rsidRDefault="00EB01F5" w:rsidP="00EB01F5">
            <w:pPr>
              <w:ind w:left="21"/>
              <w:rPr>
                <w:rFonts w:ascii="Calibri" w:eastAsia="Calibri" w:hAnsi="Calibri" w:cs="Calibri"/>
                <w:color w:val="181717"/>
                <w:sz w:val="19"/>
              </w:rPr>
            </w:pPr>
            <w:r w:rsidRPr="00EB01F5">
              <w:rPr>
                <w:rFonts w:ascii="Calibri" w:eastAsia="Calibri" w:hAnsi="Calibri" w:cs="Calibri"/>
                <w:color w:val="343433"/>
                <w:sz w:val="16"/>
              </w:rPr>
              <w:t>(5000+ employees)</w:t>
            </w:r>
          </w:p>
        </w:tc>
        <w:tc>
          <w:tcPr>
            <w:tcW w:w="794" w:type="dxa"/>
            <w:tcBorders>
              <w:top w:val="single" w:sz="2" w:space="0" w:color="FFFEFD"/>
              <w:left w:val="single" w:sz="16" w:space="0" w:color="FFFEFD"/>
              <w:bottom w:val="single" w:sz="2" w:space="0" w:color="BCC2C8"/>
              <w:right w:val="single" w:sz="2" w:space="0" w:color="BCC2C8"/>
            </w:tcBorders>
            <w:shd w:val="clear" w:color="auto" w:fill="E9E8E7"/>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181717"/>
                <w:sz w:val="16"/>
              </w:rPr>
              <w:t>25.0</w:t>
            </w:r>
          </w:p>
        </w:tc>
      </w:tr>
      <w:tr w:rsidR="00EB01F5" w:rsidRPr="00EB01F5" w:rsidTr="007729F5">
        <w:trPr>
          <w:trHeight w:val="624"/>
        </w:trPr>
        <w:tc>
          <w:tcPr>
            <w:tcW w:w="1304" w:type="dxa"/>
            <w:tcBorders>
              <w:top w:val="single" w:sz="2" w:space="0" w:color="BCC2C8"/>
              <w:left w:val="single" w:sz="2" w:space="0" w:color="BCC2C8"/>
              <w:bottom w:val="single" w:sz="2" w:space="0" w:color="BCC2C8"/>
              <w:right w:val="single" w:sz="2" w:space="0" w:color="FFFEFD"/>
            </w:tcBorders>
            <w:shd w:val="clear" w:color="auto" w:fill="E9E8E7"/>
            <w:vAlign w:val="center"/>
          </w:tcPr>
          <w:p w:rsidR="00EB01F5" w:rsidRPr="00EB01F5" w:rsidRDefault="00EB01F5" w:rsidP="00EB01F5">
            <w:pPr>
              <w:ind w:left="21"/>
              <w:rPr>
                <w:rFonts w:ascii="Calibri" w:eastAsia="Calibri" w:hAnsi="Calibri" w:cs="Calibri"/>
                <w:color w:val="181717"/>
                <w:sz w:val="19"/>
              </w:rPr>
            </w:pPr>
            <w:r w:rsidRPr="00EB01F5">
              <w:rPr>
                <w:rFonts w:ascii="Calibri" w:eastAsia="Calibri" w:hAnsi="Calibri" w:cs="Calibri"/>
                <w:b/>
                <w:color w:val="181717"/>
                <w:sz w:val="18"/>
              </w:rPr>
              <w:t>ASX</w:t>
            </w:r>
          </w:p>
        </w:tc>
        <w:tc>
          <w:tcPr>
            <w:tcW w:w="794" w:type="dxa"/>
            <w:tcBorders>
              <w:top w:val="single" w:sz="2" w:space="0" w:color="BCC2C8"/>
              <w:left w:val="single" w:sz="2" w:space="0" w:color="FFFEFD"/>
              <w:bottom w:val="single" w:sz="2" w:space="0" w:color="BCC2C8"/>
              <w:right w:val="single" w:sz="2" w:space="0" w:color="FFFEFD"/>
            </w:tcBorders>
            <w:shd w:val="clear" w:color="auto" w:fill="718280"/>
            <w:vAlign w:val="center"/>
          </w:tcPr>
          <w:p w:rsidR="00EB01F5" w:rsidRPr="00EB01F5" w:rsidRDefault="00EB01F5" w:rsidP="00EB01F5">
            <w:pPr>
              <w:ind w:right="35"/>
              <w:jc w:val="center"/>
              <w:rPr>
                <w:rFonts w:ascii="Calibri" w:eastAsia="Calibri" w:hAnsi="Calibri" w:cs="Calibri"/>
                <w:color w:val="181717"/>
                <w:sz w:val="19"/>
              </w:rPr>
            </w:pPr>
            <w:r w:rsidRPr="00EB01F5">
              <w:rPr>
                <w:rFonts w:ascii="Calibri" w:eastAsia="Calibri" w:hAnsi="Calibri" w:cs="Calibri"/>
                <w:color w:val="FFFEFD"/>
                <w:sz w:val="16"/>
              </w:rPr>
              <w:t>25.0</w:t>
            </w:r>
          </w:p>
        </w:tc>
        <w:tc>
          <w:tcPr>
            <w:tcW w:w="794" w:type="dxa"/>
            <w:tcBorders>
              <w:top w:val="single" w:sz="2" w:space="0" w:color="BCC2C8"/>
              <w:left w:val="single" w:sz="2" w:space="0" w:color="FFFEFD"/>
              <w:bottom w:val="single" w:sz="2" w:space="0" w:color="BCC2C8"/>
              <w:right w:val="single" w:sz="2" w:space="0" w:color="FFFEFD"/>
            </w:tcBorders>
            <w:shd w:val="clear" w:color="auto" w:fill="718280"/>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30.6</w:t>
            </w:r>
          </w:p>
        </w:tc>
        <w:tc>
          <w:tcPr>
            <w:tcW w:w="794" w:type="dxa"/>
            <w:tcBorders>
              <w:top w:val="single" w:sz="2" w:space="0" w:color="BCC2C8"/>
              <w:left w:val="single" w:sz="2" w:space="0" w:color="FFFEFD"/>
              <w:bottom w:val="single" w:sz="2" w:space="0" w:color="BCC2C8"/>
              <w:right w:val="nil"/>
            </w:tcBorders>
            <w:shd w:val="clear" w:color="auto" w:fill="CE4B49"/>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18.2</w:t>
            </w:r>
          </w:p>
        </w:tc>
        <w:tc>
          <w:tcPr>
            <w:tcW w:w="794" w:type="dxa"/>
            <w:tcBorders>
              <w:top w:val="single" w:sz="2" w:space="0" w:color="BCC2C8"/>
              <w:left w:val="nil"/>
              <w:bottom w:val="single" w:sz="2" w:space="0" w:color="BCC2C8"/>
              <w:right w:val="single" w:sz="2" w:space="0" w:color="FFFEFD"/>
            </w:tcBorders>
            <w:shd w:val="clear" w:color="auto" w:fill="2B5F33"/>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46.2</w:t>
            </w:r>
          </w:p>
        </w:tc>
        <w:tc>
          <w:tcPr>
            <w:tcW w:w="794" w:type="dxa"/>
            <w:tcBorders>
              <w:top w:val="single" w:sz="2" w:space="0" w:color="BCC2C8"/>
              <w:left w:val="single" w:sz="2" w:space="0" w:color="FFFEFD"/>
              <w:bottom w:val="single" w:sz="2" w:space="0" w:color="BCC2C8"/>
              <w:right w:val="single" w:sz="2" w:space="0" w:color="BCC2C8"/>
            </w:tcBorders>
            <w:shd w:val="clear" w:color="auto" w:fill="2B5F33"/>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42.2</w:t>
            </w:r>
          </w:p>
        </w:tc>
        <w:tc>
          <w:tcPr>
            <w:tcW w:w="2268" w:type="dxa"/>
            <w:tcBorders>
              <w:top w:val="single" w:sz="2" w:space="0" w:color="BCC2C8"/>
              <w:left w:val="single" w:sz="2" w:space="0" w:color="BCC2C8"/>
              <w:bottom w:val="single" w:sz="2" w:space="0" w:color="BCC2C8"/>
              <w:right w:val="single" w:sz="16" w:space="0" w:color="FFFEFD"/>
            </w:tcBorders>
            <w:shd w:val="clear" w:color="auto" w:fill="E9E8E7"/>
            <w:vAlign w:val="center"/>
          </w:tcPr>
          <w:p w:rsidR="00EB01F5" w:rsidRPr="00EB01F5" w:rsidRDefault="00EB01F5" w:rsidP="00EB01F5">
            <w:pPr>
              <w:ind w:left="21"/>
              <w:rPr>
                <w:rFonts w:ascii="Calibri" w:eastAsia="Calibri" w:hAnsi="Calibri" w:cs="Calibri"/>
                <w:color w:val="181717"/>
                <w:sz w:val="19"/>
              </w:rPr>
            </w:pPr>
            <w:r w:rsidRPr="00EB01F5">
              <w:rPr>
                <w:rFonts w:ascii="Calibri" w:eastAsia="Calibri" w:hAnsi="Calibri" w:cs="Calibri"/>
                <w:color w:val="343433"/>
                <w:sz w:val="16"/>
              </w:rPr>
              <w:t>Financial and Insurance Services  (500-999 employees)</w:t>
            </w:r>
          </w:p>
        </w:tc>
        <w:tc>
          <w:tcPr>
            <w:tcW w:w="794" w:type="dxa"/>
            <w:tcBorders>
              <w:top w:val="single" w:sz="2" w:space="0" w:color="BCC2C8"/>
              <w:left w:val="single" w:sz="16" w:space="0" w:color="FFFEFD"/>
              <w:bottom w:val="single" w:sz="2" w:space="0" w:color="BCC2C8"/>
              <w:right w:val="single" w:sz="2" w:space="0" w:color="BCC2C8"/>
            </w:tcBorders>
            <w:shd w:val="clear" w:color="auto" w:fill="E9E8E7"/>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181717"/>
                <w:sz w:val="16"/>
              </w:rPr>
              <w:t>28.6</w:t>
            </w:r>
          </w:p>
        </w:tc>
      </w:tr>
      <w:tr w:rsidR="00EB01F5" w:rsidRPr="00EB01F5" w:rsidTr="007729F5">
        <w:trPr>
          <w:trHeight w:val="624"/>
        </w:trPr>
        <w:tc>
          <w:tcPr>
            <w:tcW w:w="1304" w:type="dxa"/>
            <w:tcBorders>
              <w:top w:val="single" w:sz="2" w:space="0" w:color="BCC2C8"/>
              <w:left w:val="single" w:sz="2" w:space="0" w:color="BCC2C8"/>
              <w:bottom w:val="single" w:sz="2" w:space="0" w:color="BCC2C8"/>
              <w:right w:val="single" w:sz="2" w:space="0" w:color="FFFEFD"/>
            </w:tcBorders>
            <w:shd w:val="clear" w:color="auto" w:fill="E9E8E7"/>
            <w:vAlign w:val="center"/>
          </w:tcPr>
          <w:p w:rsidR="00EB01F5" w:rsidRPr="00EB01F5" w:rsidRDefault="00EB01F5" w:rsidP="00EB01F5">
            <w:pPr>
              <w:ind w:left="21"/>
              <w:rPr>
                <w:rFonts w:ascii="Calibri" w:eastAsia="Calibri" w:hAnsi="Calibri" w:cs="Calibri"/>
                <w:color w:val="181717"/>
                <w:sz w:val="19"/>
              </w:rPr>
            </w:pPr>
            <w:r w:rsidRPr="00EB01F5">
              <w:rPr>
                <w:rFonts w:ascii="Calibri" w:eastAsia="Calibri" w:hAnsi="Calibri" w:cs="Calibri"/>
                <w:b/>
                <w:color w:val="181717"/>
                <w:sz w:val="18"/>
              </w:rPr>
              <w:t>CBA</w:t>
            </w:r>
          </w:p>
        </w:tc>
        <w:tc>
          <w:tcPr>
            <w:tcW w:w="794" w:type="dxa"/>
            <w:tcBorders>
              <w:top w:val="single" w:sz="2" w:space="0" w:color="BCC2C8"/>
              <w:left w:val="single" w:sz="2" w:space="0" w:color="FFFEFD"/>
              <w:bottom w:val="single" w:sz="2" w:space="0" w:color="BCC2C8"/>
              <w:right w:val="single" w:sz="2" w:space="0" w:color="FFFEFD"/>
            </w:tcBorders>
            <w:shd w:val="clear" w:color="auto" w:fill="718280"/>
            <w:vAlign w:val="center"/>
          </w:tcPr>
          <w:p w:rsidR="00EB01F5" w:rsidRPr="00EB01F5" w:rsidRDefault="00EB01F5" w:rsidP="00EB01F5">
            <w:pPr>
              <w:ind w:right="35"/>
              <w:jc w:val="center"/>
              <w:rPr>
                <w:rFonts w:ascii="Calibri" w:eastAsia="Calibri" w:hAnsi="Calibri" w:cs="Calibri"/>
                <w:color w:val="181717"/>
                <w:sz w:val="19"/>
              </w:rPr>
            </w:pPr>
            <w:r w:rsidRPr="00EB01F5">
              <w:rPr>
                <w:rFonts w:ascii="Calibri" w:eastAsia="Calibri" w:hAnsi="Calibri" w:cs="Calibri"/>
                <w:color w:val="FFFEFD"/>
                <w:sz w:val="16"/>
              </w:rPr>
              <w:t>27.3</w:t>
            </w:r>
          </w:p>
        </w:tc>
        <w:tc>
          <w:tcPr>
            <w:tcW w:w="794" w:type="dxa"/>
            <w:tcBorders>
              <w:top w:val="single" w:sz="2" w:space="0" w:color="BCC2C8"/>
              <w:left w:val="single" w:sz="2" w:space="0" w:color="FFFEFD"/>
              <w:bottom w:val="single" w:sz="2" w:space="0" w:color="BCC2C8"/>
              <w:right w:val="single" w:sz="2" w:space="0" w:color="FFFEFD"/>
            </w:tcBorders>
            <w:shd w:val="clear" w:color="auto" w:fill="718280"/>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31.1</w:t>
            </w:r>
          </w:p>
        </w:tc>
        <w:tc>
          <w:tcPr>
            <w:tcW w:w="794" w:type="dxa"/>
            <w:tcBorders>
              <w:top w:val="single" w:sz="2" w:space="0" w:color="BCC2C8"/>
              <w:left w:val="single" w:sz="2" w:space="0" w:color="FFFEFD"/>
              <w:bottom w:val="single" w:sz="2" w:space="0" w:color="BCC2C8"/>
              <w:right w:val="nil"/>
            </w:tcBorders>
            <w:shd w:val="clear" w:color="auto" w:fill="718280"/>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31.3</w:t>
            </w:r>
          </w:p>
        </w:tc>
        <w:tc>
          <w:tcPr>
            <w:tcW w:w="794" w:type="dxa"/>
            <w:tcBorders>
              <w:top w:val="single" w:sz="2" w:space="0" w:color="BCC2C8"/>
              <w:left w:val="nil"/>
              <w:bottom w:val="single" w:sz="2" w:space="0" w:color="BCC2C8"/>
              <w:right w:val="single" w:sz="2" w:space="0" w:color="FFFEFD"/>
            </w:tcBorders>
            <w:shd w:val="clear" w:color="auto" w:fill="CE4B49"/>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32.6</w:t>
            </w:r>
          </w:p>
        </w:tc>
        <w:tc>
          <w:tcPr>
            <w:tcW w:w="794" w:type="dxa"/>
            <w:tcBorders>
              <w:top w:val="single" w:sz="2" w:space="0" w:color="BCC2C8"/>
              <w:left w:val="single" w:sz="2" w:space="0" w:color="FFFEFD"/>
              <w:bottom w:val="single" w:sz="2" w:space="0" w:color="BCC2C8"/>
              <w:right w:val="single" w:sz="2" w:space="0" w:color="BCC2C8"/>
            </w:tcBorders>
            <w:shd w:val="clear" w:color="auto" w:fill="718280"/>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60.9</w:t>
            </w:r>
          </w:p>
        </w:tc>
        <w:tc>
          <w:tcPr>
            <w:tcW w:w="2268" w:type="dxa"/>
            <w:tcBorders>
              <w:top w:val="single" w:sz="2" w:space="0" w:color="BCC2C8"/>
              <w:left w:val="single" w:sz="2" w:space="0" w:color="BCC2C8"/>
              <w:bottom w:val="single" w:sz="2" w:space="0" w:color="BCC2C8"/>
              <w:right w:val="single" w:sz="16" w:space="0" w:color="FFFEFD"/>
            </w:tcBorders>
            <w:shd w:val="clear" w:color="auto" w:fill="E9E8E7"/>
            <w:vAlign w:val="center"/>
          </w:tcPr>
          <w:p w:rsidR="00EB01F5" w:rsidRPr="00EB01F5" w:rsidRDefault="00EB01F5" w:rsidP="00EB01F5">
            <w:pPr>
              <w:ind w:left="21"/>
              <w:rPr>
                <w:rFonts w:ascii="Calibri" w:eastAsia="Calibri" w:hAnsi="Calibri" w:cs="Calibri"/>
                <w:color w:val="181717"/>
                <w:sz w:val="19"/>
              </w:rPr>
            </w:pPr>
            <w:r w:rsidRPr="00EB01F5">
              <w:rPr>
                <w:rFonts w:ascii="Calibri" w:eastAsia="Calibri" w:hAnsi="Calibri" w:cs="Calibri"/>
                <w:color w:val="343433"/>
                <w:sz w:val="16"/>
              </w:rPr>
              <w:t xml:space="preserve">Banking  </w:t>
            </w:r>
          </w:p>
          <w:p w:rsidR="00EB01F5" w:rsidRPr="00EB01F5" w:rsidRDefault="00EB01F5" w:rsidP="00EB01F5">
            <w:pPr>
              <w:ind w:left="21"/>
              <w:rPr>
                <w:rFonts w:ascii="Calibri" w:eastAsia="Calibri" w:hAnsi="Calibri" w:cs="Calibri"/>
                <w:color w:val="181717"/>
                <w:sz w:val="19"/>
              </w:rPr>
            </w:pPr>
            <w:r w:rsidRPr="00EB01F5">
              <w:rPr>
                <w:rFonts w:ascii="Calibri" w:eastAsia="Calibri" w:hAnsi="Calibri" w:cs="Calibri"/>
                <w:color w:val="343433"/>
                <w:sz w:val="16"/>
              </w:rPr>
              <w:t>(5000+ employees)</w:t>
            </w:r>
          </w:p>
        </w:tc>
        <w:tc>
          <w:tcPr>
            <w:tcW w:w="794" w:type="dxa"/>
            <w:tcBorders>
              <w:top w:val="single" w:sz="2" w:space="0" w:color="BCC2C8"/>
              <w:left w:val="single" w:sz="16" w:space="0" w:color="FFFEFD"/>
              <w:bottom w:val="single" w:sz="2" w:space="0" w:color="BCC2C8"/>
              <w:right w:val="single" w:sz="2" w:space="0" w:color="BCC2C8"/>
            </w:tcBorders>
            <w:shd w:val="clear" w:color="auto" w:fill="E9E8E7"/>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181717"/>
                <w:sz w:val="16"/>
              </w:rPr>
              <w:t>33.3</w:t>
            </w:r>
          </w:p>
        </w:tc>
      </w:tr>
      <w:tr w:rsidR="00EB01F5" w:rsidRPr="00EB01F5" w:rsidTr="007729F5">
        <w:trPr>
          <w:trHeight w:val="624"/>
        </w:trPr>
        <w:tc>
          <w:tcPr>
            <w:tcW w:w="1304" w:type="dxa"/>
            <w:tcBorders>
              <w:top w:val="single" w:sz="2" w:space="0" w:color="BCC2C8"/>
              <w:left w:val="single" w:sz="2" w:space="0" w:color="BCC2C8"/>
              <w:bottom w:val="single" w:sz="2" w:space="0" w:color="BCC2C8"/>
              <w:right w:val="single" w:sz="2" w:space="0" w:color="FFFEFD"/>
            </w:tcBorders>
            <w:shd w:val="clear" w:color="auto" w:fill="E9E8E7"/>
            <w:vAlign w:val="center"/>
          </w:tcPr>
          <w:p w:rsidR="00EB01F5" w:rsidRPr="00EB01F5" w:rsidRDefault="00EB01F5" w:rsidP="00EB01F5">
            <w:pPr>
              <w:ind w:left="21"/>
              <w:rPr>
                <w:rFonts w:ascii="Calibri" w:eastAsia="Calibri" w:hAnsi="Calibri" w:cs="Calibri"/>
                <w:color w:val="181717"/>
                <w:sz w:val="19"/>
              </w:rPr>
            </w:pPr>
            <w:r w:rsidRPr="00EB01F5">
              <w:rPr>
                <w:rFonts w:ascii="Calibri" w:eastAsia="Calibri" w:hAnsi="Calibri" w:cs="Calibri"/>
                <w:b/>
                <w:color w:val="181717"/>
                <w:sz w:val="18"/>
              </w:rPr>
              <w:t>Citi</w:t>
            </w:r>
          </w:p>
        </w:tc>
        <w:tc>
          <w:tcPr>
            <w:tcW w:w="794" w:type="dxa"/>
            <w:tcBorders>
              <w:top w:val="single" w:sz="2" w:space="0" w:color="BCC2C8"/>
              <w:left w:val="single" w:sz="2" w:space="0" w:color="FFFEFD"/>
              <w:bottom w:val="single" w:sz="2" w:space="0" w:color="BCC2C8"/>
              <w:right w:val="single" w:sz="2" w:space="0" w:color="FFFEFD"/>
            </w:tcBorders>
            <w:shd w:val="clear" w:color="auto" w:fill="718280"/>
            <w:vAlign w:val="center"/>
          </w:tcPr>
          <w:p w:rsidR="00EB01F5" w:rsidRPr="00EB01F5" w:rsidRDefault="00EB01F5" w:rsidP="00EB01F5">
            <w:pPr>
              <w:ind w:right="35"/>
              <w:jc w:val="center"/>
              <w:rPr>
                <w:rFonts w:ascii="Calibri" w:eastAsia="Calibri" w:hAnsi="Calibri" w:cs="Calibri"/>
                <w:color w:val="181717"/>
                <w:sz w:val="19"/>
              </w:rPr>
            </w:pPr>
            <w:r w:rsidRPr="00EB01F5">
              <w:rPr>
                <w:rFonts w:ascii="Calibri" w:eastAsia="Calibri" w:hAnsi="Calibri" w:cs="Calibri"/>
                <w:color w:val="FFFEFD"/>
                <w:sz w:val="16"/>
              </w:rPr>
              <w:t>26.7</w:t>
            </w:r>
          </w:p>
        </w:tc>
        <w:tc>
          <w:tcPr>
            <w:tcW w:w="794" w:type="dxa"/>
            <w:tcBorders>
              <w:top w:val="single" w:sz="2" w:space="0" w:color="BCC2C8"/>
              <w:left w:val="single" w:sz="2" w:space="0" w:color="FFFEFD"/>
              <w:bottom w:val="single" w:sz="2" w:space="0" w:color="BCC2C8"/>
              <w:right w:val="single" w:sz="2" w:space="0" w:color="FFFEFD"/>
            </w:tcBorders>
            <w:shd w:val="clear" w:color="auto" w:fill="F09B57"/>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21.7</w:t>
            </w:r>
          </w:p>
        </w:tc>
        <w:tc>
          <w:tcPr>
            <w:tcW w:w="794" w:type="dxa"/>
            <w:tcBorders>
              <w:top w:val="single" w:sz="2" w:space="0" w:color="BCC2C8"/>
              <w:left w:val="single" w:sz="2" w:space="0" w:color="FFFEFD"/>
              <w:bottom w:val="single" w:sz="2" w:space="0" w:color="BCC2C8"/>
              <w:right w:val="nil"/>
            </w:tcBorders>
            <w:shd w:val="clear" w:color="auto" w:fill="CE4B49"/>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26.1</w:t>
            </w:r>
          </w:p>
        </w:tc>
        <w:tc>
          <w:tcPr>
            <w:tcW w:w="794" w:type="dxa"/>
            <w:tcBorders>
              <w:top w:val="single" w:sz="2" w:space="0" w:color="BCC2C8"/>
              <w:left w:val="nil"/>
              <w:bottom w:val="single" w:sz="2" w:space="0" w:color="BCC2C8"/>
              <w:right w:val="single" w:sz="2" w:space="0" w:color="FFFEFD"/>
            </w:tcBorders>
            <w:shd w:val="clear" w:color="auto" w:fill="CE4B49"/>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33.8</w:t>
            </w:r>
          </w:p>
        </w:tc>
        <w:tc>
          <w:tcPr>
            <w:tcW w:w="794" w:type="dxa"/>
            <w:tcBorders>
              <w:top w:val="single" w:sz="2" w:space="0" w:color="BCC2C8"/>
              <w:left w:val="single" w:sz="2" w:space="0" w:color="FFFEFD"/>
              <w:bottom w:val="single" w:sz="2" w:space="0" w:color="BCC2C8"/>
              <w:right w:val="single" w:sz="2" w:space="0" w:color="BCC2C8"/>
            </w:tcBorders>
            <w:shd w:val="clear" w:color="auto" w:fill="2B5F33"/>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49.7</w:t>
            </w:r>
          </w:p>
        </w:tc>
        <w:tc>
          <w:tcPr>
            <w:tcW w:w="2268" w:type="dxa"/>
            <w:tcBorders>
              <w:top w:val="single" w:sz="2" w:space="0" w:color="BCC2C8"/>
              <w:left w:val="single" w:sz="2" w:space="0" w:color="BCC2C8"/>
              <w:bottom w:val="single" w:sz="2" w:space="0" w:color="BCC2C8"/>
              <w:right w:val="single" w:sz="16" w:space="0" w:color="FFFEFD"/>
            </w:tcBorders>
            <w:shd w:val="clear" w:color="auto" w:fill="E9E8E7"/>
            <w:vAlign w:val="center"/>
          </w:tcPr>
          <w:p w:rsidR="00EB01F5" w:rsidRPr="00EB01F5" w:rsidRDefault="00EB01F5" w:rsidP="00EB01F5">
            <w:pPr>
              <w:ind w:left="21"/>
              <w:rPr>
                <w:rFonts w:ascii="Calibri" w:eastAsia="Calibri" w:hAnsi="Calibri" w:cs="Calibri"/>
                <w:color w:val="181717"/>
                <w:sz w:val="19"/>
              </w:rPr>
            </w:pPr>
            <w:r w:rsidRPr="00EB01F5">
              <w:rPr>
                <w:rFonts w:ascii="Calibri" w:eastAsia="Calibri" w:hAnsi="Calibri" w:cs="Calibri"/>
                <w:color w:val="343433"/>
                <w:sz w:val="16"/>
              </w:rPr>
              <w:t xml:space="preserve">Banking  </w:t>
            </w:r>
          </w:p>
          <w:p w:rsidR="00EB01F5" w:rsidRPr="00EB01F5" w:rsidRDefault="00EB01F5" w:rsidP="00EB01F5">
            <w:pPr>
              <w:ind w:left="21"/>
              <w:rPr>
                <w:rFonts w:ascii="Calibri" w:eastAsia="Calibri" w:hAnsi="Calibri" w:cs="Calibri"/>
                <w:color w:val="181717"/>
                <w:sz w:val="19"/>
              </w:rPr>
            </w:pPr>
            <w:r w:rsidRPr="00EB01F5">
              <w:rPr>
                <w:rFonts w:ascii="Calibri" w:eastAsia="Calibri" w:hAnsi="Calibri" w:cs="Calibri"/>
                <w:color w:val="343433"/>
                <w:sz w:val="16"/>
              </w:rPr>
              <w:t>(1000+ employees)</w:t>
            </w:r>
          </w:p>
        </w:tc>
        <w:tc>
          <w:tcPr>
            <w:tcW w:w="794" w:type="dxa"/>
            <w:tcBorders>
              <w:top w:val="single" w:sz="2" w:space="0" w:color="BCC2C8"/>
              <w:left w:val="single" w:sz="16" w:space="0" w:color="FFFEFD"/>
              <w:bottom w:val="single" w:sz="2" w:space="0" w:color="BCC2C8"/>
              <w:right w:val="single" w:sz="2" w:space="0" w:color="BCC2C8"/>
            </w:tcBorders>
            <w:shd w:val="clear" w:color="auto" w:fill="E9E8E7"/>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181717"/>
                <w:sz w:val="16"/>
              </w:rPr>
              <w:t>16.0</w:t>
            </w:r>
          </w:p>
        </w:tc>
      </w:tr>
      <w:tr w:rsidR="00EB01F5" w:rsidRPr="00EB01F5" w:rsidTr="007729F5">
        <w:trPr>
          <w:trHeight w:val="624"/>
        </w:trPr>
        <w:tc>
          <w:tcPr>
            <w:tcW w:w="1304" w:type="dxa"/>
            <w:tcBorders>
              <w:top w:val="single" w:sz="2" w:space="0" w:color="BCC2C8"/>
              <w:left w:val="single" w:sz="2" w:space="0" w:color="BCC2C8"/>
              <w:bottom w:val="single" w:sz="2" w:space="0" w:color="BCC2C8"/>
              <w:right w:val="single" w:sz="2" w:space="0" w:color="FFFEFD"/>
            </w:tcBorders>
            <w:shd w:val="clear" w:color="auto" w:fill="E9E8E7"/>
            <w:vAlign w:val="center"/>
          </w:tcPr>
          <w:p w:rsidR="00EB01F5" w:rsidRPr="00EB01F5" w:rsidRDefault="00EB01F5" w:rsidP="00EB01F5">
            <w:pPr>
              <w:ind w:left="21"/>
              <w:rPr>
                <w:rFonts w:ascii="Calibri" w:eastAsia="Calibri" w:hAnsi="Calibri" w:cs="Calibri"/>
                <w:color w:val="181717"/>
                <w:sz w:val="19"/>
              </w:rPr>
            </w:pPr>
            <w:r w:rsidRPr="00EB01F5">
              <w:rPr>
                <w:rFonts w:ascii="Calibri" w:eastAsia="Calibri" w:hAnsi="Calibri" w:cs="Calibri"/>
                <w:b/>
                <w:color w:val="181717"/>
                <w:sz w:val="18"/>
              </w:rPr>
              <w:t>Deloitte</w:t>
            </w:r>
          </w:p>
        </w:tc>
        <w:tc>
          <w:tcPr>
            <w:tcW w:w="794" w:type="dxa"/>
            <w:tcBorders>
              <w:top w:val="single" w:sz="2" w:space="0" w:color="BCC2C8"/>
              <w:left w:val="single" w:sz="2" w:space="0" w:color="FFFEFD"/>
              <w:bottom w:val="single" w:sz="2" w:space="0" w:color="BCC2C8"/>
              <w:right w:val="single" w:sz="2" w:space="0" w:color="BCC2C8"/>
            </w:tcBorders>
            <w:shd w:val="clear" w:color="auto" w:fill="FFFEFD"/>
          </w:tcPr>
          <w:p w:rsidR="00EB01F5" w:rsidRPr="00EB01F5" w:rsidRDefault="00EB01F5" w:rsidP="00EB01F5">
            <w:pPr>
              <w:rPr>
                <w:rFonts w:ascii="Calibri" w:eastAsia="Calibri" w:hAnsi="Calibri" w:cs="Calibri"/>
                <w:color w:val="181717"/>
                <w:sz w:val="19"/>
              </w:rPr>
            </w:pPr>
          </w:p>
        </w:tc>
        <w:tc>
          <w:tcPr>
            <w:tcW w:w="794" w:type="dxa"/>
            <w:tcBorders>
              <w:top w:val="single" w:sz="2" w:space="0" w:color="BCC2C8"/>
              <w:left w:val="single" w:sz="2" w:space="0" w:color="BCC2C8"/>
              <w:bottom w:val="single" w:sz="2" w:space="0" w:color="BCC2C8"/>
              <w:right w:val="single" w:sz="2" w:space="0" w:color="FFFEFD"/>
            </w:tcBorders>
            <w:shd w:val="clear" w:color="auto" w:fill="FFFEFD"/>
          </w:tcPr>
          <w:p w:rsidR="00EB01F5" w:rsidRPr="00EB01F5" w:rsidRDefault="00EB01F5" w:rsidP="00EB01F5">
            <w:pPr>
              <w:rPr>
                <w:rFonts w:ascii="Calibri" w:eastAsia="Calibri" w:hAnsi="Calibri" w:cs="Calibri"/>
                <w:color w:val="181717"/>
                <w:sz w:val="19"/>
              </w:rPr>
            </w:pPr>
          </w:p>
        </w:tc>
        <w:tc>
          <w:tcPr>
            <w:tcW w:w="794" w:type="dxa"/>
            <w:tcBorders>
              <w:top w:val="single" w:sz="2" w:space="0" w:color="BCC2C8"/>
              <w:left w:val="single" w:sz="2" w:space="0" w:color="FFFEFD"/>
              <w:bottom w:val="single" w:sz="2" w:space="0" w:color="BCC2C8"/>
              <w:right w:val="nil"/>
            </w:tcBorders>
            <w:shd w:val="clear" w:color="auto" w:fill="718280"/>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39.3</w:t>
            </w:r>
          </w:p>
        </w:tc>
        <w:tc>
          <w:tcPr>
            <w:tcW w:w="794" w:type="dxa"/>
            <w:tcBorders>
              <w:top w:val="single" w:sz="2" w:space="0" w:color="BCC2C8"/>
              <w:left w:val="nil"/>
              <w:bottom w:val="single" w:sz="2" w:space="0" w:color="BCC2C8"/>
              <w:right w:val="single" w:sz="2" w:space="0" w:color="FFFEFD"/>
            </w:tcBorders>
            <w:shd w:val="clear" w:color="auto" w:fill="2B5F33"/>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46.4</w:t>
            </w:r>
          </w:p>
        </w:tc>
        <w:tc>
          <w:tcPr>
            <w:tcW w:w="794" w:type="dxa"/>
            <w:tcBorders>
              <w:top w:val="single" w:sz="2" w:space="0" w:color="BCC2C8"/>
              <w:left w:val="single" w:sz="2" w:space="0" w:color="FFFEFD"/>
              <w:bottom w:val="single" w:sz="2" w:space="0" w:color="BCC2C8"/>
              <w:right w:val="single" w:sz="2" w:space="0" w:color="BCC2C8"/>
            </w:tcBorders>
            <w:shd w:val="clear" w:color="auto" w:fill="2B5F33"/>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53.0</w:t>
            </w:r>
          </w:p>
        </w:tc>
        <w:tc>
          <w:tcPr>
            <w:tcW w:w="2268" w:type="dxa"/>
            <w:tcBorders>
              <w:top w:val="single" w:sz="2" w:space="0" w:color="BCC2C8"/>
              <w:left w:val="single" w:sz="2" w:space="0" w:color="BCC2C8"/>
              <w:bottom w:val="single" w:sz="2" w:space="0" w:color="BCC2C8"/>
              <w:right w:val="single" w:sz="16" w:space="0" w:color="FFFEFD"/>
            </w:tcBorders>
            <w:shd w:val="clear" w:color="auto" w:fill="E9E8E7"/>
            <w:vAlign w:val="center"/>
          </w:tcPr>
          <w:p w:rsidR="00EB01F5" w:rsidRPr="00EB01F5" w:rsidRDefault="00EB01F5" w:rsidP="00EB01F5">
            <w:pPr>
              <w:ind w:left="21" w:right="487"/>
              <w:rPr>
                <w:rFonts w:ascii="Calibri" w:eastAsia="Calibri" w:hAnsi="Calibri" w:cs="Calibri"/>
                <w:color w:val="181717"/>
                <w:sz w:val="19"/>
              </w:rPr>
            </w:pPr>
            <w:r w:rsidRPr="00EB01F5">
              <w:rPr>
                <w:rFonts w:ascii="Calibri" w:eastAsia="Calibri" w:hAnsi="Calibri" w:cs="Calibri"/>
                <w:color w:val="343433"/>
                <w:sz w:val="16"/>
              </w:rPr>
              <w:t>Accounting Services  (1000+ employees)</w:t>
            </w:r>
          </w:p>
        </w:tc>
        <w:tc>
          <w:tcPr>
            <w:tcW w:w="794" w:type="dxa"/>
            <w:tcBorders>
              <w:top w:val="single" w:sz="2" w:space="0" w:color="BCC2C8"/>
              <w:left w:val="single" w:sz="16" w:space="0" w:color="FFFEFD"/>
              <w:bottom w:val="single" w:sz="2" w:space="0" w:color="BCC2C8"/>
              <w:right w:val="single" w:sz="2" w:space="0" w:color="BCC2C8"/>
            </w:tcBorders>
            <w:shd w:val="clear" w:color="auto" w:fill="E9E8E7"/>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181717"/>
                <w:sz w:val="16"/>
              </w:rPr>
              <w:t>25.0</w:t>
            </w:r>
          </w:p>
        </w:tc>
      </w:tr>
      <w:tr w:rsidR="00EB01F5" w:rsidRPr="00EB01F5" w:rsidTr="007729F5">
        <w:trPr>
          <w:trHeight w:val="624"/>
        </w:trPr>
        <w:tc>
          <w:tcPr>
            <w:tcW w:w="1304" w:type="dxa"/>
            <w:tcBorders>
              <w:top w:val="single" w:sz="2" w:space="0" w:color="BCC2C8"/>
              <w:left w:val="single" w:sz="2" w:space="0" w:color="BCC2C8"/>
              <w:bottom w:val="single" w:sz="2" w:space="0" w:color="BCC2C8"/>
              <w:right w:val="single" w:sz="2" w:space="0" w:color="FFFEFD"/>
            </w:tcBorders>
            <w:shd w:val="clear" w:color="auto" w:fill="E9E8E7"/>
            <w:vAlign w:val="center"/>
          </w:tcPr>
          <w:p w:rsidR="00EB01F5" w:rsidRPr="00EB01F5" w:rsidRDefault="00EB01F5" w:rsidP="00EB01F5">
            <w:pPr>
              <w:ind w:left="21"/>
              <w:rPr>
                <w:rFonts w:ascii="Calibri" w:eastAsia="Calibri" w:hAnsi="Calibri" w:cs="Calibri"/>
                <w:color w:val="181717"/>
                <w:sz w:val="19"/>
              </w:rPr>
            </w:pPr>
            <w:r w:rsidRPr="00EB01F5">
              <w:rPr>
                <w:rFonts w:ascii="Calibri" w:eastAsia="Calibri" w:hAnsi="Calibri" w:cs="Calibri"/>
                <w:b/>
                <w:color w:val="181717"/>
                <w:sz w:val="18"/>
              </w:rPr>
              <w:t>KPMG</w:t>
            </w:r>
          </w:p>
        </w:tc>
        <w:tc>
          <w:tcPr>
            <w:tcW w:w="794" w:type="dxa"/>
            <w:tcBorders>
              <w:top w:val="single" w:sz="2" w:space="0" w:color="BCC2C8"/>
              <w:left w:val="single" w:sz="2" w:space="0" w:color="FFFEFD"/>
              <w:bottom w:val="single" w:sz="2" w:space="0" w:color="BCC2C8"/>
              <w:right w:val="single" w:sz="2" w:space="0" w:color="FFFEFD"/>
            </w:tcBorders>
            <w:shd w:val="clear" w:color="auto" w:fill="FFFEFD"/>
          </w:tcPr>
          <w:p w:rsidR="00EB01F5" w:rsidRPr="00EB01F5" w:rsidRDefault="00EB01F5" w:rsidP="00EB01F5">
            <w:pPr>
              <w:rPr>
                <w:rFonts w:ascii="Calibri" w:eastAsia="Calibri" w:hAnsi="Calibri" w:cs="Calibri"/>
                <w:color w:val="181717"/>
                <w:sz w:val="19"/>
              </w:rPr>
            </w:pPr>
          </w:p>
        </w:tc>
        <w:tc>
          <w:tcPr>
            <w:tcW w:w="794" w:type="dxa"/>
            <w:tcBorders>
              <w:top w:val="single" w:sz="2" w:space="0" w:color="BCC2C8"/>
              <w:left w:val="single" w:sz="2" w:space="0" w:color="FFFEFD"/>
              <w:bottom w:val="single" w:sz="2" w:space="0" w:color="BCC2C8"/>
              <w:right w:val="single" w:sz="2" w:space="0" w:color="FFFEFD"/>
            </w:tcBorders>
            <w:shd w:val="clear" w:color="auto" w:fill="F09B57"/>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32.0</w:t>
            </w:r>
          </w:p>
        </w:tc>
        <w:tc>
          <w:tcPr>
            <w:tcW w:w="794" w:type="dxa"/>
            <w:tcBorders>
              <w:top w:val="single" w:sz="2" w:space="0" w:color="BCC2C8"/>
              <w:left w:val="single" w:sz="2" w:space="0" w:color="FFFEFD"/>
              <w:bottom w:val="single" w:sz="2" w:space="0" w:color="BCC2C8"/>
              <w:right w:val="nil"/>
            </w:tcBorders>
            <w:shd w:val="clear" w:color="auto" w:fill="2B5F33"/>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43.7</w:t>
            </w:r>
          </w:p>
        </w:tc>
        <w:tc>
          <w:tcPr>
            <w:tcW w:w="794" w:type="dxa"/>
            <w:tcBorders>
              <w:top w:val="single" w:sz="2" w:space="0" w:color="BCC2C8"/>
              <w:left w:val="nil"/>
              <w:bottom w:val="single" w:sz="2" w:space="0" w:color="BCC2C8"/>
              <w:right w:val="single" w:sz="2" w:space="0" w:color="FFFEFD"/>
            </w:tcBorders>
            <w:shd w:val="clear" w:color="auto" w:fill="2B5F33"/>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50.3</w:t>
            </w:r>
          </w:p>
        </w:tc>
        <w:tc>
          <w:tcPr>
            <w:tcW w:w="794" w:type="dxa"/>
            <w:tcBorders>
              <w:top w:val="single" w:sz="2" w:space="0" w:color="BCC2C8"/>
              <w:left w:val="single" w:sz="2" w:space="0" w:color="FFFEFD"/>
              <w:bottom w:val="single" w:sz="2" w:space="0" w:color="BCC2C8"/>
              <w:right w:val="single" w:sz="2" w:space="0" w:color="BCC2C8"/>
            </w:tcBorders>
            <w:shd w:val="clear" w:color="auto" w:fill="2B5F33"/>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54.3</w:t>
            </w:r>
          </w:p>
        </w:tc>
        <w:tc>
          <w:tcPr>
            <w:tcW w:w="2268" w:type="dxa"/>
            <w:tcBorders>
              <w:top w:val="single" w:sz="2" w:space="0" w:color="BCC2C8"/>
              <w:left w:val="single" w:sz="2" w:space="0" w:color="BCC2C8"/>
              <w:bottom w:val="single" w:sz="2" w:space="0" w:color="BCC2C8"/>
              <w:right w:val="single" w:sz="16" w:space="0" w:color="FFFEFD"/>
            </w:tcBorders>
            <w:shd w:val="clear" w:color="auto" w:fill="E9E8E7"/>
            <w:vAlign w:val="center"/>
          </w:tcPr>
          <w:p w:rsidR="00EB01F5" w:rsidRPr="00EB01F5" w:rsidRDefault="00EB01F5" w:rsidP="00EB01F5">
            <w:pPr>
              <w:ind w:left="21" w:right="487"/>
              <w:rPr>
                <w:rFonts w:ascii="Calibri" w:eastAsia="Calibri" w:hAnsi="Calibri" w:cs="Calibri"/>
                <w:color w:val="181717"/>
                <w:sz w:val="19"/>
              </w:rPr>
            </w:pPr>
            <w:r w:rsidRPr="00EB01F5">
              <w:rPr>
                <w:rFonts w:ascii="Calibri" w:eastAsia="Calibri" w:hAnsi="Calibri" w:cs="Calibri"/>
                <w:color w:val="343433"/>
                <w:sz w:val="16"/>
              </w:rPr>
              <w:t>Accounting Services  (1000+ employees)</w:t>
            </w:r>
          </w:p>
        </w:tc>
        <w:tc>
          <w:tcPr>
            <w:tcW w:w="794" w:type="dxa"/>
            <w:tcBorders>
              <w:top w:val="single" w:sz="2" w:space="0" w:color="BCC2C8"/>
              <w:left w:val="single" w:sz="16" w:space="0" w:color="FFFEFD"/>
              <w:bottom w:val="single" w:sz="2" w:space="0" w:color="BCC2C8"/>
              <w:right w:val="single" w:sz="2" w:space="0" w:color="BCC2C8"/>
            </w:tcBorders>
            <w:shd w:val="clear" w:color="auto" w:fill="E9E8E7"/>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181717"/>
                <w:sz w:val="16"/>
              </w:rPr>
              <w:t>33.0</w:t>
            </w:r>
          </w:p>
        </w:tc>
      </w:tr>
      <w:tr w:rsidR="00EB01F5" w:rsidRPr="00EB01F5" w:rsidTr="007729F5">
        <w:trPr>
          <w:trHeight w:val="624"/>
        </w:trPr>
        <w:tc>
          <w:tcPr>
            <w:tcW w:w="1304" w:type="dxa"/>
            <w:tcBorders>
              <w:top w:val="single" w:sz="2" w:space="0" w:color="BCC2C8"/>
              <w:left w:val="single" w:sz="2" w:space="0" w:color="BCC2C8"/>
              <w:bottom w:val="single" w:sz="2" w:space="0" w:color="BCC2C8"/>
              <w:right w:val="single" w:sz="2" w:space="0" w:color="FFFEFD"/>
            </w:tcBorders>
            <w:shd w:val="clear" w:color="auto" w:fill="E9E8E7"/>
            <w:vAlign w:val="center"/>
          </w:tcPr>
          <w:p w:rsidR="00EB01F5" w:rsidRPr="00EB01F5" w:rsidRDefault="00EB01F5" w:rsidP="00EB01F5">
            <w:pPr>
              <w:ind w:left="21"/>
              <w:rPr>
                <w:rFonts w:ascii="Calibri" w:eastAsia="Calibri" w:hAnsi="Calibri" w:cs="Calibri"/>
                <w:color w:val="181717"/>
                <w:sz w:val="19"/>
              </w:rPr>
            </w:pPr>
            <w:r w:rsidRPr="00EB01F5">
              <w:rPr>
                <w:rFonts w:ascii="Calibri" w:eastAsia="Calibri" w:hAnsi="Calibri" w:cs="Calibri"/>
                <w:b/>
                <w:color w:val="181717"/>
                <w:sz w:val="18"/>
              </w:rPr>
              <w:t>McKinsey</w:t>
            </w:r>
          </w:p>
        </w:tc>
        <w:tc>
          <w:tcPr>
            <w:tcW w:w="794" w:type="dxa"/>
            <w:tcBorders>
              <w:top w:val="single" w:sz="2" w:space="0" w:color="BCC2C8"/>
              <w:left w:val="single" w:sz="2" w:space="0" w:color="FFFEFD"/>
              <w:bottom w:val="single" w:sz="2" w:space="0" w:color="BCC2C8"/>
              <w:right w:val="single" w:sz="2" w:space="0" w:color="FFFEFD"/>
            </w:tcBorders>
            <w:shd w:val="clear" w:color="auto" w:fill="FFFEFD"/>
          </w:tcPr>
          <w:p w:rsidR="00EB01F5" w:rsidRPr="00EB01F5" w:rsidRDefault="00EB01F5" w:rsidP="00EB01F5">
            <w:pPr>
              <w:rPr>
                <w:rFonts w:ascii="Calibri" w:eastAsia="Calibri" w:hAnsi="Calibri" w:cs="Calibri"/>
                <w:color w:val="181717"/>
                <w:sz w:val="19"/>
              </w:rPr>
            </w:pPr>
          </w:p>
        </w:tc>
        <w:tc>
          <w:tcPr>
            <w:tcW w:w="794" w:type="dxa"/>
            <w:tcBorders>
              <w:top w:val="single" w:sz="2" w:space="0" w:color="BCC2C8"/>
              <w:left w:val="single" w:sz="2" w:space="0" w:color="FFFEFD"/>
              <w:bottom w:val="single" w:sz="2" w:space="0" w:color="BCC2C8"/>
              <w:right w:val="single" w:sz="2" w:space="0" w:color="FFFEFD"/>
            </w:tcBorders>
            <w:shd w:val="clear" w:color="auto" w:fill="CE4B49"/>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10.0</w:t>
            </w:r>
          </w:p>
        </w:tc>
        <w:tc>
          <w:tcPr>
            <w:tcW w:w="794" w:type="dxa"/>
            <w:tcBorders>
              <w:top w:val="single" w:sz="2" w:space="0" w:color="BCC2C8"/>
              <w:left w:val="single" w:sz="2" w:space="0" w:color="FFFEFD"/>
              <w:bottom w:val="single" w:sz="2" w:space="0" w:color="BCC2C8"/>
              <w:right w:val="nil"/>
            </w:tcBorders>
            <w:shd w:val="clear" w:color="auto" w:fill="CE4B49"/>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19.4</w:t>
            </w:r>
          </w:p>
        </w:tc>
        <w:tc>
          <w:tcPr>
            <w:tcW w:w="794" w:type="dxa"/>
            <w:tcBorders>
              <w:top w:val="single" w:sz="2" w:space="0" w:color="BCC2C8"/>
              <w:left w:val="nil"/>
              <w:bottom w:val="single" w:sz="2" w:space="0" w:color="BCC2C8"/>
              <w:right w:val="single" w:sz="2" w:space="0" w:color="FFFEFD"/>
            </w:tcBorders>
            <w:shd w:val="clear" w:color="auto" w:fill="F09B57"/>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31.4</w:t>
            </w:r>
          </w:p>
        </w:tc>
        <w:tc>
          <w:tcPr>
            <w:tcW w:w="794" w:type="dxa"/>
            <w:tcBorders>
              <w:top w:val="single" w:sz="2" w:space="0" w:color="BCC2C8"/>
              <w:left w:val="single" w:sz="2" w:space="0" w:color="FFFEFD"/>
              <w:bottom w:val="single" w:sz="2" w:space="0" w:color="BCC2C8"/>
              <w:right w:val="single" w:sz="2" w:space="0" w:color="BCC2C8"/>
            </w:tcBorders>
            <w:shd w:val="clear" w:color="auto" w:fill="2B5F33"/>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50.9</w:t>
            </w:r>
          </w:p>
        </w:tc>
        <w:tc>
          <w:tcPr>
            <w:tcW w:w="2268" w:type="dxa"/>
            <w:tcBorders>
              <w:top w:val="single" w:sz="2" w:space="0" w:color="BCC2C8"/>
              <w:left w:val="single" w:sz="2" w:space="0" w:color="BCC2C8"/>
              <w:bottom w:val="single" w:sz="2" w:space="0" w:color="BCC2C8"/>
              <w:right w:val="single" w:sz="16" w:space="0" w:color="FFFEFD"/>
            </w:tcBorders>
            <w:shd w:val="clear" w:color="auto" w:fill="E9E8E7"/>
            <w:vAlign w:val="center"/>
          </w:tcPr>
          <w:p w:rsidR="00EB01F5" w:rsidRPr="00EB01F5" w:rsidRDefault="00EB01F5" w:rsidP="00EB01F5">
            <w:pPr>
              <w:ind w:left="21"/>
              <w:rPr>
                <w:rFonts w:ascii="Calibri" w:eastAsia="Calibri" w:hAnsi="Calibri" w:cs="Calibri"/>
                <w:color w:val="181717"/>
                <w:sz w:val="19"/>
              </w:rPr>
            </w:pPr>
            <w:r w:rsidRPr="00EB01F5">
              <w:rPr>
                <w:rFonts w:ascii="Calibri" w:eastAsia="Calibri" w:hAnsi="Calibri" w:cs="Calibri"/>
                <w:color w:val="343433"/>
                <w:sz w:val="16"/>
              </w:rPr>
              <w:t>Management and Related Consulting Services (250-499 employees)</w:t>
            </w:r>
          </w:p>
        </w:tc>
        <w:tc>
          <w:tcPr>
            <w:tcW w:w="794" w:type="dxa"/>
            <w:tcBorders>
              <w:top w:val="single" w:sz="2" w:space="0" w:color="BCC2C8"/>
              <w:left w:val="single" w:sz="16" w:space="0" w:color="FFFEFD"/>
              <w:bottom w:val="single" w:sz="2" w:space="0" w:color="BCC2C8"/>
              <w:right w:val="single" w:sz="2" w:space="0" w:color="BCC2C8"/>
            </w:tcBorders>
            <w:shd w:val="clear" w:color="auto" w:fill="E9E8E7"/>
          </w:tcPr>
          <w:p w:rsidR="00EB01F5" w:rsidRPr="00EB01F5" w:rsidRDefault="00EB01F5" w:rsidP="00EB01F5">
            <w:pPr>
              <w:rPr>
                <w:rFonts w:ascii="Calibri" w:eastAsia="Calibri" w:hAnsi="Calibri" w:cs="Calibri"/>
                <w:color w:val="181717"/>
                <w:sz w:val="19"/>
              </w:rPr>
            </w:pPr>
          </w:p>
        </w:tc>
      </w:tr>
      <w:tr w:rsidR="00EB01F5" w:rsidRPr="00EB01F5" w:rsidTr="007729F5">
        <w:trPr>
          <w:trHeight w:val="624"/>
        </w:trPr>
        <w:tc>
          <w:tcPr>
            <w:tcW w:w="1304" w:type="dxa"/>
            <w:tcBorders>
              <w:top w:val="single" w:sz="2" w:space="0" w:color="BCC2C8"/>
              <w:left w:val="single" w:sz="2" w:space="0" w:color="BCC2C8"/>
              <w:bottom w:val="single" w:sz="2" w:space="0" w:color="BCC2C8"/>
              <w:right w:val="single" w:sz="2" w:space="0" w:color="FFFEFD"/>
            </w:tcBorders>
            <w:shd w:val="clear" w:color="auto" w:fill="E9E8E7"/>
            <w:vAlign w:val="center"/>
          </w:tcPr>
          <w:p w:rsidR="00EB01F5" w:rsidRPr="00EB01F5" w:rsidRDefault="00EB01F5" w:rsidP="00EB01F5">
            <w:pPr>
              <w:ind w:left="21"/>
              <w:rPr>
                <w:rFonts w:ascii="Calibri" w:eastAsia="Calibri" w:hAnsi="Calibri" w:cs="Calibri"/>
                <w:color w:val="181717"/>
                <w:sz w:val="19"/>
              </w:rPr>
            </w:pPr>
            <w:r w:rsidRPr="00EB01F5">
              <w:rPr>
                <w:rFonts w:ascii="Calibri" w:eastAsia="Calibri" w:hAnsi="Calibri" w:cs="Calibri"/>
                <w:b/>
                <w:color w:val="181717"/>
                <w:sz w:val="18"/>
              </w:rPr>
              <w:t>Qantas</w:t>
            </w:r>
          </w:p>
        </w:tc>
        <w:tc>
          <w:tcPr>
            <w:tcW w:w="794" w:type="dxa"/>
            <w:tcBorders>
              <w:top w:val="single" w:sz="2" w:space="0" w:color="BCC2C8"/>
              <w:left w:val="single" w:sz="2" w:space="0" w:color="FFFEFD"/>
              <w:bottom w:val="single" w:sz="2" w:space="0" w:color="BCC2C8"/>
              <w:right w:val="single" w:sz="2" w:space="0" w:color="FFFEFD"/>
            </w:tcBorders>
            <w:shd w:val="clear" w:color="auto" w:fill="2B5F33"/>
            <w:vAlign w:val="center"/>
          </w:tcPr>
          <w:p w:rsidR="00EB01F5" w:rsidRPr="00EB01F5" w:rsidRDefault="00EB01F5" w:rsidP="00EB01F5">
            <w:pPr>
              <w:ind w:right="35"/>
              <w:jc w:val="center"/>
              <w:rPr>
                <w:rFonts w:ascii="Calibri" w:eastAsia="Calibri" w:hAnsi="Calibri" w:cs="Calibri"/>
                <w:color w:val="181717"/>
                <w:sz w:val="19"/>
              </w:rPr>
            </w:pPr>
            <w:r w:rsidRPr="00EB01F5">
              <w:rPr>
                <w:rFonts w:ascii="Calibri" w:eastAsia="Calibri" w:hAnsi="Calibri" w:cs="Calibri"/>
                <w:color w:val="FFFEFD"/>
                <w:sz w:val="16"/>
              </w:rPr>
              <w:t>40.0</w:t>
            </w:r>
          </w:p>
        </w:tc>
        <w:tc>
          <w:tcPr>
            <w:tcW w:w="794" w:type="dxa"/>
            <w:tcBorders>
              <w:top w:val="single" w:sz="2" w:space="0" w:color="BCC2C8"/>
              <w:left w:val="single" w:sz="2" w:space="0" w:color="FFFEFD"/>
              <w:bottom w:val="single" w:sz="2" w:space="0" w:color="BCC2C8"/>
              <w:right w:val="single" w:sz="2" w:space="0" w:color="FFFEFD"/>
            </w:tcBorders>
            <w:shd w:val="clear" w:color="auto" w:fill="CE4B49"/>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25.4</w:t>
            </w:r>
          </w:p>
        </w:tc>
        <w:tc>
          <w:tcPr>
            <w:tcW w:w="794" w:type="dxa"/>
            <w:tcBorders>
              <w:top w:val="single" w:sz="2" w:space="0" w:color="BCC2C8"/>
              <w:left w:val="single" w:sz="2" w:space="0" w:color="FFFEFD"/>
              <w:bottom w:val="single" w:sz="2" w:space="0" w:color="BCC2C8"/>
              <w:right w:val="nil"/>
            </w:tcBorders>
            <w:shd w:val="clear" w:color="auto" w:fill="718280"/>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32.3</w:t>
            </w:r>
          </w:p>
        </w:tc>
        <w:tc>
          <w:tcPr>
            <w:tcW w:w="794" w:type="dxa"/>
            <w:tcBorders>
              <w:top w:val="single" w:sz="2" w:space="0" w:color="BCC2C8"/>
              <w:left w:val="nil"/>
              <w:bottom w:val="single" w:sz="2" w:space="0" w:color="BCC2C8"/>
              <w:right w:val="single" w:sz="2" w:space="0" w:color="FFFEFD"/>
            </w:tcBorders>
            <w:shd w:val="clear" w:color="auto" w:fill="F09B57"/>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38.0</w:t>
            </w:r>
          </w:p>
        </w:tc>
        <w:tc>
          <w:tcPr>
            <w:tcW w:w="794" w:type="dxa"/>
            <w:tcBorders>
              <w:top w:val="single" w:sz="2" w:space="0" w:color="BCC2C8"/>
              <w:left w:val="single" w:sz="2" w:space="0" w:color="FFFEFD"/>
              <w:bottom w:val="single" w:sz="2" w:space="0" w:color="BCC2C8"/>
              <w:right w:val="single" w:sz="2" w:space="0" w:color="BCC2C8"/>
            </w:tcBorders>
            <w:shd w:val="clear" w:color="auto" w:fill="2B5F33"/>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40.3</w:t>
            </w:r>
          </w:p>
        </w:tc>
        <w:tc>
          <w:tcPr>
            <w:tcW w:w="2268" w:type="dxa"/>
            <w:tcBorders>
              <w:top w:val="single" w:sz="2" w:space="0" w:color="BCC2C8"/>
              <w:left w:val="single" w:sz="2" w:space="0" w:color="BCC2C8"/>
              <w:bottom w:val="single" w:sz="2" w:space="0" w:color="BCC2C8"/>
              <w:right w:val="single" w:sz="16" w:space="0" w:color="FFFEFD"/>
            </w:tcBorders>
            <w:shd w:val="clear" w:color="auto" w:fill="E9E8E7"/>
            <w:vAlign w:val="center"/>
          </w:tcPr>
          <w:p w:rsidR="00EB01F5" w:rsidRPr="00EB01F5" w:rsidRDefault="00EB01F5" w:rsidP="00EB01F5">
            <w:pPr>
              <w:ind w:left="21" w:right="302"/>
              <w:rPr>
                <w:rFonts w:ascii="Calibri" w:eastAsia="Calibri" w:hAnsi="Calibri" w:cs="Calibri"/>
                <w:color w:val="181717"/>
                <w:sz w:val="19"/>
              </w:rPr>
            </w:pPr>
            <w:r w:rsidRPr="00EB01F5">
              <w:rPr>
                <w:rFonts w:ascii="Calibri" w:eastAsia="Calibri" w:hAnsi="Calibri" w:cs="Calibri"/>
                <w:color w:val="343433"/>
                <w:sz w:val="16"/>
              </w:rPr>
              <w:t>Air and Space Transport  (1000+ employees)</w:t>
            </w:r>
          </w:p>
        </w:tc>
        <w:tc>
          <w:tcPr>
            <w:tcW w:w="794" w:type="dxa"/>
            <w:tcBorders>
              <w:top w:val="single" w:sz="2" w:space="0" w:color="BCC2C8"/>
              <w:left w:val="single" w:sz="16" w:space="0" w:color="FFFEFD"/>
              <w:bottom w:val="single" w:sz="2" w:space="0" w:color="BCC2C8"/>
              <w:right w:val="single" w:sz="2" w:space="0" w:color="BCC2C8"/>
            </w:tcBorders>
            <w:shd w:val="clear" w:color="auto" w:fill="E9E8E7"/>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181717"/>
                <w:sz w:val="16"/>
              </w:rPr>
              <w:t>22.0</w:t>
            </w:r>
          </w:p>
        </w:tc>
      </w:tr>
      <w:tr w:rsidR="00EB01F5" w:rsidRPr="00EB01F5" w:rsidTr="007729F5">
        <w:trPr>
          <w:trHeight w:val="624"/>
        </w:trPr>
        <w:tc>
          <w:tcPr>
            <w:tcW w:w="1304" w:type="dxa"/>
            <w:tcBorders>
              <w:top w:val="single" w:sz="2" w:space="0" w:color="BCC2C8"/>
              <w:left w:val="single" w:sz="2" w:space="0" w:color="BCC2C8"/>
              <w:bottom w:val="single" w:sz="2" w:space="0" w:color="BCC2C8"/>
              <w:right w:val="single" w:sz="2" w:space="0" w:color="FFFEFD"/>
            </w:tcBorders>
            <w:shd w:val="clear" w:color="auto" w:fill="E9E8E7"/>
            <w:vAlign w:val="center"/>
          </w:tcPr>
          <w:p w:rsidR="00EB01F5" w:rsidRPr="00EB01F5" w:rsidRDefault="00EB01F5" w:rsidP="00EB01F5">
            <w:pPr>
              <w:ind w:left="21"/>
              <w:rPr>
                <w:rFonts w:ascii="Calibri" w:eastAsia="Calibri" w:hAnsi="Calibri" w:cs="Calibri"/>
                <w:color w:val="181717"/>
                <w:sz w:val="19"/>
              </w:rPr>
            </w:pPr>
            <w:r w:rsidRPr="00EB01F5">
              <w:rPr>
                <w:rFonts w:ascii="Calibri" w:eastAsia="Calibri" w:hAnsi="Calibri" w:cs="Calibri"/>
                <w:b/>
                <w:color w:val="181717"/>
                <w:sz w:val="18"/>
              </w:rPr>
              <w:t>Rio Tinto</w:t>
            </w:r>
          </w:p>
        </w:tc>
        <w:tc>
          <w:tcPr>
            <w:tcW w:w="794" w:type="dxa"/>
            <w:tcBorders>
              <w:top w:val="single" w:sz="2" w:space="0" w:color="BCC2C8"/>
              <w:left w:val="single" w:sz="2" w:space="0" w:color="FFFEFD"/>
              <w:bottom w:val="single" w:sz="2" w:space="0" w:color="BCC2C8"/>
              <w:right w:val="single" w:sz="2" w:space="0" w:color="FFFEFD"/>
            </w:tcBorders>
            <w:shd w:val="clear" w:color="auto" w:fill="718280"/>
            <w:vAlign w:val="center"/>
          </w:tcPr>
          <w:p w:rsidR="00EB01F5" w:rsidRPr="00EB01F5" w:rsidRDefault="00EB01F5" w:rsidP="00EB01F5">
            <w:pPr>
              <w:ind w:right="35"/>
              <w:jc w:val="center"/>
              <w:rPr>
                <w:rFonts w:ascii="Calibri" w:eastAsia="Calibri" w:hAnsi="Calibri" w:cs="Calibri"/>
                <w:color w:val="181717"/>
                <w:sz w:val="19"/>
              </w:rPr>
            </w:pPr>
            <w:r w:rsidRPr="00EB01F5">
              <w:rPr>
                <w:rFonts w:ascii="Calibri" w:eastAsia="Calibri" w:hAnsi="Calibri" w:cs="Calibri"/>
                <w:color w:val="FFFEFD"/>
                <w:sz w:val="16"/>
              </w:rPr>
              <w:t>33.3</w:t>
            </w:r>
          </w:p>
        </w:tc>
        <w:tc>
          <w:tcPr>
            <w:tcW w:w="794" w:type="dxa"/>
            <w:tcBorders>
              <w:top w:val="single" w:sz="2" w:space="0" w:color="BCC2C8"/>
              <w:left w:val="single" w:sz="2" w:space="0" w:color="FFFEFD"/>
              <w:bottom w:val="single" w:sz="2" w:space="0" w:color="BCC2C8"/>
              <w:right w:val="single" w:sz="2" w:space="0" w:color="FFFEFD"/>
            </w:tcBorders>
            <w:shd w:val="clear" w:color="auto" w:fill="CE4B49"/>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7.5</w:t>
            </w:r>
          </w:p>
        </w:tc>
        <w:tc>
          <w:tcPr>
            <w:tcW w:w="794" w:type="dxa"/>
            <w:tcBorders>
              <w:top w:val="single" w:sz="2" w:space="0" w:color="BCC2C8"/>
              <w:left w:val="single" w:sz="2" w:space="0" w:color="FFFEFD"/>
              <w:bottom w:val="single" w:sz="2" w:space="0" w:color="BCC2C8"/>
              <w:right w:val="nil"/>
            </w:tcBorders>
            <w:shd w:val="clear" w:color="auto" w:fill="CE4B49"/>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13.4</w:t>
            </w:r>
          </w:p>
        </w:tc>
        <w:tc>
          <w:tcPr>
            <w:tcW w:w="794" w:type="dxa"/>
            <w:tcBorders>
              <w:top w:val="single" w:sz="2" w:space="0" w:color="BCC2C8"/>
              <w:left w:val="nil"/>
              <w:bottom w:val="single" w:sz="2" w:space="0" w:color="BCC2C8"/>
              <w:right w:val="single" w:sz="2" w:space="0" w:color="FFFEFD"/>
            </w:tcBorders>
            <w:shd w:val="clear" w:color="auto" w:fill="718280"/>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23.0</w:t>
            </w:r>
          </w:p>
        </w:tc>
        <w:tc>
          <w:tcPr>
            <w:tcW w:w="794" w:type="dxa"/>
            <w:tcBorders>
              <w:top w:val="single" w:sz="2" w:space="0" w:color="BCC2C8"/>
              <w:left w:val="single" w:sz="2" w:space="0" w:color="FFFEFD"/>
              <w:bottom w:val="single" w:sz="2" w:space="0" w:color="BCC2C8"/>
              <w:right w:val="single" w:sz="2" w:space="0" w:color="BCC2C8"/>
            </w:tcBorders>
            <w:shd w:val="clear" w:color="auto" w:fill="718280"/>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18.8</w:t>
            </w:r>
          </w:p>
        </w:tc>
        <w:tc>
          <w:tcPr>
            <w:tcW w:w="2268" w:type="dxa"/>
            <w:tcBorders>
              <w:top w:val="single" w:sz="2" w:space="0" w:color="BCC2C8"/>
              <w:left w:val="single" w:sz="2" w:space="0" w:color="BCC2C8"/>
              <w:bottom w:val="single" w:sz="2" w:space="0" w:color="BCC2C8"/>
              <w:right w:val="single" w:sz="16" w:space="0" w:color="FFFEFD"/>
            </w:tcBorders>
            <w:shd w:val="clear" w:color="auto" w:fill="E9E8E7"/>
            <w:vAlign w:val="center"/>
          </w:tcPr>
          <w:p w:rsidR="00EB01F5" w:rsidRPr="00EB01F5" w:rsidRDefault="00EB01F5" w:rsidP="00EB01F5">
            <w:pPr>
              <w:ind w:left="21"/>
              <w:rPr>
                <w:rFonts w:ascii="Calibri" w:eastAsia="Calibri" w:hAnsi="Calibri" w:cs="Calibri"/>
                <w:color w:val="181717"/>
                <w:sz w:val="19"/>
              </w:rPr>
            </w:pPr>
            <w:r w:rsidRPr="00EB01F5">
              <w:rPr>
                <w:rFonts w:ascii="Calibri" w:eastAsia="Calibri" w:hAnsi="Calibri" w:cs="Calibri"/>
                <w:color w:val="343433"/>
                <w:sz w:val="16"/>
              </w:rPr>
              <w:t xml:space="preserve">Mining  </w:t>
            </w:r>
          </w:p>
          <w:p w:rsidR="00EB01F5" w:rsidRPr="00EB01F5" w:rsidRDefault="00EB01F5" w:rsidP="00EB01F5">
            <w:pPr>
              <w:ind w:left="21"/>
              <w:rPr>
                <w:rFonts w:ascii="Calibri" w:eastAsia="Calibri" w:hAnsi="Calibri" w:cs="Calibri"/>
                <w:color w:val="181717"/>
                <w:sz w:val="19"/>
              </w:rPr>
            </w:pPr>
            <w:r w:rsidRPr="00EB01F5">
              <w:rPr>
                <w:rFonts w:ascii="Calibri" w:eastAsia="Calibri" w:hAnsi="Calibri" w:cs="Calibri"/>
                <w:color w:val="343433"/>
                <w:sz w:val="16"/>
              </w:rPr>
              <w:t>(5000+ employees)</w:t>
            </w:r>
          </w:p>
        </w:tc>
        <w:tc>
          <w:tcPr>
            <w:tcW w:w="794" w:type="dxa"/>
            <w:tcBorders>
              <w:top w:val="single" w:sz="2" w:space="0" w:color="BCC2C8"/>
              <w:left w:val="single" w:sz="16" w:space="0" w:color="FFFEFD"/>
              <w:bottom w:val="single" w:sz="2" w:space="0" w:color="BCC2C8"/>
              <w:right w:val="single" w:sz="2" w:space="0" w:color="BCC2C8"/>
            </w:tcBorders>
            <w:shd w:val="clear" w:color="auto" w:fill="E9E8E7"/>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181717"/>
                <w:sz w:val="16"/>
              </w:rPr>
              <w:t>21</w:t>
            </w:r>
          </w:p>
        </w:tc>
      </w:tr>
      <w:tr w:rsidR="00EB01F5" w:rsidRPr="00EB01F5" w:rsidTr="007729F5">
        <w:trPr>
          <w:trHeight w:val="624"/>
        </w:trPr>
        <w:tc>
          <w:tcPr>
            <w:tcW w:w="1304" w:type="dxa"/>
            <w:tcBorders>
              <w:top w:val="single" w:sz="2" w:space="0" w:color="BCC2C8"/>
              <w:left w:val="single" w:sz="2" w:space="0" w:color="BCC2C8"/>
              <w:bottom w:val="single" w:sz="2" w:space="0" w:color="BCC2C8"/>
              <w:right w:val="single" w:sz="2" w:space="0" w:color="FFFEFD"/>
            </w:tcBorders>
            <w:shd w:val="clear" w:color="auto" w:fill="E9E8E7"/>
            <w:vAlign w:val="center"/>
          </w:tcPr>
          <w:p w:rsidR="00EB01F5" w:rsidRPr="00EB01F5" w:rsidRDefault="00EB01F5" w:rsidP="00EB01F5">
            <w:pPr>
              <w:ind w:left="21"/>
              <w:rPr>
                <w:rFonts w:ascii="Calibri" w:eastAsia="Calibri" w:hAnsi="Calibri" w:cs="Calibri"/>
                <w:color w:val="181717"/>
                <w:sz w:val="19"/>
              </w:rPr>
            </w:pPr>
            <w:r w:rsidRPr="00EB01F5">
              <w:rPr>
                <w:rFonts w:ascii="Calibri" w:eastAsia="Calibri" w:hAnsi="Calibri" w:cs="Calibri"/>
                <w:b/>
                <w:color w:val="181717"/>
                <w:sz w:val="18"/>
              </w:rPr>
              <w:t>Telstra</w:t>
            </w:r>
          </w:p>
        </w:tc>
        <w:tc>
          <w:tcPr>
            <w:tcW w:w="794" w:type="dxa"/>
            <w:tcBorders>
              <w:top w:val="single" w:sz="2" w:space="0" w:color="BCC2C8"/>
              <w:left w:val="single" w:sz="2" w:space="0" w:color="FFFEFD"/>
              <w:bottom w:val="single" w:sz="2" w:space="0" w:color="BCC2C8"/>
              <w:right w:val="single" w:sz="2" w:space="0" w:color="FFFEFD"/>
            </w:tcBorders>
            <w:shd w:val="clear" w:color="auto" w:fill="718280"/>
            <w:vAlign w:val="center"/>
          </w:tcPr>
          <w:p w:rsidR="00EB01F5" w:rsidRPr="00EB01F5" w:rsidRDefault="00EB01F5" w:rsidP="00EB01F5">
            <w:pPr>
              <w:ind w:right="35"/>
              <w:jc w:val="center"/>
              <w:rPr>
                <w:rFonts w:ascii="Calibri" w:eastAsia="Calibri" w:hAnsi="Calibri" w:cs="Calibri"/>
                <w:color w:val="181717"/>
                <w:sz w:val="19"/>
              </w:rPr>
            </w:pPr>
            <w:r w:rsidRPr="00EB01F5">
              <w:rPr>
                <w:rFonts w:ascii="Calibri" w:eastAsia="Calibri" w:hAnsi="Calibri" w:cs="Calibri"/>
                <w:color w:val="FFFEFD"/>
                <w:sz w:val="16"/>
              </w:rPr>
              <w:t>14.3</w:t>
            </w:r>
          </w:p>
        </w:tc>
        <w:tc>
          <w:tcPr>
            <w:tcW w:w="794" w:type="dxa"/>
            <w:tcBorders>
              <w:top w:val="single" w:sz="2" w:space="0" w:color="BCC2C8"/>
              <w:left w:val="single" w:sz="2" w:space="0" w:color="FFFEFD"/>
              <w:bottom w:val="single" w:sz="2" w:space="0" w:color="BCC2C8"/>
              <w:right w:val="single" w:sz="2" w:space="0" w:color="FFFEFD"/>
            </w:tcBorders>
            <w:shd w:val="clear" w:color="auto" w:fill="718280"/>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26.1</w:t>
            </w:r>
          </w:p>
        </w:tc>
        <w:tc>
          <w:tcPr>
            <w:tcW w:w="794" w:type="dxa"/>
            <w:tcBorders>
              <w:top w:val="single" w:sz="2" w:space="0" w:color="BCC2C8"/>
              <w:left w:val="single" w:sz="2" w:space="0" w:color="FFFEFD"/>
              <w:bottom w:val="single" w:sz="2" w:space="0" w:color="BCC2C8"/>
              <w:right w:val="nil"/>
            </w:tcBorders>
            <w:shd w:val="clear" w:color="auto" w:fill="718280"/>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23.6</w:t>
            </w:r>
          </w:p>
        </w:tc>
        <w:tc>
          <w:tcPr>
            <w:tcW w:w="794" w:type="dxa"/>
            <w:tcBorders>
              <w:top w:val="single" w:sz="2" w:space="0" w:color="BCC2C8"/>
              <w:left w:val="nil"/>
              <w:bottom w:val="single" w:sz="2" w:space="0" w:color="BCC2C8"/>
              <w:right w:val="single" w:sz="2" w:space="0" w:color="FFFEFD"/>
            </w:tcBorders>
            <w:shd w:val="clear" w:color="auto" w:fill="718280"/>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25.3</w:t>
            </w:r>
          </w:p>
        </w:tc>
        <w:tc>
          <w:tcPr>
            <w:tcW w:w="794" w:type="dxa"/>
            <w:tcBorders>
              <w:top w:val="single" w:sz="2" w:space="0" w:color="BCC2C8"/>
              <w:left w:val="single" w:sz="2" w:space="0" w:color="FFFEFD"/>
              <w:bottom w:val="single" w:sz="2" w:space="0" w:color="BCC2C8"/>
              <w:right w:val="single" w:sz="2" w:space="0" w:color="BCC2C8"/>
            </w:tcBorders>
            <w:shd w:val="clear" w:color="auto" w:fill="718280"/>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29.8</w:t>
            </w:r>
          </w:p>
        </w:tc>
        <w:tc>
          <w:tcPr>
            <w:tcW w:w="2268" w:type="dxa"/>
            <w:tcBorders>
              <w:top w:val="single" w:sz="2" w:space="0" w:color="BCC2C8"/>
              <w:left w:val="single" w:sz="2" w:space="0" w:color="BCC2C8"/>
              <w:bottom w:val="single" w:sz="2" w:space="0" w:color="BCC2C8"/>
              <w:right w:val="single" w:sz="16" w:space="0" w:color="FFFEFD"/>
            </w:tcBorders>
            <w:shd w:val="clear" w:color="auto" w:fill="E9E8E7"/>
          </w:tcPr>
          <w:p w:rsidR="00EB01F5" w:rsidRPr="00EB01F5" w:rsidRDefault="00EB01F5" w:rsidP="00EB01F5">
            <w:pPr>
              <w:ind w:left="21"/>
              <w:rPr>
                <w:rFonts w:ascii="Calibri" w:eastAsia="Calibri" w:hAnsi="Calibri" w:cs="Calibri"/>
                <w:color w:val="181717"/>
                <w:sz w:val="19"/>
              </w:rPr>
            </w:pPr>
            <w:r w:rsidRPr="00EB01F5">
              <w:rPr>
                <w:rFonts w:ascii="Calibri" w:eastAsia="Calibri" w:hAnsi="Calibri" w:cs="Calibri"/>
                <w:color w:val="343433"/>
                <w:sz w:val="16"/>
              </w:rPr>
              <w:t xml:space="preserve">Wired Telecommunications  </w:t>
            </w:r>
          </w:p>
          <w:p w:rsidR="00EB01F5" w:rsidRPr="00EB01F5" w:rsidRDefault="00EB01F5" w:rsidP="00EB01F5">
            <w:pPr>
              <w:ind w:left="21" w:right="881"/>
              <w:rPr>
                <w:rFonts w:ascii="Calibri" w:eastAsia="Calibri" w:hAnsi="Calibri" w:cs="Calibri"/>
                <w:color w:val="181717"/>
                <w:sz w:val="19"/>
              </w:rPr>
            </w:pPr>
            <w:r w:rsidRPr="00EB01F5">
              <w:rPr>
                <w:rFonts w:ascii="Calibri" w:eastAsia="Calibri" w:hAnsi="Calibri" w:cs="Calibri"/>
                <w:color w:val="343433"/>
                <w:sz w:val="16"/>
              </w:rPr>
              <w:t>Network Operations (all employees)</w:t>
            </w:r>
          </w:p>
        </w:tc>
        <w:tc>
          <w:tcPr>
            <w:tcW w:w="794" w:type="dxa"/>
            <w:tcBorders>
              <w:top w:val="single" w:sz="2" w:space="0" w:color="BCC2C8"/>
              <w:left w:val="single" w:sz="16" w:space="0" w:color="FFFEFD"/>
              <w:bottom w:val="single" w:sz="2" w:space="0" w:color="BCC2C8"/>
              <w:right w:val="single" w:sz="2" w:space="0" w:color="BCC2C8"/>
            </w:tcBorders>
            <w:shd w:val="clear" w:color="auto" w:fill="E9E8E7"/>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181717"/>
                <w:sz w:val="16"/>
              </w:rPr>
              <w:t>30.0</w:t>
            </w:r>
          </w:p>
        </w:tc>
      </w:tr>
      <w:tr w:rsidR="00EB01F5" w:rsidRPr="00EB01F5" w:rsidTr="007729F5">
        <w:trPr>
          <w:trHeight w:val="624"/>
        </w:trPr>
        <w:tc>
          <w:tcPr>
            <w:tcW w:w="1304" w:type="dxa"/>
            <w:tcBorders>
              <w:top w:val="single" w:sz="2" w:space="0" w:color="BCC2C8"/>
              <w:left w:val="single" w:sz="2" w:space="0" w:color="BCC2C8"/>
              <w:bottom w:val="single" w:sz="2" w:space="0" w:color="BCC2C8"/>
              <w:right w:val="single" w:sz="2" w:space="0" w:color="FFFEFD"/>
            </w:tcBorders>
            <w:shd w:val="clear" w:color="auto" w:fill="E9E8E7"/>
            <w:vAlign w:val="center"/>
          </w:tcPr>
          <w:p w:rsidR="00EB01F5" w:rsidRPr="00EB01F5" w:rsidRDefault="00EB01F5" w:rsidP="00EB01F5">
            <w:pPr>
              <w:ind w:left="21"/>
              <w:rPr>
                <w:rFonts w:ascii="Calibri" w:eastAsia="Calibri" w:hAnsi="Calibri" w:cs="Calibri"/>
                <w:color w:val="181717"/>
                <w:sz w:val="19"/>
              </w:rPr>
            </w:pPr>
            <w:r w:rsidRPr="00EB01F5">
              <w:rPr>
                <w:rFonts w:ascii="Calibri" w:eastAsia="Calibri" w:hAnsi="Calibri" w:cs="Calibri"/>
                <w:b/>
                <w:color w:val="181717"/>
                <w:sz w:val="18"/>
              </w:rPr>
              <w:t>Ten</w:t>
            </w:r>
          </w:p>
        </w:tc>
        <w:tc>
          <w:tcPr>
            <w:tcW w:w="794" w:type="dxa"/>
            <w:tcBorders>
              <w:top w:val="single" w:sz="2" w:space="0" w:color="BCC2C8"/>
              <w:left w:val="single" w:sz="2" w:space="0" w:color="FFFEFD"/>
              <w:bottom w:val="single" w:sz="2" w:space="0" w:color="BCC2C8"/>
              <w:right w:val="single" w:sz="2" w:space="0" w:color="FFFEFD"/>
            </w:tcBorders>
            <w:shd w:val="clear" w:color="auto" w:fill="2B5F33"/>
            <w:vAlign w:val="center"/>
          </w:tcPr>
          <w:p w:rsidR="00EB01F5" w:rsidRPr="00EB01F5" w:rsidRDefault="00EB01F5" w:rsidP="00EB01F5">
            <w:pPr>
              <w:ind w:right="35"/>
              <w:jc w:val="center"/>
              <w:rPr>
                <w:rFonts w:ascii="Calibri" w:eastAsia="Calibri" w:hAnsi="Calibri" w:cs="Calibri"/>
                <w:color w:val="181717"/>
                <w:sz w:val="19"/>
              </w:rPr>
            </w:pPr>
            <w:r w:rsidRPr="00EB01F5">
              <w:rPr>
                <w:rFonts w:ascii="Calibri" w:eastAsia="Calibri" w:hAnsi="Calibri" w:cs="Calibri"/>
                <w:color w:val="FFFEFD"/>
                <w:sz w:val="16"/>
              </w:rPr>
              <w:t>50.0</w:t>
            </w:r>
          </w:p>
        </w:tc>
        <w:tc>
          <w:tcPr>
            <w:tcW w:w="794" w:type="dxa"/>
            <w:tcBorders>
              <w:top w:val="single" w:sz="2" w:space="0" w:color="BCC2C8"/>
              <w:left w:val="single" w:sz="2" w:space="0" w:color="FFFEFD"/>
              <w:bottom w:val="single" w:sz="2" w:space="0" w:color="BCC2C8"/>
              <w:right w:val="single" w:sz="2" w:space="0" w:color="FFFEFD"/>
            </w:tcBorders>
            <w:shd w:val="clear" w:color="auto" w:fill="CE4B49"/>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25.0</w:t>
            </w:r>
          </w:p>
        </w:tc>
        <w:tc>
          <w:tcPr>
            <w:tcW w:w="794" w:type="dxa"/>
            <w:tcBorders>
              <w:top w:val="single" w:sz="2" w:space="0" w:color="BCC2C8"/>
              <w:left w:val="single" w:sz="2" w:space="0" w:color="FFFEFD"/>
              <w:bottom w:val="single" w:sz="2" w:space="0" w:color="BCC2C8"/>
              <w:right w:val="nil"/>
            </w:tcBorders>
            <w:shd w:val="clear" w:color="auto" w:fill="2B5F33"/>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40.0</w:t>
            </w:r>
          </w:p>
        </w:tc>
        <w:tc>
          <w:tcPr>
            <w:tcW w:w="794" w:type="dxa"/>
            <w:tcBorders>
              <w:top w:val="single" w:sz="2" w:space="0" w:color="BCC2C8"/>
              <w:left w:val="nil"/>
              <w:bottom w:val="single" w:sz="2" w:space="0" w:color="BCC2C8"/>
              <w:right w:val="single" w:sz="2" w:space="0" w:color="FFFEFD"/>
            </w:tcBorders>
            <w:shd w:val="clear" w:color="auto" w:fill="2B5F33"/>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40.5</w:t>
            </w:r>
          </w:p>
        </w:tc>
        <w:tc>
          <w:tcPr>
            <w:tcW w:w="794" w:type="dxa"/>
            <w:tcBorders>
              <w:top w:val="single" w:sz="2" w:space="0" w:color="BCC2C8"/>
              <w:left w:val="single" w:sz="2" w:space="0" w:color="FFFEFD"/>
              <w:bottom w:val="single" w:sz="2" w:space="0" w:color="BCC2C8"/>
              <w:right w:val="single" w:sz="2" w:space="0" w:color="BCC2C8"/>
            </w:tcBorders>
            <w:shd w:val="clear" w:color="auto" w:fill="2B5F33"/>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45.7</w:t>
            </w:r>
          </w:p>
        </w:tc>
        <w:tc>
          <w:tcPr>
            <w:tcW w:w="2268" w:type="dxa"/>
            <w:tcBorders>
              <w:top w:val="single" w:sz="2" w:space="0" w:color="BCC2C8"/>
              <w:left w:val="single" w:sz="2" w:space="0" w:color="BCC2C8"/>
              <w:bottom w:val="single" w:sz="2" w:space="0" w:color="BCC2C8"/>
              <w:right w:val="single" w:sz="16" w:space="0" w:color="FFFEFD"/>
            </w:tcBorders>
            <w:shd w:val="clear" w:color="auto" w:fill="E9E8E7"/>
            <w:vAlign w:val="center"/>
          </w:tcPr>
          <w:p w:rsidR="00EB01F5" w:rsidRPr="00EB01F5" w:rsidRDefault="00EB01F5" w:rsidP="00EB01F5">
            <w:pPr>
              <w:ind w:left="21" w:right="613"/>
              <w:rPr>
                <w:rFonts w:ascii="Calibri" w:eastAsia="Calibri" w:hAnsi="Calibri" w:cs="Calibri"/>
                <w:color w:val="181717"/>
                <w:sz w:val="19"/>
              </w:rPr>
            </w:pPr>
            <w:r w:rsidRPr="00EB01F5">
              <w:rPr>
                <w:rFonts w:ascii="Calibri" w:eastAsia="Calibri" w:hAnsi="Calibri" w:cs="Calibri"/>
                <w:color w:val="343433"/>
                <w:sz w:val="16"/>
              </w:rPr>
              <w:t>Television Broadcasting  (all employees)</w:t>
            </w:r>
          </w:p>
        </w:tc>
        <w:tc>
          <w:tcPr>
            <w:tcW w:w="794" w:type="dxa"/>
            <w:tcBorders>
              <w:top w:val="single" w:sz="2" w:space="0" w:color="BCC2C8"/>
              <w:left w:val="single" w:sz="16" w:space="0" w:color="FFFEFD"/>
              <w:bottom w:val="single" w:sz="2" w:space="0" w:color="BCC2C8"/>
              <w:right w:val="single" w:sz="2" w:space="0" w:color="BCC2C8"/>
            </w:tcBorders>
            <w:shd w:val="clear" w:color="auto" w:fill="E9E8E7"/>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181717"/>
                <w:sz w:val="16"/>
              </w:rPr>
              <w:t>30.0</w:t>
            </w:r>
          </w:p>
        </w:tc>
      </w:tr>
      <w:tr w:rsidR="00EB01F5" w:rsidRPr="00EB01F5" w:rsidTr="007729F5">
        <w:trPr>
          <w:trHeight w:val="624"/>
        </w:trPr>
        <w:tc>
          <w:tcPr>
            <w:tcW w:w="1304" w:type="dxa"/>
            <w:tcBorders>
              <w:top w:val="single" w:sz="2" w:space="0" w:color="BCC2C8"/>
              <w:left w:val="single" w:sz="2" w:space="0" w:color="BCC2C8"/>
              <w:bottom w:val="single" w:sz="2" w:space="0" w:color="BCC2C8"/>
              <w:right w:val="single" w:sz="2" w:space="0" w:color="FFFEFD"/>
            </w:tcBorders>
            <w:shd w:val="clear" w:color="auto" w:fill="E9E8E7"/>
            <w:vAlign w:val="center"/>
          </w:tcPr>
          <w:p w:rsidR="00EB01F5" w:rsidRPr="00EB01F5" w:rsidRDefault="00EB01F5" w:rsidP="00EB01F5">
            <w:pPr>
              <w:ind w:left="21"/>
              <w:rPr>
                <w:rFonts w:ascii="Calibri" w:eastAsia="Calibri" w:hAnsi="Calibri" w:cs="Calibri"/>
                <w:color w:val="181717"/>
                <w:sz w:val="19"/>
              </w:rPr>
            </w:pPr>
            <w:r w:rsidRPr="00EB01F5">
              <w:rPr>
                <w:rFonts w:ascii="Calibri" w:eastAsia="Calibri" w:hAnsi="Calibri" w:cs="Calibri"/>
                <w:b/>
                <w:color w:val="181717"/>
                <w:sz w:val="18"/>
              </w:rPr>
              <w:t>Woolworths</w:t>
            </w:r>
          </w:p>
        </w:tc>
        <w:tc>
          <w:tcPr>
            <w:tcW w:w="794" w:type="dxa"/>
            <w:tcBorders>
              <w:top w:val="single" w:sz="2" w:space="0" w:color="BCC2C8"/>
              <w:left w:val="single" w:sz="2" w:space="0" w:color="FFFEFD"/>
              <w:bottom w:val="single" w:sz="2" w:space="0" w:color="BCC2C8"/>
              <w:right w:val="single" w:sz="2" w:space="0" w:color="FFFEFD"/>
            </w:tcBorders>
            <w:shd w:val="clear" w:color="auto" w:fill="718280"/>
            <w:vAlign w:val="center"/>
          </w:tcPr>
          <w:p w:rsidR="00EB01F5" w:rsidRPr="00EB01F5" w:rsidRDefault="00EB01F5" w:rsidP="00EB01F5">
            <w:pPr>
              <w:ind w:right="35"/>
              <w:jc w:val="center"/>
              <w:rPr>
                <w:rFonts w:ascii="Calibri" w:eastAsia="Calibri" w:hAnsi="Calibri" w:cs="Calibri"/>
                <w:color w:val="181717"/>
                <w:sz w:val="19"/>
              </w:rPr>
            </w:pPr>
            <w:r w:rsidRPr="00EB01F5">
              <w:rPr>
                <w:rFonts w:ascii="Calibri" w:eastAsia="Calibri" w:hAnsi="Calibri" w:cs="Calibri"/>
                <w:color w:val="FFFEFD"/>
                <w:sz w:val="16"/>
              </w:rPr>
              <w:t>20.0</w:t>
            </w:r>
          </w:p>
        </w:tc>
        <w:tc>
          <w:tcPr>
            <w:tcW w:w="794" w:type="dxa"/>
            <w:tcBorders>
              <w:top w:val="single" w:sz="2" w:space="0" w:color="BCC2C8"/>
              <w:left w:val="single" w:sz="2" w:space="0" w:color="FFFEFD"/>
              <w:bottom w:val="single" w:sz="2" w:space="0" w:color="BCC2C8"/>
              <w:right w:val="single" w:sz="2" w:space="0" w:color="FFFEFD"/>
            </w:tcBorders>
            <w:shd w:val="clear" w:color="auto" w:fill="718280"/>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34.9</w:t>
            </w:r>
          </w:p>
        </w:tc>
        <w:tc>
          <w:tcPr>
            <w:tcW w:w="794" w:type="dxa"/>
            <w:tcBorders>
              <w:top w:val="single" w:sz="2" w:space="0" w:color="BCC2C8"/>
              <w:left w:val="single" w:sz="2" w:space="0" w:color="FFFEFD"/>
              <w:bottom w:val="single" w:sz="2" w:space="0" w:color="BCC2C8"/>
              <w:right w:val="nil"/>
            </w:tcBorders>
            <w:shd w:val="clear" w:color="auto" w:fill="718280"/>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32.7</w:t>
            </w:r>
          </w:p>
        </w:tc>
        <w:tc>
          <w:tcPr>
            <w:tcW w:w="794" w:type="dxa"/>
            <w:tcBorders>
              <w:top w:val="single" w:sz="2" w:space="0" w:color="BCC2C8"/>
              <w:left w:val="nil"/>
              <w:bottom w:val="single" w:sz="2" w:space="0" w:color="BCC2C8"/>
              <w:right w:val="single" w:sz="2" w:space="0" w:color="FFFEFD"/>
            </w:tcBorders>
            <w:shd w:val="clear" w:color="auto" w:fill="F09B57"/>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36.9</w:t>
            </w:r>
          </w:p>
        </w:tc>
        <w:tc>
          <w:tcPr>
            <w:tcW w:w="794" w:type="dxa"/>
            <w:tcBorders>
              <w:top w:val="single" w:sz="2" w:space="0" w:color="BCC2C8"/>
              <w:left w:val="single" w:sz="2" w:space="0" w:color="FFFEFD"/>
              <w:bottom w:val="single" w:sz="2" w:space="0" w:color="BCC2C8"/>
              <w:right w:val="single" w:sz="2" w:space="0" w:color="BCC2C8"/>
            </w:tcBorders>
            <w:shd w:val="clear" w:color="auto" w:fill="2B5F33"/>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FFFEFD"/>
                <w:sz w:val="16"/>
              </w:rPr>
              <w:t>54.9</w:t>
            </w:r>
          </w:p>
        </w:tc>
        <w:tc>
          <w:tcPr>
            <w:tcW w:w="2268" w:type="dxa"/>
            <w:tcBorders>
              <w:top w:val="single" w:sz="2" w:space="0" w:color="BCC2C8"/>
              <w:left w:val="single" w:sz="2" w:space="0" w:color="BCC2C8"/>
              <w:bottom w:val="single" w:sz="2" w:space="0" w:color="BCC2C8"/>
              <w:right w:val="single" w:sz="16" w:space="0" w:color="FFFEFD"/>
            </w:tcBorders>
            <w:shd w:val="clear" w:color="auto" w:fill="E9E8E7"/>
            <w:vAlign w:val="center"/>
          </w:tcPr>
          <w:p w:rsidR="00EB01F5" w:rsidRPr="00EB01F5" w:rsidRDefault="00EB01F5" w:rsidP="00EB01F5">
            <w:pPr>
              <w:ind w:left="21"/>
              <w:rPr>
                <w:rFonts w:ascii="Calibri" w:eastAsia="Calibri" w:hAnsi="Calibri" w:cs="Calibri"/>
                <w:color w:val="181717"/>
                <w:sz w:val="19"/>
              </w:rPr>
            </w:pPr>
            <w:r w:rsidRPr="00EB01F5">
              <w:rPr>
                <w:rFonts w:ascii="Calibri" w:eastAsia="Calibri" w:hAnsi="Calibri" w:cs="Calibri"/>
                <w:color w:val="343433"/>
                <w:sz w:val="16"/>
              </w:rPr>
              <w:t>Supermarket and Grocery Stores  (5000+ employees)</w:t>
            </w:r>
          </w:p>
        </w:tc>
        <w:tc>
          <w:tcPr>
            <w:tcW w:w="794" w:type="dxa"/>
            <w:tcBorders>
              <w:top w:val="single" w:sz="2" w:space="0" w:color="BCC2C8"/>
              <w:left w:val="single" w:sz="16" w:space="0" w:color="FFFEFD"/>
              <w:bottom w:val="single" w:sz="2" w:space="0" w:color="BCC2C8"/>
              <w:right w:val="single" w:sz="2" w:space="0" w:color="BCC2C8"/>
            </w:tcBorders>
            <w:shd w:val="clear" w:color="auto" w:fill="E9E8E7"/>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181717"/>
                <w:sz w:val="16"/>
              </w:rPr>
              <w:t>33.3</w:t>
            </w:r>
          </w:p>
        </w:tc>
      </w:tr>
      <w:tr w:rsidR="00EB01F5" w:rsidRPr="00EB01F5" w:rsidTr="007729F5">
        <w:trPr>
          <w:trHeight w:val="397"/>
        </w:trPr>
        <w:tc>
          <w:tcPr>
            <w:tcW w:w="3685" w:type="dxa"/>
            <w:gridSpan w:val="4"/>
            <w:tcBorders>
              <w:top w:val="single" w:sz="2" w:space="0" w:color="BCC2C8"/>
              <w:left w:val="single" w:sz="2" w:space="0" w:color="BCC2C8"/>
              <w:bottom w:val="single" w:sz="2" w:space="0" w:color="BCC2C8"/>
              <w:right w:val="nil"/>
            </w:tcBorders>
            <w:shd w:val="clear" w:color="auto" w:fill="63676D"/>
          </w:tcPr>
          <w:p w:rsidR="00EB01F5" w:rsidRPr="00EB01F5" w:rsidRDefault="00EB01F5" w:rsidP="00EB01F5">
            <w:pPr>
              <w:ind w:left="21"/>
              <w:rPr>
                <w:rFonts w:ascii="Calibri" w:eastAsia="Calibri" w:hAnsi="Calibri" w:cs="Calibri"/>
                <w:color w:val="181717"/>
                <w:sz w:val="19"/>
              </w:rPr>
            </w:pPr>
            <w:r w:rsidRPr="00EB01F5">
              <w:rPr>
                <w:rFonts w:ascii="Calibri" w:eastAsia="Calibri" w:hAnsi="Calibri" w:cs="Calibri"/>
                <w:b/>
                <w:color w:val="FFFEFD"/>
                <w:sz w:val="16"/>
              </w:rPr>
              <w:t>Public Sector Organisations</w:t>
            </w:r>
          </w:p>
        </w:tc>
        <w:tc>
          <w:tcPr>
            <w:tcW w:w="1587" w:type="dxa"/>
            <w:gridSpan w:val="2"/>
            <w:tcBorders>
              <w:top w:val="single" w:sz="2" w:space="0" w:color="BCC2C8"/>
              <w:left w:val="nil"/>
              <w:bottom w:val="single" w:sz="2" w:space="0" w:color="BCC2C8"/>
              <w:right w:val="nil"/>
            </w:tcBorders>
            <w:shd w:val="clear" w:color="auto" w:fill="63676D"/>
          </w:tcPr>
          <w:p w:rsidR="00EB01F5" w:rsidRPr="00EB01F5" w:rsidRDefault="00EB01F5" w:rsidP="00EB01F5">
            <w:pPr>
              <w:rPr>
                <w:rFonts w:ascii="Calibri" w:eastAsia="Calibri" w:hAnsi="Calibri" w:cs="Calibri"/>
                <w:color w:val="181717"/>
                <w:sz w:val="19"/>
              </w:rPr>
            </w:pPr>
          </w:p>
        </w:tc>
        <w:tc>
          <w:tcPr>
            <w:tcW w:w="2268" w:type="dxa"/>
            <w:tcBorders>
              <w:top w:val="single" w:sz="2" w:space="0" w:color="BCC2C8"/>
              <w:left w:val="nil"/>
              <w:bottom w:val="nil"/>
              <w:right w:val="nil"/>
            </w:tcBorders>
            <w:shd w:val="clear" w:color="auto" w:fill="63676D"/>
          </w:tcPr>
          <w:p w:rsidR="00EB01F5" w:rsidRPr="00EB01F5" w:rsidRDefault="00EB01F5" w:rsidP="00EB01F5">
            <w:pPr>
              <w:rPr>
                <w:rFonts w:ascii="Calibri" w:eastAsia="Calibri" w:hAnsi="Calibri" w:cs="Calibri"/>
                <w:color w:val="181717"/>
                <w:sz w:val="19"/>
              </w:rPr>
            </w:pPr>
          </w:p>
        </w:tc>
        <w:tc>
          <w:tcPr>
            <w:tcW w:w="794" w:type="dxa"/>
            <w:tcBorders>
              <w:top w:val="single" w:sz="2" w:space="0" w:color="BCC2C8"/>
              <w:left w:val="nil"/>
              <w:bottom w:val="nil"/>
              <w:right w:val="single" w:sz="2" w:space="0" w:color="BCC2C8"/>
            </w:tcBorders>
            <w:shd w:val="clear" w:color="auto" w:fill="63676D"/>
          </w:tcPr>
          <w:p w:rsidR="00EB01F5" w:rsidRPr="00EB01F5" w:rsidRDefault="00EB01F5" w:rsidP="00EB01F5">
            <w:pPr>
              <w:rPr>
                <w:rFonts w:ascii="Calibri" w:eastAsia="Calibri" w:hAnsi="Calibri" w:cs="Calibri"/>
                <w:color w:val="181717"/>
                <w:sz w:val="19"/>
              </w:rPr>
            </w:pPr>
          </w:p>
        </w:tc>
      </w:tr>
      <w:tr w:rsidR="00EB01F5" w:rsidRPr="00EB01F5" w:rsidTr="007729F5">
        <w:trPr>
          <w:trHeight w:val="510"/>
        </w:trPr>
        <w:tc>
          <w:tcPr>
            <w:tcW w:w="1304" w:type="dxa"/>
            <w:tcBorders>
              <w:top w:val="single" w:sz="2" w:space="0" w:color="BCC2C8"/>
              <w:left w:val="single" w:sz="2" w:space="0" w:color="BCC2C8"/>
              <w:bottom w:val="single" w:sz="2" w:space="0" w:color="FFFEFD"/>
              <w:right w:val="single" w:sz="2" w:space="0" w:color="BCC2C8"/>
            </w:tcBorders>
            <w:shd w:val="clear" w:color="auto" w:fill="E9E8E7"/>
            <w:vAlign w:val="center"/>
          </w:tcPr>
          <w:p w:rsidR="00EB01F5" w:rsidRPr="00EB01F5" w:rsidRDefault="00EB01F5" w:rsidP="00EB01F5">
            <w:pPr>
              <w:ind w:left="21"/>
              <w:rPr>
                <w:rFonts w:ascii="Calibri" w:eastAsia="Calibri" w:hAnsi="Calibri" w:cs="Calibri"/>
                <w:color w:val="181717"/>
                <w:sz w:val="19"/>
              </w:rPr>
            </w:pPr>
            <w:r w:rsidRPr="00EB01F5">
              <w:rPr>
                <w:rFonts w:ascii="Calibri" w:eastAsia="Calibri" w:hAnsi="Calibri" w:cs="Calibri"/>
                <w:b/>
                <w:color w:val="181717"/>
                <w:sz w:val="18"/>
              </w:rPr>
              <w:t xml:space="preserve">Army </w:t>
            </w:r>
            <w:r w:rsidRPr="00EB01F5">
              <w:rPr>
                <w:rFonts w:ascii="Calibri" w:eastAsia="Calibri" w:hAnsi="Calibri" w:cs="Calibri"/>
                <w:color w:val="181717"/>
                <w:sz w:val="13"/>
                <w:vertAlign w:val="superscript"/>
              </w:rPr>
              <w:t>4</w:t>
            </w:r>
          </w:p>
        </w:tc>
        <w:tc>
          <w:tcPr>
            <w:tcW w:w="794" w:type="dxa"/>
            <w:tcBorders>
              <w:top w:val="single" w:sz="2" w:space="0" w:color="BCC2C8"/>
              <w:left w:val="single" w:sz="2" w:space="0" w:color="BCC2C8"/>
              <w:bottom w:val="single" w:sz="2" w:space="0" w:color="BCC2C8"/>
              <w:right w:val="single" w:sz="2" w:space="0" w:color="BCC2C8"/>
            </w:tcBorders>
            <w:shd w:val="clear" w:color="auto" w:fill="DDDEE2"/>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181717"/>
                <w:sz w:val="16"/>
              </w:rPr>
              <w:t>9.0</w:t>
            </w:r>
          </w:p>
        </w:tc>
        <w:tc>
          <w:tcPr>
            <w:tcW w:w="794" w:type="dxa"/>
            <w:tcBorders>
              <w:top w:val="single" w:sz="2" w:space="0" w:color="BCC2C8"/>
              <w:left w:val="single" w:sz="2" w:space="0" w:color="BCC2C8"/>
              <w:bottom w:val="single" w:sz="2" w:space="0" w:color="BCC2C8"/>
              <w:right w:val="single" w:sz="2" w:space="0" w:color="BCC2C8"/>
            </w:tcBorders>
            <w:shd w:val="clear" w:color="auto" w:fill="DDDEE2"/>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181717"/>
                <w:sz w:val="16"/>
              </w:rPr>
              <w:t>10.5</w:t>
            </w:r>
          </w:p>
        </w:tc>
        <w:tc>
          <w:tcPr>
            <w:tcW w:w="794" w:type="dxa"/>
            <w:tcBorders>
              <w:top w:val="single" w:sz="2" w:space="0" w:color="BCC2C8"/>
              <w:left w:val="single" w:sz="2" w:space="0" w:color="BCC2C8"/>
              <w:bottom w:val="single" w:sz="2" w:space="0" w:color="BCC2C8"/>
              <w:right w:val="single" w:sz="2" w:space="0" w:color="BCC2C8"/>
            </w:tcBorders>
            <w:shd w:val="clear" w:color="auto" w:fill="DDDEE2"/>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181717"/>
                <w:sz w:val="16"/>
              </w:rPr>
              <w:t>14.2</w:t>
            </w:r>
          </w:p>
        </w:tc>
        <w:tc>
          <w:tcPr>
            <w:tcW w:w="794" w:type="dxa"/>
            <w:tcBorders>
              <w:top w:val="single" w:sz="2" w:space="0" w:color="BCC2C8"/>
              <w:left w:val="single" w:sz="2" w:space="0" w:color="BCC2C8"/>
              <w:bottom w:val="single" w:sz="2" w:space="0" w:color="BCC2C8"/>
              <w:right w:val="single" w:sz="2" w:space="0" w:color="BCC2C8"/>
            </w:tcBorders>
            <w:shd w:val="clear" w:color="auto" w:fill="DDDEE2"/>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181717"/>
                <w:sz w:val="16"/>
              </w:rPr>
              <w:t>12.8</w:t>
            </w:r>
          </w:p>
        </w:tc>
        <w:tc>
          <w:tcPr>
            <w:tcW w:w="794" w:type="dxa"/>
            <w:tcBorders>
              <w:top w:val="single" w:sz="2" w:space="0" w:color="BCC2C8"/>
              <w:left w:val="single" w:sz="2" w:space="0" w:color="BCC2C8"/>
              <w:bottom w:val="single" w:sz="2" w:space="0" w:color="BCC2C8"/>
              <w:right w:val="nil"/>
            </w:tcBorders>
            <w:shd w:val="clear" w:color="auto" w:fill="DDDEE2"/>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181717"/>
                <w:sz w:val="16"/>
              </w:rPr>
              <w:t>11.7</w:t>
            </w:r>
          </w:p>
        </w:tc>
        <w:tc>
          <w:tcPr>
            <w:tcW w:w="2268" w:type="dxa"/>
            <w:vMerge w:val="restart"/>
            <w:tcBorders>
              <w:top w:val="nil"/>
              <w:left w:val="nil"/>
              <w:bottom w:val="nil"/>
              <w:right w:val="nil"/>
            </w:tcBorders>
          </w:tcPr>
          <w:p w:rsidR="00EB01F5" w:rsidRPr="00EB01F5" w:rsidRDefault="00EB01F5" w:rsidP="00EB01F5">
            <w:pPr>
              <w:rPr>
                <w:rFonts w:ascii="Calibri" w:eastAsia="Calibri" w:hAnsi="Calibri" w:cs="Calibri"/>
                <w:color w:val="181717"/>
                <w:sz w:val="19"/>
              </w:rPr>
            </w:pPr>
          </w:p>
        </w:tc>
        <w:tc>
          <w:tcPr>
            <w:tcW w:w="794" w:type="dxa"/>
            <w:vMerge w:val="restart"/>
            <w:tcBorders>
              <w:top w:val="nil"/>
              <w:left w:val="nil"/>
              <w:bottom w:val="nil"/>
              <w:right w:val="nil"/>
            </w:tcBorders>
            <w:vAlign w:val="center"/>
          </w:tcPr>
          <w:p w:rsidR="00EB01F5" w:rsidRPr="00EB01F5" w:rsidRDefault="00EB01F5" w:rsidP="00EB01F5">
            <w:pPr>
              <w:rPr>
                <w:rFonts w:ascii="Calibri" w:eastAsia="Calibri" w:hAnsi="Calibri" w:cs="Calibri"/>
                <w:color w:val="181717"/>
                <w:sz w:val="19"/>
              </w:rPr>
            </w:pPr>
          </w:p>
        </w:tc>
      </w:tr>
      <w:tr w:rsidR="00EB01F5" w:rsidRPr="00EB01F5" w:rsidTr="007729F5">
        <w:trPr>
          <w:trHeight w:val="510"/>
        </w:trPr>
        <w:tc>
          <w:tcPr>
            <w:tcW w:w="1304" w:type="dxa"/>
            <w:tcBorders>
              <w:top w:val="single" w:sz="2" w:space="0" w:color="FFFEFD"/>
              <w:left w:val="single" w:sz="2" w:space="0" w:color="BCC2C8"/>
              <w:bottom w:val="single" w:sz="2" w:space="0" w:color="FFFEFD"/>
              <w:right w:val="single" w:sz="2" w:space="0" w:color="BCC2C8"/>
            </w:tcBorders>
            <w:shd w:val="clear" w:color="auto" w:fill="E9E8E7"/>
            <w:vAlign w:val="center"/>
          </w:tcPr>
          <w:p w:rsidR="00EB01F5" w:rsidRPr="00EB01F5" w:rsidRDefault="00EB01F5" w:rsidP="00EB01F5">
            <w:pPr>
              <w:ind w:left="21"/>
              <w:rPr>
                <w:rFonts w:ascii="Calibri" w:eastAsia="Calibri" w:hAnsi="Calibri" w:cs="Calibri"/>
                <w:color w:val="181717"/>
                <w:sz w:val="19"/>
              </w:rPr>
            </w:pPr>
            <w:r w:rsidRPr="00EB01F5">
              <w:rPr>
                <w:rFonts w:ascii="Calibri" w:eastAsia="Calibri" w:hAnsi="Calibri" w:cs="Calibri"/>
                <w:b/>
                <w:color w:val="181717"/>
                <w:sz w:val="18"/>
              </w:rPr>
              <w:t xml:space="preserve">PMC </w:t>
            </w:r>
            <w:r w:rsidRPr="00EB01F5">
              <w:rPr>
                <w:rFonts w:ascii="Calibri" w:eastAsia="Calibri" w:hAnsi="Calibri" w:cs="Calibri"/>
                <w:color w:val="181717"/>
                <w:sz w:val="13"/>
                <w:vertAlign w:val="superscript"/>
              </w:rPr>
              <w:t>5</w:t>
            </w:r>
          </w:p>
        </w:tc>
        <w:tc>
          <w:tcPr>
            <w:tcW w:w="794" w:type="dxa"/>
            <w:tcBorders>
              <w:top w:val="single" w:sz="2" w:space="0" w:color="BCC2C8"/>
              <w:left w:val="single" w:sz="2" w:space="0" w:color="BCC2C8"/>
              <w:bottom w:val="single" w:sz="2" w:space="0" w:color="BCC2C8"/>
              <w:right w:val="single" w:sz="2" w:space="0" w:color="BCC2C8"/>
            </w:tcBorders>
            <w:shd w:val="clear" w:color="auto" w:fill="DDDEE2"/>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181717"/>
                <w:sz w:val="16"/>
              </w:rPr>
              <w:t>62.0</w:t>
            </w:r>
          </w:p>
        </w:tc>
        <w:tc>
          <w:tcPr>
            <w:tcW w:w="794" w:type="dxa"/>
            <w:tcBorders>
              <w:top w:val="single" w:sz="2" w:space="0" w:color="BCC2C8"/>
              <w:left w:val="single" w:sz="2" w:space="0" w:color="BCC2C8"/>
              <w:bottom w:val="single" w:sz="2" w:space="0" w:color="BCC2C8"/>
              <w:right w:val="single" w:sz="2" w:space="0" w:color="BCC2C8"/>
            </w:tcBorders>
            <w:shd w:val="clear" w:color="auto" w:fill="DDDEE2"/>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181717"/>
                <w:sz w:val="16"/>
              </w:rPr>
              <w:t>64.0</w:t>
            </w:r>
          </w:p>
        </w:tc>
        <w:tc>
          <w:tcPr>
            <w:tcW w:w="794" w:type="dxa"/>
            <w:tcBorders>
              <w:top w:val="single" w:sz="2" w:space="0" w:color="BCC2C8"/>
              <w:left w:val="single" w:sz="2" w:space="0" w:color="BCC2C8"/>
              <w:bottom w:val="single" w:sz="2" w:space="0" w:color="BCC2C8"/>
              <w:right w:val="single" w:sz="2" w:space="0" w:color="BCC2C8"/>
            </w:tcBorders>
            <w:shd w:val="clear" w:color="auto" w:fill="DDDEE2"/>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181717"/>
                <w:sz w:val="16"/>
              </w:rPr>
              <w:t>44.3</w:t>
            </w:r>
          </w:p>
        </w:tc>
        <w:tc>
          <w:tcPr>
            <w:tcW w:w="794" w:type="dxa"/>
            <w:tcBorders>
              <w:top w:val="single" w:sz="2" w:space="0" w:color="BCC2C8"/>
              <w:left w:val="single" w:sz="2" w:space="0" w:color="BCC2C8"/>
              <w:bottom w:val="single" w:sz="2" w:space="0" w:color="BCC2C8"/>
              <w:right w:val="single" w:sz="2" w:space="0" w:color="BCC2C8"/>
            </w:tcBorders>
            <w:shd w:val="clear" w:color="auto" w:fill="DDDEE2"/>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181717"/>
                <w:sz w:val="16"/>
              </w:rPr>
              <w:t>61.1</w:t>
            </w:r>
          </w:p>
        </w:tc>
        <w:tc>
          <w:tcPr>
            <w:tcW w:w="794" w:type="dxa"/>
            <w:tcBorders>
              <w:top w:val="single" w:sz="2" w:space="0" w:color="BCC2C8"/>
              <w:left w:val="single" w:sz="2" w:space="0" w:color="BCC2C8"/>
              <w:bottom w:val="single" w:sz="2" w:space="0" w:color="BCC2C8"/>
              <w:right w:val="nil"/>
            </w:tcBorders>
            <w:shd w:val="clear" w:color="auto" w:fill="DDDEE2"/>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181717"/>
                <w:sz w:val="16"/>
              </w:rPr>
              <w:t>66.5</w:t>
            </w:r>
          </w:p>
        </w:tc>
        <w:tc>
          <w:tcPr>
            <w:tcW w:w="0" w:type="auto"/>
            <w:vMerge/>
            <w:tcBorders>
              <w:top w:val="nil"/>
              <w:left w:val="nil"/>
              <w:bottom w:val="nil"/>
              <w:right w:val="nil"/>
            </w:tcBorders>
          </w:tcPr>
          <w:p w:rsidR="00EB01F5" w:rsidRPr="00EB01F5" w:rsidRDefault="00EB01F5" w:rsidP="00EB01F5">
            <w:pPr>
              <w:rPr>
                <w:rFonts w:ascii="Calibri" w:eastAsia="Calibri" w:hAnsi="Calibri" w:cs="Calibri"/>
                <w:color w:val="181717"/>
                <w:sz w:val="19"/>
              </w:rPr>
            </w:pPr>
          </w:p>
        </w:tc>
        <w:tc>
          <w:tcPr>
            <w:tcW w:w="0" w:type="auto"/>
            <w:vMerge/>
            <w:tcBorders>
              <w:top w:val="nil"/>
              <w:left w:val="nil"/>
              <w:bottom w:val="nil"/>
              <w:right w:val="nil"/>
            </w:tcBorders>
          </w:tcPr>
          <w:p w:rsidR="00EB01F5" w:rsidRPr="00EB01F5" w:rsidRDefault="00EB01F5" w:rsidP="00EB01F5">
            <w:pPr>
              <w:rPr>
                <w:rFonts w:ascii="Calibri" w:eastAsia="Calibri" w:hAnsi="Calibri" w:cs="Calibri"/>
                <w:color w:val="181717"/>
                <w:sz w:val="19"/>
              </w:rPr>
            </w:pPr>
          </w:p>
        </w:tc>
      </w:tr>
      <w:tr w:rsidR="00EB01F5" w:rsidRPr="00EB01F5" w:rsidTr="007729F5">
        <w:trPr>
          <w:trHeight w:val="510"/>
        </w:trPr>
        <w:tc>
          <w:tcPr>
            <w:tcW w:w="1304" w:type="dxa"/>
            <w:tcBorders>
              <w:top w:val="single" w:sz="2" w:space="0" w:color="FFFEFD"/>
              <w:left w:val="single" w:sz="2" w:space="0" w:color="BCC2C8"/>
              <w:bottom w:val="single" w:sz="2" w:space="0" w:color="BCC2C8"/>
              <w:right w:val="single" w:sz="2" w:space="0" w:color="BCC2C8"/>
            </w:tcBorders>
            <w:shd w:val="clear" w:color="auto" w:fill="E9E8E7"/>
            <w:vAlign w:val="center"/>
          </w:tcPr>
          <w:p w:rsidR="00EB01F5" w:rsidRPr="00EB01F5" w:rsidRDefault="00EB01F5" w:rsidP="00EB01F5">
            <w:pPr>
              <w:ind w:left="21"/>
              <w:rPr>
                <w:rFonts w:ascii="Calibri" w:eastAsia="Calibri" w:hAnsi="Calibri" w:cs="Calibri"/>
                <w:color w:val="181717"/>
                <w:sz w:val="19"/>
              </w:rPr>
            </w:pPr>
            <w:r w:rsidRPr="00EB01F5">
              <w:rPr>
                <w:rFonts w:ascii="Calibri" w:eastAsia="Calibri" w:hAnsi="Calibri" w:cs="Calibri"/>
                <w:b/>
                <w:color w:val="181717"/>
                <w:sz w:val="18"/>
              </w:rPr>
              <w:t xml:space="preserve">Treasury </w:t>
            </w:r>
            <w:r w:rsidRPr="00EB01F5">
              <w:rPr>
                <w:rFonts w:ascii="Calibri" w:eastAsia="Calibri" w:hAnsi="Calibri" w:cs="Calibri"/>
                <w:color w:val="181717"/>
                <w:sz w:val="13"/>
                <w:vertAlign w:val="superscript"/>
              </w:rPr>
              <w:t>5</w:t>
            </w:r>
          </w:p>
        </w:tc>
        <w:tc>
          <w:tcPr>
            <w:tcW w:w="794" w:type="dxa"/>
            <w:tcBorders>
              <w:top w:val="single" w:sz="2" w:space="0" w:color="BCC2C8"/>
              <w:left w:val="single" w:sz="2" w:space="0" w:color="BCC2C8"/>
              <w:bottom w:val="single" w:sz="2" w:space="0" w:color="BCC2C8"/>
              <w:right w:val="single" w:sz="2" w:space="0" w:color="BCC2C8"/>
            </w:tcBorders>
            <w:shd w:val="clear" w:color="auto" w:fill="DDDEE2"/>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181717"/>
                <w:sz w:val="16"/>
              </w:rPr>
              <w:t>28.6</w:t>
            </w:r>
          </w:p>
        </w:tc>
        <w:tc>
          <w:tcPr>
            <w:tcW w:w="794" w:type="dxa"/>
            <w:tcBorders>
              <w:top w:val="single" w:sz="2" w:space="0" w:color="BCC2C8"/>
              <w:left w:val="single" w:sz="2" w:space="0" w:color="BCC2C8"/>
              <w:bottom w:val="single" w:sz="2" w:space="0" w:color="BCC2C8"/>
              <w:right w:val="single" w:sz="2" w:space="0" w:color="BCC2C8"/>
            </w:tcBorders>
            <w:shd w:val="clear" w:color="auto" w:fill="DDDEE2"/>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181717"/>
                <w:sz w:val="16"/>
              </w:rPr>
              <w:t>26.2</w:t>
            </w:r>
          </w:p>
        </w:tc>
        <w:tc>
          <w:tcPr>
            <w:tcW w:w="794" w:type="dxa"/>
            <w:tcBorders>
              <w:top w:val="single" w:sz="2" w:space="0" w:color="BCC2C8"/>
              <w:left w:val="single" w:sz="2" w:space="0" w:color="BCC2C8"/>
              <w:bottom w:val="single" w:sz="2" w:space="0" w:color="BCC2C8"/>
              <w:right w:val="single" w:sz="2" w:space="0" w:color="BCC2C8"/>
            </w:tcBorders>
            <w:shd w:val="clear" w:color="auto" w:fill="DDDEE2"/>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181717"/>
                <w:sz w:val="16"/>
              </w:rPr>
              <w:t>41.5</w:t>
            </w:r>
          </w:p>
        </w:tc>
        <w:tc>
          <w:tcPr>
            <w:tcW w:w="794" w:type="dxa"/>
            <w:tcBorders>
              <w:top w:val="single" w:sz="2" w:space="0" w:color="BCC2C8"/>
              <w:left w:val="single" w:sz="2" w:space="0" w:color="BCC2C8"/>
              <w:bottom w:val="single" w:sz="2" w:space="0" w:color="BCC2C8"/>
              <w:right w:val="single" w:sz="2" w:space="0" w:color="BCC2C8"/>
            </w:tcBorders>
            <w:shd w:val="clear" w:color="auto" w:fill="DDDEE2"/>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181717"/>
                <w:sz w:val="16"/>
              </w:rPr>
              <w:t>44.7</w:t>
            </w:r>
          </w:p>
        </w:tc>
        <w:tc>
          <w:tcPr>
            <w:tcW w:w="794" w:type="dxa"/>
            <w:tcBorders>
              <w:top w:val="single" w:sz="2" w:space="0" w:color="BCC2C8"/>
              <w:left w:val="single" w:sz="2" w:space="0" w:color="BCC2C8"/>
              <w:bottom w:val="single" w:sz="2" w:space="0" w:color="BCC2C8"/>
              <w:right w:val="nil"/>
            </w:tcBorders>
            <w:shd w:val="clear" w:color="auto" w:fill="DDDEE2"/>
            <w:vAlign w:val="center"/>
          </w:tcPr>
          <w:p w:rsidR="00EB01F5" w:rsidRPr="00EB01F5" w:rsidRDefault="00EB01F5" w:rsidP="00EB01F5">
            <w:pPr>
              <w:ind w:right="58"/>
              <w:jc w:val="center"/>
              <w:rPr>
                <w:rFonts w:ascii="Calibri" w:eastAsia="Calibri" w:hAnsi="Calibri" w:cs="Calibri"/>
                <w:color w:val="181717"/>
                <w:sz w:val="19"/>
              </w:rPr>
            </w:pPr>
            <w:r w:rsidRPr="00EB01F5">
              <w:rPr>
                <w:rFonts w:ascii="Calibri" w:eastAsia="Calibri" w:hAnsi="Calibri" w:cs="Calibri"/>
                <w:color w:val="181717"/>
                <w:sz w:val="16"/>
              </w:rPr>
              <w:t>54.5</w:t>
            </w:r>
          </w:p>
        </w:tc>
        <w:tc>
          <w:tcPr>
            <w:tcW w:w="0" w:type="auto"/>
            <w:vMerge/>
            <w:tcBorders>
              <w:top w:val="nil"/>
              <w:left w:val="nil"/>
              <w:bottom w:val="nil"/>
              <w:right w:val="nil"/>
            </w:tcBorders>
          </w:tcPr>
          <w:p w:rsidR="00EB01F5" w:rsidRPr="00EB01F5" w:rsidRDefault="00EB01F5" w:rsidP="00EB01F5">
            <w:pPr>
              <w:rPr>
                <w:rFonts w:ascii="Calibri" w:eastAsia="Calibri" w:hAnsi="Calibri" w:cs="Calibri"/>
                <w:color w:val="181717"/>
                <w:sz w:val="19"/>
              </w:rPr>
            </w:pPr>
          </w:p>
        </w:tc>
        <w:tc>
          <w:tcPr>
            <w:tcW w:w="0" w:type="auto"/>
            <w:vMerge/>
            <w:tcBorders>
              <w:top w:val="nil"/>
              <w:left w:val="nil"/>
              <w:bottom w:val="nil"/>
              <w:right w:val="nil"/>
            </w:tcBorders>
          </w:tcPr>
          <w:p w:rsidR="00EB01F5" w:rsidRPr="00EB01F5" w:rsidRDefault="00EB01F5" w:rsidP="00EB01F5">
            <w:pPr>
              <w:rPr>
                <w:rFonts w:ascii="Calibri" w:eastAsia="Calibri" w:hAnsi="Calibri" w:cs="Calibri"/>
                <w:color w:val="181717"/>
                <w:sz w:val="19"/>
              </w:rPr>
            </w:pPr>
          </w:p>
        </w:tc>
      </w:tr>
    </w:tbl>
    <w:p w:rsidR="00EB01F5" w:rsidRPr="00EB01F5" w:rsidRDefault="00EB01F5" w:rsidP="00EB01F5">
      <w:pPr>
        <w:keepNext/>
        <w:keepLines/>
        <w:spacing w:after="404"/>
        <w:ind w:left="104" w:right="102" w:hanging="10"/>
        <w:jc w:val="center"/>
        <w:outlineLvl w:val="1"/>
        <w:rPr>
          <w:rFonts w:ascii="Times New Roman" w:eastAsia="Times New Roman" w:hAnsi="Times New Roman" w:cs="Times New Roman"/>
          <w:color w:val="181717"/>
          <w:sz w:val="35"/>
          <w:lang w:eastAsia="en-AU"/>
        </w:rPr>
      </w:pPr>
      <w:r w:rsidRPr="00EB01F5">
        <w:rPr>
          <w:rFonts w:ascii="Calibri" w:eastAsia="Calibri" w:hAnsi="Calibri" w:cs="Calibri"/>
          <w:b/>
          <w:color w:val="EA6034"/>
          <w:sz w:val="40"/>
          <w:lang w:eastAsia="en-AU"/>
        </w:rPr>
        <w:lastRenderedPageBreak/>
        <w:t>Table 2:</w:t>
      </w:r>
      <w:r w:rsidRPr="00EB01F5">
        <w:rPr>
          <w:rFonts w:ascii="Calibri" w:eastAsia="Calibri" w:hAnsi="Calibri" w:cs="Calibri"/>
          <w:color w:val="EA6034"/>
          <w:sz w:val="40"/>
          <w:lang w:eastAsia="en-AU"/>
        </w:rPr>
        <w:t xml:space="preserve"> Leading Indicator Summary</w:t>
      </w:r>
    </w:p>
    <w:p w:rsidR="00EB01F5" w:rsidRPr="00EB01F5" w:rsidRDefault="00EB01F5" w:rsidP="00EB01F5">
      <w:pPr>
        <w:tabs>
          <w:tab w:val="center" w:pos="1876"/>
          <w:tab w:val="center" w:pos="4344"/>
          <w:tab w:val="center" w:pos="7001"/>
        </w:tabs>
        <w:spacing w:after="15"/>
        <w:rPr>
          <w:rFonts w:ascii="Calibri" w:eastAsia="Calibri" w:hAnsi="Calibri" w:cs="Calibri"/>
          <w:color w:val="181717"/>
          <w:sz w:val="19"/>
          <w:lang w:eastAsia="en-AU"/>
        </w:rPr>
      </w:pPr>
      <w:r w:rsidRPr="00EB01F5">
        <w:rPr>
          <w:rFonts w:ascii="Calibri" w:eastAsia="Calibri" w:hAnsi="Calibri" w:cs="Calibri"/>
          <w:color w:val="000000"/>
          <w:lang w:eastAsia="en-AU"/>
        </w:rPr>
        <w:tab/>
      </w:r>
      <w:r w:rsidRPr="00EB01F5">
        <w:rPr>
          <w:rFonts w:ascii="Calibri" w:eastAsia="Calibri" w:hAnsi="Calibri" w:cs="Calibri"/>
          <w:noProof/>
          <w:color w:val="000000"/>
          <w:lang w:eastAsia="en-AU"/>
        </w:rPr>
        <mc:AlternateContent>
          <mc:Choice Requires="wpg">
            <w:drawing>
              <wp:inline distT="0" distB="0" distL="0" distR="0" wp14:anchorId="3AACBB31" wp14:editId="0F962D02">
                <wp:extent cx="108001" cy="108001"/>
                <wp:effectExtent l="0" t="0" r="0" b="0"/>
                <wp:docPr id="24102" name="Group 24102"/>
                <wp:cNvGraphicFramePr/>
                <a:graphic xmlns:a="http://schemas.openxmlformats.org/drawingml/2006/main">
                  <a:graphicData uri="http://schemas.microsoft.com/office/word/2010/wordprocessingGroup">
                    <wpg:wgp>
                      <wpg:cNvGrpSpPr/>
                      <wpg:grpSpPr>
                        <a:xfrm>
                          <a:off x="0" y="0"/>
                          <a:ext cx="108001" cy="108001"/>
                          <a:chOff x="0" y="0"/>
                          <a:chExt cx="108001" cy="108001"/>
                        </a:xfrm>
                      </wpg:grpSpPr>
                      <wps:wsp>
                        <wps:cNvPr id="25912" name="Shape 25912"/>
                        <wps:cNvSpPr/>
                        <wps:spPr>
                          <a:xfrm>
                            <a:off x="0" y="0"/>
                            <a:ext cx="108001" cy="108001"/>
                          </a:xfrm>
                          <a:custGeom>
                            <a:avLst/>
                            <a:gdLst/>
                            <a:ahLst/>
                            <a:cxnLst/>
                            <a:rect l="0" t="0" r="0" b="0"/>
                            <a:pathLst>
                              <a:path w="108001" h="108001">
                                <a:moveTo>
                                  <a:pt x="0" y="0"/>
                                </a:moveTo>
                                <a:lnTo>
                                  <a:pt x="108001" y="0"/>
                                </a:lnTo>
                                <a:lnTo>
                                  <a:pt x="108001" y="108001"/>
                                </a:lnTo>
                                <a:lnTo>
                                  <a:pt x="0" y="108001"/>
                                </a:lnTo>
                                <a:lnTo>
                                  <a:pt x="0" y="0"/>
                                </a:lnTo>
                              </a:path>
                            </a:pathLst>
                          </a:custGeom>
                          <a:solidFill>
                            <a:srgbClr val="2B5F33"/>
                          </a:solidFill>
                          <a:ln w="0" cap="flat">
                            <a:noFill/>
                            <a:miter lim="127000"/>
                          </a:ln>
                          <a:effectLst/>
                        </wps:spPr>
                        <wps:bodyPr/>
                      </wps:wsp>
                    </wpg:wgp>
                  </a:graphicData>
                </a:graphic>
              </wp:inline>
            </w:drawing>
          </mc:Choice>
          <mc:Fallback>
            <w:pict>
              <v:group w14:anchorId="373876EC" id="Group 24102" o:spid="_x0000_s1026" style="width:8.5pt;height:8.5pt;mso-position-horizontal-relative:char;mso-position-vertical-relative:line" coordsize="108001,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">
                <v:shape id="Shape 25912" o:spid="_x0000_s1027" style="position:absolute;width:108001;height:108001;visibility:visible;mso-wrap-style:square;v-text-anchor:top" coordsize="108001,108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z8gA&#10;AADeAAAADwAAAGRycy9kb3ducmV2LnhtbESPW2vCQBSE3wX/w3KEvpmNqbekrlIEpVBBvDy0b4fs&#10;aRKaPRuyq8Z/3y0IPg4z8w2zWHWmFldqXWVZwSiKQRDnVldcKDifNsM5COeRNdaWScGdHKyW/d4C&#10;M21vfKDr0RciQNhlqKD0vsmkdHlJBl1kG+Lg/djWoA+yLaRu8RbgppZJHE+lwYrDQokNrUvKf48X&#10;o+A7tdt9eufZerLbvfr93I4/8Uupl0H3/gbCU+ef4Uf7QytIJukogf874Qr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mZ7PyAAAAN4AAAAPAAAAAAAAAAAAAAAAAJgCAABk&#10;cnMvZG93bnJldi54bWxQSwUGAAAAAAQABAD1AAAAjQMAAAAA&#10;" path="m,l108001,r,108001l,108001,,e" fillcolor="#2b5f33" stroked="f" strokeweight="0">
                  <v:stroke miterlimit="83231f" joinstyle="miter"/>
                  <v:path arrowok="t" textboxrect="0,0,108001,108001"/>
                </v:shape>
                <w10:anchorlock/>
              </v:group>
            </w:pict>
          </mc:Fallback>
        </mc:AlternateContent>
      </w:r>
      <w:r w:rsidRPr="00EB01F5">
        <w:rPr>
          <w:rFonts w:ascii="Calibri" w:eastAsia="Calibri" w:hAnsi="Calibri" w:cs="Calibri"/>
          <w:color w:val="181717"/>
          <w:sz w:val="15"/>
          <w:lang w:eastAsia="en-AU"/>
        </w:rPr>
        <w:t xml:space="preserve"> BALANCE (40-60% WOMEN) </w:t>
      </w:r>
      <w:r w:rsidRPr="00EB01F5">
        <w:rPr>
          <w:rFonts w:ascii="Calibri" w:eastAsia="Calibri" w:hAnsi="Calibri" w:cs="Calibri"/>
          <w:color w:val="181717"/>
          <w:sz w:val="13"/>
          <w:vertAlign w:val="superscript"/>
          <w:lang w:eastAsia="en-AU"/>
        </w:rPr>
        <w:footnoteReference w:id="2"/>
      </w:r>
      <w:r w:rsidRPr="00EB01F5">
        <w:rPr>
          <w:rFonts w:ascii="Calibri" w:eastAsia="Calibri" w:hAnsi="Calibri" w:cs="Calibri"/>
          <w:color w:val="181717"/>
          <w:sz w:val="13"/>
          <w:vertAlign w:val="superscript"/>
          <w:lang w:eastAsia="en-AU"/>
        </w:rPr>
        <w:tab/>
      </w:r>
      <w:r w:rsidRPr="00EB01F5">
        <w:rPr>
          <w:rFonts w:ascii="Calibri" w:eastAsia="Calibri" w:hAnsi="Calibri" w:cs="Calibri"/>
          <w:noProof/>
          <w:color w:val="000000"/>
          <w:lang w:eastAsia="en-AU"/>
        </w:rPr>
        <mc:AlternateContent>
          <mc:Choice Requires="wpg">
            <w:drawing>
              <wp:inline distT="0" distB="0" distL="0" distR="0" wp14:anchorId="0F494FEA" wp14:editId="0A8B819A">
                <wp:extent cx="108001" cy="108001"/>
                <wp:effectExtent l="0" t="0" r="0" b="0"/>
                <wp:docPr id="24103" name="Group 24103"/>
                <wp:cNvGraphicFramePr/>
                <a:graphic xmlns:a="http://schemas.openxmlformats.org/drawingml/2006/main">
                  <a:graphicData uri="http://schemas.microsoft.com/office/word/2010/wordprocessingGroup">
                    <wpg:wgp>
                      <wpg:cNvGrpSpPr/>
                      <wpg:grpSpPr>
                        <a:xfrm>
                          <a:off x="0" y="0"/>
                          <a:ext cx="108001" cy="108001"/>
                          <a:chOff x="0" y="0"/>
                          <a:chExt cx="108001" cy="108001"/>
                        </a:xfrm>
                      </wpg:grpSpPr>
                      <wps:wsp>
                        <wps:cNvPr id="25913" name="Shape 25913"/>
                        <wps:cNvSpPr/>
                        <wps:spPr>
                          <a:xfrm>
                            <a:off x="0" y="0"/>
                            <a:ext cx="108001" cy="108001"/>
                          </a:xfrm>
                          <a:custGeom>
                            <a:avLst/>
                            <a:gdLst/>
                            <a:ahLst/>
                            <a:cxnLst/>
                            <a:rect l="0" t="0" r="0" b="0"/>
                            <a:pathLst>
                              <a:path w="108001" h="108001">
                                <a:moveTo>
                                  <a:pt x="0" y="0"/>
                                </a:moveTo>
                                <a:lnTo>
                                  <a:pt x="108001" y="0"/>
                                </a:lnTo>
                                <a:lnTo>
                                  <a:pt x="108001" y="108001"/>
                                </a:lnTo>
                                <a:lnTo>
                                  <a:pt x="0" y="108001"/>
                                </a:lnTo>
                                <a:lnTo>
                                  <a:pt x="0" y="0"/>
                                </a:lnTo>
                              </a:path>
                            </a:pathLst>
                          </a:custGeom>
                          <a:solidFill>
                            <a:srgbClr val="F09B57"/>
                          </a:solidFill>
                          <a:ln w="0" cap="flat">
                            <a:noFill/>
                            <a:miter lim="127000"/>
                          </a:ln>
                          <a:effectLst/>
                        </wps:spPr>
                        <wps:bodyPr/>
                      </wps:wsp>
                    </wpg:wgp>
                  </a:graphicData>
                </a:graphic>
              </wp:inline>
            </w:drawing>
          </mc:Choice>
          <mc:Fallback>
            <w:pict>
              <v:group w14:anchorId="7BDF1D71" id="Group 24103" o:spid="_x0000_s1026" style="width:8.5pt;height:8.5pt;mso-position-horizontal-relative:char;mso-position-vertical-relative:line" coordsize="108001,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">
                <v:shape id="Shape 25913" o:spid="_x0000_s1027" style="position:absolute;width:108001;height:108001;visibility:visible;mso-wrap-style:square;v-text-anchor:top" coordsize="108001,108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LCMMgA&#10;AADeAAAADwAAAGRycy9kb3ducmV2LnhtbESPQWvCQBSE74L/YXkFb3VjxGJTVxFBjYciWg8eX7PP&#10;JDT7NmZXk/bXdwsFj8PMfMPMFp2pxJ0aV1pWMBpGIIgzq0vOFZw+1s9TEM4ja6wsk4JvcrCY93sz&#10;TLRt+UD3o89FgLBLUEHhfZ1I6bKCDLqhrYmDd7GNQR9kk0vdYBvgppJxFL1IgyWHhQJrWhWUfR1v&#10;RsEtjd9bvUvX+rrZXe3neb8tfy5KDZ665RsIT51/hP/bqVYQT15HY/i7E6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AsIwyAAAAN4AAAAPAAAAAAAAAAAAAAAAAJgCAABk&#10;cnMvZG93bnJldi54bWxQSwUGAAAAAAQABAD1AAAAjQMAAAAA&#10;" path="m,l108001,r,108001l,108001,,e" fillcolor="#f09b57" stroked="f" strokeweight="0">
                  <v:stroke miterlimit="83231f" joinstyle="miter"/>
                  <v:path arrowok="t" textboxrect="0,0,108001,108001"/>
                </v:shape>
                <w10:anchorlock/>
              </v:group>
            </w:pict>
          </mc:Fallback>
        </mc:AlternateContent>
      </w:r>
      <w:r w:rsidRPr="00EB01F5">
        <w:rPr>
          <w:rFonts w:ascii="Calibri" w:eastAsia="Calibri" w:hAnsi="Calibri" w:cs="Calibri"/>
          <w:color w:val="181717"/>
          <w:sz w:val="15"/>
          <w:lang w:eastAsia="en-AU"/>
        </w:rPr>
        <w:t xml:space="preserve"> </w:t>
      </w:r>
      <w:proofErr w:type="spellStart"/>
      <w:r w:rsidRPr="00EB01F5">
        <w:rPr>
          <w:rFonts w:ascii="Calibri" w:eastAsia="Calibri" w:hAnsi="Calibri" w:cs="Calibri"/>
          <w:color w:val="181717"/>
          <w:sz w:val="15"/>
          <w:lang w:eastAsia="en-AU"/>
        </w:rPr>
        <w:t>IMPROVEd</w:t>
      </w:r>
      <w:proofErr w:type="spellEnd"/>
      <w:r w:rsidRPr="00EB01F5">
        <w:rPr>
          <w:rFonts w:ascii="Calibri" w:eastAsia="Calibri" w:hAnsi="Calibri" w:cs="Calibri"/>
          <w:color w:val="181717"/>
          <w:sz w:val="15"/>
          <w:lang w:eastAsia="en-AU"/>
        </w:rPr>
        <w:t xml:space="preserve"> PRIOR 12 </w:t>
      </w:r>
      <w:proofErr w:type="spellStart"/>
      <w:r w:rsidRPr="00EB01F5">
        <w:rPr>
          <w:rFonts w:ascii="Calibri" w:eastAsia="Calibri" w:hAnsi="Calibri" w:cs="Calibri"/>
          <w:color w:val="181717"/>
          <w:sz w:val="15"/>
          <w:lang w:eastAsia="en-AU"/>
        </w:rPr>
        <w:t>MONThS</w:t>
      </w:r>
      <w:proofErr w:type="spellEnd"/>
      <w:r w:rsidRPr="00EB01F5">
        <w:rPr>
          <w:rFonts w:ascii="Calibri" w:eastAsia="Calibri" w:hAnsi="Calibri" w:cs="Calibri"/>
          <w:color w:val="181717"/>
          <w:sz w:val="15"/>
          <w:lang w:eastAsia="en-AU"/>
        </w:rPr>
        <w:tab/>
      </w:r>
      <w:r w:rsidRPr="00EB01F5">
        <w:rPr>
          <w:rFonts w:ascii="Calibri" w:eastAsia="Calibri" w:hAnsi="Calibri" w:cs="Calibri"/>
          <w:noProof/>
          <w:color w:val="000000"/>
          <w:lang w:eastAsia="en-AU"/>
        </w:rPr>
        <mc:AlternateContent>
          <mc:Choice Requires="wpg">
            <w:drawing>
              <wp:inline distT="0" distB="0" distL="0" distR="0" wp14:anchorId="24F7B043" wp14:editId="4D31C079">
                <wp:extent cx="108001" cy="108001"/>
                <wp:effectExtent l="0" t="0" r="0" b="0"/>
                <wp:docPr id="24104" name="Group 24104"/>
                <wp:cNvGraphicFramePr/>
                <a:graphic xmlns:a="http://schemas.openxmlformats.org/drawingml/2006/main">
                  <a:graphicData uri="http://schemas.microsoft.com/office/word/2010/wordprocessingGroup">
                    <wpg:wgp>
                      <wpg:cNvGrpSpPr/>
                      <wpg:grpSpPr>
                        <a:xfrm>
                          <a:off x="0" y="0"/>
                          <a:ext cx="108001" cy="108001"/>
                          <a:chOff x="0" y="0"/>
                          <a:chExt cx="108001" cy="108001"/>
                        </a:xfrm>
                      </wpg:grpSpPr>
                      <wps:wsp>
                        <wps:cNvPr id="25914" name="Shape 25914"/>
                        <wps:cNvSpPr/>
                        <wps:spPr>
                          <a:xfrm>
                            <a:off x="0" y="0"/>
                            <a:ext cx="108001" cy="108001"/>
                          </a:xfrm>
                          <a:custGeom>
                            <a:avLst/>
                            <a:gdLst/>
                            <a:ahLst/>
                            <a:cxnLst/>
                            <a:rect l="0" t="0" r="0" b="0"/>
                            <a:pathLst>
                              <a:path w="108001" h="108001">
                                <a:moveTo>
                                  <a:pt x="0" y="0"/>
                                </a:moveTo>
                                <a:lnTo>
                                  <a:pt x="108001" y="0"/>
                                </a:lnTo>
                                <a:lnTo>
                                  <a:pt x="108001" y="108001"/>
                                </a:lnTo>
                                <a:lnTo>
                                  <a:pt x="0" y="108001"/>
                                </a:lnTo>
                                <a:lnTo>
                                  <a:pt x="0" y="0"/>
                                </a:lnTo>
                              </a:path>
                            </a:pathLst>
                          </a:custGeom>
                          <a:solidFill>
                            <a:srgbClr val="CE4B49"/>
                          </a:solidFill>
                          <a:ln w="0" cap="flat">
                            <a:noFill/>
                            <a:miter lim="127000"/>
                          </a:ln>
                          <a:effectLst/>
                        </wps:spPr>
                        <wps:bodyPr/>
                      </wps:wsp>
                    </wpg:wgp>
                  </a:graphicData>
                </a:graphic>
              </wp:inline>
            </w:drawing>
          </mc:Choice>
          <mc:Fallback>
            <w:pict>
              <v:group w14:anchorId="69A28D56" id="Group 24104" o:spid="_x0000_s1026" style="width:8.5pt;height:8.5pt;mso-position-horizontal-relative:char;mso-position-vertical-relative:line" coordsize="108001,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">
                <v:shape id="Shape 25914" o:spid="_x0000_s1027" style="position:absolute;width:108001;height:108001;visibility:visible;mso-wrap-style:square;v-text-anchor:top" coordsize="108001,108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PC8AA&#10;AADeAAAADwAAAGRycy9kb3ducmV2LnhtbESPywrCMBBF94L/EEZwp4miotUoIggu3Pj4gKEZ22Iz&#10;qU3U6tcbQXB5uY/DXawaW4oH1b5wrGHQVyCIU2cKzjScT9veFIQPyAZLx6ThRR5Wy3ZrgYlxTz7Q&#10;4xgyEUfYJ6ghD6FKpPRpThZ931XE0bu42mKIss6kqfEZx20ph0pNpMWCIyHHijY5pdfj3WqY3icy&#10;K9VZudvhzXZfRUpDWnc7zXoOIlAT/uFfe2c0DMezwQi+d+IV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gPC8AAAADeAAAADwAAAAAAAAAAAAAAAACYAgAAZHJzL2Rvd25y&#10;ZXYueG1sUEsFBgAAAAAEAAQA9QAAAIUDAAAAAA==&#10;" path="m,l108001,r,108001l,108001,,e" fillcolor="#ce4b49" stroked="f" strokeweight="0">
                  <v:stroke miterlimit="83231f" joinstyle="miter"/>
                  <v:path arrowok="t" textboxrect="0,0,108001,108001"/>
                </v:shape>
                <w10:anchorlock/>
              </v:group>
            </w:pict>
          </mc:Fallback>
        </mc:AlternateContent>
      </w:r>
      <w:r w:rsidRPr="00EB01F5">
        <w:rPr>
          <w:rFonts w:ascii="Calibri" w:eastAsia="Calibri" w:hAnsi="Calibri" w:cs="Calibri"/>
          <w:color w:val="181717"/>
          <w:sz w:val="15"/>
          <w:lang w:eastAsia="en-AU"/>
        </w:rPr>
        <w:t xml:space="preserve"> NOT </w:t>
      </w:r>
      <w:proofErr w:type="spellStart"/>
      <w:r w:rsidRPr="00EB01F5">
        <w:rPr>
          <w:rFonts w:ascii="Calibri" w:eastAsia="Calibri" w:hAnsi="Calibri" w:cs="Calibri"/>
          <w:color w:val="181717"/>
          <w:sz w:val="15"/>
          <w:lang w:eastAsia="en-AU"/>
        </w:rPr>
        <w:t>IMPROVEd</w:t>
      </w:r>
      <w:proofErr w:type="spellEnd"/>
      <w:r w:rsidRPr="00EB01F5">
        <w:rPr>
          <w:rFonts w:ascii="Calibri" w:eastAsia="Calibri" w:hAnsi="Calibri" w:cs="Calibri"/>
          <w:color w:val="181717"/>
          <w:sz w:val="15"/>
          <w:lang w:eastAsia="en-AU"/>
        </w:rPr>
        <w:t xml:space="preserve"> PRIOR 12 </w:t>
      </w:r>
      <w:proofErr w:type="spellStart"/>
      <w:r w:rsidRPr="00EB01F5">
        <w:rPr>
          <w:rFonts w:ascii="Calibri" w:eastAsia="Calibri" w:hAnsi="Calibri" w:cs="Calibri"/>
          <w:color w:val="181717"/>
          <w:sz w:val="15"/>
          <w:lang w:eastAsia="en-AU"/>
        </w:rPr>
        <w:t>MONThS</w:t>
      </w:r>
      <w:proofErr w:type="spellEnd"/>
    </w:p>
    <w:tbl>
      <w:tblPr>
        <w:tblStyle w:val="TableGrid0"/>
        <w:tblW w:w="5726" w:type="dxa"/>
        <w:tblInd w:w="1685" w:type="dxa"/>
        <w:tblCellMar>
          <w:top w:w="108" w:type="dxa"/>
          <w:left w:w="57" w:type="dxa"/>
          <w:bottom w:w="0" w:type="dxa"/>
          <w:right w:w="59" w:type="dxa"/>
        </w:tblCellMar>
        <w:tblLook w:val="04A0" w:firstRow="1" w:lastRow="0" w:firstColumn="1" w:lastColumn="0" w:noHBand="0" w:noVBand="1"/>
      </w:tblPr>
      <w:tblGrid>
        <w:gridCol w:w="1247"/>
        <w:gridCol w:w="734"/>
        <w:gridCol w:w="707"/>
        <w:gridCol w:w="678"/>
        <w:gridCol w:w="724"/>
        <w:gridCol w:w="923"/>
        <w:gridCol w:w="713"/>
      </w:tblGrid>
      <w:tr w:rsidR="00EB01F5" w:rsidRPr="00EB01F5" w:rsidTr="007729F5">
        <w:trPr>
          <w:trHeight w:val="397"/>
        </w:trPr>
        <w:tc>
          <w:tcPr>
            <w:tcW w:w="4252" w:type="dxa"/>
            <w:gridSpan w:val="5"/>
            <w:tcBorders>
              <w:top w:val="single" w:sz="2" w:space="0" w:color="BCC2C8"/>
              <w:left w:val="single" w:sz="2" w:space="0" w:color="BCC2C8"/>
              <w:bottom w:val="single" w:sz="16" w:space="0" w:color="FFFEFD"/>
              <w:right w:val="nil"/>
            </w:tcBorders>
            <w:shd w:val="clear" w:color="auto" w:fill="BCC2C8"/>
          </w:tcPr>
          <w:p w:rsidR="00EB01F5" w:rsidRPr="00EB01F5" w:rsidRDefault="00EB01F5" w:rsidP="00EB01F5">
            <w:pPr>
              <w:rPr>
                <w:rFonts w:ascii="Calibri" w:eastAsia="Calibri" w:hAnsi="Calibri" w:cs="Calibri"/>
                <w:color w:val="181717"/>
                <w:sz w:val="19"/>
              </w:rPr>
            </w:pPr>
            <w:r w:rsidRPr="00EB01F5">
              <w:rPr>
                <w:rFonts w:ascii="Calibri" w:eastAsia="Calibri" w:hAnsi="Calibri" w:cs="Calibri"/>
                <w:b/>
                <w:color w:val="FFFEFD"/>
                <w:sz w:val="16"/>
              </w:rPr>
              <w:t>Women’s representation (%)</w:t>
            </w:r>
          </w:p>
        </w:tc>
        <w:tc>
          <w:tcPr>
            <w:tcW w:w="1474" w:type="dxa"/>
            <w:gridSpan w:val="2"/>
            <w:tcBorders>
              <w:top w:val="single" w:sz="2" w:space="0" w:color="BCC2C8"/>
              <w:left w:val="nil"/>
              <w:bottom w:val="single" w:sz="16" w:space="0" w:color="FFFEFD"/>
              <w:right w:val="single" w:sz="2" w:space="0" w:color="BCC2C8"/>
            </w:tcBorders>
            <w:shd w:val="clear" w:color="auto" w:fill="BCC2C8"/>
          </w:tcPr>
          <w:p w:rsidR="00EB01F5" w:rsidRPr="00EB01F5" w:rsidRDefault="00EB01F5" w:rsidP="00EB01F5">
            <w:pPr>
              <w:rPr>
                <w:rFonts w:ascii="Calibri" w:eastAsia="Calibri" w:hAnsi="Calibri" w:cs="Calibri"/>
                <w:color w:val="181717"/>
                <w:sz w:val="19"/>
              </w:rPr>
            </w:pPr>
          </w:p>
        </w:tc>
      </w:tr>
      <w:tr w:rsidR="00EB01F5" w:rsidRPr="00EB01F5" w:rsidTr="007729F5">
        <w:trPr>
          <w:trHeight w:val="397"/>
        </w:trPr>
        <w:tc>
          <w:tcPr>
            <w:tcW w:w="1304" w:type="dxa"/>
            <w:vMerge w:val="restart"/>
            <w:tcBorders>
              <w:top w:val="single" w:sz="16" w:space="0" w:color="FFFEFD"/>
              <w:left w:val="single" w:sz="2" w:space="0" w:color="BCC2C8"/>
              <w:bottom w:val="single" w:sz="2" w:space="0" w:color="D3D2D2"/>
              <w:right w:val="single" w:sz="2" w:space="0" w:color="FFFEFD"/>
            </w:tcBorders>
            <w:shd w:val="clear" w:color="auto" w:fill="63676D"/>
            <w:vAlign w:val="center"/>
          </w:tcPr>
          <w:p w:rsidR="00EB01F5" w:rsidRPr="00EB01F5" w:rsidRDefault="00EB01F5" w:rsidP="00EB01F5">
            <w:pPr>
              <w:ind w:left="2"/>
              <w:jc w:val="center"/>
              <w:rPr>
                <w:rFonts w:ascii="Calibri" w:eastAsia="Calibri" w:hAnsi="Calibri" w:cs="Calibri"/>
                <w:color w:val="181717"/>
                <w:sz w:val="19"/>
              </w:rPr>
            </w:pPr>
            <w:r w:rsidRPr="00EB01F5">
              <w:rPr>
                <w:rFonts w:ascii="Calibri" w:eastAsia="Calibri" w:hAnsi="Calibri" w:cs="Calibri"/>
                <w:b/>
                <w:color w:val="FFFEFD"/>
                <w:sz w:val="16"/>
              </w:rPr>
              <w:t>Organisation</w:t>
            </w:r>
          </w:p>
        </w:tc>
        <w:tc>
          <w:tcPr>
            <w:tcW w:w="1474" w:type="dxa"/>
            <w:gridSpan w:val="2"/>
            <w:tcBorders>
              <w:top w:val="single" w:sz="16" w:space="0" w:color="FFFEFD"/>
              <w:left w:val="single" w:sz="2" w:space="0" w:color="FFFEFD"/>
              <w:bottom w:val="single" w:sz="2" w:space="0" w:color="FFFEFD"/>
              <w:right w:val="single" w:sz="2" w:space="0" w:color="FFFEFD"/>
            </w:tcBorders>
            <w:shd w:val="clear" w:color="auto" w:fill="63676D"/>
            <w:vAlign w:val="center"/>
          </w:tcPr>
          <w:p w:rsidR="00EB01F5" w:rsidRPr="00EB01F5" w:rsidRDefault="00EB01F5" w:rsidP="00EB01F5">
            <w:pPr>
              <w:ind w:left="2"/>
              <w:jc w:val="center"/>
              <w:rPr>
                <w:rFonts w:ascii="Calibri" w:eastAsia="Calibri" w:hAnsi="Calibri" w:cs="Calibri"/>
                <w:color w:val="181717"/>
                <w:sz w:val="19"/>
              </w:rPr>
            </w:pPr>
            <w:r w:rsidRPr="00EB01F5">
              <w:rPr>
                <w:rFonts w:ascii="Calibri" w:eastAsia="Calibri" w:hAnsi="Calibri" w:cs="Calibri"/>
                <w:b/>
                <w:color w:val="FFFEFD"/>
                <w:sz w:val="14"/>
              </w:rPr>
              <w:t xml:space="preserve">Hiring </w:t>
            </w:r>
          </w:p>
        </w:tc>
        <w:tc>
          <w:tcPr>
            <w:tcW w:w="1474" w:type="dxa"/>
            <w:gridSpan w:val="2"/>
            <w:tcBorders>
              <w:top w:val="single" w:sz="16" w:space="0" w:color="FFFEFD"/>
              <w:left w:val="single" w:sz="2" w:space="0" w:color="FFFEFD"/>
              <w:bottom w:val="single" w:sz="2" w:space="0" w:color="FFFEFD"/>
              <w:right w:val="single" w:sz="2" w:space="0" w:color="FFFEFD"/>
            </w:tcBorders>
            <w:shd w:val="clear" w:color="auto" w:fill="63676D"/>
            <w:vAlign w:val="center"/>
          </w:tcPr>
          <w:p w:rsidR="00EB01F5" w:rsidRPr="00EB01F5" w:rsidRDefault="00EB01F5" w:rsidP="00EB01F5">
            <w:pPr>
              <w:ind w:left="2"/>
              <w:jc w:val="center"/>
              <w:rPr>
                <w:rFonts w:ascii="Calibri" w:eastAsia="Calibri" w:hAnsi="Calibri" w:cs="Calibri"/>
                <w:color w:val="181717"/>
                <w:sz w:val="19"/>
              </w:rPr>
            </w:pPr>
            <w:r w:rsidRPr="00EB01F5">
              <w:rPr>
                <w:rFonts w:ascii="Calibri" w:eastAsia="Calibri" w:hAnsi="Calibri" w:cs="Calibri"/>
                <w:b/>
                <w:color w:val="FFFEFD"/>
                <w:sz w:val="14"/>
              </w:rPr>
              <w:t xml:space="preserve">Talent Programs </w:t>
            </w:r>
            <w:r w:rsidRPr="00EB01F5">
              <w:rPr>
                <w:rFonts w:ascii="Calibri" w:eastAsia="Calibri" w:hAnsi="Calibri" w:cs="Calibri"/>
                <w:color w:val="FFFEFD"/>
                <w:sz w:val="14"/>
                <w:vertAlign w:val="superscript"/>
              </w:rPr>
              <w:t>4</w:t>
            </w:r>
          </w:p>
        </w:tc>
        <w:tc>
          <w:tcPr>
            <w:tcW w:w="737" w:type="dxa"/>
            <w:vMerge w:val="restart"/>
            <w:tcBorders>
              <w:top w:val="single" w:sz="16" w:space="0" w:color="FFFEFD"/>
              <w:left w:val="single" w:sz="2" w:space="0" w:color="FFFEFD"/>
              <w:bottom w:val="single" w:sz="2" w:space="0" w:color="FFFEFD"/>
              <w:right w:val="single" w:sz="16" w:space="0" w:color="FFFEFD"/>
            </w:tcBorders>
            <w:shd w:val="clear" w:color="auto" w:fill="63676D"/>
            <w:vAlign w:val="center"/>
          </w:tcPr>
          <w:p w:rsidR="00EB01F5" w:rsidRPr="00EB01F5" w:rsidRDefault="00EB01F5" w:rsidP="00EB01F5">
            <w:pPr>
              <w:ind w:left="130" w:hanging="47"/>
              <w:rPr>
                <w:rFonts w:ascii="Calibri" w:eastAsia="Calibri" w:hAnsi="Calibri" w:cs="Calibri"/>
                <w:color w:val="181717"/>
                <w:sz w:val="19"/>
              </w:rPr>
            </w:pPr>
            <w:r w:rsidRPr="00EB01F5">
              <w:rPr>
                <w:rFonts w:ascii="Calibri" w:eastAsia="Calibri" w:hAnsi="Calibri" w:cs="Calibri"/>
                <w:b/>
                <w:color w:val="FFFEFD"/>
                <w:sz w:val="14"/>
              </w:rPr>
              <w:t xml:space="preserve">Engagement </w:t>
            </w:r>
            <w:r w:rsidRPr="00EB01F5">
              <w:rPr>
                <w:rFonts w:ascii="Calibri" w:eastAsia="Calibri" w:hAnsi="Calibri" w:cs="Calibri"/>
                <w:color w:val="FFFEFD"/>
                <w:sz w:val="14"/>
                <w:vertAlign w:val="superscript"/>
              </w:rPr>
              <w:t>5</w:t>
            </w:r>
          </w:p>
        </w:tc>
        <w:tc>
          <w:tcPr>
            <w:tcW w:w="737" w:type="dxa"/>
            <w:vMerge w:val="restart"/>
            <w:tcBorders>
              <w:top w:val="single" w:sz="16" w:space="0" w:color="FFFEFD"/>
              <w:left w:val="single" w:sz="16" w:space="0" w:color="FFFEFD"/>
              <w:bottom w:val="single" w:sz="2" w:space="0" w:color="FFFEFD"/>
              <w:right w:val="single" w:sz="2" w:space="0" w:color="BCC2C8"/>
            </w:tcBorders>
            <w:shd w:val="clear" w:color="auto" w:fill="63676D"/>
            <w:vAlign w:val="center"/>
          </w:tcPr>
          <w:p w:rsidR="00EB01F5" w:rsidRPr="00EB01F5" w:rsidRDefault="00EB01F5" w:rsidP="00EB01F5">
            <w:pPr>
              <w:ind w:left="20"/>
              <w:jc w:val="center"/>
              <w:rPr>
                <w:rFonts w:ascii="Calibri" w:eastAsia="Calibri" w:hAnsi="Calibri" w:cs="Calibri"/>
                <w:color w:val="181717"/>
                <w:sz w:val="19"/>
              </w:rPr>
            </w:pPr>
            <w:r w:rsidRPr="00EB01F5">
              <w:rPr>
                <w:rFonts w:ascii="Calibri" w:eastAsia="Calibri" w:hAnsi="Calibri" w:cs="Calibri"/>
                <w:b/>
                <w:color w:val="FFFEFD"/>
                <w:sz w:val="14"/>
              </w:rPr>
              <w:t xml:space="preserve">Parental </w:t>
            </w:r>
          </w:p>
          <w:p w:rsidR="00EB01F5" w:rsidRPr="00EB01F5" w:rsidRDefault="00EB01F5" w:rsidP="00EB01F5">
            <w:pPr>
              <w:ind w:left="20"/>
              <w:jc w:val="center"/>
              <w:rPr>
                <w:rFonts w:ascii="Calibri" w:eastAsia="Calibri" w:hAnsi="Calibri" w:cs="Calibri"/>
                <w:color w:val="181717"/>
                <w:sz w:val="19"/>
              </w:rPr>
            </w:pPr>
            <w:r w:rsidRPr="00EB01F5">
              <w:rPr>
                <w:rFonts w:ascii="Calibri" w:eastAsia="Calibri" w:hAnsi="Calibri" w:cs="Calibri"/>
                <w:b/>
                <w:color w:val="FFFEFD"/>
                <w:sz w:val="14"/>
              </w:rPr>
              <w:t xml:space="preserve">Leave  </w:t>
            </w:r>
          </w:p>
          <w:p w:rsidR="00EB01F5" w:rsidRPr="00EB01F5" w:rsidRDefault="00EB01F5" w:rsidP="00EB01F5">
            <w:pPr>
              <w:ind w:left="20"/>
              <w:jc w:val="center"/>
              <w:rPr>
                <w:rFonts w:ascii="Calibri" w:eastAsia="Calibri" w:hAnsi="Calibri" w:cs="Calibri"/>
                <w:color w:val="181717"/>
                <w:sz w:val="19"/>
              </w:rPr>
            </w:pPr>
            <w:r w:rsidRPr="00EB01F5">
              <w:rPr>
                <w:rFonts w:ascii="Calibri" w:eastAsia="Calibri" w:hAnsi="Calibri" w:cs="Calibri"/>
                <w:b/>
                <w:color w:val="FFFEFD"/>
                <w:sz w:val="14"/>
              </w:rPr>
              <w:t>Return</w:t>
            </w:r>
          </w:p>
        </w:tc>
      </w:tr>
      <w:tr w:rsidR="00EB01F5" w:rsidRPr="00EB01F5" w:rsidTr="007729F5">
        <w:trPr>
          <w:trHeight w:val="397"/>
        </w:trPr>
        <w:tc>
          <w:tcPr>
            <w:tcW w:w="0" w:type="auto"/>
            <w:vMerge/>
            <w:tcBorders>
              <w:top w:val="nil"/>
              <w:left w:val="single" w:sz="2" w:space="0" w:color="BCC2C8"/>
              <w:bottom w:val="single" w:sz="2" w:space="0" w:color="D3D2D2"/>
              <w:right w:val="single" w:sz="2" w:space="0" w:color="FFFEFD"/>
            </w:tcBorders>
          </w:tcPr>
          <w:p w:rsidR="00EB01F5" w:rsidRPr="00EB01F5" w:rsidRDefault="00EB01F5" w:rsidP="00EB01F5">
            <w:pPr>
              <w:rPr>
                <w:rFonts w:ascii="Calibri" w:eastAsia="Calibri" w:hAnsi="Calibri" w:cs="Calibri"/>
                <w:color w:val="181717"/>
                <w:sz w:val="19"/>
              </w:rPr>
            </w:pPr>
          </w:p>
        </w:tc>
        <w:tc>
          <w:tcPr>
            <w:tcW w:w="737" w:type="dxa"/>
            <w:tcBorders>
              <w:top w:val="single" w:sz="2" w:space="0" w:color="FFFEFD"/>
              <w:left w:val="single" w:sz="2" w:space="0" w:color="FFFEFD"/>
              <w:bottom w:val="single" w:sz="2" w:space="0" w:color="FFFEFD"/>
              <w:right w:val="single" w:sz="2" w:space="0" w:color="FFFEFD"/>
            </w:tcBorders>
            <w:shd w:val="clear" w:color="auto" w:fill="63676D"/>
            <w:vAlign w:val="center"/>
          </w:tcPr>
          <w:p w:rsidR="00EB01F5" w:rsidRPr="00EB01F5" w:rsidRDefault="00EB01F5" w:rsidP="00EB01F5">
            <w:pPr>
              <w:ind w:left="2"/>
              <w:rPr>
                <w:rFonts w:ascii="Calibri" w:eastAsia="Calibri" w:hAnsi="Calibri" w:cs="Calibri"/>
                <w:color w:val="181717"/>
                <w:sz w:val="19"/>
              </w:rPr>
            </w:pPr>
            <w:r w:rsidRPr="00EB01F5">
              <w:rPr>
                <w:rFonts w:ascii="Calibri" w:eastAsia="Calibri" w:hAnsi="Calibri" w:cs="Calibri"/>
                <w:b/>
                <w:color w:val="FFFEFD"/>
                <w:sz w:val="14"/>
              </w:rPr>
              <w:t xml:space="preserve">Graduates </w:t>
            </w:r>
            <w:r w:rsidRPr="00EB01F5">
              <w:rPr>
                <w:rFonts w:ascii="Calibri" w:eastAsia="Calibri" w:hAnsi="Calibri" w:cs="Calibri"/>
                <w:color w:val="FFFEFD"/>
                <w:sz w:val="14"/>
                <w:vertAlign w:val="superscript"/>
              </w:rPr>
              <w:t>2</w:t>
            </w:r>
          </w:p>
        </w:tc>
        <w:tc>
          <w:tcPr>
            <w:tcW w:w="737" w:type="dxa"/>
            <w:tcBorders>
              <w:top w:val="single" w:sz="2" w:space="0" w:color="FFFEFD"/>
              <w:left w:val="single" w:sz="2" w:space="0" w:color="FFFEFD"/>
              <w:bottom w:val="single" w:sz="2" w:space="0" w:color="FFFEFD"/>
              <w:right w:val="single" w:sz="2" w:space="0" w:color="FFFEFD"/>
            </w:tcBorders>
            <w:shd w:val="clear" w:color="auto" w:fill="63676D"/>
            <w:vAlign w:val="center"/>
          </w:tcPr>
          <w:p w:rsidR="00EB01F5" w:rsidRPr="00EB01F5" w:rsidRDefault="00EB01F5" w:rsidP="00EB01F5">
            <w:pPr>
              <w:ind w:left="2"/>
              <w:jc w:val="center"/>
              <w:rPr>
                <w:rFonts w:ascii="Calibri" w:eastAsia="Calibri" w:hAnsi="Calibri" w:cs="Calibri"/>
                <w:color w:val="181717"/>
                <w:sz w:val="19"/>
              </w:rPr>
            </w:pPr>
            <w:r w:rsidRPr="00EB01F5">
              <w:rPr>
                <w:rFonts w:ascii="Calibri" w:eastAsia="Calibri" w:hAnsi="Calibri" w:cs="Calibri"/>
                <w:b/>
                <w:color w:val="FFFEFD"/>
                <w:sz w:val="14"/>
              </w:rPr>
              <w:t xml:space="preserve">External </w:t>
            </w:r>
            <w:r w:rsidRPr="00EB01F5">
              <w:rPr>
                <w:rFonts w:ascii="Calibri" w:eastAsia="Calibri" w:hAnsi="Calibri" w:cs="Calibri"/>
                <w:color w:val="FFFEFD"/>
                <w:sz w:val="14"/>
                <w:vertAlign w:val="superscript"/>
              </w:rPr>
              <w:t>3</w:t>
            </w:r>
          </w:p>
        </w:tc>
        <w:tc>
          <w:tcPr>
            <w:tcW w:w="737" w:type="dxa"/>
            <w:tcBorders>
              <w:top w:val="single" w:sz="2" w:space="0" w:color="FFFEFD"/>
              <w:left w:val="single" w:sz="2" w:space="0" w:color="FFFEFD"/>
              <w:bottom w:val="single" w:sz="2" w:space="0" w:color="FFFEFD"/>
              <w:right w:val="single" w:sz="2" w:space="0" w:color="FFFEFD"/>
            </w:tcBorders>
            <w:shd w:val="clear" w:color="auto" w:fill="63676D"/>
            <w:vAlign w:val="center"/>
          </w:tcPr>
          <w:p w:rsidR="00EB01F5" w:rsidRPr="00EB01F5" w:rsidRDefault="00EB01F5" w:rsidP="00EB01F5">
            <w:pPr>
              <w:ind w:left="45"/>
              <w:rPr>
                <w:rFonts w:ascii="Calibri" w:eastAsia="Calibri" w:hAnsi="Calibri" w:cs="Calibri"/>
                <w:color w:val="181717"/>
                <w:sz w:val="19"/>
              </w:rPr>
            </w:pPr>
            <w:r w:rsidRPr="00EB01F5">
              <w:rPr>
                <w:rFonts w:ascii="Calibri" w:eastAsia="Calibri" w:hAnsi="Calibri" w:cs="Calibri"/>
                <w:b/>
                <w:color w:val="FFFEFD"/>
                <w:sz w:val="14"/>
              </w:rPr>
              <w:t xml:space="preserve">Mid-Level </w:t>
            </w:r>
          </w:p>
        </w:tc>
        <w:tc>
          <w:tcPr>
            <w:tcW w:w="737" w:type="dxa"/>
            <w:tcBorders>
              <w:top w:val="single" w:sz="2" w:space="0" w:color="FFFEFD"/>
              <w:left w:val="single" w:sz="2" w:space="0" w:color="FFFEFD"/>
              <w:bottom w:val="single" w:sz="2" w:space="0" w:color="FFFEFD"/>
              <w:right w:val="single" w:sz="2" w:space="0" w:color="FFFEFD"/>
            </w:tcBorders>
            <w:shd w:val="clear" w:color="auto" w:fill="63676D"/>
            <w:vAlign w:val="center"/>
          </w:tcPr>
          <w:p w:rsidR="00EB01F5" w:rsidRPr="00EB01F5" w:rsidRDefault="00EB01F5" w:rsidP="00EB01F5">
            <w:pPr>
              <w:ind w:left="2"/>
              <w:jc w:val="center"/>
              <w:rPr>
                <w:rFonts w:ascii="Calibri" w:eastAsia="Calibri" w:hAnsi="Calibri" w:cs="Calibri"/>
                <w:color w:val="181717"/>
                <w:sz w:val="19"/>
              </w:rPr>
            </w:pPr>
            <w:r w:rsidRPr="00EB01F5">
              <w:rPr>
                <w:rFonts w:ascii="Calibri" w:eastAsia="Calibri" w:hAnsi="Calibri" w:cs="Calibri"/>
                <w:b/>
                <w:color w:val="FFFEFD"/>
                <w:sz w:val="14"/>
              </w:rPr>
              <w:t xml:space="preserve">Executive </w:t>
            </w:r>
          </w:p>
        </w:tc>
        <w:tc>
          <w:tcPr>
            <w:tcW w:w="0" w:type="auto"/>
            <w:vMerge/>
            <w:tcBorders>
              <w:top w:val="nil"/>
              <w:left w:val="single" w:sz="2" w:space="0" w:color="FFFEFD"/>
              <w:bottom w:val="single" w:sz="2" w:space="0" w:color="FFFEFD"/>
              <w:right w:val="single" w:sz="16" w:space="0" w:color="FFFEFD"/>
            </w:tcBorders>
          </w:tcPr>
          <w:p w:rsidR="00EB01F5" w:rsidRPr="00EB01F5" w:rsidRDefault="00EB01F5" w:rsidP="00EB01F5">
            <w:pPr>
              <w:rPr>
                <w:rFonts w:ascii="Calibri" w:eastAsia="Calibri" w:hAnsi="Calibri" w:cs="Calibri"/>
                <w:color w:val="181717"/>
                <w:sz w:val="19"/>
              </w:rPr>
            </w:pPr>
          </w:p>
        </w:tc>
        <w:tc>
          <w:tcPr>
            <w:tcW w:w="0" w:type="auto"/>
            <w:vMerge/>
            <w:tcBorders>
              <w:top w:val="nil"/>
              <w:left w:val="single" w:sz="16" w:space="0" w:color="FFFEFD"/>
              <w:bottom w:val="single" w:sz="2" w:space="0" w:color="FFFEFD"/>
              <w:right w:val="single" w:sz="2" w:space="0" w:color="BCC2C8"/>
            </w:tcBorders>
            <w:vAlign w:val="center"/>
          </w:tcPr>
          <w:p w:rsidR="00EB01F5" w:rsidRPr="00EB01F5" w:rsidRDefault="00EB01F5" w:rsidP="00EB01F5">
            <w:pPr>
              <w:rPr>
                <w:rFonts w:ascii="Calibri" w:eastAsia="Calibri" w:hAnsi="Calibri" w:cs="Calibri"/>
                <w:color w:val="181717"/>
                <w:sz w:val="19"/>
              </w:rPr>
            </w:pPr>
          </w:p>
        </w:tc>
      </w:tr>
      <w:tr w:rsidR="00EB01F5" w:rsidRPr="00EB01F5" w:rsidTr="007729F5">
        <w:trPr>
          <w:trHeight w:val="567"/>
        </w:trPr>
        <w:tc>
          <w:tcPr>
            <w:tcW w:w="1304" w:type="dxa"/>
            <w:tcBorders>
              <w:top w:val="single" w:sz="2" w:space="0" w:color="D3D2D2"/>
              <w:left w:val="single" w:sz="2" w:space="0" w:color="BCC2C8"/>
              <w:bottom w:val="single" w:sz="2" w:space="0" w:color="BCC2C8"/>
              <w:right w:val="single" w:sz="2" w:space="0" w:color="FFFEFD"/>
            </w:tcBorders>
            <w:shd w:val="clear" w:color="auto" w:fill="E9E8E7"/>
            <w:vAlign w:val="center"/>
          </w:tcPr>
          <w:p w:rsidR="00EB01F5" w:rsidRPr="00EB01F5" w:rsidRDefault="00EB01F5" w:rsidP="00EB01F5">
            <w:pPr>
              <w:rPr>
                <w:rFonts w:ascii="Calibri" w:eastAsia="Calibri" w:hAnsi="Calibri" w:cs="Calibri"/>
                <w:color w:val="181717"/>
                <w:sz w:val="19"/>
              </w:rPr>
            </w:pPr>
            <w:r w:rsidRPr="00EB01F5">
              <w:rPr>
                <w:rFonts w:ascii="Calibri" w:eastAsia="Calibri" w:hAnsi="Calibri" w:cs="Calibri"/>
                <w:b/>
                <w:color w:val="181717"/>
                <w:sz w:val="18"/>
              </w:rPr>
              <w:t>ASX</w:t>
            </w:r>
          </w:p>
        </w:tc>
        <w:tc>
          <w:tcPr>
            <w:tcW w:w="737" w:type="dxa"/>
            <w:tcBorders>
              <w:top w:val="single" w:sz="2" w:space="0" w:color="FFFEFD"/>
              <w:left w:val="single" w:sz="2" w:space="0" w:color="FFFEFD"/>
              <w:bottom w:val="single" w:sz="2" w:space="0" w:color="BCC2C8"/>
              <w:right w:val="nil"/>
            </w:tcBorders>
            <w:shd w:val="clear" w:color="auto" w:fill="F09B57"/>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33</w:t>
            </w:r>
          </w:p>
        </w:tc>
        <w:tc>
          <w:tcPr>
            <w:tcW w:w="737" w:type="dxa"/>
            <w:tcBorders>
              <w:top w:val="single" w:sz="2" w:space="0" w:color="FFFEFD"/>
              <w:left w:val="nil"/>
              <w:bottom w:val="single" w:sz="2" w:space="0" w:color="BCC2C8"/>
              <w:right w:val="single" w:sz="2" w:space="0" w:color="FFFEFD"/>
            </w:tcBorders>
            <w:shd w:val="clear" w:color="auto" w:fill="2B5F33"/>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43</w:t>
            </w:r>
          </w:p>
        </w:tc>
        <w:tc>
          <w:tcPr>
            <w:tcW w:w="737" w:type="dxa"/>
            <w:tcBorders>
              <w:top w:val="single" w:sz="2" w:space="0" w:color="FFFEFD"/>
              <w:left w:val="single" w:sz="2" w:space="0" w:color="FFFEFD"/>
              <w:bottom w:val="single" w:sz="2" w:space="0" w:color="BCC2C8"/>
              <w:right w:val="single" w:sz="2" w:space="0" w:color="FFFEFD"/>
            </w:tcBorders>
            <w:shd w:val="clear" w:color="auto" w:fill="2B5F33"/>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47</w:t>
            </w:r>
          </w:p>
        </w:tc>
        <w:tc>
          <w:tcPr>
            <w:tcW w:w="737" w:type="dxa"/>
            <w:tcBorders>
              <w:top w:val="single" w:sz="2" w:space="0" w:color="FFFEFD"/>
              <w:left w:val="single" w:sz="2" w:space="0" w:color="FFFEFD"/>
              <w:bottom w:val="single" w:sz="2" w:space="0" w:color="BCC2C8"/>
              <w:right w:val="nil"/>
            </w:tcBorders>
            <w:shd w:val="clear" w:color="auto" w:fill="F09B57"/>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31</w:t>
            </w:r>
          </w:p>
        </w:tc>
        <w:tc>
          <w:tcPr>
            <w:tcW w:w="737" w:type="dxa"/>
            <w:tcBorders>
              <w:top w:val="single" w:sz="2" w:space="0" w:color="FFFEFD"/>
              <w:left w:val="nil"/>
              <w:bottom w:val="single" w:sz="2" w:space="0" w:color="BCC2C8"/>
              <w:right w:val="single" w:sz="16" w:space="0" w:color="FFFEFD"/>
            </w:tcBorders>
            <w:shd w:val="clear" w:color="auto" w:fill="2B5F33"/>
            <w:vAlign w:val="center"/>
          </w:tcPr>
          <w:p w:rsidR="00EB01F5" w:rsidRPr="00EB01F5" w:rsidRDefault="00EB01F5" w:rsidP="00EB01F5">
            <w:pPr>
              <w:ind w:right="22"/>
              <w:jc w:val="center"/>
              <w:rPr>
                <w:rFonts w:ascii="Calibri" w:eastAsia="Calibri" w:hAnsi="Calibri" w:cs="Calibri"/>
                <w:color w:val="181717"/>
                <w:sz w:val="19"/>
              </w:rPr>
            </w:pPr>
            <w:r w:rsidRPr="00EB01F5">
              <w:rPr>
                <w:rFonts w:ascii="Calibri" w:eastAsia="Calibri" w:hAnsi="Calibri" w:cs="Calibri"/>
                <w:color w:val="FFFEFD"/>
                <w:sz w:val="16"/>
              </w:rPr>
              <w:t>62</w:t>
            </w:r>
          </w:p>
        </w:tc>
        <w:tc>
          <w:tcPr>
            <w:tcW w:w="737" w:type="dxa"/>
            <w:tcBorders>
              <w:top w:val="single" w:sz="2" w:space="0" w:color="FFFEFD"/>
              <w:left w:val="single" w:sz="16" w:space="0" w:color="FFFEFD"/>
              <w:bottom w:val="single" w:sz="2" w:space="0" w:color="BCC2C8"/>
              <w:right w:val="single" w:sz="2" w:space="0" w:color="BCC2C8"/>
            </w:tcBorders>
            <w:shd w:val="clear" w:color="auto" w:fill="E9E8E7"/>
            <w:vAlign w:val="center"/>
          </w:tcPr>
          <w:p w:rsidR="00EB01F5" w:rsidRPr="00EB01F5" w:rsidRDefault="00EB01F5" w:rsidP="00EB01F5">
            <w:pPr>
              <w:ind w:right="22"/>
              <w:jc w:val="center"/>
              <w:rPr>
                <w:rFonts w:ascii="Calibri" w:eastAsia="Calibri" w:hAnsi="Calibri" w:cs="Calibri"/>
                <w:color w:val="181717"/>
                <w:sz w:val="19"/>
              </w:rPr>
            </w:pPr>
            <w:r w:rsidRPr="00EB01F5">
              <w:rPr>
                <w:rFonts w:ascii="Calibri" w:eastAsia="Calibri" w:hAnsi="Calibri" w:cs="Calibri"/>
                <w:color w:val="181717"/>
                <w:sz w:val="16"/>
              </w:rPr>
              <w:t>89</w:t>
            </w:r>
          </w:p>
        </w:tc>
      </w:tr>
      <w:tr w:rsidR="00EB01F5" w:rsidRPr="00EB01F5" w:rsidTr="007729F5">
        <w:trPr>
          <w:trHeight w:val="567"/>
        </w:trPr>
        <w:tc>
          <w:tcPr>
            <w:tcW w:w="1304" w:type="dxa"/>
            <w:tcBorders>
              <w:top w:val="single" w:sz="2" w:space="0" w:color="BCC2C8"/>
              <w:left w:val="single" w:sz="2" w:space="0" w:color="BCC2C8"/>
              <w:bottom w:val="single" w:sz="2" w:space="0" w:color="BCC2C8"/>
              <w:right w:val="single" w:sz="2" w:space="0" w:color="FFFEFD"/>
            </w:tcBorders>
            <w:shd w:val="clear" w:color="auto" w:fill="E9E8E7"/>
            <w:vAlign w:val="center"/>
          </w:tcPr>
          <w:p w:rsidR="00EB01F5" w:rsidRPr="00EB01F5" w:rsidRDefault="00EB01F5" w:rsidP="00EB01F5">
            <w:pPr>
              <w:rPr>
                <w:rFonts w:ascii="Calibri" w:eastAsia="Calibri" w:hAnsi="Calibri" w:cs="Calibri"/>
                <w:color w:val="181717"/>
                <w:sz w:val="19"/>
              </w:rPr>
            </w:pPr>
            <w:r w:rsidRPr="00EB01F5">
              <w:rPr>
                <w:rFonts w:ascii="Calibri" w:eastAsia="Calibri" w:hAnsi="Calibri" w:cs="Calibri"/>
                <w:b/>
                <w:color w:val="181717"/>
                <w:sz w:val="18"/>
              </w:rPr>
              <w:t>ANZ</w:t>
            </w:r>
          </w:p>
        </w:tc>
        <w:tc>
          <w:tcPr>
            <w:tcW w:w="737" w:type="dxa"/>
            <w:tcBorders>
              <w:top w:val="single" w:sz="2" w:space="0" w:color="BCC2C8"/>
              <w:left w:val="single" w:sz="2" w:space="0" w:color="FFFEFD"/>
              <w:bottom w:val="single" w:sz="2" w:space="0" w:color="BCC2C8"/>
              <w:right w:val="nil"/>
            </w:tcBorders>
            <w:shd w:val="clear" w:color="auto" w:fill="2B5F33"/>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49</w:t>
            </w:r>
          </w:p>
        </w:tc>
        <w:tc>
          <w:tcPr>
            <w:tcW w:w="737" w:type="dxa"/>
            <w:tcBorders>
              <w:top w:val="single" w:sz="2" w:space="0" w:color="BCC2C8"/>
              <w:left w:val="nil"/>
              <w:bottom w:val="single" w:sz="2" w:space="0" w:color="BCC2C8"/>
              <w:right w:val="single" w:sz="2" w:space="0" w:color="FFFEFD"/>
            </w:tcBorders>
            <w:shd w:val="clear" w:color="auto" w:fill="F09B57"/>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27</w:t>
            </w:r>
          </w:p>
        </w:tc>
        <w:tc>
          <w:tcPr>
            <w:tcW w:w="737" w:type="dxa"/>
            <w:tcBorders>
              <w:top w:val="single" w:sz="2" w:space="0" w:color="BCC2C8"/>
              <w:left w:val="single" w:sz="2" w:space="0" w:color="FFFEFD"/>
              <w:bottom w:val="single" w:sz="2" w:space="0" w:color="BCC2C8"/>
              <w:right w:val="single" w:sz="2" w:space="0" w:color="FFFEFD"/>
            </w:tcBorders>
            <w:shd w:val="clear" w:color="auto" w:fill="2B5F33"/>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50</w:t>
            </w:r>
          </w:p>
        </w:tc>
        <w:tc>
          <w:tcPr>
            <w:tcW w:w="737" w:type="dxa"/>
            <w:tcBorders>
              <w:top w:val="single" w:sz="2" w:space="0" w:color="BCC2C8"/>
              <w:left w:val="single" w:sz="2" w:space="0" w:color="FFFEFD"/>
              <w:bottom w:val="single" w:sz="2" w:space="0" w:color="BCC2C8"/>
              <w:right w:val="nil"/>
            </w:tcBorders>
            <w:shd w:val="clear" w:color="auto" w:fill="2B5F33"/>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50</w:t>
            </w:r>
          </w:p>
        </w:tc>
        <w:tc>
          <w:tcPr>
            <w:tcW w:w="737" w:type="dxa"/>
            <w:tcBorders>
              <w:top w:val="single" w:sz="2" w:space="0" w:color="BCC2C8"/>
              <w:left w:val="nil"/>
              <w:bottom w:val="single" w:sz="2" w:space="0" w:color="BCC2C8"/>
              <w:right w:val="single" w:sz="16" w:space="0" w:color="FFFEFD"/>
            </w:tcBorders>
            <w:shd w:val="clear" w:color="auto" w:fill="2B5F33"/>
            <w:vAlign w:val="center"/>
          </w:tcPr>
          <w:p w:rsidR="00EB01F5" w:rsidRPr="00EB01F5" w:rsidRDefault="00EB01F5" w:rsidP="00EB01F5">
            <w:pPr>
              <w:ind w:right="22"/>
              <w:jc w:val="center"/>
              <w:rPr>
                <w:rFonts w:ascii="Calibri" w:eastAsia="Calibri" w:hAnsi="Calibri" w:cs="Calibri"/>
                <w:color w:val="181717"/>
                <w:sz w:val="19"/>
              </w:rPr>
            </w:pPr>
            <w:r w:rsidRPr="00EB01F5">
              <w:rPr>
                <w:rFonts w:ascii="Calibri" w:eastAsia="Calibri" w:hAnsi="Calibri" w:cs="Calibri"/>
                <w:color w:val="FFFEFD"/>
                <w:sz w:val="16"/>
              </w:rPr>
              <w:t>75</w:t>
            </w:r>
          </w:p>
        </w:tc>
        <w:tc>
          <w:tcPr>
            <w:tcW w:w="737" w:type="dxa"/>
            <w:tcBorders>
              <w:top w:val="single" w:sz="2" w:space="0" w:color="BCC2C8"/>
              <w:left w:val="single" w:sz="16" w:space="0" w:color="FFFEFD"/>
              <w:bottom w:val="single" w:sz="2" w:space="0" w:color="BCC2C8"/>
              <w:right w:val="single" w:sz="2" w:space="0" w:color="BCC2C8"/>
            </w:tcBorders>
            <w:shd w:val="clear" w:color="auto" w:fill="E9E8E7"/>
            <w:vAlign w:val="center"/>
          </w:tcPr>
          <w:p w:rsidR="00EB01F5" w:rsidRPr="00EB01F5" w:rsidRDefault="00EB01F5" w:rsidP="00EB01F5">
            <w:pPr>
              <w:ind w:right="22"/>
              <w:jc w:val="center"/>
              <w:rPr>
                <w:rFonts w:ascii="Calibri" w:eastAsia="Calibri" w:hAnsi="Calibri" w:cs="Calibri"/>
                <w:color w:val="181717"/>
                <w:sz w:val="19"/>
              </w:rPr>
            </w:pPr>
            <w:r w:rsidRPr="00EB01F5">
              <w:rPr>
                <w:rFonts w:ascii="Calibri" w:eastAsia="Calibri" w:hAnsi="Calibri" w:cs="Calibri"/>
                <w:color w:val="181717"/>
                <w:sz w:val="16"/>
              </w:rPr>
              <w:t>95</w:t>
            </w:r>
          </w:p>
        </w:tc>
      </w:tr>
      <w:tr w:rsidR="00EB01F5" w:rsidRPr="00EB01F5" w:rsidTr="007729F5">
        <w:trPr>
          <w:trHeight w:val="567"/>
        </w:trPr>
        <w:tc>
          <w:tcPr>
            <w:tcW w:w="1304" w:type="dxa"/>
            <w:tcBorders>
              <w:top w:val="single" w:sz="2" w:space="0" w:color="BCC2C8"/>
              <w:left w:val="single" w:sz="2" w:space="0" w:color="BCC2C8"/>
              <w:bottom w:val="single" w:sz="2" w:space="0" w:color="BCC2C8"/>
              <w:right w:val="single" w:sz="2" w:space="0" w:color="FFFEFD"/>
            </w:tcBorders>
            <w:shd w:val="clear" w:color="auto" w:fill="E9E8E7"/>
            <w:vAlign w:val="center"/>
          </w:tcPr>
          <w:p w:rsidR="00EB01F5" w:rsidRPr="00EB01F5" w:rsidRDefault="00EB01F5" w:rsidP="00EB01F5">
            <w:pPr>
              <w:rPr>
                <w:rFonts w:ascii="Calibri" w:eastAsia="Calibri" w:hAnsi="Calibri" w:cs="Calibri"/>
                <w:color w:val="181717"/>
                <w:sz w:val="19"/>
              </w:rPr>
            </w:pPr>
            <w:r w:rsidRPr="00EB01F5">
              <w:rPr>
                <w:rFonts w:ascii="Calibri" w:eastAsia="Calibri" w:hAnsi="Calibri" w:cs="Calibri"/>
                <w:b/>
                <w:color w:val="181717"/>
                <w:sz w:val="18"/>
              </w:rPr>
              <w:t>CBA</w:t>
            </w:r>
          </w:p>
        </w:tc>
        <w:tc>
          <w:tcPr>
            <w:tcW w:w="1474" w:type="dxa"/>
            <w:gridSpan w:val="2"/>
            <w:tcBorders>
              <w:top w:val="single" w:sz="2" w:space="0" w:color="BCC2C8"/>
              <w:left w:val="single" w:sz="2" w:space="0" w:color="FFFEFD"/>
              <w:bottom w:val="single" w:sz="2" w:space="0" w:color="BCC2C8"/>
              <w:right w:val="single" w:sz="2" w:space="0" w:color="FFFEFD"/>
            </w:tcBorders>
            <w:shd w:val="clear" w:color="auto" w:fill="2B5F33"/>
            <w:vAlign w:val="center"/>
          </w:tcPr>
          <w:p w:rsidR="00EB01F5" w:rsidRPr="00EB01F5" w:rsidRDefault="00EB01F5" w:rsidP="00EB01F5">
            <w:pPr>
              <w:tabs>
                <w:tab w:val="center" w:pos="300"/>
                <w:tab w:val="center" w:pos="1037"/>
              </w:tabs>
              <w:rPr>
                <w:rFonts w:ascii="Calibri" w:eastAsia="Calibri" w:hAnsi="Calibri" w:cs="Calibri"/>
                <w:color w:val="181717"/>
                <w:sz w:val="19"/>
              </w:rPr>
            </w:pPr>
            <w:r w:rsidRPr="00EB01F5">
              <w:rPr>
                <w:rFonts w:ascii="Calibri" w:eastAsia="Calibri" w:hAnsi="Calibri" w:cs="Calibri"/>
                <w:color w:val="000000"/>
              </w:rPr>
              <w:tab/>
            </w:r>
            <w:r w:rsidRPr="00EB01F5">
              <w:rPr>
                <w:rFonts w:ascii="Calibri" w:eastAsia="Calibri" w:hAnsi="Calibri" w:cs="Calibri"/>
                <w:color w:val="FFFEFD"/>
                <w:sz w:val="16"/>
              </w:rPr>
              <w:t>51</w:t>
            </w:r>
            <w:r w:rsidRPr="00EB01F5">
              <w:rPr>
                <w:rFonts w:ascii="Calibri" w:eastAsia="Calibri" w:hAnsi="Calibri" w:cs="Calibri"/>
                <w:color w:val="FFFEFD"/>
                <w:sz w:val="16"/>
              </w:rPr>
              <w:tab/>
              <w:t>41</w:t>
            </w:r>
          </w:p>
        </w:tc>
        <w:tc>
          <w:tcPr>
            <w:tcW w:w="737" w:type="dxa"/>
            <w:tcBorders>
              <w:top w:val="single" w:sz="2" w:space="0" w:color="BCC2C8"/>
              <w:left w:val="single" w:sz="2" w:space="0" w:color="FFFEFD"/>
              <w:bottom w:val="single" w:sz="2" w:space="0" w:color="BCC2C8"/>
              <w:right w:val="single" w:sz="2" w:space="0" w:color="FFFEFD"/>
            </w:tcBorders>
            <w:shd w:val="clear" w:color="auto" w:fill="2B5F33"/>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54</w:t>
            </w:r>
          </w:p>
        </w:tc>
        <w:tc>
          <w:tcPr>
            <w:tcW w:w="737" w:type="dxa"/>
            <w:tcBorders>
              <w:top w:val="single" w:sz="2" w:space="0" w:color="BCC2C8"/>
              <w:left w:val="single" w:sz="2" w:space="0" w:color="FFFEFD"/>
              <w:bottom w:val="single" w:sz="2" w:space="0" w:color="BCC2C8"/>
              <w:right w:val="nil"/>
            </w:tcBorders>
            <w:shd w:val="clear" w:color="auto" w:fill="F09B57"/>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30</w:t>
            </w:r>
          </w:p>
        </w:tc>
        <w:tc>
          <w:tcPr>
            <w:tcW w:w="737" w:type="dxa"/>
            <w:tcBorders>
              <w:top w:val="single" w:sz="2" w:space="0" w:color="BCC2C8"/>
              <w:left w:val="nil"/>
              <w:bottom w:val="single" w:sz="2" w:space="0" w:color="BCC2C8"/>
              <w:right w:val="single" w:sz="16" w:space="0" w:color="FFFEFD"/>
            </w:tcBorders>
            <w:shd w:val="clear" w:color="auto" w:fill="2B5F33"/>
            <w:vAlign w:val="center"/>
          </w:tcPr>
          <w:p w:rsidR="00EB01F5" w:rsidRPr="00EB01F5" w:rsidRDefault="00EB01F5" w:rsidP="00EB01F5">
            <w:pPr>
              <w:ind w:right="22"/>
              <w:jc w:val="center"/>
              <w:rPr>
                <w:rFonts w:ascii="Calibri" w:eastAsia="Calibri" w:hAnsi="Calibri" w:cs="Calibri"/>
                <w:color w:val="181717"/>
                <w:sz w:val="19"/>
              </w:rPr>
            </w:pPr>
            <w:r w:rsidRPr="00EB01F5">
              <w:rPr>
                <w:rFonts w:ascii="Calibri" w:eastAsia="Calibri" w:hAnsi="Calibri" w:cs="Calibri"/>
                <w:color w:val="FFFEFD"/>
                <w:sz w:val="16"/>
              </w:rPr>
              <w:t>82</w:t>
            </w:r>
          </w:p>
        </w:tc>
        <w:tc>
          <w:tcPr>
            <w:tcW w:w="737" w:type="dxa"/>
            <w:tcBorders>
              <w:top w:val="single" w:sz="2" w:space="0" w:color="BCC2C8"/>
              <w:left w:val="single" w:sz="16" w:space="0" w:color="FFFEFD"/>
              <w:bottom w:val="single" w:sz="2" w:space="0" w:color="BCC2C8"/>
              <w:right w:val="single" w:sz="2" w:space="0" w:color="BCC2C8"/>
            </w:tcBorders>
            <w:shd w:val="clear" w:color="auto" w:fill="E9E8E7"/>
            <w:vAlign w:val="center"/>
          </w:tcPr>
          <w:p w:rsidR="00EB01F5" w:rsidRPr="00EB01F5" w:rsidRDefault="00EB01F5" w:rsidP="00EB01F5">
            <w:pPr>
              <w:ind w:right="22"/>
              <w:jc w:val="center"/>
              <w:rPr>
                <w:rFonts w:ascii="Calibri" w:eastAsia="Calibri" w:hAnsi="Calibri" w:cs="Calibri"/>
                <w:color w:val="181717"/>
                <w:sz w:val="19"/>
              </w:rPr>
            </w:pPr>
            <w:r w:rsidRPr="00EB01F5">
              <w:rPr>
                <w:rFonts w:ascii="Calibri" w:eastAsia="Calibri" w:hAnsi="Calibri" w:cs="Calibri"/>
                <w:color w:val="181717"/>
                <w:sz w:val="16"/>
              </w:rPr>
              <w:t>95</w:t>
            </w:r>
          </w:p>
        </w:tc>
      </w:tr>
      <w:tr w:rsidR="00EB01F5" w:rsidRPr="00EB01F5" w:rsidTr="007729F5">
        <w:trPr>
          <w:trHeight w:val="567"/>
        </w:trPr>
        <w:tc>
          <w:tcPr>
            <w:tcW w:w="1304" w:type="dxa"/>
            <w:tcBorders>
              <w:top w:val="single" w:sz="2" w:space="0" w:color="BCC2C8"/>
              <w:left w:val="single" w:sz="2" w:space="0" w:color="BCC2C8"/>
              <w:bottom w:val="single" w:sz="2" w:space="0" w:color="BCC2C8"/>
              <w:right w:val="single" w:sz="2" w:space="0" w:color="FFFEFD"/>
            </w:tcBorders>
            <w:shd w:val="clear" w:color="auto" w:fill="E9E8E7"/>
            <w:vAlign w:val="center"/>
          </w:tcPr>
          <w:p w:rsidR="00EB01F5" w:rsidRPr="00EB01F5" w:rsidRDefault="00EB01F5" w:rsidP="00EB01F5">
            <w:pPr>
              <w:rPr>
                <w:rFonts w:ascii="Calibri" w:eastAsia="Calibri" w:hAnsi="Calibri" w:cs="Calibri"/>
                <w:color w:val="181717"/>
                <w:sz w:val="19"/>
              </w:rPr>
            </w:pPr>
            <w:r w:rsidRPr="00EB01F5">
              <w:rPr>
                <w:rFonts w:ascii="Calibri" w:eastAsia="Calibri" w:hAnsi="Calibri" w:cs="Calibri"/>
                <w:b/>
                <w:color w:val="181717"/>
                <w:sz w:val="18"/>
              </w:rPr>
              <w:t>Citi</w:t>
            </w:r>
          </w:p>
        </w:tc>
        <w:tc>
          <w:tcPr>
            <w:tcW w:w="737" w:type="dxa"/>
            <w:tcBorders>
              <w:top w:val="single" w:sz="2" w:space="0" w:color="BCC2C8"/>
              <w:left w:val="single" w:sz="2" w:space="0" w:color="FFFEFD"/>
              <w:bottom w:val="single" w:sz="2" w:space="0" w:color="BCC2C8"/>
              <w:right w:val="nil"/>
            </w:tcBorders>
            <w:shd w:val="clear" w:color="auto" w:fill="CE4B49"/>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32</w:t>
            </w:r>
          </w:p>
        </w:tc>
        <w:tc>
          <w:tcPr>
            <w:tcW w:w="737" w:type="dxa"/>
            <w:tcBorders>
              <w:top w:val="single" w:sz="2" w:space="0" w:color="BCC2C8"/>
              <w:left w:val="nil"/>
              <w:bottom w:val="single" w:sz="2" w:space="0" w:color="BCC2C8"/>
              <w:right w:val="single" w:sz="2" w:space="0" w:color="FFFEFD"/>
            </w:tcBorders>
            <w:shd w:val="clear" w:color="auto" w:fill="2B5F33"/>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45</w:t>
            </w:r>
          </w:p>
        </w:tc>
        <w:tc>
          <w:tcPr>
            <w:tcW w:w="737" w:type="dxa"/>
            <w:tcBorders>
              <w:top w:val="single" w:sz="2" w:space="0" w:color="BCC2C8"/>
              <w:left w:val="single" w:sz="2" w:space="0" w:color="FFFEFD"/>
              <w:bottom w:val="single" w:sz="2" w:space="0" w:color="BCC2C8"/>
              <w:right w:val="single" w:sz="2" w:space="0" w:color="FFFEFD"/>
            </w:tcBorders>
            <w:shd w:val="clear" w:color="auto" w:fill="F09B57"/>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30</w:t>
            </w:r>
          </w:p>
        </w:tc>
        <w:tc>
          <w:tcPr>
            <w:tcW w:w="737" w:type="dxa"/>
            <w:tcBorders>
              <w:top w:val="single" w:sz="2" w:space="0" w:color="BCC2C8"/>
              <w:left w:val="single" w:sz="2" w:space="0" w:color="FFFEFD"/>
              <w:bottom w:val="single" w:sz="2" w:space="0" w:color="BCC2C8"/>
              <w:right w:val="nil"/>
            </w:tcBorders>
            <w:shd w:val="clear" w:color="auto" w:fill="F09B57"/>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35</w:t>
            </w:r>
          </w:p>
        </w:tc>
        <w:tc>
          <w:tcPr>
            <w:tcW w:w="737" w:type="dxa"/>
            <w:tcBorders>
              <w:top w:val="single" w:sz="2" w:space="0" w:color="BCC2C8"/>
              <w:left w:val="nil"/>
              <w:bottom w:val="single" w:sz="2" w:space="0" w:color="BCC2C8"/>
              <w:right w:val="single" w:sz="16" w:space="0" w:color="FFFEFD"/>
            </w:tcBorders>
            <w:shd w:val="clear" w:color="auto" w:fill="2B5F33"/>
            <w:vAlign w:val="center"/>
          </w:tcPr>
          <w:p w:rsidR="00EB01F5" w:rsidRPr="00EB01F5" w:rsidRDefault="00EB01F5" w:rsidP="00EB01F5">
            <w:pPr>
              <w:ind w:right="22"/>
              <w:jc w:val="center"/>
              <w:rPr>
                <w:rFonts w:ascii="Calibri" w:eastAsia="Calibri" w:hAnsi="Calibri" w:cs="Calibri"/>
                <w:color w:val="181717"/>
                <w:sz w:val="19"/>
              </w:rPr>
            </w:pPr>
            <w:r w:rsidRPr="00EB01F5">
              <w:rPr>
                <w:rFonts w:ascii="Calibri" w:eastAsia="Calibri" w:hAnsi="Calibri" w:cs="Calibri"/>
                <w:color w:val="FFFEFD"/>
                <w:sz w:val="16"/>
              </w:rPr>
              <w:t>63</w:t>
            </w:r>
          </w:p>
        </w:tc>
        <w:tc>
          <w:tcPr>
            <w:tcW w:w="737" w:type="dxa"/>
            <w:tcBorders>
              <w:top w:val="single" w:sz="2" w:space="0" w:color="BCC2C8"/>
              <w:left w:val="single" w:sz="16" w:space="0" w:color="FFFEFD"/>
              <w:bottom w:val="single" w:sz="2" w:space="0" w:color="BCC2C8"/>
              <w:right w:val="single" w:sz="2" w:space="0" w:color="BCC2C8"/>
            </w:tcBorders>
            <w:shd w:val="clear" w:color="auto" w:fill="E9E8E7"/>
            <w:vAlign w:val="center"/>
          </w:tcPr>
          <w:p w:rsidR="00EB01F5" w:rsidRPr="00EB01F5" w:rsidRDefault="00EB01F5" w:rsidP="00EB01F5">
            <w:pPr>
              <w:ind w:right="22"/>
              <w:jc w:val="center"/>
              <w:rPr>
                <w:rFonts w:ascii="Calibri" w:eastAsia="Calibri" w:hAnsi="Calibri" w:cs="Calibri"/>
                <w:color w:val="181717"/>
                <w:sz w:val="19"/>
              </w:rPr>
            </w:pPr>
            <w:r w:rsidRPr="00EB01F5">
              <w:rPr>
                <w:rFonts w:ascii="Calibri" w:eastAsia="Calibri" w:hAnsi="Calibri" w:cs="Calibri"/>
                <w:color w:val="181717"/>
                <w:sz w:val="16"/>
              </w:rPr>
              <w:t>80</w:t>
            </w:r>
          </w:p>
        </w:tc>
      </w:tr>
      <w:tr w:rsidR="00EB01F5" w:rsidRPr="00EB01F5" w:rsidTr="007729F5">
        <w:trPr>
          <w:trHeight w:val="567"/>
        </w:trPr>
        <w:tc>
          <w:tcPr>
            <w:tcW w:w="1304" w:type="dxa"/>
            <w:tcBorders>
              <w:top w:val="single" w:sz="2" w:space="0" w:color="BCC2C8"/>
              <w:left w:val="single" w:sz="2" w:space="0" w:color="BCC2C8"/>
              <w:bottom w:val="single" w:sz="2" w:space="0" w:color="BCC2C8"/>
              <w:right w:val="single" w:sz="2" w:space="0" w:color="FFFEFD"/>
            </w:tcBorders>
            <w:shd w:val="clear" w:color="auto" w:fill="E9E8E7"/>
            <w:vAlign w:val="center"/>
          </w:tcPr>
          <w:p w:rsidR="00EB01F5" w:rsidRPr="00EB01F5" w:rsidRDefault="00EB01F5" w:rsidP="00EB01F5">
            <w:pPr>
              <w:rPr>
                <w:rFonts w:ascii="Calibri" w:eastAsia="Calibri" w:hAnsi="Calibri" w:cs="Calibri"/>
                <w:color w:val="181717"/>
                <w:sz w:val="19"/>
              </w:rPr>
            </w:pPr>
            <w:r w:rsidRPr="00EB01F5">
              <w:rPr>
                <w:rFonts w:ascii="Calibri" w:eastAsia="Calibri" w:hAnsi="Calibri" w:cs="Calibri"/>
                <w:b/>
                <w:color w:val="181717"/>
                <w:sz w:val="18"/>
              </w:rPr>
              <w:t>Deloitte</w:t>
            </w:r>
          </w:p>
        </w:tc>
        <w:tc>
          <w:tcPr>
            <w:tcW w:w="1474" w:type="dxa"/>
            <w:gridSpan w:val="2"/>
            <w:tcBorders>
              <w:top w:val="single" w:sz="2" w:space="0" w:color="BCC2C8"/>
              <w:left w:val="single" w:sz="2" w:space="0" w:color="FFFEFD"/>
              <w:bottom w:val="single" w:sz="2" w:space="0" w:color="BCC2C8"/>
              <w:right w:val="single" w:sz="2" w:space="0" w:color="FFFEFD"/>
            </w:tcBorders>
            <w:shd w:val="clear" w:color="auto" w:fill="2B5F33"/>
            <w:vAlign w:val="center"/>
          </w:tcPr>
          <w:p w:rsidR="00EB01F5" w:rsidRPr="00EB01F5" w:rsidRDefault="00EB01F5" w:rsidP="00EB01F5">
            <w:pPr>
              <w:tabs>
                <w:tab w:val="center" w:pos="300"/>
                <w:tab w:val="center" w:pos="1037"/>
              </w:tabs>
              <w:rPr>
                <w:rFonts w:ascii="Calibri" w:eastAsia="Calibri" w:hAnsi="Calibri" w:cs="Calibri"/>
                <w:color w:val="181717"/>
                <w:sz w:val="19"/>
              </w:rPr>
            </w:pPr>
            <w:r w:rsidRPr="00EB01F5">
              <w:rPr>
                <w:rFonts w:ascii="Calibri" w:eastAsia="Calibri" w:hAnsi="Calibri" w:cs="Calibri"/>
                <w:color w:val="000000"/>
              </w:rPr>
              <w:tab/>
            </w:r>
            <w:r w:rsidRPr="00EB01F5">
              <w:rPr>
                <w:rFonts w:ascii="Calibri" w:eastAsia="Calibri" w:hAnsi="Calibri" w:cs="Calibri"/>
                <w:color w:val="FFFEFD"/>
                <w:sz w:val="16"/>
              </w:rPr>
              <w:t>50</w:t>
            </w:r>
            <w:r w:rsidRPr="00EB01F5">
              <w:rPr>
                <w:rFonts w:ascii="Calibri" w:eastAsia="Calibri" w:hAnsi="Calibri" w:cs="Calibri"/>
                <w:color w:val="FFFEFD"/>
                <w:sz w:val="16"/>
              </w:rPr>
              <w:tab/>
              <w:t>47</w:t>
            </w:r>
          </w:p>
        </w:tc>
        <w:tc>
          <w:tcPr>
            <w:tcW w:w="737" w:type="dxa"/>
            <w:tcBorders>
              <w:top w:val="single" w:sz="2" w:space="0" w:color="BCC2C8"/>
              <w:left w:val="single" w:sz="2" w:space="0" w:color="FFFEFD"/>
              <w:bottom w:val="single" w:sz="2" w:space="0" w:color="BCC2C8"/>
              <w:right w:val="single" w:sz="2" w:space="0" w:color="FFFEFD"/>
            </w:tcBorders>
            <w:shd w:val="clear" w:color="auto" w:fill="F09B57"/>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38</w:t>
            </w:r>
          </w:p>
        </w:tc>
        <w:tc>
          <w:tcPr>
            <w:tcW w:w="737" w:type="dxa"/>
            <w:tcBorders>
              <w:top w:val="single" w:sz="2" w:space="0" w:color="BCC2C8"/>
              <w:left w:val="single" w:sz="2" w:space="0" w:color="FFFEFD"/>
              <w:bottom w:val="single" w:sz="2" w:space="0" w:color="BCC2C8"/>
              <w:right w:val="nil"/>
            </w:tcBorders>
            <w:shd w:val="clear" w:color="auto" w:fill="F09B57"/>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37</w:t>
            </w:r>
          </w:p>
        </w:tc>
        <w:tc>
          <w:tcPr>
            <w:tcW w:w="737" w:type="dxa"/>
            <w:tcBorders>
              <w:top w:val="single" w:sz="2" w:space="0" w:color="BCC2C8"/>
              <w:left w:val="nil"/>
              <w:bottom w:val="single" w:sz="2" w:space="0" w:color="BCC2C8"/>
              <w:right w:val="single" w:sz="16" w:space="0" w:color="FFFEFD"/>
            </w:tcBorders>
            <w:shd w:val="clear" w:color="auto" w:fill="2B5F33"/>
            <w:vAlign w:val="center"/>
          </w:tcPr>
          <w:p w:rsidR="00EB01F5" w:rsidRPr="00EB01F5" w:rsidRDefault="00EB01F5" w:rsidP="00EB01F5">
            <w:pPr>
              <w:ind w:right="22"/>
              <w:jc w:val="center"/>
              <w:rPr>
                <w:rFonts w:ascii="Calibri" w:eastAsia="Calibri" w:hAnsi="Calibri" w:cs="Calibri"/>
                <w:color w:val="181717"/>
                <w:sz w:val="19"/>
              </w:rPr>
            </w:pPr>
            <w:r w:rsidRPr="00EB01F5">
              <w:rPr>
                <w:rFonts w:ascii="Calibri" w:eastAsia="Calibri" w:hAnsi="Calibri" w:cs="Calibri"/>
                <w:color w:val="FFFEFD"/>
                <w:sz w:val="16"/>
              </w:rPr>
              <w:t>76</w:t>
            </w:r>
          </w:p>
        </w:tc>
        <w:tc>
          <w:tcPr>
            <w:tcW w:w="737" w:type="dxa"/>
            <w:tcBorders>
              <w:top w:val="single" w:sz="2" w:space="0" w:color="BCC2C8"/>
              <w:left w:val="single" w:sz="16" w:space="0" w:color="FFFEFD"/>
              <w:bottom w:val="single" w:sz="2" w:space="0" w:color="BCC2C8"/>
              <w:right w:val="single" w:sz="2" w:space="0" w:color="BCC2C8"/>
            </w:tcBorders>
            <w:shd w:val="clear" w:color="auto" w:fill="E9E8E7"/>
            <w:vAlign w:val="center"/>
          </w:tcPr>
          <w:p w:rsidR="00EB01F5" w:rsidRPr="00EB01F5" w:rsidRDefault="00EB01F5" w:rsidP="00EB01F5">
            <w:pPr>
              <w:ind w:right="22"/>
              <w:jc w:val="center"/>
              <w:rPr>
                <w:rFonts w:ascii="Calibri" w:eastAsia="Calibri" w:hAnsi="Calibri" w:cs="Calibri"/>
                <w:color w:val="181717"/>
                <w:sz w:val="19"/>
              </w:rPr>
            </w:pPr>
            <w:r w:rsidRPr="00EB01F5">
              <w:rPr>
                <w:rFonts w:ascii="Calibri" w:eastAsia="Calibri" w:hAnsi="Calibri" w:cs="Calibri"/>
                <w:color w:val="181717"/>
                <w:sz w:val="16"/>
              </w:rPr>
              <w:t>84</w:t>
            </w:r>
          </w:p>
        </w:tc>
      </w:tr>
      <w:tr w:rsidR="00EB01F5" w:rsidRPr="00EB01F5" w:rsidTr="007729F5">
        <w:trPr>
          <w:trHeight w:val="567"/>
        </w:trPr>
        <w:tc>
          <w:tcPr>
            <w:tcW w:w="1304" w:type="dxa"/>
            <w:tcBorders>
              <w:top w:val="single" w:sz="2" w:space="0" w:color="BCC2C8"/>
              <w:left w:val="single" w:sz="2" w:space="0" w:color="BCC2C8"/>
              <w:bottom w:val="single" w:sz="2" w:space="0" w:color="BCC2C8"/>
              <w:right w:val="single" w:sz="2" w:space="0" w:color="FFFEFD"/>
            </w:tcBorders>
            <w:shd w:val="clear" w:color="auto" w:fill="E9E8E7"/>
            <w:vAlign w:val="center"/>
          </w:tcPr>
          <w:p w:rsidR="00EB01F5" w:rsidRPr="00EB01F5" w:rsidRDefault="00EB01F5" w:rsidP="00EB01F5">
            <w:pPr>
              <w:rPr>
                <w:rFonts w:ascii="Calibri" w:eastAsia="Calibri" w:hAnsi="Calibri" w:cs="Calibri"/>
                <w:color w:val="181717"/>
                <w:sz w:val="19"/>
              </w:rPr>
            </w:pPr>
            <w:r w:rsidRPr="00EB01F5">
              <w:rPr>
                <w:rFonts w:ascii="Calibri" w:eastAsia="Calibri" w:hAnsi="Calibri" w:cs="Calibri"/>
                <w:b/>
                <w:color w:val="181717"/>
                <w:sz w:val="18"/>
              </w:rPr>
              <w:t>KPMG</w:t>
            </w:r>
          </w:p>
        </w:tc>
        <w:tc>
          <w:tcPr>
            <w:tcW w:w="1474" w:type="dxa"/>
            <w:gridSpan w:val="2"/>
            <w:tcBorders>
              <w:top w:val="single" w:sz="2" w:space="0" w:color="BCC2C8"/>
              <w:left w:val="single" w:sz="2" w:space="0" w:color="FFFEFD"/>
              <w:bottom w:val="single" w:sz="2" w:space="0" w:color="BCC2C8"/>
              <w:right w:val="single" w:sz="2" w:space="0" w:color="FFFEFD"/>
            </w:tcBorders>
            <w:shd w:val="clear" w:color="auto" w:fill="2B5F33"/>
            <w:vAlign w:val="center"/>
          </w:tcPr>
          <w:p w:rsidR="00EB01F5" w:rsidRPr="00EB01F5" w:rsidRDefault="00EB01F5" w:rsidP="00EB01F5">
            <w:pPr>
              <w:tabs>
                <w:tab w:val="center" w:pos="300"/>
                <w:tab w:val="center" w:pos="1037"/>
              </w:tabs>
              <w:rPr>
                <w:rFonts w:ascii="Calibri" w:eastAsia="Calibri" w:hAnsi="Calibri" w:cs="Calibri"/>
                <w:color w:val="181717"/>
                <w:sz w:val="19"/>
              </w:rPr>
            </w:pPr>
            <w:r w:rsidRPr="00EB01F5">
              <w:rPr>
                <w:rFonts w:ascii="Calibri" w:eastAsia="Calibri" w:hAnsi="Calibri" w:cs="Calibri"/>
                <w:color w:val="000000"/>
              </w:rPr>
              <w:tab/>
            </w:r>
            <w:r w:rsidRPr="00EB01F5">
              <w:rPr>
                <w:rFonts w:ascii="Calibri" w:eastAsia="Calibri" w:hAnsi="Calibri" w:cs="Calibri"/>
                <w:color w:val="FFFEFD"/>
                <w:sz w:val="16"/>
              </w:rPr>
              <w:t>44</w:t>
            </w:r>
            <w:r w:rsidRPr="00EB01F5">
              <w:rPr>
                <w:rFonts w:ascii="Calibri" w:eastAsia="Calibri" w:hAnsi="Calibri" w:cs="Calibri"/>
                <w:color w:val="FFFEFD"/>
                <w:sz w:val="16"/>
              </w:rPr>
              <w:tab/>
              <w:t>47</w:t>
            </w:r>
          </w:p>
        </w:tc>
        <w:tc>
          <w:tcPr>
            <w:tcW w:w="737" w:type="dxa"/>
            <w:tcBorders>
              <w:top w:val="single" w:sz="2" w:space="0" w:color="BCC2C8"/>
              <w:left w:val="single" w:sz="2" w:space="0" w:color="FFFEFD"/>
              <w:bottom w:val="single" w:sz="2" w:space="0" w:color="BCC2C8"/>
              <w:right w:val="single" w:sz="2" w:space="0" w:color="FFFEFD"/>
            </w:tcBorders>
            <w:shd w:val="clear" w:color="auto" w:fill="2B5F33"/>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41</w:t>
            </w:r>
          </w:p>
        </w:tc>
        <w:tc>
          <w:tcPr>
            <w:tcW w:w="737" w:type="dxa"/>
            <w:tcBorders>
              <w:top w:val="single" w:sz="2" w:space="0" w:color="BCC2C8"/>
              <w:left w:val="single" w:sz="2" w:space="0" w:color="FFFEFD"/>
              <w:bottom w:val="single" w:sz="2" w:space="0" w:color="BCC2C8"/>
              <w:right w:val="nil"/>
            </w:tcBorders>
            <w:shd w:val="clear" w:color="auto" w:fill="F09B57"/>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26</w:t>
            </w:r>
          </w:p>
        </w:tc>
        <w:tc>
          <w:tcPr>
            <w:tcW w:w="737" w:type="dxa"/>
            <w:tcBorders>
              <w:top w:val="single" w:sz="2" w:space="0" w:color="BCC2C8"/>
              <w:left w:val="nil"/>
              <w:bottom w:val="single" w:sz="2" w:space="0" w:color="BCC2C8"/>
              <w:right w:val="single" w:sz="16" w:space="0" w:color="FFFEFD"/>
            </w:tcBorders>
            <w:shd w:val="clear" w:color="auto" w:fill="2B5F33"/>
            <w:vAlign w:val="center"/>
          </w:tcPr>
          <w:p w:rsidR="00EB01F5" w:rsidRPr="00EB01F5" w:rsidRDefault="00EB01F5" w:rsidP="00EB01F5">
            <w:pPr>
              <w:ind w:right="22"/>
              <w:jc w:val="center"/>
              <w:rPr>
                <w:rFonts w:ascii="Calibri" w:eastAsia="Calibri" w:hAnsi="Calibri" w:cs="Calibri"/>
                <w:color w:val="181717"/>
                <w:sz w:val="19"/>
              </w:rPr>
            </w:pPr>
            <w:r w:rsidRPr="00EB01F5">
              <w:rPr>
                <w:rFonts w:ascii="Calibri" w:eastAsia="Calibri" w:hAnsi="Calibri" w:cs="Calibri"/>
                <w:color w:val="FFFEFD"/>
                <w:sz w:val="16"/>
              </w:rPr>
              <w:t>95</w:t>
            </w:r>
          </w:p>
        </w:tc>
        <w:tc>
          <w:tcPr>
            <w:tcW w:w="737" w:type="dxa"/>
            <w:tcBorders>
              <w:top w:val="single" w:sz="2" w:space="0" w:color="BCC2C8"/>
              <w:left w:val="single" w:sz="16" w:space="0" w:color="FFFEFD"/>
              <w:bottom w:val="single" w:sz="2" w:space="0" w:color="BCC2C8"/>
              <w:right w:val="single" w:sz="2" w:space="0" w:color="BCC2C8"/>
            </w:tcBorders>
            <w:shd w:val="clear" w:color="auto" w:fill="E9E8E7"/>
            <w:vAlign w:val="center"/>
          </w:tcPr>
          <w:p w:rsidR="00EB01F5" w:rsidRPr="00EB01F5" w:rsidRDefault="00EB01F5" w:rsidP="00EB01F5">
            <w:pPr>
              <w:ind w:right="22"/>
              <w:jc w:val="center"/>
              <w:rPr>
                <w:rFonts w:ascii="Calibri" w:eastAsia="Calibri" w:hAnsi="Calibri" w:cs="Calibri"/>
                <w:color w:val="181717"/>
                <w:sz w:val="19"/>
              </w:rPr>
            </w:pPr>
            <w:r w:rsidRPr="00EB01F5">
              <w:rPr>
                <w:rFonts w:ascii="Calibri" w:eastAsia="Calibri" w:hAnsi="Calibri" w:cs="Calibri"/>
                <w:color w:val="181717"/>
                <w:sz w:val="16"/>
              </w:rPr>
              <w:t>96</w:t>
            </w:r>
          </w:p>
        </w:tc>
      </w:tr>
      <w:tr w:rsidR="00EB01F5" w:rsidRPr="00EB01F5" w:rsidTr="007729F5">
        <w:trPr>
          <w:trHeight w:val="567"/>
        </w:trPr>
        <w:tc>
          <w:tcPr>
            <w:tcW w:w="1304" w:type="dxa"/>
            <w:tcBorders>
              <w:top w:val="single" w:sz="2" w:space="0" w:color="BCC2C8"/>
              <w:left w:val="single" w:sz="2" w:space="0" w:color="BCC2C8"/>
              <w:bottom w:val="single" w:sz="2" w:space="0" w:color="BCC2C8"/>
              <w:right w:val="single" w:sz="2" w:space="0" w:color="FFFEFD"/>
            </w:tcBorders>
            <w:shd w:val="clear" w:color="auto" w:fill="E9E8E7"/>
            <w:vAlign w:val="center"/>
          </w:tcPr>
          <w:p w:rsidR="00EB01F5" w:rsidRPr="00EB01F5" w:rsidRDefault="00EB01F5" w:rsidP="00EB01F5">
            <w:pPr>
              <w:rPr>
                <w:rFonts w:ascii="Calibri" w:eastAsia="Calibri" w:hAnsi="Calibri" w:cs="Calibri"/>
                <w:color w:val="181717"/>
                <w:sz w:val="19"/>
              </w:rPr>
            </w:pPr>
            <w:r w:rsidRPr="00EB01F5">
              <w:rPr>
                <w:rFonts w:ascii="Calibri" w:eastAsia="Calibri" w:hAnsi="Calibri" w:cs="Calibri"/>
                <w:b/>
                <w:color w:val="181717"/>
                <w:sz w:val="18"/>
              </w:rPr>
              <w:t>McKinsey</w:t>
            </w:r>
          </w:p>
        </w:tc>
        <w:tc>
          <w:tcPr>
            <w:tcW w:w="1474" w:type="dxa"/>
            <w:gridSpan w:val="2"/>
            <w:tcBorders>
              <w:top w:val="single" w:sz="2" w:space="0" w:color="BCC2C8"/>
              <w:left w:val="single" w:sz="2" w:space="0" w:color="FFFEFD"/>
              <w:bottom w:val="single" w:sz="2" w:space="0" w:color="BCC2C8"/>
              <w:right w:val="single" w:sz="2" w:space="0" w:color="FFFEFD"/>
            </w:tcBorders>
            <w:shd w:val="clear" w:color="auto" w:fill="2B5F33"/>
            <w:vAlign w:val="center"/>
          </w:tcPr>
          <w:p w:rsidR="00EB01F5" w:rsidRPr="00EB01F5" w:rsidRDefault="00EB01F5" w:rsidP="00EB01F5">
            <w:pPr>
              <w:tabs>
                <w:tab w:val="center" w:pos="300"/>
                <w:tab w:val="center" w:pos="1037"/>
              </w:tabs>
              <w:rPr>
                <w:rFonts w:ascii="Calibri" w:eastAsia="Calibri" w:hAnsi="Calibri" w:cs="Calibri"/>
                <w:color w:val="181717"/>
                <w:sz w:val="19"/>
              </w:rPr>
            </w:pPr>
            <w:r w:rsidRPr="00EB01F5">
              <w:rPr>
                <w:rFonts w:ascii="Calibri" w:eastAsia="Calibri" w:hAnsi="Calibri" w:cs="Calibri"/>
                <w:color w:val="000000"/>
              </w:rPr>
              <w:tab/>
            </w:r>
            <w:r w:rsidRPr="00EB01F5">
              <w:rPr>
                <w:rFonts w:ascii="Calibri" w:eastAsia="Calibri" w:hAnsi="Calibri" w:cs="Calibri"/>
                <w:color w:val="FFFEFD"/>
                <w:sz w:val="16"/>
              </w:rPr>
              <w:t>44</w:t>
            </w:r>
            <w:r w:rsidRPr="00EB01F5">
              <w:rPr>
                <w:rFonts w:ascii="Calibri" w:eastAsia="Calibri" w:hAnsi="Calibri" w:cs="Calibri"/>
                <w:color w:val="FFFEFD"/>
                <w:sz w:val="16"/>
              </w:rPr>
              <w:tab/>
              <w:t>42</w:t>
            </w:r>
          </w:p>
        </w:tc>
        <w:tc>
          <w:tcPr>
            <w:tcW w:w="1474" w:type="dxa"/>
            <w:gridSpan w:val="2"/>
            <w:tcBorders>
              <w:top w:val="single" w:sz="2" w:space="0" w:color="BCC2C8"/>
              <w:left w:val="single" w:sz="2" w:space="0" w:color="FFFEFD"/>
              <w:bottom w:val="single" w:sz="2" w:space="0" w:color="BCC2C8"/>
              <w:right w:val="single" w:sz="2" w:space="0" w:color="FFFEFD"/>
            </w:tcBorders>
            <w:shd w:val="clear" w:color="auto" w:fill="DDDEE2"/>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181717"/>
                <w:sz w:val="16"/>
              </w:rPr>
              <w:t>N/A</w:t>
            </w:r>
          </w:p>
        </w:tc>
        <w:tc>
          <w:tcPr>
            <w:tcW w:w="737" w:type="dxa"/>
            <w:tcBorders>
              <w:top w:val="single" w:sz="2" w:space="0" w:color="BCC2C8"/>
              <w:left w:val="single" w:sz="2" w:space="0" w:color="FFFEFD"/>
              <w:bottom w:val="single" w:sz="2" w:space="0" w:color="BCC2C8"/>
              <w:right w:val="single" w:sz="16" w:space="0" w:color="FFFEFD"/>
            </w:tcBorders>
            <w:shd w:val="clear" w:color="auto" w:fill="2B5F33"/>
            <w:vAlign w:val="center"/>
          </w:tcPr>
          <w:p w:rsidR="00EB01F5" w:rsidRPr="00EB01F5" w:rsidRDefault="00EB01F5" w:rsidP="00EB01F5">
            <w:pPr>
              <w:ind w:right="22"/>
              <w:jc w:val="center"/>
              <w:rPr>
                <w:rFonts w:ascii="Calibri" w:eastAsia="Calibri" w:hAnsi="Calibri" w:cs="Calibri"/>
                <w:color w:val="181717"/>
                <w:sz w:val="19"/>
              </w:rPr>
            </w:pPr>
            <w:r w:rsidRPr="00EB01F5">
              <w:rPr>
                <w:rFonts w:ascii="Calibri" w:eastAsia="Calibri" w:hAnsi="Calibri" w:cs="Calibri"/>
                <w:color w:val="FFFEFD"/>
                <w:sz w:val="16"/>
              </w:rPr>
              <w:t>59</w:t>
            </w:r>
          </w:p>
        </w:tc>
        <w:tc>
          <w:tcPr>
            <w:tcW w:w="737" w:type="dxa"/>
            <w:tcBorders>
              <w:top w:val="single" w:sz="2" w:space="0" w:color="BCC2C8"/>
              <w:left w:val="single" w:sz="16" w:space="0" w:color="FFFEFD"/>
              <w:bottom w:val="single" w:sz="2" w:space="0" w:color="BCC2C8"/>
              <w:right w:val="single" w:sz="2" w:space="0" w:color="BCC2C8"/>
            </w:tcBorders>
            <w:shd w:val="clear" w:color="auto" w:fill="E9E8E7"/>
            <w:vAlign w:val="center"/>
          </w:tcPr>
          <w:p w:rsidR="00EB01F5" w:rsidRPr="00EB01F5" w:rsidRDefault="00EB01F5" w:rsidP="00EB01F5">
            <w:pPr>
              <w:ind w:right="22"/>
              <w:jc w:val="center"/>
              <w:rPr>
                <w:rFonts w:ascii="Calibri" w:eastAsia="Calibri" w:hAnsi="Calibri" w:cs="Calibri"/>
                <w:color w:val="181717"/>
                <w:sz w:val="19"/>
              </w:rPr>
            </w:pPr>
            <w:r w:rsidRPr="00EB01F5">
              <w:rPr>
                <w:rFonts w:ascii="Calibri" w:eastAsia="Calibri" w:hAnsi="Calibri" w:cs="Calibri"/>
                <w:color w:val="181717"/>
                <w:sz w:val="16"/>
              </w:rPr>
              <w:t>100</w:t>
            </w:r>
          </w:p>
        </w:tc>
      </w:tr>
      <w:tr w:rsidR="00EB01F5" w:rsidRPr="00EB01F5" w:rsidTr="007729F5">
        <w:trPr>
          <w:trHeight w:val="567"/>
        </w:trPr>
        <w:tc>
          <w:tcPr>
            <w:tcW w:w="1304" w:type="dxa"/>
            <w:tcBorders>
              <w:top w:val="single" w:sz="2" w:space="0" w:color="BCC2C8"/>
              <w:left w:val="single" w:sz="2" w:space="0" w:color="BCC2C8"/>
              <w:bottom w:val="single" w:sz="2" w:space="0" w:color="BCC2C8"/>
              <w:right w:val="single" w:sz="2" w:space="0" w:color="FFFEFD"/>
            </w:tcBorders>
            <w:shd w:val="clear" w:color="auto" w:fill="E9E8E7"/>
            <w:vAlign w:val="center"/>
          </w:tcPr>
          <w:p w:rsidR="00EB01F5" w:rsidRPr="00EB01F5" w:rsidRDefault="00EB01F5" w:rsidP="00EB01F5">
            <w:pPr>
              <w:rPr>
                <w:rFonts w:ascii="Calibri" w:eastAsia="Calibri" w:hAnsi="Calibri" w:cs="Calibri"/>
                <w:color w:val="181717"/>
                <w:sz w:val="19"/>
              </w:rPr>
            </w:pPr>
            <w:r w:rsidRPr="00EB01F5">
              <w:rPr>
                <w:rFonts w:ascii="Calibri" w:eastAsia="Calibri" w:hAnsi="Calibri" w:cs="Calibri"/>
                <w:b/>
                <w:color w:val="181717"/>
                <w:sz w:val="18"/>
              </w:rPr>
              <w:t>Qantas</w:t>
            </w:r>
          </w:p>
        </w:tc>
        <w:tc>
          <w:tcPr>
            <w:tcW w:w="1474" w:type="dxa"/>
            <w:gridSpan w:val="2"/>
            <w:tcBorders>
              <w:top w:val="single" w:sz="2" w:space="0" w:color="BCC2C8"/>
              <w:left w:val="single" w:sz="2" w:space="0" w:color="FFFEFD"/>
              <w:bottom w:val="single" w:sz="2" w:space="0" w:color="BCC2C8"/>
              <w:right w:val="single" w:sz="2" w:space="0" w:color="FFFEFD"/>
            </w:tcBorders>
            <w:shd w:val="clear" w:color="auto" w:fill="2B5F33"/>
            <w:vAlign w:val="center"/>
          </w:tcPr>
          <w:p w:rsidR="00EB01F5" w:rsidRPr="00EB01F5" w:rsidRDefault="00EB01F5" w:rsidP="00EB01F5">
            <w:pPr>
              <w:tabs>
                <w:tab w:val="center" w:pos="300"/>
                <w:tab w:val="center" w:pos="1037"/>
              </w:tabs>
              <w:rPr>
                <w:rFonts w:ascii="Calibri" w:eastAsia="Calibri" w:hAnsi="Calibri" w:cs="Calibri"/>
                <w:color w:val="181717"/>
                <w:sz w:val="19"/>
              </w:rPr>
            </w:pPr>
            <w:r w:rsidRPr="00EB01F5">
              <w:rPr>
                <w:rFonts w:ascii="Calibri" w:eastAsia="Calibri" w:hAnsi="Calibri" w:cs="Calibri"/>
                <w:color w:val="000000"/>
              </w:rPr>
              <w:tab/>
            </w:r>
            <w:r w:rsidRPr="00EB01F5">
              <w:rPr>
                <w:rFonts w:ascii="Calibri" w:eastAsia="Calibri" w:hAnsi="Calibri" w:cs="Calibri"/>
                <w:color w:val="FFFEFD"/>
                <w:sz w:val="16"/>
              </w:rPr>
              <w:t>50</w:t>
            </w:r>
            <w:r w:rsidRPr="00EB01F5">
              <w:rPr>
                <w:rFonts w:ascii="Calibri" w:eastAsia="Calibri" w:hAnsi="Calibri" w:cs="Calibri"/>
                <w:color w:val="FFFEFD"/>
                <w:sz w:val="16"/>
              </w:rPr>
              <w:tab/>
              <w:t>41</w:t>
            </w:r>
          </w:p>
        </w:tc>
        <w:tc>
          <w:tcPr>
            <w:tcW w:w="737" w:type="dxa"/>
            <w:tcBorders>
              <w:top w:val="single" w:sz="2" w:space="0" w:color="BCC2C8"/>
              <w:left w:val="single" w:sz="2" w:space="0" w:color="FFFEFD"/>
              <w:bottom w:val="single" w:sz="2" w:space="0" w:color="BCC2C8"/>
              <w:right w:val="single" w:sz="2" w:space="0" w:color="FFFEFD"/>
            </w:tcBorders>
            <w:shd w:val="clear" w:color="auto" w:fill="2B5F33"/>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40</w:t>
            </w:r>
          </w:p>
        </w:tc>
        <w:tc>
          <w:tcPr>
            <w:tcW w:w="737" w:type="dxa"/>
            <w:tcBorders>
              <w:top w:val="single" w:sz="2" w:space="0" w:color="BCC2C8"/>
              <w:left w:val="single" w:sz="2" w:space="0" w:color="FFFEFD"/>
              <w:bottom w:val="single" w:sz="2" w:space="0" w:color="BCC2C8"/>
              <w:right w:val="nil"/>
            </w:tcBorders>
            <w:shd w:val="clear" w:color="auto" w:fill="2B5F33"/>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50</w:t>
            </w:r>
          </w:p>
        </w:tc>
        <w:tc>
          <w:tcPr>
            <w:tcW w:w="737" w:type="dxa"/>
            <w:tcBorders>
              <w:top w:val="single" w:sz="2" w:space="0" w:color="BCC2C8"/>
              <w:left w:val="nil"/>
              <w:bottom w:val="single" w:sz="2" w:space="0" w:color="BCC2C8"/>
              <w:right w:val="single" w:sz="16" w:space="0" w:color="FFFEFD"/>
            </w:tcBorders>
            <w:shd w:val="clear" w:color="auto" w:fill="2B5F33"/>
            <w:vAlign w:val="center"/>
          </w:tcPr>
          <w:p w:rsidR="00EB01F5" w:rsidRPr="00EB01F5" w:rsidRDefault="00EB01F5" w:rsidP="00EB01F5">
            <w:pPr>
              <w:ind w:right="22"/>
              <w:jc w:val="center"/>
              <w:rPr>
                <w:rFonts w:ascii="Calibri" w:eastAsia="Calibri" w:hAnsi="Calibri" w:cs="Calibri"/>
                <w:color w:val="181717"/>
                <w:sz w:val="19"/>
              </w:rPr>
            </w:pPr>
            <w:r w:rsidRPr="00EB01F5">
              <w:rPr>
                <w:rFonts w:ascii="Calibri" w:eastAsia="Calibri" w:hAnsi="Calibri" w:cs="Calibri"/>
                <w:color w:val="FFFEFD"/>
                <w:sz w:val="16"/>
              </w:rPr>
              <w:t>74</w:t>
            </w:r>
          </w:p>
        </w:tc>
        <w:tc>
          <w:tcPr>
            <w:tcW w:w="737" w:type="dxa"/>
            <w:tcBorders>
              <w:top w:val="single" w:sz="2" w:space="0" w:color="BCC2C8"/>
              <w:left w:val="single" w:sz="16" w:space="0" w:color="FFFEFD"/>
              <w:bottom w:val="single" w:sz="2" w:space="0" w:color="BCC2C8"/>
              <w:right w:val="single" w:sz="2" w:space="0" w:color="BCC2C8"/>
            </w:tcBorders>
            <w:shd w:val="clear" w:color="auto" w:fill="E9E8E7"/>
            <w:vAlign w:val="center"/>
          </w:tcPr>
          <w:p w:rsidR="00EB01F5" w:rsidRPr="00EB01F5" w:rsidRDefault="00EB01F5" w:rsidP="00EB01F5">
            <w:pPr>
              <w:ind w:right="22"/>
              <w:jc w:val="center"/>
              <w:rPr>
                <w:rFonts w:ascii="Calibri" w:eastAsia="Calibri" w:hAnsi="Calibri" w:cs="Calibri"/>
                <w:color w:val="181717"/>
                <w:sz w:val="19"/>
              </w:rPr>
            </w:pPr>
            <w:r w:rsidRPr="00EB01F5">
              <w:rPr>
                <w:rFonts w:ascii="Calibri" w:eastAsia="Calibri" w:hAnsi="Calibri" w:cs="Calibri"/>
                <w:color w:val="181717"/>
                <w:sz w:val="16"/>
              </w:rPr>
              <w:t>97</w:t>
            </w:r>
          </w:p>
        </w:tc>
      </w:tr>
      <w:tr w:rsidR="00EB01F5" w:rsidRPr="00EB01F5" w:rsidTr="007729F5">
        <w:trPr>
          <w:trHeight w:val="567"/>
        </w:trPr>
        <w:tc>
          <w:tcPr>
            <w:tcW w:w="1304" w:type="dxa"/>
            <w:tcBorders>
              <w:top w:val="single" w:sz="2" w:space="0" w:color="BCC2C8"/>
              <w:left w:val="single" w:sz="2" w:space="0" w:color="BCC2C8"/>
              <w:bottom w:val="single" w:sz="2" w:space="0" w:color="BCC2C8"/>
              <w:right w:val="single" w:sz="2" w:space="0" w:color="FFFEFD"/>
            </w:tcBorders>
            <w:shd w:val="clear" w:color="auto" w:fill="E9E8E7"/>
            <w:vAlign w:val="center"/>
          </w:tcPr>
          <w:p w:rsidR="00EB01F5" w:rsidRPr="00EB01F5" w:rsidRDefault="00EB01F5" w:rsidP="00EB01F5">
            <w:pPr>
              <w:rPr>
                <w:rFonts w:ascii="Calibri" w:eastAsia="Calibri" w:hAnsi="Calibri" w:cs="Calibri"/>
                <w:color w:val="181717"/>
                <w:sz w:val="19"/>
              </w:rPr>
            </w:pPr>
            <w:r w:rsidRPr="00EB01F5">
              <w:rPr>
                <w:rFonts w:ascii="Calibri" w:eastAsia="Calibri" w:hAnsi="Calibri" w:cs="Calibri"/>
                <w:b/>
                <w:color w:val="181717"/>
                <w:sz w:val="18"/>
              </w:rPr>
              <w:t>Rio Tinto</w:t>
            </w:r>
          </w:p>
        </w:tc>
        <w:tc>
          <w:tcPr>
            <w:tcW w:w="737" w:type="dxa"/>
            <w:tcBorders>
              <w:top w:val="single" w:sz="2" w:space="0" w:color="BCC2C8"/>
              <w:left w:val="single" w:sz="2" w:space="0" w:color="FFFEFD"/>
              <w:bottom w:val="single" w:sz="2" w:space="0" w:color="BCC2C8"/>
              <w:right w:val="nil"/>
            </w:tcBorders>
            <w:shd w:val="clear" w:color="auto" w:fill="F09B57"/>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36</w:t>
            </w:r>
          </w:p>
        </w:tc>
        <w:tc>
          <w:tcPr>
            <w:tcW w:w="737" w:type="dxa"/>
            <w:tcBorders>
              <w:top w:val="single" w:sz="2" w:space="0" w:color="BCC2C8"/>
              <w:left w:val="nil"/>
              <w:bottom w:val="single" w:sz="2" w:space="0" w:color="BCC2C8"/>
              <w:right w:val="single" w:sz="2" w:space="0" w:color="FFFEFD"/>
            </w:tcBorders>
            <w:shd w:val="clear" w:color="auto" w:fill="DDDEE2"/>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181717"/>
                <w:sz w:val="16"/>
              </w:rPr>
              <w:t>N/A</w:t>
            </w:r>
            <w:r w:rsidRPr="00EB01F5">
              <w:rPr>
                <w:rFonts w:ascii="Calibri" w:eastAsia="Calibri" w:hAnsi="Calibri" w:cs="Calibri"/>
                <w:color w:val="181717"/>
                <w:sz w:val="13"/>
                <w:vertAlign w:val="superscript"/>
              </w:rPr>
              <w:t>6</w:t>
            </w:r>
          </w:p>
        </w:tc>
        <w:tc>
          <w:tcPr>
            <w:tcW w:w="1474" w:type="dxa"/>
            <w:gridSpan w:val="2"/>
            <w:tcBorders>
              <w:top w:val="single" w:sz="2" w:space="0" w:color="BCC2C8"/>
              <w:left w:val="single" w:sz="2" w:space="0" w:color="FFFEFD"/>
              <w:bottom w:val="single" w:sz="2" w:space="0" w:color="BCC2C8"/>
              <w:right w:val="single" w:sz="2" w:space="0" w:color="FFFEFD"/>
            </w:tcBorders>
            <w:shd w:val="clear" w:color="auto" w:fill="F09B57"/>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25</w:t>
            </w:r>
          </w:p>
        </w:tc>
        <w:tc>
          <w:tcPr>
            <w:tcW w:w="737" w:type="dxa"/>
            <w:tcBorders>
              <w:top w:val="single" w:sz="2" w:space="0" w:color="BCC2C8"/>
              <w:left w:val="single" w:sz="2" w:space="0" w:color="FFFEFD"/>
              <w:bottom w:val="single" w:sz="2" w:space="0" w:color="BCC2C8"/>
              <w:right w:val="single" w:sz="16" w:space="0" w:color="FFFEFD"/>
            </w:tcBorders>
            <w:shd w:val="clear" w:color="auto" w:fill="2B5F33"/>
          </w:tcPr>
          <w:p w:rsidR="00EB01F5" w:rsidRPr="00EB01F5" w:rsidRDefault="00EB01F5" w:rsidP="00EB01F5">
            <w:pPr>
              <w:rPr>
                <w:rFonts w:ascii="Calibri" w:eastAsia="Calibri" w:hAnsi="Calibri" w:cs="Calibri"/>
                <w:color w:val="181717"/>
                <w:sz w:val="19"/>
              </w:rPr>
            </w:pPr>
          </w:p>
        </w:tc>
        <w:tc>
          <w:tcPr>
            <w:tcW w:w="737" w:type="dxa"/>
            <w:tcBorders>
              <w:top w:val="single" w:sz="2" w:space="0" w:color="BCC2C8"/>
              <w:left w:val="single" w:sz="16" w:space="0" w:color="FFFEFD"/>
              <w:bottom w:val="single" w:sz="2" w:space="0" w:color="BCC2C8"/>
              <w:right w:val="single" w:sz="2" w:space="0" w:color="BCC2C8"/>
            </w:tcBorders>
            <w:shd w:val="clear" w:color="auto" w:fill="E9E8E7"/>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181717"/>
                <w:sz w:val="16"/>
              </w:rPr>
              <w:t>53</w:t>
            </w:r>
          </w:p>
        </w:tc>
      </w:tr>
      <w:tr w:rsidR="00EB01F5" w:rsidRPr="00EB01F5" w:rsidTr="007729F5">
        <w:trPr>
          <w:trHeight w:val="567"/>
        </w:trPr>
        <w:tc>
          <w:tcPr>
            <w:tcW w:w="1304" w:type="dxa"/>
            <w:tcBorders>
              <w:top w:val="single" w:sz="2" w:space="0" w:color="BCC2C8"/>
              <w:left w:val="single" w:sz="2" w:space="0" w:color="BCC2C8"/>
              <w:bottom w:val="single" w:sz="2" w:space="0" w:color="BCC2C8"/>
              <w:right w:val="single" w:sz="2" w:space="0" w:color="FFFEFD"/>
            </w:tcBorders>
            <w:shd w:val="clear" w:color="auto" w:fill="E9E8E7"/>
            <w:vAlign w:val="center"/>
          </w:tcPr>
          <w:p w:rsidR="00EB01F5" w:rsidRPr="00EB01F5" w:rsidRDefault="00EB01F5" w:rsidP="00EB01F5">
            <w:pPr>
              <w:rPr>
                <w:rFonts w:ascii="Calibri" w:eastAsia="Calibri" w:hAnsi="Calibri" w:cs="Calibri"/>
                <w:color w:val="181717"/>
                <w:sz w:val="19"/>
              </w:rPr>
            </w:pPr>
            <w:r w:rsidRPr="00EB01F5">
              <w:rPr>
                <w:rFonts w:ascii="Calibri" w:eastAsia="Calibri" w:hAnsi="Calibri" w:cs="Calibri"/>
                <w:b/>
                <w:color w:val="181717"/>
                <w:sz w:val="18"/>
              </w:rPr>
              <w:t>Telstra</w:t>
            </w:r>
          </w:p>
        </w:tc>
        <w:tc>
          <w:tcPr>
            <w:tcW w:w="1474" w:type="dxa"/>
            <w:gridSpan w:val="2"/>
            <w:tcBorders>
              <w:top w:val="single" w:sz="2" w:space="0" w:color="BCC2C8"/>
              <w:left w:val="single" w:sz="2" w:space="0" w:color="FFFEFD"/>
              <w:bottom w:val="single" w:sz="2" w:space="0" w:color="BCC2C8"/>
              <w:right w:val="single" w:sz="2" w:space="0" w:color="FFFEFD"/>
            </w:tcBorders>
            <w:shd w:val="clear" w:color="auto" w:fill="2B5F33"/>
            <w:vAlign w:val="center"/>
          </w:tcPr>
          <w:p w:rsidR="00EB01F5" w:rsidRPr="00EB01F5" w:rsidRDefault="00EB01F5" w:rsidP="00EB01F5">
            <w:pPr>
              <w:tabs>
                <w:tab w:val="center" w:pos="300"/>
                <w:tab w:val="center" w:pos="1037"/>
              </w:tabs>
              <w:rPr>
                <w:rFonts w:ascii="Calibri" w:eastAsia="Calibri" w:hAnsi="Calibri" w:cs="Calibri"/>
                <w:color w:val="181717"/>
                <w:sz w:val="19"/>
              </w:rPr>
            </w:pPr>
            <w:r w:rsidRPr="00EB01F5">
              <w:rPr>
                <w:rFonts w:ascii="Calibri" w:eastAsia="Calibri" w:hAnsi="Calibri" w:cs="Calibri"/>
                <w:color w:val="000000"/>
              </w:rPr>
              <w:tab/>
            </w:r>
            <w:r w:rsidRPr="00EB01F5">
              <w:rPr>
                <w:rFonts w:ascii="Calibri" w:eastAsia="Calibri" w:hAnsi="Calibri" w:cs="Calibri"/>
                <w:color w:val="FFFEFD"/>
                <w:sz w:val="16"/>
              </w:rPr>
              <w:t>41</w:t>
            </w:r>
            <w:r w:rsidRPr="00EB01F5">
              <w:rPr>
                <w:rFonts w:ascii="Calibri" w:eastAsia="Calibri" w:hAnsi="Calibri" w:cs="Calibri"/>
                <w:color w:val="FFFEFD"/>
                <w:sz w:val="16"/>
              </w:rPr>
              <w:tab/>
              <w:t>41</w:t>
            </w:r>
          </w:p>
        </w:tc>
        <w:tc>
          <w:tcPr>
            <w:tcW w:w="737" w:type="dxa"/>
            <w:tcBorders>
              <w:top w:val="single" w:sz="2" w:space="0" w:color="BCC2C8"/>
              <w:left w:val="single" w:sz="2" w:space="0" w:color="FFFEFD"/>
              <w:bottom w:val="single" w:sz="2" w:space="0" w:color="BCC2C8"/>
              <w:right w:val="single" w:sz="2" w:space="0" w:color="FFFEFD"/>
            </w:tcBorders>
            <w:shd w:val="clear" w:color="auto" w:fill="2B5F33"/>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43</w:t>
            </w:r>
          </w:p>
        </w:tc>
        <w:tc>
          <w:tcPr>
            <w:tcW w:w="737" w:type="dxa"/>
            <w:tcBorders>
              <w:top w:val="single" w:sz="2" w:space="0" w:color="BCC2C8"/>
              <w:left w:val="single" w:sz="2" w:space="0" w:color="FFFEFD"/>
              <w:bottom w:val="single" w:sz="2" w:space="0" w:color="BCC2C8"/>
              <w:right w:val="nil"/>
            </w:tcBorders>
            <w:shd w:val="clear" w:color="auto" w:fill="2B5F33"/>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50</w:t>
            </w:r>
          </w:p>
        </w:tc>
        <w:tc>
          <w:tcPr>
            <w:tcW w:w="737" w:type="dxa"/>
            <w:tcBorders>
              <w:top w:val="single" w:sz="2" w:space="0" w:color="BCC2C8"/>
              <w:left w:val="nil"/>
              <w:bottom w:val="single" w:sz="2" w:space="0" w:color="BCC2C8"/>
              <w:right w:val="single" w:sz="16" w:space="0" w:color="FFFEFD"/>
            </w:tcBorders>
            <w:shd w:val="clear" w:color="auto" w:fill="2B5F33"/>
            <w:vAlign w:val="center"/>
          </w:tcPr>
          <w:p w:rsidR="00EB01F5" w:rsidRPr="00EB01F5" w:rsidRDefault="00EB01F5" w:rsidP="00EB01F5">
            <w:pPr>
              <w:ind w:right="22"/>
              <w:jc w:val="center"/>
              <w:rPr>
                <w:rFonts w:ascii="Calibri" w:eastAsia="Calibri" w:hAnsi="Calibri" w:cs="Calibri"/>
                <w:color w:val="181717"/>
                <w:sz w:val="19"/>
              </w:rPr>
            </w:pPr>
            <w:r w:rsidRPr="00EB01F5">
              <w:rPr>
                <w:rFonts w:ascii="Calibri" w:eastAsia="Calibri" w:hAnsi="Calibri" w:cs="Calibri"/>
                <w:color w:val="FFFEFD"/>
                <w:sz w:val="16"/>
              </w:rPr>
              <w:t>85</w:t>
            </w:r>
          </w:p>
        </w:tc>
        <w:tc>
          <w:tcPr>
            <w:tcW w:w="737" w:type="dxa"/>
            <w:tcBorders>
              <w:top w:val="single" w:sz="2" w:space="0" w:color="BCC2C8"/>
              <w:left w:val="single" w:sz="16" w:space="0" w:color="FFFEFD"/>
              <w:bottom w:val="single" w:sz="2" w:space="0" w:color="BCC2C8"/>
              <w:right w:val="single" w:sz="2" w:space="0" w:color="BCC2C8"/>
            </w:tcBorders>
            <w:shd w:val="clear" w:color="auto" w:fill="E9E8E7"/>
            <w:vAlign w:val="center"/>
          </w:tcPr>
          <w:p w:rsidR="00EB01F5" w:rsidRPr="00EB01F5" w:rsidRDefault="00EB01F5" w:rsidP="00EB01F5">
            <w:pPr>
              <w:ind w:right="22"/>
              <w:jc w:val="center"/>
              <w:rPr>
                <w:rFonts w:ascii="Calibri" w:eastAsia="Calibri" w:hAnsi="Calibri" w:cs="Calibri"/>
                <w:color w:val="181717"/>
                <w:sz w:val="19"/>
              </w:rPr>
            </w:pPr>
            <w:r w:rsidRPr="00EB01F5">
              <w:rPr>
                <w:rFonts w:ascii="Calibri" w:eastAsia="Calibri" w:hAnsi="Calibri" w:cs="Calibri"/>
                <w:color w:val="181717"/>
                <w:sz w:val="16"/>
              </w:rPr>
              <w:t>92</w:t>
            </w:r>
          </w:p>
        </w:tc>
      </w:tr>
      <w:tr w:rsidR="00EB01F5" w:rsidRPr="00EB01F5" w:rsidTr="007729F5">
        <w:trPr>
          <w:trHeight w:val="567"/>
        </w:trPr>
        <w:tc>
          <w:tcPr>
            <w:tcW w:w="1304" w:type="dxa"/>
            <w:tcBorders>
              <w:top w:val="single" w:sz="2" w:space="0" w:color="BCC2C8"/>
              <w:left w:val="single" w:sz="2" w:space="0" w:color="BCC2C8"/>
              <w:bottom w:val="single" w:sz="2" w:space="0" w:color="BCC2C8"/>
              <w:right w:val="single" w:sz="2" w:space="0" w:color="FFFEFD"/>
            </w:tcBorders>
            <w:shd w:val="clear" w:color="auto" w:fill="E9E8E7"/>
            <w:vAlign w:val="center"/>
          </w:tcPr>
          <w:p w:rsidR="00EB01F5" w:rsidRPr="00EB01F5" w:rsidRDefault="00EB01F5" w:rsidP="00EB01F5">
            <w:pPr>
              <w:rPr>
                <w:rFonts w:ascii="Calibri" w:eastAsia="Calibri" w:hAnsi="Calibri" w:cs="Calibri"/>
                <w:color w:val="181717"/>
                <w:sz w:val="19"/>
              </w:rPr>
            </w:pPr>
            <w:r w:rsidRPr="00EB01F5">
              <w:rPr>
                <w:rFonts w:ascii="Calibri" w:eastAsia="Calibri" w:hAnsi="Calibri" w:cs="Calibri"/>
                <w:b/>
                <w:color w:val="181717"/>
                <w:sz w:val="18"/>
              </w:rPr>
              <w:t>Ten</w:t>
            </w:r>
          </w:p>
        </w:tc>
        <w:tc>
          <w:tcPr>
            <w:tcW w:w="737" w:type="dxa"/>
            <w:tcBorders>
              <w:top w:val="single" w:sz="2" w:space="0" w:color="BCC2C8"/>
              <w:left w:val="single" w:sz="2" w:space="0" w:color="FFFEFD"/>
              <w:bottom w:val="single" w:sz="2" w:space="0" w:color="BCC2C8"/>
              <w:right w:val="nil"/>
            </w:tcBorders>
            <w:shd w:val="clear" w:color="auto" w:fill="DDDEE2"/>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181717"/>
                <w:sz w:val="16"/>
              </w:rPr>
              <w:t>N/A</w:t>
            </w:r>
          </w:p>
        </w:tc>
        <w:tc>
          <w:tcPr>
            <w:tcW w:w="737" w:type="dxa"/>
            <w:tcBorders>
              <w:top w:val="single" w:sz="2" w:space="0" w:color="BCC2C8"/>
              <w:left w:val="nil"/>
              <w:bottom w:val="single" w:sz="2" w:space="0" w:color="BCC2C8"/>
              <w:right w:val="single" w:sz="2" w:space="0" w:color="FFFEFD"/>
            </w:tcBorders>
            <w:shd w:val="clear" w:color="auto" w:fill="2B5F33"/>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48</w:t>
            </w:r>
          </w:p>
        </w:tc>
        <w:tc>
          <w:tcPr>
            <w:tcW w:w="1474" w:type="dxa"/>
            <w:gridSpan w:val="2"/>
            <w:tcBorders>
              <w:top w:val="single" w:sz="2" w:space="0" w:color="BCC2C8"/>
              <w:left w:val="single" w:sz="2" w:space="0" w:color="FFFEFD"/>
              <w:bottom w:val="single" w:sz="2" w:space="0" w:color="BCC2C8"/>
              <w:right w:val="single" w:sz="2" w:space="0" w:color="FFFEFD"/>
            </w:tcBorders>
            <w:shd w:val="clear" w:color="auto" w:fill="DDDEE2"/>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181717"/>
                <w:sz w:val="16"/>
              </w:rPr>
              <w:t>N/A</w:t>
            </w:r>
          </w:p>
        </w:tc>
        <w:tc>
          <w:tcPr>
            <w:tcW w:w="737" w:type="dxa"/>
            <w:tcBorders>
              <w:top w:val="single" w:sz="2" w:space="0" w:color="BCC2C8"/>
              <w:left w:val="single" w:sz="2" w:space="0" w:color="FFFEFD"/>
              <w:bottom w:val="single" w:sz="2" w:space="0" w:color="BCC2C8"/>
              <w:right w:val="single" w:sz="16" w:space="0" w:color="FFFEFD"/>
            </w:tcBorders>
            <w:shd w:val="clear" w:color="auto" w:fill="2B5F33"/>
          </w:tcPr>
          <w:p w:rsidR="00EB01F5" w:rsidRPr="00EB01F5" w:rsidRDefault="00EB01F5" w:rsidP="00EB01F5">
            <w:pPr>
              <w:rPr>
                <w:rFonts w:ascii="Calibri" w:eastAsia="Calibri" w:hAnsi="Calibri" w:cs="Calibri"/>
                <w:color w:val="181717"/>
                <w:sz w:val="19"/>
              </w:rPr>
            </w:pPr>
          </w:p>
        </w:tc>
        <w:tc>
          <w:tcPr>
            <w:tcW w:w="737" w:type="dxa"/>
            <w:tcBorders>
              <w:top w:val="single" w:sz="2" w:space="0" w:color="BCC2C8"/>
              <w:left w:val="single" w:sz="16" w:space="0" w:color="FFFEFD"/>
              <w:bottom w:val="single" w:sz="2" w:space="0" w:color="BCC2C8"/>
              <w:right w:val="single" w:sz="2" w:space="0" w:color="BCC2C8"/>
            </w:tcBorders>
            <w:shd w:val="clear" w:color="auto" w:fill="E9E8E7"/>
            <w:vAlign w:val="center"/>
          </w:tcPr>
          <w:p w:rsidR="00EB01F5" w:rsidRPr="00EB01F5" w:rsidRDefault="00EB01F5" w:rsidP="00EB01F5">
            <w:pPr>
              <w:ind w:right="22"/>
              <w:jc w:val="center"/>
              <w:rPr>
                <w:rFonts w:ascii="Calibri" w:eastAsia="Calibri" w:hAnsi="Calibri" w:cs="Calibri"/>
                <w:color w:val="181717"/>
                <w:sz w:val="19"/>
              </w:rPr>
            </w:pPr>
            <w:r w:rsidRPr="00EB01F5">
              <w:rPr>
                <w:rFonts w:ascii="Calibri" w:eastAsia="Calibri" w:hAnsi="Calibri" w:cs="Calibri"/>
                <w:color w:val="181717"/>
                <w:sz w:val="16"/>
              </w:rPr>
              <w:t>100</w:t>
            </w:r>
          </w:p>
        </w:tc>
      </w:tr>
      <w:tr w:rsidR="00EB01F5" w:rsidRPr="00EB01F5" w:rsidTr="007729F5">
        <w:trPr>
          <w:trHeight w:val="567"/>
        </w:trPr>
        <w:tc>
          <w:tcPr>
            <w:tcW w:w="1304" w:type="dxa"/>
            <w:tcBorders>
              <w:top w:val="single" w:sz="2" w:space="0" w:color="BCC2C8"/>
              <w:left w:val="single" w:sz="2" w:space="0" w:color="BCC2C8"/>
              <w:bottom w:val="single" w:sz="2" w:space="0" w:color="BCC2C8"/>
              <w:right w:val="single" w:sz="2" w:space="0" w:color="FFFEFD"/>
            </w:tcBorders>
            <w:shd w:val="clear" w:color="auto" w:fill="E9E8E7"/>
            <w:vAlign w:val="center"/>
          </w:tcPr>
          <w:p w:rsidR="00EB01F5" w:rsidRPr="00EB01F5" w:rsidRDefault="00EB01F5" w:rsidP="00EB01F5">
            <w:pPr>
              <w:rPr>
                <w:rFonts w:ascii="Calibri" w:eastAsia="Calibri" w:hAnsi="Calibri" w:cs="Calibri"/>
                <w:color w:val="181717"/>
                <w:sz w:val="19"/>
              </w:rPr>
            </w:pPr>
            <w:r w:rsidRPr="00EB01F5">
              <w:rPr>
                <w:rFonts w:ascii="Calibri" w:eastAsia="Calibri" w:hAnsi="Calibri" w:cs="Calibri"/>
                <w:b/>
                <w:color w:val="181717"/>
                <w:sz w:val="18"/>
              </w:rPr>
              <w:t>Woolworths</w:t>
            </w:r>
          </w:p>
        </w:tc>
        <w:tc>
          <w:tcPr>
            <w:tcW w:w="1474" w:type="dxa"/>
            <w:gridSpan w:val="2"/>
            <w:tcBorders>
              <w:top w:val="single" w:sz="2" w:space="0" w:color="BCC2C8"/>
              <w:left w:val="single" w:sz="2" w:space="0" w:color="FFFEFD"/>
              <w:bottom w:val="single" w:sz="2" w:space="0" w:color="BCC2C8"/>
              <w:right w:val="single" w:sz="2" w:space="0" w:color="FFFEFD"/>
            </w:tcBorders>
            <w:shd w:val="clear" w:color="auto" w:fill="2B5F33"/>
            <w:vAlign w:val="center"/>
          </w:tcPr>
          <w:p w:rsidR="00EB01F5" w:rsidRPr="00EB01F5" w:rsidRDefault="00EB01F5" w:rsidP="00EB01F5">
            <w:pPr>
              <w:tabs>
                <w:tab w:val="center" w:pos="300"/>
                <w:tab w:val="center" w:pos="1037"/>
              </w:tabs>
              <w:rPr>
                <w:rFonts w:ascii="Calibri" w:eastAsia="Calibri" w:hAnsi="Calibri" w:cs="Calibri"/>
                <w:color w:val="181717"/>
                <w:sz w:val="19"/>
              </w:rPr>
            </w:pPr>
            <w:r w:rsidRPr="00EB01F5">
              <w:rPr>
                <w:rFonts w:ascii="Calibri" w:eastAsia="Calibri" w:hAnsi="Calibri" w:cs="Calibri"/>
                <w:color w:val="000000"/>
              </w:rPr>
              <w:tab/>
            </w:r>
            <w:r w:rsidRPr="00EB01F5">
              <w:rPr>
                <w:rFonts w:ascii="Calibri" w:eastAsia="Calibri" w:hAnsi="Calibri" w:cs="Calibri"/>
                <w:color w:val="FFFEFD"/>
                <w:sz w:val="16"/>
              </w:rPr>
              <w:t>44</w:t>
            </w:r>
            <w:r w:rsidRPr="00EB01F5">
              <w:rPr>
                <w:rFonts w:ascii="Calibri" w:eastAsia="Calibri" w:hAnsi="Calibri" w:cs="Calibri"/>
                <w:color w:val="FFFEFD"/>
                <w:sz w:val="16"/>
              </w:rPr>
              <w:tab/>
              <w:t>47</w:t>
            </w:r>
          </w:p>
        </w:tc>
        <w:tc>
          <w:tcPr>
            <w:tcW w:w="737" w:type="dxa"/>
            <w:tcBorders>
              <w:top w:val="single" w:sz="2" w:space="0" w:color="BCC2C8"/>
              <w:left w:val="single" w:sz="2" w:space="0" w:color="FFFEFD"/>
              <w:bottom w:val="single" w:sz="2" w:space="0" w:color="BCC2C8"/>
              <w:right w:val="single" w:sz="2" w:space="0" w:color="FFFEFD"/>
            </w:tcBorders>
            <w:shd w:val="clear" w:color="auto" w:fill="2B5F33"/>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51</w:t>
            </w:r>
          </w:p>
        </w:tc>
        <w:tc>
          <w:tcPr>
            <w:tcW w:w="737" w:type="dxa"/>
            <w:tcBorders>
              <w:top w:val="single" w:sz="2" w:space="0" w:color="BCC2C8"/>
              <w:left w:val="single" w:sz="2" w:space="0" w:color="FFFEFD"/>
              <w:bottom w:val="single" w:sz="2" w:space="0" w:color="BCC2C8"/>
              <w:right w:val="nil"/>
            </w:tcBorders>
            <w:shd w:val="clear" w:color="auto" w:fill="F09B57"/>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38</w:t>
            </w:r>
          </w:p>
        </w:tc>
        <w:tc>
          <w:tcPr>
            <w:tcW w:w="737" w:type="dxa"/>
            <w:tcBorders>
              <w:top w:val="single" w:sz="2" w:space="0" w:color="BCC2C8"/>
              <w:left w:val="nil"/>
              <w:bottom w:val="single" w:sz="2" w:space="0" w:color="BCC2C8"/>
              <w:right w:val="single" w:sz="16" w:space="0" w:color="FFFEFD"/>
            </w:tcBorders>
            <w:shd w:val="clear" w:color="auto" w:fill="2B5F33"/>
          </w:tcPr>
          <w:p w:rsidR="00EB01F5" w:rsidRPr="00EB01F5" w:rsidRDefault="00EB01F5" w:rsidP="00EB01F5">
            <w:pPr>
              <w:rPr>
                <w:rFonts w:ascii="Calibri" w:eastAsia="Calibri" w:hAnsi="Calibri" w:cs="Calibri"/>
                <w:color w:val="181717"/>
                <w:sz w:val="19"/>
              </w:rPr>
            </w:pPr>
          </w:p>
        </w:tc>
        <w:tc>
          <w:tcPr>
            <w:tcW w:w="737" w:type="dxa"/>
            <w:tcBorders>
              <w:top w:val="single" w:sz="2" w:space="0" w:color="BCC2C8"/>
              <w:left w:val="single" w:sz="16" w:space="0" w:color="FFFEFD"/>
              <w:bottom w:val="single" w:sz="2" w:space="0" w:color="BCC2C8"/>
              <w:right w:val="single" w:sz="2" w:space="0" w:color="BCC2C8"/>
            </w:tcBorders>
            <w:shd w:val="clear" w:color="auto" w:fill="E9E8E7"/>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181717"/>
                <w:sz w:val="16"/>
              </w:rPr>
              <w:t>92</w:t>
            </w:r>
          </w:p>
        </w:tc>
      </w:tr>
      <w:tr w:rsidR="00EB01F5" w:rsidRPr="00EB01F5" w:rsidTr="007729F5">
        <w:trPr>
          <w:trHeight w:val="397"/>
        </w:trPr>
        <w:tc>
          <w:tcPr>
            <w:tcW w:w="4252" w:type="dxa"/>
            <w:gridSpan w:val="5"/>
            <w:tcBorders>
              <w:top w:val="single" w:sz="2" w:space="0" w:color="BCC2C8"/>
              <w:left w:val="single" w:sz="2" w:space="0" w:color="BCC2C8"/>
              <w:bottom w:val="single" w:sz="2" w:space="0" w:color="BCC2C8"/>
              <w:right w:val="nil"/>
            </w:tcBorders>
            <w:shd w:val="clear" w:color="auto" w:fill="63676D"/>
          </w:tcPr>
          <w:p w:rsidR="00EB01F5" w:rsidRPr="00EB01F5" w:rsidRDefault="00EB01F5" w:rsidP="00EB01F5">
            <w:pPr>
              <w:rPr>
                <w:rFonts w:ascii="Calibri" w:eastAsia="Calibri" w:hAnsi="Calibri" w:cs="Calibri"/>
                <w:color w:val="181717"/>
                <w:sz w:val="19"/>
              </w:rPr>
            </w:pPr>
            <w:r w:rsidRPr="00EB01F5">
              <w:rPr>
                <w:rFonts w:ascii="Calibri" w:eastAsia="Calibri" w:hAnsi="Calibri" w:cs="Calibri"/>
                <w:b/>
                <w:color w:val="FFFEFD"/>
                <w:sz w:val="16"/>
              </w:rPr>
              <w:t>Public Sector Organisations</w:t>
            </w:r>
          </w:p>
        </w:tc>
        <w:tc>
          <w:tcPr>
            <w:tcW w:w="1474" w:type="dxa"/>
            <w:gridSpan w:val="2"/>
            <w:tcBorders>
              <w:top w:val="single" w:sz="2" w:space="0" w:color="BCC2C8"/>
              <w:left w:val="nil"/>
              <w:bottom w:val="single" w:sz="2" w:space="0" w:color="BCC2C8"/>
              <w:right w:val="single" w:sz="2" w:space="0" w:color="BCC2C8"/>
            </w:tcBorders>
            <w:shd w:val="clear" w:color="auto" w:fill="63676D"/>
          </w:tcPr>
          <w:p w:rsidR="00EB01F5" w:rsidRPr="00EB01F5" w:rsidRDefault="00EB01F5" w:rsidP="00EB01F5">
            <w:pPr>
              <w:rPr>
                <w:rFonts w:ascii="Calibri" w:eastAsia="Calibri" w:hAnsi="Calibri" w:cs="Calibri"/>
                <w:color w:val="181717"/>
                <w:sz w:val="19"/>
              </w:rPr>
            </w:pPr>
          </w:p>
        </w:tc>
      </w:tr>
      <w:tr w:rsidR="00EB01F5" w:rsidRPr="00EB01F5" w:rsidTr="007729F5">
        <w:trPr>
          <w:trHeight w:val="567"/>
        </w:trPr>
        <w:tc>
          <w:tcPr>
            <w:tcW w:w="1304" w:type="dxa"/>
            <w:tcBorders>
              <w:top w:val="single" w:sz="2" w:space="0" w:color="BCC2C8"/>
              <w:left w:val="single" w:sz="2" w:space="0" w:color="BCC2C8"/>
              <w:bottom w:val="single" w:sz="2" w:space="0" w:color="FFFEFD"/>
              <w:right w:val="single" w:sz="2" w:space="0" w:color="BCC2C8"/>
            </w:tcBorders>
            <w:shd w:val="clear" w:color="auto" w:fill="E9E8E7"/>
            <w:vAlign w:val="center"/>
          </w:tcPr>
          <w:p w:rsidR="00EB01F5" w:rsidRPr="00EB01F5" w:rsidRDefault="00EB01F5" w:rsidP="00EB01F5">
            <w:pPr>
              <w:rPr>
                <w:rFonts w:ascii="Calibri" w:eastAsia="Calibri" w:hAnsi="Calibri" w:cs="Calibri"/>
                <w:color w:val="181717"/>
                <w:sz w:val="19"/>
              </w:rPr>
            </w:pPr>
            <w:r w:rsidRPr="00EB01F5">
              <w:rPr>
                <w:rFonts w:ascii="Calibri" w:eastAsia="Calibri" w:hAnsi="Calibri" w:cs="Calibri"/>
                <w:b/>
                <w:color w:val="181717"/>
                <w:sz w:val="18"/>
              </w:rPr>
              <w:t>Army</w:t>
            </w:r>
          </w:p>
        </w:tc>
        <w:tc>
          <w:tcPr>
            <w:tcW w:w="737" w:type="dxa"/>
            <w:tcBorders>
              <w:top w:val="single" w:sz="2" w:space="0" w:color="BCC2C8"/>
              <w:left w:val="single" w:sz="2" w:space="0" w:color="BCC2C8"/>
              <w:bottom w:val="single" w:sz="2" w:space="0" w:color="BCC2C8"/>
              <w:right w:val="single" w:sz="2" w:space="0" w:color="BCC2C8"/>
            </w:tcBorders>
            <w:shd w:val="clear" w:color="auto" w:fill="F09B57"/>
          </w:tcPr>
          <w:p w:rsidR="00EB01F5" w:rsidRPr="00EB01F5" w:rsidRDefault="00EB01F5" w:rsidP="00EB01F5">
            <w:pPr>
              <w:rPr>
                <w:rFonts w:ascii="Calibri" w:eastAsia="Calibri" w:hAnsi="Calibri" w:cs="Calibri"/>
                <w:color w:val="181717"/>
                <w:sz w:val="19"/>
              </w:rPr>
            </w:pPr>
          </w:p>
        </w:tc>
        <w:tc>
          <w:tcPr>
            <w:tcW w:w="737" w:type="dxa"/>
            <w:tcBorders>
              <w:top w:val="single" w:sz="2" w:space="0" w:color="BCC2C8"/>
              <w:left w:val="single" w:sz="2" w:space="0" w:color="BCC2C8"/>
              <w:bottom w:val="single" w:sz="2" w:space="0" w:color="BCC2C8"/>
              <w:right w:val="single" w:sz="2" w:space="0" w:color="BCC2C8"/>
            </w:tcBorders>
            <w:shd w:val="clear" w:color="auto" w:fill="DDDEE2"/>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181717"/>
                <w:sz w:val="16"/>
              </w:rPr>
              <w:t>N/A</w:t>
            </w:r>
          </w:p>
        </w:tc>
        <w:tc>
          <w:tcPr>
            <w:tcW w:w="737" w:type="dxa"/>
            <w:tcBorders>
              <w:top w:val="single" w:sz="2" w:space="0" w:color="BCC2C8"/>
              <w:left w:val="single" w:sz="2" w:space="0" w:color="BCC2C8"/>
              <w:bottom w:val="single" w:sz="2" w:space="0" w:color="BCC2C8"/>
              <w:right w:val="single" w:sz="2" w:space="0" w:color="BCC2C8"/>
            </w:tcBorders>
            <w:shd w:val="clear" w:color="auto" w:fill="2B5F33"/>
          </w:tcPr>
          <w:p w:rsidR="00EB01F5" w:rsidRPr="00EB01F5" w:rsidRDefault="00EB01F5" w:rsidP="00EB01F5">
            <w:pPr>
              <w:rPr>
                <w:rFonts w:ascii="Calibri" w:eastAsia="Calibri" w:hAnsi="Calibri" w:cs="Calibri"/>
                <w:color w:val="181717"/>
                <w:sz w:val="19"/>
              </w:rPr>
            </w:pPr>
          </w:p>
        </w:tc>
        <w:tc>
          <w:tcPr>
            <w:tcW w:w="737" w:type="dxa"/>
            <w:tcBorders>
              <w:top w:val="single" w:sz="2" w:space="0" w:color="BCC2C8"/>
              <w:left w:val="single" w:sz="2" w:space="0" w:color="BCC2C8"/>
              <w:bottom w:val="single" w:sz="2" w:space="0" w:color="BCC2C8"/>
              <w:right w:val="single" w:sz="2" w:space="0" w:color="BCC2C8"/>
            </w:tcBorders>
            <w:shd w:val="clear" w:color="auto" w:fill="F09B57"/>
          </w:tcPr>
          <w:p w:rsidR="00EB01F5" w:rsidRPr="00EB01F5" w:rsidRDefault="00EB01F5" w:rsidP="00EB01F5">
            <w:pPr>
              <w:rPr>
                <w:rFonts w:ascii="Calibri" w:eastAsia="Calibri" w:hAnsi="Calibri" w:cs="Calibri"/>
                <w:color w:val="181717"/>
                <w:sz w:val="19"/>
              </w:rPr>
            </w:pPr>
          </w:p>
        </w:tc>
        <w:tc>
          <w:tcPr>
            <w:tcW w:w="737" w:type="dxa"/>
            <w:tcBorders>
              <w:top w:val="single" w:sz="2" w:space="0" w:color="BCC2C8"/>
              <w:left w:val="single" w:sz="2" w:space="0" w:color="BCC2C8"/>
              <w:bottom w:val="single" w:sz="2" w:space="0" w:color="BCC2C8"/>
              <w:right w:val="single" w:sz="16" w:space="0" w:color="BCC2C8"/>
            </w:tcBorders>
            <w:shd w:val="clear" w:color="auto" w:fill="DDDEE2"/>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181717"/>
                <w:sz w:val="16"/>
              </w:rPr>
              <w:t>N/A</w:t>
            </w:r>
          </w:p>
        </w:tc>
        <w:tc>
          <w:tcPr>
            <w:tcW w:w="737" w:type="dxa"/>
            <w:tcBorders>
              <w:top w:val="single" w:sz="2" w:space="0" w:color="BCC2C8"/>
              <w:left w:val="single" w:sz="16" w:space="0" w:color="BCC2C8"/>
              <w:bottom w:val="single" w:sz="2" w:space="0" w:color="BCC2C8"/>
              <w:right w:val="single" w:sz="2" w:space="0" w:color="BCC2C8"/>
            </w:tcBorders>
            <w:shd w:val="clear" w:color="auto" w:fill="E9E8E7"/>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181717"/>
                <w:sz w:val="16"/>
              </w:rPr>
              <w:t>100</w:t>
            </w:r>
          </w:p>
        </w:tc>
      </w:tr>
      <w:tr w:rsidR="00EB01F5" w:rsidRPr="00EB01F5" w:rsidTr="007729F5">
        <w:trPr>
          <w:trHeight w:val="567"/>
        </w:trPr>
        <w:tc>
          <w:tcPr>
            <w:tcW w:w="1304" w:type="dxa"/>
            <w:tcBorders>
              <w:top w:val="single" w:sz="2" w:space="0" w:color="FFFEFD"/>
              <w:left w:val="single" w:sz="2" w:space="0" w:color="BCC2C8"/>
              <w:bottom w:val="single" w:sz="2" w:space="0" w:color="FFFEFD"/>
              <w:right w:val="single" w:sz="2" w:space="0" w:color="BCC2C8"/>
            </w:tcBorders>
            <w:shd w:val="clear" w:color="auto" w:fill="E9E8E7"/>
            <w:vAlign w:val="center"/>
          </w:tcPr>
          <w:p w:rsidR="00EB01F5" w:rsidRPr="00EB01F5" w:rsidRDefault="00EB01F5" w:rsidP="00EB01F5">
            <w:pPr>
              <w:rPr>
                <w:rFonts w:ascii="Calibri" w:eastAsia="Calibri" w:hAnsi="Calibri" w:cs="Calibri"/>
                <w:color w:val="181717"/>
                <w:sz w:val="19"/>
              </w:rPr>
            </w:pPr>
            <w:r w:rsidRPr="00EB01F5">
              <w:rPr>
                <w:rFonts w:ascii="Calibri" w:eastAsia="Calibri" w:hAnsi="Calibri" w:cs="Calibri"/>
                <w:b/>
                <w:color w:val="181717"/>
                <w:sz w:val="18"/>
              </w:rPr>
              <w:t>PMC</w:t>
            </w:r>
          </w:p>
        </w:tc>
        <w:tc>
          <w:tcPr>
            <w:tcW w:w="737" w:type="dxa"/>
            <w:tcBorders>
              <w:top w:val="single" w:sz="2" w:space="0" w:color="BCC2C8"/>
              <w:left w:val="single" w:sz="2" w:space="0" w:color="BCC2C8"/>
              <w:bottom w:val="single" w:sz="2" w:space="0" w:color="BCC2C8"/>
              <w:right w:val="single" w:sz="2" w:space="0" w:color="BCC2C8"/>
            </w:tcBorders>
            <w:shd w:val="clear" w:color="auto" w:fill="2B5F33"/>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61</w:t>
            </w:r>
          </w:p>
        </w:tc>
        <w:tc>
          <w:tcPr>
            <w:tcW w:w="737" w:type="dxa"/>
            <w:tcBorders>
              <w:top w:val="single" w:sz="2" w:space="0" w:color="BCC2C8"/>
              <w:left w:val="single" w:sz="2" w:space="0" w:color="BCC2C8"/>
              <w:bottom w:val="single" w:sz="2" w:space="0" w:color="BCC2C8"/>
              <w:right w:val="single" w:sz="2" w:space="0" w:color="BCC2C8"/>
            </w:tcBorders>
            <w:shd w:val="clear" w:color="auto" w:fill="2B5F33"/>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65</w:t>
            </w:r>
          </w:p>
        </w:tc>
        <w:tc>
          <w:tcPr>
            <w:tcW w:w="1474" w:type="dxa"/>
            <w:gridSpan w:val="2"/>
            <w:tcBorders>
              <w:top w:val="single" w:sz="2" w:space="0" w:color="BCC2C8"/>
              <w:left w:val="single" w:sz="2" w:space="0" w:color="BCC2C8"/>
              <w:bottom w:val="single" w:sz="2" w:space="0" w:color="BCC2C8"/>
              <w:right w:val="single" w:sz="2" w:space="0" w:color="BCC2C8"/>
            </w:tcBorders>
            <w:shd w:val="clear" w:color="auto" w:fill="2B5F33"/>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79</w:t>
            </w:r>
          </w:p>
        </w:tc>
        <w:tc>
          <w:tcPr>
            <w:tcW w:w="737" w:type="dxa"/>
            <w:tcBorders>
              <w:top w:val="single" w:sz="2" w:space="0" w:color="BCC2C8"/>
              <w:left w:val="single" w:sz="2" w:space="0" w:color="BCC2C8"/>
              <w:bottom w:val="single" w:sz="2" w:space="0" w:color="BCC2C8"/>
              <w:right w:val="single" w:sz="16" w:space="0" w:color="BCC2C8"/>
            </w:tcBorders>
            <w:shd w:val="clear" w:color="auto" w:fill="2B5F33"/>
          </w:tcPr>
          <w:p w:rsidR="00EB01F5" w:rsidRPr="00EB01F5" w:rsidRDefault="00EB01F5" w:rsidP="00EB01F5">
            <w:pPr>
              <w:rPr>
                <w:rFonts w:ascii="Calibri" w:eastAsia="Calibri" w:hAnsi="Calibri" w:cs="Calibri"/>
                <w:color w:val="181717"/>
                <w:sz w:val="19"/>
              </w:rPr>
            </w:pPr>
          </w:p>
        </w:tc>
        <w:tc>
          <w:tcPr>
            <w:tcW w:w="737" w:type="dxa"/>
            <w:tcBorders>
              <w:top w:val="single" w:sz="2" w:space="0" w:color="BCC2C8"/>
              <w:left w:val="single" w:sz="16" w:space="0" w:color="BCC2C8"/>
              <w:bottom w:val="single" w:sz="2" w:space="0" w:color="BCC2C8"/>
              <w:right w:val="single" w:sz="2" w:space="0" w:color="BCC2C8"/>
            </w:tcBorders>
            <w:shd w:val="clear" w:color="auto" w:fill="E9E8E7"/>
            <w:vAlign w:val="center"/>
          </w:tcPr>
          <w:p w:rsidR="00EB01F5" w:rsidRPr="00EB01F5" w:rsidRDefault="00EB01F5" w:rsidP="00EB01F5">
            <w:pPr>
              <w:ind w:right="22"/>
              <w:jc w:val="center"/>
              <w:rPr>
                <w:rFonts w:ascii="Calibri" w:eastAsia="Calibri" w:hAnsi="Calibri" w:cs="Calibri"/>
                <w:color w:val="181717"/>
                <w:sz w:val="19"/>
              </w:rPr>
            </w:pPr>
            <w:r w:rsidRPr="00EB01F5">
              <w:rPr>
                <w:rFonts w:ascii="Calibri" w:eastAsia="Calibri" w:hAnsi="Calibri" w:cs="Calibri"/>
                <w:color w:val="181717"/>
                <w:sz w:val="16"/>
              </w:rPr>
              <w:t>100</w:t>
            </w:r>
          </w:p>
        </w:tc>
      </w:tr>
      <w:tr w:rsidR="00EB01F5" w:rsidRPr="00EB01F5" w:rsidTr="007729F5">
        <w:trPr>
          <w:trHeight w:val="567"/>
        </w:trPr>
        <w:tc>
          <w:tcPr>
            <w:tcW w:w="1304" w:type="dxa"/>
            <w:tcBorders>
              <w:top w:val="single" w:sz="2" w:space="0" w:color="FFFEFD"/>
              <w:left w:val="single" w:sz="2" w:space="0" w:color="BCC2C8"/>
              <w:bottom w:val="single" w:sz="2" w:space="0" w:color="BCC2C8"/>
              <w:right w:val="single" w:sz="2" w:space="0" w:color="BCC2C8"/>
            </w:tcBorders>
            <w:shd w:val="clear" w:color="auto" w:fill="E9E8E7"/>
            <w:vAlign w:val="center"/>
          </w:tcPr>
          <w:p w:rsidR="00EB01F5" w:rsidRPr="00EB01F5" w:rsidRDefault="00EB01F5" w:rsidP="00EB01F5">
            <w:pPr>
              <w:rPr>
                <w:rFonts w:ascii="Calibri" w:eastAsia="Calibri" w:hAnsi="Calibri" w:cs="Calibri"/>
                <w:color w:val="181717"/>
                <w:sz w:val="19"/>
              </w:rPr>
            </w:pPr>
            <w:r w:rsidRPr="00EB01F5">
              <w:rPr>
                <w:rFonts w:ascii="Calibri" w:eastAsia="Calibri" w:hAnsi="Calibri" w:cs="Calibri"/>
                <w:b/>
                <w:color w:val="181717"/>
                <w:sz w:val="18"/>
              </w:rPr>
              <w:t>Treasury</w:t>
            </w:r>
          </w:p>
        </w:tc>
        <w:tc>
          <w:tcPr>
            <w:tcW w:w="737" w:type="dxa"/>
            <w:tcBorders>
              <w:top w:val="single" w:sz="2" w:space="0" w:color="BCC2C8"/>
              <w:left w:val="single" w:sz="2" w:space="0" w:color="BCC2C8"/>
              <w:bottom w:val="single" w:sz="2" w:space="0" w:color="BCC2C8"/>
              <w:right w:val="single" w:sz="2" w:space="0" w:color="BCC2C8"/>
            </w:tcBorders>
            <w:shd w:val="clear" w:color="auto" w:fill="2B5F33"/>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45</w:t>
            </w:r>
          </w:p>
        </w:tc>
        <w:tc>
          <w:tcPr>
            <w:tcW w:w="737" w:type="dxa"/>
            <w:tcBorders>
              <w:top w:val="single" w:sz="2" w:space="0" w:color="BCC2C8"/>
              <w:left w:val="single" w:sz="2" w:space="0" w:color="BCC2C8"/>
              <w:bottom w:val="single" w:sz="2" w:space="0" w:color="BCC2C8"/>
              <w:right w:val="single" w:sz="2" w:space="0" w:color="BCC2C8"/>
            </w:tcBorders>
            <w:shd w:val="clear" w:color="auto" w:fill="F09B57"/>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FFFEFD"/>
                <w:sz w:val="16"/>
              </w:rPr>
              <w:t>71</w:t>
            </w:r>
          </w:p>
        </w:tc>
        <w:tc>
          <w:tcPr>
            <w:tcW w:w="1474" w:type="dxa"/>
            <w:gridSpan w:val="2"/>
            <w:tcBorders>
              <w:top w:val="single" w:sz="2" w:space="0" w:color="BCC2C8"/>
              <w:left w:val="single" w:sz="2" w:space="0" w:color="BCC2C8"/>
              <w:bottom w:val="single" w:sz="2" w:space="0" w:color="BCC2C8"/>
              <w:right w:val="single" w:sz="2" w:space="0" w:color="BCC2C8"/>
            </w:tcBorders>
            <w:shd w:val="clear" w:color="auto" w:fill="DDDEE2"/>
            <w:vAlign w:val="center"/>
          </w:tcPr>
          <w:p w:rsidR="00EB01F5" w:rsidRPr="00EB01F5" w:rsidRDefault="00EB01F5" w:rsidP="00EB01F5">
            <w:pPr>
              <w:ind w:right="21"/>
              <w:jc w:val="center"/>
              <w:rPr>
                <w:rFonts w:ascii="Calibri" w:eastAsia="Calibri" w:hAnsi="Calibri" w:cs="Calibri"/>
                <w:color w:val="181717"/>
                <w:sz w:val="19"/>
              </w:rPr>
            </w:pPr>
            <w:r w:rsidRPr="00EB01F5">
              <w:rPr>
                <w:rFonts w:ascii="Calibri" w:eastAsia="Calibri" w:hAnsi="Calibri" w:cs="Calibri"/>
                <w:color w:val="181717"/>
                <w:sz w:val="16"/>
              </w:rPr>
              <w:t>N/A</w:t>
            </w:r>
          </w:p>
        </w:tc>
        <w:tc>
          <w:tcPr>
            <w:tcW w:w="737" w:type="dxa"/>
            <w:tcBorders>
              <w:top w:val="single" w:sz="2" w:space="0" w:color="BCC2C8"/>
              <w:left w:val="single" w:sz="2" w:space="0" w:color="BCC2C8"/>
              <w:bottom w:val="single" w:sz="2" w:space="0" w:color="BCC2C8"/>
              <w:right w:val="single" w:sz="16" w:space="0" w:color="BCC2C8"/>
            </w:tcBorders>
            <w:shd w:val="clear" w:color="auto" w:fill="2B5F33"/>
            <w:vAlign w:val="center"/>
          </w:tcPr>
          <w:p w:rsidR="00EB01F5" w:rsidRPr="00EB01F5" w:rsidRDefault="00EB01F5" w:rsidP="00EB01F5">
            <w:pPr>
              <w:ind w:right="22"/>
              <w:jc w:val="center"/>
              <w:rPr>
                <w:rFonts w:ascii="Calibri" w:eastAsia="Calibri" w:hAnsi="Calibri" w:cs="Calibri"/>
                <w:color w:val="181717"/>
                <w:sz w:val="19"/>
              </w:rPr>
            </w:pPr>
            <w:r w:rsidRPr="00EB01F5">
              <w:rPr>
                <w:rFonts w:ascii="Calibri" w:eastAsia="Calibri" w:hAnsi="Calibri" w:cs="Calibri"/>
                <w:color w:val="FFFEFD"/>
                <w:sz w:val="16"/>
              </w:rPr>
              <w:t>77</w:t>
            </w:r>
          </w:p>
        </w:tc>
        <w:tc>
          <w:tcPr>
            <w:tcW w:w="737" w:type="dxa"/>
            <w:tcBorders>
              <w:top w:val="single" w:sz="2" w:space="0" w:color="BCC2C8"/>
              <w:left w:val="single" w:sz="16" w:space="0" w:color="BCC2C8"/>
              <w:bottom w:val="single" w:sz="2" w:space="0" w:color="BCC2C8"/>
              <w:right w:val="single" w:sz="2" w:space="0" w:color="BCC2C8"/>
            </w:tcBorders>
            <w:shd w:val="clear" w:color="auto" w:fill="E9E8E7"/>
            <w:vAlign w:val="center"/>
          </w:tcPr>
          <w:p w:rsidR="00EB01F5" w:rsidRPr="00EB01F5" w:rsidRDefault="00EB01F5" w:rsidP="00EB01F5">
            <w:pPr>
              <w:ind w:right="22"/>
              <w:jc w:val="center"/>
              <w:rPr>
                <w:rFonts w:ascii="Calibri" w:eastAsia="Calibri" w:hAnsi="Calibri" w:cs="Calibri"/>
                <w:color w:val="181717"/>
                <w:sz w:val="19"/>
              </w:rPr>
            </w:pPr>
            <w:r w:rsidRPr="00EB01F5">
              <w:rPr>
                <w:rFonts w:ascii="Calibri" w:eastAsia="Calibri" w:hAnsi="Calibri" w:cs="Calibri"/>
                <w:color w:val="181717"/>
                <w:sz w:val="16"/>
              </w:rPr>
              <w:t>95</w:t>
            </w:r>
          </w:p>
        </w:tc>
      </w:tr>
    </w:tbl>
    <w:p w:rsidR="009E3725" w:rsidRDefault="009E3725" w:rsidP="00B5234A">
      <w:pPr>
        <w:spacing w:after="0" w:line="240" w:lineRule="auto"/>
        <w:sectPr w:rsidR="009E3725" w:rsidSect="00EB01F5">
          <w:pgSz w:w="11906" w:h="16838"/>
          <w:pgMar w:top="720" w:right="720" w:bottom="720" w:left="720" w:header="708" w:footer="708" w:gutter="0"/>
          <w:cols w:space="708"/>
          <w:docGrid w:linePitch="360"/>
        </w:sectPr>
      </w:pPr>
    </w:p>
    <w:p w:rsidR="009E3725" w:rsidRPr="009E3725" w:rsidRDefault="009E3725" w:rsidP="009E3725">
      <w:pPr>
        <w:rPr>
          <w:rFonts w:cs="TiemposText-Regular"/>
          <w:color w:val="FF3B12"/>
          <w:sz w:val="64"/>
          <w:szCs w:val="64"/>
        </w:rPr>
      </w:pPr>
      <w:r w:rsidRPr="009E3725">
        <w:rPr>
          <w:rFonts w:cs="TiemposText-Regular"/>
          <w:color w:val="FF3B12"/>
          <w:sz w:val="64"/>
          <w:szCs w:val="64"/>
        </w:rPr>
        <w:lastRenderedPageBreak/>
        <w:t>Our Approach</w:t>
      </w:r>
    </w:p>
    <w:p w:rsidR="009E3725" w:rsidRPr="009E3725" w:rsidRDefault="009E3725" w:rsidP="009E3725">
      <w:pPr>
        <w:autoSpaceDE w:val="0"/>
        <w:autoSpaceDN w:val="0"/>
        <w:adjustRightInd w:val="0"/>
        <w:spacing w:after="0" w:line="240" w:lineRule="auto"/>
        <w:rPr>
          <w:rFonts w:cs="Swiss721BT-Light"/>
          <w:color w:val="000000"/>
        </w:rPr>
      </w:pPr>
      <w:r w:rsidRPr="009E3725">
        <w:rPr>
          <w:rFonts w:cs="Swiss721BT-Light"/>
          <w:color w:val="000000"/>
        </w:rPr>
        <w:t>The Male Champions of Change approach is to Listen,</w:t>
      </w:r>
      <w:r>
        <w:rPr>
          <w:rFonts w:cs="Swiss721BT-Light"/>
          <w:color w:val="000000"/>
        </w:rPr>
        <w:t xml:space="preserve"> Learn and Lead through Action. </w:t>
      </w:r>
      <w:r w:rsidRPr="009E3725">
        <w:rPr>
          <w:rFonts w:cs="Swiss721BT-Light"/>
          <w:color w:val="000000"/>
        </w:rPr>
        <w:t>This involves:</w:t>
      </w:r>
    </w:p>
    <w:p w:rsidR="009E3725" w:rsidRDefault="009E3725" w:rsidP="009E3725">
      <w:pPr>
        <w:autoSpaceDE w:val="0"/>
        <w:autoSpaceDN w:val="0"/>
        <w:adjustRightInd w:val="0"/>
        <w:spacing w:after="0" w:line="240" w:lineRule="auto"/>
        <w:rPr>
          <w:rFonts w:cs="Swiss721BT-Light"/>
          <w:color w:val="000000"/>
        </w:rPr>
      </w:pPr>
    </w:p>
    <w:p w:rsidR="009E3725" w:rsidRDefault="009E3725" w:rsidP="009E3725">
      <w:pPr>
        <w:pStyle w:val="ListParagraph"/>
        <w:numPr>
          <w:ilvl w:val="0"/>
          <w:numId w:val="11"/>
        </w:numPr>
        <w:autoSpaceDE w:val="0"/>
        <w:autoSpaceDN w:val="0"/>
        <w:adjustRightInd w:val="0"/>
        <w:spacing w:after="0" w:line="240" w:lineRule="auto"/>
        <w:rPr>
          <w:rFonts w:cs="Swiss721BT-Light"/>
          <w:color w:val="000000"/>
        </w:rPr>
      </w:pPr>
      <w:r w:rsidRPr="009E3725">
        <w:rPr>
          <w:rFonts w:cs="Swiss721BT-Light"/>
          <w:color w:val="000000"/>
        </w:rPr>
        <w:t>Understanding the facts, relevant research, existing frameworks and what has and hasn’t worked.</w:t>
      </w:r>
    </w:p>
    <w:p w:rsidR="009E3725" w:rsidRPr="009E3725" w:rsidRDefault="009E3725" w:rsidP="009E3725">
      <w:pPr>
        <w:pStyle w:val="ListParagraph"/>
        <w:numPr>
          <w:ilvl w:val="0"/>
          <w:numId w:val="11"/>
        </w:numPr>
        <w:autoSpaceDE w:val="0"/>
        <w:autoSpaceDN w:val="0"/>
        <w:adjustRightInd w:val="0"/>
        <w:spacing w:after="0" w:line="240" w:lineRule="auto"/>
        <w:rPr>
          <w:rFonts w:cs="Swiss721BT-Light"/>
          <w:color w:val="000000"/>
        </w:rPr>
      </w:pPr>
      <w:r w:rsidRPr="009E3725">
        <w:rPr>
          <w:rFonts w:asciiTheme="minorHAnsi" w:hAnsiTheme="minorHAnsi" w:cs="Swiss721BT-Light"/>
          <w:color w:val="000000"/>
          <w:sz w:val="22"/>
        </w:rPr>
        <w:t>Engaging with women peers, gender experts and our own employees – women and men – to gain</w:t>
      </w:r>
      <w:r>
        <w:rPr>
          <w:rFonts w:asciiTheme="minorHAnsi" w:hAnsiTheme="minorHAnsi" w:cs="Swiss721BT-Light"/>
          <w:color w:val="000000"/>
          <w:sz w:val="22"/>
        </w:rPr>
        <w:t xml:space="preserve"> </w:t>
      </w:r>
      <w:r w:rsidRPr="009E3725">
        <w:rPr>
          <w:rFonts w:asciiTheme="minorHAnsi" w:hAnsiTheme="minorHAnsi" w:cs="Swiss721BT-Light"/>
          <w:color w:val="000000"/>
          <w:sz w:val="22"/>
        </w:rPr>
        <w:t>different perspectives on the issue, new ideas and potential solutions.</w:t>
      </w:r>
    </w:p>
    <w:p w:rsidR="009E3725" w:rsidRPr="009E3725" w:rsidRDefault="009E3725" w:rsidP="009E3725">
      <w:pPr>
        <w:pStyle w:val="ListParagraph"/>
        <w:numPr>
          <w:ilvl w:val="0"/>
          <w:numId w:val="11"/>
        </w:numPr>
        <w:autoSpaceDE w:val="0"/>
        <w:autoSpaceDN w:val="0"/>
        <w:adjustRightInd w:val="0"/>
        <w:spacing w:after="0" w:line="240" w:lineRule="auto"/>
        <w:rPr>
          <w:rFonts w:cs="Swiss721BT-Light"/>
          <w:color w:val="000000"/>
        </w:rPr>
      </w:pPr>
      <w:r w:rsidRPr="009E3725">
        <w:rPr>
          <w:rFonts w:asciiTheme="minorHAnsi" w:hAnsiTheme="minorHAnsi" w:cs="Swiss721BT-Light"/>
          <w:color w:val="000000"/>
          <w:sz w:val="22"/>
        </w:rPr>
        <w:t>Leading through action, most importantly within our own organisations.</w:t>
      </w:r>
    </w:p>
    <w:p w:rsidR="009E3725" w:rsidRPr="009E3725" w:rsidRDefault="009E3725" w:rsidP="009E3725">
      <w:pPr>
        <w:pStyle w:val="ListParagraph"/>
        <w:numPr>
          <w:ilvl w:val="0"/>
          <w:numId w:val="11"/>
        </w:numPr>
        <w:autoSpaceDE w:val="0"/>
        <w:autoSpaceDN w:val="0"/>
        <w:adjustRightInd w:val="0"/>
        <w:spacing w:after="0" w:line="240" w:lineRule="auto"/>
        <w:rPr>
          <w:rFonts w:cs="Swiss721BT-Light"/>
          <w:color w:val="000000"/>
        </w:rPr>
      </w:pPr>
      <w:r w:rsidRPr="009E3725">
        <w:rPr>
          <w:rFonts w:asciiTheme="minorHAnsi" w:hAnsiTheme="minorHAnsi" w:cs="Swiss721BT-Light"/>
          <w:color w:val="000000"/>
          <w:sz w:val="22"/>
        </w:rPr>
        <w:t>Tracking the impact of our actions, sharing successes, failures and learnings along the way.</w:t>
      </w:r>
    </w:p>
    <w:p w:rsidR="009E3725" w:rsidRPr="009E3725" w:rsidRDefault="009E3725" w:rsidP="009E3725">
      <w:pPr>
        <w:pStyle w:val="ListParagraph"/>
        <w:numPr>
          <w:ilvl w:val="0"/>
          <w:numId w:val="11"/>
        </w:numPr>
        <w:autoSpaceDE w:val="0"/>
        <w:autoSpaceDN w:val="0"/>
        <w:adjustRightInd w:val="0"/>
        <w:spacing w:after="0" w:line="240" w:lineRule="auto"/>
        <w:rPr>
          <w:rFonts w:cs="Swiss721BT-Light"/>
          <w:color w:val="000000"/>
        </w:rPr>
      </w:pPr>
      <w:r w:rsidRPr="009E3725">
        <w:rPr>
          <w:rFonts w:asciiTheme="minorHAnsi" w:hAnsiTheme="minorHAnsi" w:cs="Swiss721BT-Light"/>
          <w:color w:val="000000"/>
          <w:sz w:val="22"/>
        </w:rPr>
        <w:t>Working collectively to advocate for change more broadly in the community.</w:t>
      </w:r>
    </w:p>
    <w:p w:rsidR="009E3725" w:rsidRDefault="009E3725" w:rsidP="009E3725">
      <w:pPr>
        <w:autoSpaceDE w:val="0"/>
        <w:autoSpaceDN w:val="0"/>
        <w:adjustRightInd w:val="0"/>
        <w:spacing w:after="0" w:line="240" w:lineRule="auto"/>
        <w:rPr>
          <w:rFonts w:cs="Swiss721BT-Light"/>
          <w:color w:val="000000"/>
        </w:rPr>
      </w:pPr>
    </w:p>
    <w:p w:rsidR="009E3725" w:rsidRPr="009E3725" w:rsidRDefault="009E3725" w:rsidP="009E3725">
      <w:pPr>
        <w:autoSpaceDE w:val="0"/>
        <w:autoSpaceDN w:val="0"/>
        <w:adjustRightInd w:val="0"/>
        <w:spacing w:after="0" w:line="240" w:lineRule="auto"/>
        <w:rPr>
          <w:rFonts w:cs="Swiss721BT-Light"/>
          <w:color w:val="000000"/>
        </w:rPr>
      </w:pPr>
    </w:p>
    <w:p w:rsidR="009E3725" w:rsidRDefault="009E3725" w:rsidP="009E3725">
      <w:pPr>
        <w:autoSpaceDE w:val="0"/>
        <w:autoSpaceDN w:val="0"/>
        <w:adjustRightInd w:val="0"/>
        <w:spacing w:after="0" w:line="240" w:lineRule="auto"/>
        <w:rPr>
          <w:rFonts w:ascii="Swiss721BT-BoldCondensed" w:hAnsi="Swiss721BT-BoldCondensed" w:cs="Swiss721BT-BoldCondensed"/>
          <w:b/>
          <w:bCs/>
          <w:color w:val="FFFFFF"/>
          <w:sz w:val="24"/>
          <w:szCs w:val="24"/>
        </w:rPr>
      </w:pPr>
      <w:proofErr w:type="spellStart"/>
      <w:r>
        <w:rPr>
          <w:rFonts w:ascii="Swiss721BT-BoldCondensed" w:hAnsi="Swiss721BT-BoldCondensed" w:cs="Swiss721BT-BoldCondensed"/>
          <w:b/>
          <w:bCs/>
          <w:color w:val="FFFFFF"/>
          <w:sz w:val="24"/>
          <w:szCs w:val="24"/>
        </w:rPr>
        <w:t>Timeli</w:t>
      </w:r>
      <w:proofErr w:type="spellEnd"/>
    </w:p>
    <w:tbl>
      <w:tblPr>
        <w:tblStyle w:val="TableGrid1"/>
        <w:tblW w:w="9066" w:type="dxa"/>
        <w:tblInd w:w="3" w:type="dxa"/>
        <w:tblCellMar>
          <w:top w:w="78" w:type="dxa"/>
          <w:left w:w="170" w:type="dxa"/>
          <w:bottom w:w="0" w:type="dxa"/>
          <w:right w:w="115" w:type="dxa"/>
        </w:tblCellMar>
        <w:tblLook w:val="04A0" w:firstRow="1" w:lastRow="0" w:firstColumn="1" w:lastColumn="0" w:noHBand="0" w:noVBand="1"/>
      </w:tblPr>
      <w:tblGrid>
        <w:gridCol w:w="1613"/>
        <w:gridCol w:w="7453"/>
      </w:tblGrid>
      <w:tr w:rsidR="009E3725" w:rsidRPr="009E3725" w:rsidTr="007729F5">
        <w:trPr>
          <w:trHeight w:val="425"/>
        </w:trPr>
        <w:tc>
          <w:tcPr>
            <w:tcW w:w="1613" w:type="dxa"/>
            <w:tcBorders>
              <w:top w:val="single" w:sz="2" w:space="0" w:color="BCC2C8"/>
              <w:left w:val="single" w:sz="2" w:space="0" w:color="BCC2C8"/>
              <w:bottom w:val="single" w:sz="2" w:space="0" w:color="BCC2C8"/>
              <w:right w:val="nil"/>
            </w:tcBorders>
            <w:shd w:val="clear" w:color="auto" w:fill="BCC2C8"/>
          </w:tcPr>
          <w:p w:rsidR="009E3725" w:rsidRPr="009E3725" w:rsidRDefault="009E3725" w:rsidP="009E3725">
            <w:pPr>
              <w:rPr>
                <w:rFonts w:ascii="Calibri" w:eastAsia="Calibri" w:hAnsi="Calibri" w:cs="Calibri"/>
                <w:color w:val="181717"/>
                <w:sz w:val="19"/>
              </w:rPr>
            </w:pPr>
          </w:p>
        </w:tc>
        <w:tc>
          <w:tcPr>
            <w:tcW w:w="7453" w:type="dxa"/>
            <w:tcBorders>
              <w:top w:val="single" w:sz="2" w:space="0" w:color="BCC2C8"/>
              <w:left w:val="nil"/>
              <w:bottom w:val="single" w:sz="2" w:space="0" w:color="BCC2C8"/>
              <w:right w:val="single" w:sz="2" w:space="0" w:color="BCC2C8"/>
            </w:tcBorders>
            <w:shd w:val="clear" w:color="auto" w:fill="BCC2C8"/>
          </w:tcPr>
          <w:p w:rsidR="009E3725" w:rsidRPr="009E3725" w:rsidRDefault="009E3725" w:rsidP="009E3725">
            <w:pPr>
              <w:ind w:left="1690"/>
              <w:rPr>
                <w:rFonts w:ascii="Calibri" w:eastAsia="Calibri" w:hAnsi="Calibri" w:cs="Calibri"/>
                <w:color w:val="181717"/>
                <w:sz w:val="19"/>
              </w:rPr>
            </w:pPr>
            <w:r w:rsidRPr="009E3725">
              <w:rPr>
                <w:rFonts w:ascii="Calibri" w:eastAsia="Calibri" w:hAnsi="Calibri" w:cs="Calibri"/>
                <w:b/>
                <w:color w:val="FFFEFD"/>
                <w:sz w:val="24"/>
              </w:rPr>
              <w:t>Timeline and progress</w:t>
            </w:r>
          </w:p>
        </w:tc>
      </w:tr>
      <w:tr w:rsidR="009E3725" w:rsidRPr="009E3725" w:rsidTr="007729F5">
        <w:trPr>
          <w:trHeight w:val="397"/>
        </w:trPr>
        <w:tc>
          <w:tcPr>
            <w:tcW w:w="1613" w:type="dxa"/>
            <w:tcBorders>
              <w:top w:val="single" w:sz="2" w:space="0" w:color="BCC2C8"/>
              <w:left w:val="single" w:sz="2" w:space="0" w:color="BCC2C8"/>
              <w:bottom w:val="single" w:sz="2" w:space="0" w:color="BCC2C8"/>
              <w:right w:val="nil"/>
            </w:tcBorders>
            <w:shd w:val="clear" w:color="auto" w:fill="63676D"/>
          </w:tcPr>
          <w:p w:rsidR="009E3725" w:rsidRPr="009E3725" w:rsidRDefault="009E3725" w:rsidP="009E3725">
            <w:pPr>
              <w:rPr>
                <w:rFonts w:ascii="Calibri" w:eastAsia="Calibri" w:hAnsi="Calibri" w:cs="Calibri"/>
                <w:color w:val="181717"/>
                <w:sz w:val="19"/>
              </w:rPr>
            </w:pPr>
          </w:p>
        </w:tc>
        <w:tc>
          <w:tcPr>
            <w:tcW w:w="7453" w:type="dxa"/>
            <w:tcBorders>
              <w:top w:val="single" w:sz="2" w:space="0" w:color="BCC2C8"/>
              <w:left w:val="nil"/>
              <w:bottom w:val="single" w:sz="2" w:space="0" w:color="BCC2C8"/>
              <w:right w:val="single" w:sz="2" w:space="0" w:color="BCC2C8"/>
            </w:tcBorders>
            <w:shd w:val="clear" w:color="auto" w:fill="63676D"/>
          </w:tcPr>
          <w:p w:rsidR="009E3725" w:rsidRPr="009E3725" w:rsidRDefault="009E3725" w:rsidP="009E3725">
            <w:pPr>
              <w:ind w:left="2550"/>
              <w:rPr>
                <w:rFonts w:ascii="Calibri" w:eastAsia="Calibri" w:hAnsi="Calibri" w:cs="Calibri"/>
                <w:color w:val="181717"/>
                <w:sz w:val="19"/>
              </w:rPr>
            </w:pPr>
            <w:r w:rsidRPr="009E3725">
              <w:rPr>
                <w:rFonts w:ascii="Calibri" w:eastAsia="Calibri" w:hAnsi="Calibri" w:cs="Calibri"/>
                <w:b/>
                <w:color w:val="FFFEFD"/>
                <w:sz w:val="20"/>
              </w:rPr>
              <w:t>2010</w:t>
            </w:r>
          </w:p>
        </w:tc>
      </w:tr>
      <w:tr w:rsidR="009E3725" w:rsidRPr="009E3725" w:rsidTr="007729F5">
        <w:trPr>
          <w:trHeight w:val="2286"/>
        </w:trPr>
        <w:tc>
          <w:tcPr>
            <w:tcW w:w="1613" w:type="dxa"/>
            <w:tcBorders>
              <w:top w:val="single" w:sz="2" w:space="0" w:color="BCC2C8"/>
              <w:left w:val="single" w:sz="2" w:space="0" w:color="BCC2C8"/>
              <w:bottom w:val="single" w:sz="2" w:space="0" w:color="BCC2C8"/>
              <w:right w:val="single" w:sz="2" w:space="0" w:color="BCC2C8"/>
            </w:tcBorders>
            <w:shd w:val="clear" w:color="auto" w:fill="EFEEEF"/>
          </w:tcPr>
          <w:p w:rsidR="009E3725" w:rsidRPr="009E3725" w:rsidRDefault="009E3725" w:rsidP="009E3725">
            <w:pPr>
              <w:rPr>
                <w:rFonts w:ascii="Calibri" w:eastAsia="Calibri" w:hAnsi="Calibri" w:cs="Calibri"/>
                <w:color w:val="181717"/>
                <w:sz w:val="19"/>
              </w:rPr>
            </w:pPr>
            <w:r w:rsidRPr="009E3725">
              <w:rPr>
                <w:rFonts w:ascii="Calibri" w:eastAsia="Calibri" w:hAnsi="Calibri" w:cs="Calibri"/>
                <w:b/>
                <w:color w:val="181717"/>
                <w:sz w:val="19"/>
              </w:rPr>
              <w:t>April</w:t>
            </w:r>
          </w:p>
        </w:tc>
        <w:tc>
          <w:tcPr>
            <w:tcW w:w="7453" w:type="dxa"/>
            <w:tcBorders>
              <w:top w:val="single" w:sz="2" w:space="0" w:color="BCC2C8"/>
              <w:left w:val="single" w:sz="2" w:space="0" w:color="BCC2C8"/>
              <w:bottom w:val="single" w:sz="2" w:space="0" w:color="BCC2C8"/>
              <w:right w:val="single" w:sz="2" w:space="0" w:color="BCC2C8"/>
            </w:tcBorders>
            <w:shd w:val="clear" w:color="auto" w:fill="EFEEEF"/>
            <w:vAlign w:val="center"/>
          </w:tcPr>
          <w:p w:rsidR="009E3725" w:rsidRPr="009E3725" w:rsidRDefault="009E3725" w:rsidP="009E3725">
            <w:pPr>
              <w:spacing w:after="113" w:line="248" w:lineRule="auto"/>
              <w:rPr>
                <w:rFonts w:ascii="Calibri" w:eastAsia="Calibri" w:hAnsi="Calibri" w:cs="Calibri"/>
                <w:color w:val="181717"/>
                <w:sz w:val="19"/>
              </w:rPr>
            </w:pPr>
            <w:r w:rsidRPr="009E3725">
              <w:rPr>
                <w:rFonts w:ascii="Calibri" w:eastAsia="Calibri" w:hAnsi="Calibri" w:cs="Calibri"/>
                <w:color w:val="181717"/>
                <w:sz w:val="19"/>
              </w:rPr>
              <w:t xml:space="preserve">A group of senior men meet with sex Discrimination Commissioner </w:t>
            </w:r>
            <w:proofErr w:type="spellStart"/>
            <w:r w:rsidRPr="009E3725">
              <w:rPr>
                <w:rFonts w:ascii="Calibri" w:eastAsia="Calibri" w:hAnsi="Calibri" w:cs="Calibri"/>
                <w:color w:val="181717"/>
                <w:sz w:val="19"/>
              </w:rPr>
              <w:t>elizabeth</w:t>
            </w:r>
            <w:proofErr w:type="spellEnd"/>
            <w:r w:rsidRPr="009E3725">
              <w:rPr>
                <w:rFonts w:ascii="Calibri" w:eastAsia="Calibri" w:hAnsi="Calibri" w:cs="Calibri"/>
                <w:color w:val="181717"/>
                <w:sz w:val="19"/>
              </w:rPr>
              <w:t xml:space="preserve"> Broderick to explore the idea of a group focused on increasing women’s representation in leadership. </w:t>
            </w:r>
          </w:p>
          <w:p w:rsidR="009E3725" w:rsidRPr="009E3725" w:rsidRDefault="009E3725" w:rsidP="009E3725">
            <w:pPr>
              <w:spacing w:line="248" w:lineRule="auto"/>
              <w:rPr>
                <w:rFonts w:ascii="Calibri" w:eastAsia="Calibri" w:hAnsi="Calibri" w:cs="Calibri"/>
                <w:color w:val="181717"/>
                <w:sz w:val="19"/>
              </w:rPr>
            </w:pPr>
            <w:r w:rsidRPr="009E3725">
              <w:rPr>
                <w:rFonts w:ascii="Calibri" w:eastAsia="Calibri" w:hAnsi="Calibri" w:cs="Calibri"/>
                <w:color w:val="181717"/>
                <w:sz w:val="19"/>
              </w:rPr>
              <w:t xml:space="preserve">the group agrees to form the MCC, made up of 8 </w:t>
            </w:r>
            <w:proofErr w:type="spellStart"/>
            <w:r w:rsidRPr="009E3725">
              <w:rPr>
                <w:rFonts w:ascii="Calibri" w:eastAsia="Calibri" w:hAnsi="Calibri" w:cs="Calibri"/>
                <w:color w:val="181717"/>
                <w:sz w:val="19"/>
              </w:rPr>
              <w:t>Ceos</w:t>
            </w:r>
            <w:proofErr w:type="spellEnd"/>
            <w:r w:rsidRPr="009E3725">
              <w:rPr>
                <w:rFonts w:ascii="Calibri" w:eastAsia="Calibri" w:hAnsi="Calibri" w:cs="Calibri"/>
                <w:color w:val="181717"/>
                <w:sz w:val="19"/>
              </w:rPr>
              <w:t xml:space="preserve"> and Non-executive Directors – glen </w:t>
            </w:r>
            <w:proofErr w:type="spellStart"/>
            <w:r w:rsidRPr="009E3725">
              <w:rPr>
                <w:rFonts w:ascii="Calibri" w:eastAsia="Calibri" w:hAnsi="Calibri" w:cs="Calibri"/>
                <w:color w:val="181717"/>
                <w:sz w:val="19"/>
              </w:rPr>
              <w:t>Boreham</w:t>
            </w:r>
            <w:proofErr w:type="spellEnd"/>
            <w:r w:rsidRPr="009E3725">
              <w:rPr>
                <w:rFonts w:ascii="Calibri" w:eastAsia="Calibri" w:hAnsi="Calibri" w:cs="Calibri"/>
                <w:color w:val="181717"/>
                <w:sz w:val="19"/>
              </w:rPr>
              <w:t xml:space="preserve"> (IBM, Non-executive Director), </w:t>
            </w:r>
            <w:proofErr w:type="spellStart"/>
            <w:r w:rsidRPr="009E3725">
              <w:rPr>
                <w:rFonts w:ascii="Calibri" w:eastAsia="Calibri" w:hAnsi="Calibri" w:cs="Calibri"/>
                <w:color w:val="181717"/>
                <w:sz w:val="19"/>
              </w:rPr>
              <w:t>gordon</w:t>
            </w:r>
            <w:proofErr w:type="spellEnd"/>
            <w:r w:rsidRPr="009E3725">
              <w:rPr>
                <w:rFonts w:ascii="Calibri" w:eastAsia="Calibri" w:hAnsi="Calibri" w:cs="Calibri"/>
                <w:color w:val="181717"/>
                <w:sz w:val="19"/>
              </w:rPr>
              <w:t xml:space="preserve"> Cairns  </w:t>
            </w:r>
          </w:p>
          <w:p w:rsidR="009E3725" w:rsidRPr="009E3725" w:rsidRDefault="009E3725" w:rsidP="009E3725">
            <w:pPr>
              <w:ind w:right="318"/>
              <w:rPr>
                <w:rFonts w:ascii="Calibri" w:eastAsia="Calibri" w:hAnsi="Calibri" w:cs="Calibri"/>
                <w:color w:val="181717"/>
                <w:sz w:val="19"/>
              </w:rPr>
            </w:pPr>
            <w:r w:rsidRPr="009E3725">
              <w:rPr>
                <w:rFonts w:ascii="Calibri" w:eastAsia="Calibri" w:hAnsi="Calibri" w:cs="Calibri"/>
                <w:color w:val="181717"/>
                <w:sz w:val="19"/>
              </w:rPr>
              <w:t xml:space="preserve">(Non-executive Director), </w:t>
            </w:r>
            <w:proofErr w:type="spellStart"/>
            <w:r w:rsidRPr="009E3725">
              <w:rPr>
                <w:rFonts w:ascii="Calibri" w:eastAsia="Calibri" w:hAnsi="Calibri" w:cs="Calibri"/>
                <w:color w:val="181717"/>
                <w:sz w:val="19"/>
              </w:rPr>
              <w:t>stephen</w:t>
            </w:r>
            <w:proofErr w:type="spellEnd"/>
            <w:r w:rsidRPr="009E3725">
              <w:rPr>
                <w:rFonts w:ascii="Calibri" w:eastAsia="Calibri" w:hAnsi="Calibri" w:cs="Calibri"/>
                <w:color w:val="181717"/>
                <w:sz w:val="19"/>
              </w:rPr>
              <w:t xml:space="preserve"> Fitzgerald (</w:t>
            </w:r>
            <w:proofErr w:type="spellStart"/>
            <w:r w:rsidRPr="009E3725">
              <w:rPr>
                <w:rFonts w:ascii="Calibri" w:eastAsia="Calibri" w:hAnsi="Calibri" w:cs="Calibri"/>
                <w:color w:val="181717"/>
                <w:sz w:val="19"/>
              </w:rPr>
              <w:t>goldman</w:t>
            </w:r>
            <w:proofErr w:type="spellEnd"/>
            <w:r w:rsidRPr="009E3725">
              <w:rPr>
                <w:rFonts w:ascii="Calibri" w:eastAsia="Calibri" w:hAnsi="Calibri" w:cs="Calibri"/>
                <w:color w:val="181717"/>
                <w:sz w:val="19"/>
              </w:rPr>
              <w:t xml:space="preserve"> </w:t>
            </w:r>
            <w:proofErr w:type="spellStart"/>
            <w:r w:rsidRPr="009E3725">
              <w:rPr>
                <w:rFonts w:ascii="Calibri" w:eastAsia="Calibri" w:hAnsi="Calibri" w:cs="Calibri"/>
                <w:color w:val="181717"/>
                <w:sz w:val="19"/>
              </w:rPr>
              <w:t>sachs</w:t>
            </w:r>
            <w:proofErr w:type="spellEnd"/>
            <w:r w:rsidRPr="009E3725">
              <w:rPr>
                <w:rFonts w:ascii="Calibri" w:eastAsia="Calibri" w:hAnsi="Calibri" w:cs="Calibri"/>
                <w:color w:val="181717"/>
                <w:sz w:val="19"/>
              </w:rPr>
              <w:t xml:space="preserve">), Alan Joyce (Qantas), Kevin McCann (Non-executive Director), </w:t>
            </w:r>
            <w:proofErr w:type="spellStart"/>
            <w:r w:rsidRPr="009E3725">
              <w:rPr>
                <w:rFonts w:ascii="Calibri" w:eastAsia="Calibri" w:hAnsi="Calibri" w:cs="Calibri"/>
                <w:color w:val="181717"/>
                <w:sz w:val="19"/>
              </w:rPr>
              <w:t>stephen</w:t>
            </w:r>
            <w:proofErr w:type="spellEnd"/>
            <w:r w:rsidRPr="009E3725">
              <w:rPr>
                <w:rFonts w:ascii="Calibri" w:eastAsia="Calibri" w:hAnsi="Calibri" w:cs="Calibri"/>
                <w:color w:val="181717"/>
                <w:sz w:val="19"/>
              </w:rPr>
              <w:t xml:space="preserve"> </w:t>
            </w:r>
            <w:proofErr w:type="spellStart"/>
            <w:r w:rsidRPr="009E3725">
              <w:rPr>
                <w:rFonts w:ascii="Calibri" w:eastAsia="Calibri" w:hAnsi="Calibri" w:cs="Calibri"/>
                <w:color w:val="181717"/>
                <w:sz w:val="19"/>
              </w:rPr>
              <w:t>roberts</w:t>
            </w:r>
            <w:proofErr w:type="spellEnd"/>
            <w:r w:rsidRPr="009E3725">
              <w:rPr>
                <w:rFonts w:ascii="Calibri" w:eastAsia="Calibri" w:hAnsi="Calibri" w:cs="Calibri"/>
                <w:color w:val="181717"/>
                <w:sz w:val="19"/>
              </w:rPr>
              <w:t xml:space="preserve"> (Citi)</w:t>
            </w:r>
            <w:proofErr w:type="gramStart"/>
            <w:r w:rsidRPr="009E3725">
              <w:rPr>
                <w:rFonts w:ascii="Calibri" w:eastAsia="Calibri" w:hAnsi="Calibri" w:cs="Calibri"/>
                <w:color w:val="181717"/>
                <w:sz w:val="19"/>
              </w:rPr>
              <w:t xml:space="preserve">,  </w:t>
            </w:r>
            <w:proofErr w:type="spellStart"/>
            <w:r w:rsidRPr="009E3725">
              <w:rPr>
                <w:rFonts w:ascii="Calibri" w:eastAsia="Calibri" w:hAnsi="Calibri" w:cs="Calibri"/>
                <w:color w:val="181717"/>
                <w:sz w:val="19"/>
              </w:rPr>
              <w:t>giam</w:t>
            </w:r>
            <w:proofErr w:type="spellEnd"/>
            <w:proofErr w:type="gramEnd"/>
            <w:r w:rsidRPr="009E3725">
              <w:rPr>
                <w:rFonts w:ascii="Calibri" w:eastAsia="Calibri" w:hAnsi="Calibri" w:cs="Calibri"/>
                <w:color w:val="181717"/>
                <w:sz w:val="19"/>
              </w:rPr>
              <w:t xml:space="preserve"> </w:t>
            </w:r>
            <w:proofErr w:type="spellStart"/>
            <w:r w:rsidRPr="009E3725">
              <w:rPr>
                <w:rFonts w:ascii="Calibri" w:eastAsia="Calibri" w:hAnsi="Calibri" w:cs="Calibri"/>
                <w:color w:val="181717"/>
                <w:sz w:val="19"/>
              </w:rPr>
              <w:t>swiegers</w:t>
            </w:r>
            <w:proofErr w:type="spellEnd"/>
            <w:r w:rsidRPr="009E3725">
              <w:rPr>
                <w:rFonts w:ascii="Calibri" w:eastAsia="Calibri" w:hAnsi="Calibri" w:cs="Calibri"/>
                <w:color w:val="181717"/>
                <w:sz w:val="19"/>
              </w:rPr>
              <w:t xml:space="preserve"> (Deloitte), and David </w:t>
            </w:r>
            <w:proofErr w:type="spellStart"/>
            <w:r w:rsidRPr="009E3725">
              <w:rPr>
                <w:rFonts w:ascii="Calibri" w:eastAsia="Calibri" w:hAnsi="Calibri" w:cs="Calibri"/>
                <w:color w:val="181717"/>
                <w:sz w:val="19"/>
              </w:rPr>
              <w:t>thodey</w:t>
            </w:r>
            <w:proofErr w:type="spellEnd"/>
            <w:r w:rsidRPr="009E3725">
              <w:rPr>
                <w:rFonts w:ascii="Calibri" w:eastAsia="Calibri" w:hAnsi="Calibri" w:cs="Calibri"/>
                <w:color w:val="181717"/>
                <w:sz w:val="19"/>
              </w:rPr>
              <w:t xml:space="preserve"> (</w:t>
            </w:r>
            <w:proofErr w:type="spellStart"/>
            <w:r w:rsidRPr="009E3725">
              <w:rPr>
                <w:rFonts w:ascii="Calibri" w:eastAsia="Calibri" w:hAnsi="Calibri" w:cs="Calibri"/>
                <w:color w:val="181717"/>
                <w:sz w:val="19"/>
              </w:rPr>
              <w:t>telstra</w:t>
            </w:r>
            <w:proofErr w:type="spellEnd"/>
            <w:r w:rsidRPr="009E3725">
              <w:rPr>
                <w:rFonts w:ascii="Calibri" w:eastAsia="Calibri" w:hAnsi="Calibri" w:cs="Calibri"/>
                <w:color w:val="181717"/>
                <w:sz w:val="19"/>
              </w:rPr>
              <w:t>).</w:t>
            </w:r>
          </w:p>
        </w:tc>
      </w:tr>
      <w:tr w:rsidR="009E3725" w:rsidRPr="009E3725" w:rsidTr="007729F5">
        <w:trPr>
          <w:trHeight w:val="397"/>
        </w:trPr>
        <w:tc>
          <w:tcPr>
            <w:tcW w:w="1613" w:type="dxa"/>
            <w:tcBorders>
              <w:top w:val="single" w:sz="2" w:space="0" w:color="BCC2C8"/>
              <w:left w:val="single" w:sz="2" w:space="0" w:color="BCC2C8"/>
              <w:bottom w:val="single" w:sz="2" w:space="0" w:color="BCC2C8"/>
              <w:right w:val="nil"/>
            </w:tcBorders>
            <w:shd w:val="clear" w:color="auto" w:fill="63676D"/>
          </w:tcPr>
          <w:p w:rsidR="009E3725" w:rsidRPr="009E3725" w:rsidRDefault="009E3725" w:rsidP="009E3725">
            <w:pPr>
              <w:rPr>
                <w:rFonts w:ascii="Calibri" w:eastAsia="Calibri" w:hAnsi="Calibri" w:cs="Calibri"/>
                <w:color w:val="181717"/>
                <w:sz w:val="19"/>
              </w:rPr>
            </w:pPr>
          </w:p>
        </w:tc>
        <w:tc>
          <w:tcPr>
            <w:tcW w:w="7453" w:type="dxa"/>
            <w:tcBorders>
              <w:top w:val="single" w:sz="2" w:space="0" w:color="BCC2C8"/>
              <w:left w:val="nil"/>
              <w:bottom w:val="single" w:sz="2" w:space="0" w:color="BCC2C8"/>
              <w:right w:val="single" w:sz="2" w:space="0" w:color="BCC2C8"/>
            </w:tcBorders>
            <w:shd w:val="clear" w:color="auto" w:fill="63676D"/>
          </w:tcPr>
          <w:p w:rsidR="009E3725" w:rsidRPr="009E3725" w:rsidRDefault="009E3725" w:rsidP="009E3725">
            <w:pPr>
              <w:ind w:left="2550"/>
              <w:rPr>
                <w:rFonts w:ascii="Calibri" w:eastAsia="Calibri" w:hAnsi="Calibri" w:cs="Calibri"/>
                <w:color w:val="181717"/>
                <w:sz w:val="19"/>
              </w:rPr>
            </w:pPr>
            <w:r w:rsidRPr="009E3725">
              <w:rPr>
                <w:rFonts w:ascii="Calibri" w:eastAsia="Calibri" w:hAnsi="Calibri" w:cs="Calibri"/>
                <w:b/>
                <w:color w:val="FFFEFD"/>
                <w:sz w:val="20"/>
              </w:rPr>
              <w:t>2011</w:t>
            </w:r>
          </w:p>
        </w:tc>
      </w:tr>
      <w:tr w:rsidR="009E3725" w:rsidRPr="009E3725" w:rsidTr="007729F5">
        <w:trPr>
          <w:trHeight w:val="973"/>
        </w:trPr>
        <w:tc>
          <w:tcPr>
            <w:tcW w:w="1613" w:type="dxa"/>
            <w:tcBorders>
              <w:top w:val="single" w:sz="2" w:space="0" w:color="BCC2C8"/>
              <w:left w:val="single" w:sz="2" w:space="0" w:color="BCC2C8"/>
              <w:bottom w:val="single" w:sz="2" w:space="0" w:color="BCC2C8"/>
              <w:right w:val="single" w:sz="2" w:space="0" w:color="BCC2C8"/>
            </w:tcBorders>
            <w:shd w:val="clear" w:color="auto" w:fill="DDDEE2"/>
          </w:tcPr>
          <w:p w:rsidR="009E3725" w:rsidRPr="009E3725" w:rsidRDefault="009E3725" w:rsidP="009E3725">
            <w:pPr>
              <w:rPr>
                <w:rFonts w:ascii="Calibri" w:eastAsia="Calibri" w:hAnsi="Calibri" w:cs="Calibri"/>
                <w:color w:val="181717"/>
                <w:sz w:val="19"/>
              </w:rPr>
            </w:pPr>
            <w:r w:rsidRPr="009E3725">
              <w:rPr>
                <w:rFonts w:ascii="Calibri" w:eastAsia="Calibri" w:hAnsi="Calibri" w:cs="Calibri"/>
                <w:b/>
                <w:color w:val="181717"/>
                <w:sz w:val="19"/>
              </w:rPr>
              <w:t>Over 2011</w:t>
            </w:r>
          </w:p>
        </w:tc>
        <w:tc>
          <w:tcPr>
            <w:tcW w:w="7453" w:type="dxa"/>
            <w:tcBorders>
              <w:top w:val="single" w:sz="2" w:space="0" w:color="BCC2C8"/>
              <w:left w:val="single" w:sz="2" w:space="0" w:color="BCC2C8"/>
              <w:bottom w:val="single" w:sz="2" w:space="0" w:color="BCC2C8"/>
              <w:right w:val="single" w:sz="2" w:space="0" w:color="BCC2C8"/>
            </w:tcBorders>
            <w:shd w:val="clear" w:color="auto" w:fill="DDDEE2"/>
            <w:vAlign w:val="center"/>
          </w:tcPr>
          <w:p w:rsidR="009E3725" w:rsidRPr="009E3725" w:rsidRDefault="009E3725" w:rsidP="009E3725">
            <w:pPr>
              <w:rPr>
                <w:rFonts w:ascii="Calibri" w:eastAsia="Calibri" w:hAnsi="Calibri" w:cs="Calibri"/>
                <w:color w:val="181717"/>
                <w:sz w:val="19"/>
              </w:rPr>
            </w:pPr>
            <w:r w:rsidRPr="009E3725">
              <w:rPr>
                <w:rFonts w:ascii="Calibri" w:eastAsia="Calibri" w:hAnsi="Calibri" w:cs="Calibri"/>
                <w:color w:val="181717"/>
                <w:sz w:val="19"/>
              </w:rPr>
              <w:t xml:space="preserve">Michael Luscombe &amp; grant </w:t>
            </w:r>
            <w:proofErr w:type="spellStart"/>
            <w:r w:rsidRPr="009E3725">
              <w:rPr>
                <w:rFonts w:ascii="Calibri" w:eastAsia="Calibri" w:hAnsi="Calibri" w:cs="Calibri"/>
                <w:color w:val="181717"/>
                <w:sz w:val="19"/>
              </w:rPr>
              <w:t>o’Brien</w:t>
            </w:r>
            <w:proofErr w:type="spellEnd"/>
            <w:r w:rsidRPr="009E3725">
              <w:rPr>
                <w:rFonts w:ascii="Calibri" w:eastAsia="Calibri" w:hAnsi="Calibri" w:cs="Calibri"/>
                <w:color w:val="181717"/>
                <w:sz w:val="19"/>
              </w:rPr>
              <w:t xml:space="preserve"> (Woolworths), sir ralph Norris (CBA), Mike smith (ANZ), </w:t>
            </w:r>
            <w:proofErr w:type="spellStart"/>
            <w:r w:rsidRPr="009E3725">
              <w:rPr>
                <w:rFonts w:ascii="Calibri" w:eastAsia="Calibri" w:hAnsi="Calibri" w:cs="Calibri"/>
                <w:color w:val="181717"/>
                <w:sz w:val="19"/>
              </w:rPr>
              <w:t>stephen</w:t>
            </w:r>
            <w:proofErr w:type="spellEnd"/>
            <w:r w:rsidRPr="009E3725">
              <w:rPr>
                <w:rFonts w:ascii="Calibri" w:eastAsia="Calibri" w:hAnsi="Calibri" w:cs="Calibri"/>
                <w:color w:val="181717"/>
                <w:sz w:val="19"/>
              </w:rPr>
              <w:t xml:space="preserve"> </w:t>
            </w:r>
            <w:proofErr w:type="spellStart"/>
            <w:r w:rsidRPr="009E3725">
              <w:rPr>
                <w:rFonts w:ascii="Calibri" w:eastAsia="Calibri" w:hAnsi="Calibri" w:cs="Calibri"/>
                <w:color w:val="181717"/>
                <w:sz w:val="19"/>
              </w:rPr>
              <w:t>sedgwick</w:t>
            </w:r>
            <w:proofErr w:type="spellEnd"/>
            <w:r w:rsidRPr="009E3725">
              <w:rPr>
                <w:rFonts w:ascii="Calibri" w:eastAsia="Calibri" w:hAnsi="Calibri" w:cs="Calibri"/>
                <w:color w:val="181717"/>
                <w:sz w:val="19"/>
              </w:rPr>
              <w:t xml:space="preserve"> (Australian Public service Commission) and Andrew </w:t>
            </w:r>
            <w:proofErr w:type="spellStart"/>
            <w:r w:rsidRPr="009E3725">
              <w:rPr>
                <w:rFonts w:ascii="Calibri" w:eastAsia="Calibri" w:hAnsi="Calibri" w:cs="Calibri"/>
                <w:color w:val="181717"/>
                <w:sz w:val="19"/>
              </w:rPr>
              <w:t>stevens</w:t>
            </w:r>
            <w:proofErr w:type="spellEnd"/>
            <w:r w:rsidRPr="009E3725">
              <w:rPr>
                <w:rFonts w:ascii="Calibri" w:eastAsia="Calibri" w:hAnsi="Calibri" w:cs="Calibri"/>
                <w:color w:val="181717"/>
                <w:sz w:val="19"/>
              </w:rPr>
              <w:t xml:space="preserve"> (IBM) join the MCC.</w:t>
            </w:r>
          </w:p>
        </w:tc>
      </w:tr>
      <w:tr w:rsidR="009E3725" w:rsidRPr="009E3725" w:rsidTr="007729F5">
        <w:trPr>
          <w:trHeight w:val="973"/>
        </w:trPr>
        <w:tc>
          <w:tcPr>
            <w:tcW w:w="1613" w:type="dxa"/>
            <w:tcBorders>
              <w:top w:val="single" w:sz="2" w:space="0" w:color="BCC2C8"/>
              <w:left w:val="single" w:sz="2" w:space="0" w:color="BCC2C8"/>
              <w:bottom w:val="single" w:sz="2" w:space="0" w:color="BCC2C8"/>
              <w:right w:val="single" w:sz="2" w:space="0" w:color="BCC2C8"/>
            </w:tcBorders>
            <w:shd w:val="clear" w:color="auto" w:fill="EFEEEF"/>
          </w:tcPr>
          <w:p w:rsidR="009E3725" w:rsidRPr="009E3725" w:rsidRDefault="009E3725" w:rsidP="009E3725">
            <w:pPr>
              <w:rPr>
                <w:rFonts w:ascii="Calibri" w:eastAsia="Calibri" w:hAnsi="Calibri" w:cs="Calibri"/>
                <w:color w:val="181717"/>
                <w:sz w:val="19"/>
              </w:rPr>
            </w:pPr>
            <w:r w:rsidRPr="009E3725">
              <w:rPr>
                <w:rFonts w:ascii="Calibri" w:eastAsia="Calibri" w:hAnsi="Calibri" w:cs="Calibri"/>
                <w:b/>
                <w:color w:val="181717"/>
                <w:sz w:val="19"/>
              </w:rPr>
              <w:t>November</w:t>
            </w:r>
          </w:p>
        </w:tc>
        <w:tc>
          <w:tcPr>
            <w:tcW w:w="7453" w:type="dxa"/>
            <w:tcBorders>
              <w:top w:val="single" w:sz="2" w:space="0" w:color="BCC2C8"/>
              <w:left w:val="single" w:sz="2" w:space="0" w:color="BCC2C8"/>
              <w:bottom w:val="single" w:sz="2" w:space="0" w:color="BCC2C8"/>
              <w:right w:val="single" w:sz="2" w:space="0" w:color="BCC2C8"/>
            </w:tcBorders>
            <w:shd w:val="clear" w:color="auto" w:fill="EFEEEF"/>
            <w:vAlign w:val="center"/>
          </w:tcPr>
          <w:p w:rsidR="009E3725" w:rsidRPr="009E3725" w:rsidRDefault="009E3725" w:rsidP="009E3725">
            <w:pPr>
              <w:ind w:right="59"/>
              <w:rPr>
                <w:rFonts w:ascii="Calibri" w:eastAsia="Calibri" w:hAnsi="Calibri" w:cs="Calibri"/>
                <w:color w:val="181717"/>
                <w:sz w:val="19"/>
              </w:rPr>
            </w:pPr>
            <w:r w:rsidRPr="009E3725">
              <w:rPr>
                <w:rFonts w:ascii="Calibri" w:eastAsia="Calibri" w:hAnsi="Calibri" w:cs="Calibri"/>
                <w:color w:val="181717"/>
                <w:sz w:val="19"/>
              </w:rPr>
              <w:t xml:space="preserve">MCCs release their first report - a letter to corporate leaders titled </w:t>
            </w:r>
            <w:r w:rsidRPr="009E3725">
              <w:rPr>
                <w:rFonts w:ascii="Calibri" w:eastAsia="Calibri" w:hAnsi="Calibri" w:cs="Calibri"/>
                <w:i/>
                <w:color w:val="181717"/>
                <w:sz w:val="19"/>
              </w:rPr>
              <w:t>our experience in elevating the representation of women into leadership</w:t>
            </w:r>
            <w:r w:rsidRPr="009E3725">
              <w:rPr>
                <w:rFonts w:ascii="Calibri" w:eastAsia="Calibri" w:hAnsi="Calibri" w:cs="Calibri"/>
                <w:color w:val="181717"/>
                <w:sz w:val="19"/>
              </w:rPr>
              <w:t xml:space="preserve"> at a 300-person Business Forum. </w:t>
            </w:r>
          </w:p>
        </w:tc>
      </w:tr>
      <w:tr w:rsidR="009E3725" w:rsidRPr="009E3725" w:rsidTr="007729F5">
        <w:trPr>
          <w:trHeight w:val="397"/>
        </w:trPr>
        <w:tc>
          <w:tcPr>
            <w:tcW w:w="1613" w:type="dxa"/>
            <w:tcBorders>
              <w:top w:val="single" w:sz="2" w:space="0" w:color="BCC2C8"/>
              <w:left w:val="single" w:sz="2" w:space="0" w:color="BCC2C8"/>
              <w:bottom w:val="single" w:sz="2" w:space="0" w:color="BCC2C8"/>
              <w:right w:val="nil"/>
            </w:tcBorders>
            <w:shd w:val="clear" w:color="auto" w:fill="63676D"/>
          </w:tcPr>
          <w:p w:rsidR="009E3725" w:rsidRPr="009E3725" w:rsidRDefault="009E3725" w:rsidP="009E3725">
            <w:pPr>
              <w:rPr>
                <w:rFonts w:ascii="Calibri" w:eastAsia="Calibri" w:hAnsi="Calibri" w:cs="Calibri"/>
                <w:color w:val="181717"/>
                <w:sz w:val="19"/>
              </w:rPr>
            </w:pPr>
          </w:p>
        </w:tc>
        <w:tc>
          <w:tcPr>
            <w:tcW w:w="7453" w:type="dxa"/>
            <w:tcBorders>
              <w:top w:val="single" w:sz="2" w:space="0" w:color="BCC2C8"/>
              <w:left w:val="nil"/>
              <w:bottom w:val="single" w:sz="2" w:space="0" w:color="BCC2C8"/>
              <w:right w:val="single" w:sz="2" w:space="0" w:color="BCC2C8"/>
            </w:tcBorders>
            <w:shd w:val="clear" w:color="auto" w:fill="63676D"/>
          </w:tcPr>
          <w:p w:rsidR="009E3725" w:rsidRPr="009E3725" w:rsidRDefault="009E3725" w:rsidP="009E3725">
            <w:pPr>
              <w:ind w:left="2550"/>
              <w:rPr>
                <w:rFonts w:ascii="Calibri" w:eastAsia="Calibri" w:hAnsi="Calibri" w:cs="Calibri"/>
                <w:color w:val="181717"/>
                <w:sz w:val="19"/>
              </w:rPr>
            </w:pPr>
            <w:r w:rsidRPr="009E3725">
              <w:rPr>
                <w:rFonts w:ascii="Calibri" w:eastAsia="Calibri" w:hAnsi="Calibri" w:cs="Calibri"/>
                <w:b/>
                <w:color w:val="FFFEFD"/>
                <w:sz w:val="20"/>
              </w:rPr>
              <w:t>2012</w:t>
            </w:r>
          </w:p>
        </w:tc>
      </w:tr>
      <w:tr w:rsidR="009E3725" w:rsidRPr="009E3725" w:rsidTr="007729F5">
        <w:trPr>
          <w:trHeight w:val="2046"/>
        </w:trPr>
        <w:tc>
          <w:tcPr>
            <w:tcW w:w="1613" w:type="dxa"/>
            <w:tcBorders>
              <w:top w:val="single" w:sz="2" w:space="0" w:color="BCC2C8"/>
              <w:left w:val="single" w:sz="2" w:space="0" w:color="BCC2C8"/>
              <w:bottom w:val="single" w:sz="2" w:space="0" w:color="BCC2C8"/>
              <w:right w:val="single" w:sz="2" w:space="0" w:color="BCC2C8"/>
            </w:tcBorders>
            <w:shd w:val="clear" w:color="auto" w:fill="DDDEE2"/>
          </w:tcPr>
          <w:p w:rsidR="009E3725" w:rsidRPr="009E3725" w:rsidRDefault="009E3725" w:rsidP="009E3725">
            <w:pPr>
              <w:rPr>
                <w:rFonts w:ascii="Calibri" w:eastAsia="Calibri" w:hAnsi="Calibri" w:cs="Calibri"/>
                <w:color w:val="181717"/>
                <w:sz w:val="19"/>
              </w:rPr>
            </w:pPr>
            <w:r w:rsidRPr="009E3725">
              <w:rPr>
                <w:rFonts w:ascii="Calibri" w:eastAsia="Calibri" w:hAnsi="Calibri" w:cs="Calibri"/>
                <w:b/>
                <w:color w:val="181717"/>
                <w:sz w:val="19"/>
              </w:rPr>
              <w:t>Over 2012</w:t>
            </w:r>
          </w:p>
        </w:tc>
        <w:tc>
          <w:tcPr>
            <w:tcW w:w="7453" w:type="dxa"/>
            <w:tcBorders>
              <w:top w:val="single" w:sz="2" w:space="0" w:color="BCC2C8"/>
              <w:left w:val="single" w:sz="2" w:space="0" w:color="BCC2C8"/>
              <w:bottom w:val="single" w:sz="2" w:space="0" w:color="BCC2C8"/>
              <w:right w:val="single" w:sz="2" w:space="0" w:color="BCC2C8"/>
            </w:tcBorders>
            <w:shd w:val="clear" w:color="auto" w:fill="DDDEE2"/>
            <w:vAlign w:val="center"/>
          </w:tcPr>
          <w:p w:rsidR="009E3725" w:rsidRPr="009E3725" w:rsidRDefault="009E3725" w:rsidP="009E3725">
            <w:pPr>
              <w:spacing w:after="113" w:line="248" w:lineRule="auto"/>
              <w:ind w:right="10"/>
              <w:rPr>
                <w:rFonts w:ascii="Calibri" w:eastAsia="Calibri" w:hAnsi="Calibri" w:cs="Calibri"/>
                <w:color w:val="181717"/>
                <w:sz w:val="19"/>
              </w:rPr>
            </w:pPr>
            <w:r w:rsidRPr="009E3725">
              <w:rPr>
                <w:rFonts w:ascii="Calibri" w:eastAsia="Calibri" w:hAnsi="Calibri" w:cs="Calibri"/>
                <w:color w:val="181717"/>
                <w:sz w:val="19"/>
              </w:rPr>
              <w:t xml:space="preserve">MCCs conduct further research and focus groups to develop a 12 point plan - ideas to achieve significant and sustainable change in the representation of women in leadership in their organisations and across society. </w:t>
            </w:r>
          </w:p>
          <w:p w:rsidR="009E3725" w:rsidRPr="009E3725" w:rsidRDefault="009E3725" w:rsidP="009E3725">
            <w:pPr>
              <w:rPr>
                <w:rFonts w:ascii="Calibri" w:eastAsia="Calibri" w:hAnsi="Calibri" w:cs="Calibri"/>
                <w:color w:val="181717"/>
                <w:sz w:val="19"/>
              </w:rPr>
            </w:pPr>
            <w:proofErr w:type="spellStart"/>
            <w:proofErr w:type="gramStart"/>
            <w:r w:rsidRPr="009E3725">
              <w:rPr>
                <w:rFonts w:ascii="Calibri" w:eastAsia="Calibri" w:hAnsi="Calibri" w:cs="Calibri"/>
                <w:color w:val="181717"/>
                <w:sz w:val="19"/>
              </w:rPr>
              <w:t>elmer</w:t>
            </w:r>
            <w:proofErr w:type="spellEnd"/>
            <w:proofErr w:type="gramEnd"/>
            <w:r w:rsidRPr="009E3725">
              <w:rPr>
                <w:rFonts w:ascii="Calibri" w:eastAsia="Calibri" w:hAnsi="Calibri" w:cs="Calibri"/>
                <w:color w:val="181717"/>
                <w:sz w:val="19"/>
              </w:rPr>
              <w:t xml:space="preserve"> </w:t>
            </w:r>
            <w:proofErr w:type="spellStart"/>
            <w:r w:rsidRPr="009E3725">
              <w:rPr>
                <w:rFonts w:ascii="Calibri" w:eastAsia="Calibri" w:hAnsi="Calibri" w:cs="Calibri"/>
                <w:color w:val="181717"/>
                <w:sz w:val="19"/>
              </w:rPr>
              <w:t>Funke</w:t>
            </w:r>
            <w:proofErr w:type="spellEnd"/>
            <w:r w:rsidRPr="009E3725">
              <w:rPr>
                <w:rFonts w:ascii="Calibri" w:eastAsia="Calibri" w:hAnsi="Calibri" w:cs="Calibri"/>
                <w:color w:val="181717"/>
                <w:sz w:val="19"/>
              </w:rPr>
              <w:t xml:space="preserve"> </w:t>
            </w:r>
            <w:proofErr w:type="spellStart"/>
            <w:r w:rsidRPr="009E3725">
              <w:rPr>
                <w:rFonts w:ascii="Calibri" w:eastAsia="Calibri" w:hAnsi="Calibri" w:cs="Calibri"/>
                <w:color w:val="181717"/>
                <w:sz w:val="19"/>
              </w:rPr>
              <w:t>Kupper</w:t>
            </w:r>
            <w:proofErr w:type="spellEnd"/>
            <w:r w:rsidRPr="009E3725">
              <w:rPr>
                <w:rFonts w:ascii="Calibri" w:eastAsia="Calibri" w:hAnsi="Calibri" w:cs="Calibri"/>
                <w:color w:val="181717"/>
                <w:sz w:val="19"/>
              </w:rPr>
              <w:t xml:space="preserve"> (Australian securities exchange), David Morrison (Army), Ian </w:t>
            </w:r>
            <w:proofErr w:type="spellStart"/>
            <w:r w:rsidRPr="009E3725">
              <w:rPr>
                <w:rFonts w:ascii="Calibri" w:eastAsia="Calibri" w:hAnsi="Calibri" w:cs="Calibri"/>
                <w:color w:val="181717"/>
                <w:sz w:val="19"/>
              </w:rPr>
              <w:t>Narev</w:t>
            </w:r>
            <w:proofErr w:type="spellEnd"/>
            <w:r w:rsidRPr="009E3725">
              <w:rPr>
                <w:rFonts w:ascii="Calibri" w:eastAsia="Calibri" w:hAnsi="Calibri" w:cs="Calibri"/>
                <w:color w:val="181717"/>
                <w:sz w:val="19"/>
              </w:rPr>
              <w:t xml:space="preserve"> (CBA), </w:t>
            </w:r>
            <w:proofErr w:type="spellStart"/>
            <w:r w:rsidRPr="009E3725">
              <w:rPr>
                <w:rFonts w:ascii="Calibri" w:eastAsia="Calibri" w:hAnsi="Calibri" w:cs="Calibri"/>
                <w:color w:val="181717"/>
                <w:sz w:val="19"/>
              </w:rPr>
              <w:t>Dr.</w:t>
            </w:r>
            <w:proofErr w:type="spellEnd"/>
            <w:r w:rsidRPr="009E3725">
              <w:rPr>
                <w:rFonts w:ascii="Calibri" w:eastAsia="Calibri" w:hAnsi="Calibri" w:cs="Calibri"/>
                <w:color w:val="181717"/>
                <w:sz w:val="19"/>
              </w:rPr>
              <w:t xml:space="preserve"> Martin Parkinson (Department of the treasury), Michael </w:t>
            </w:r>
            <w:proofErr w:type="spellStart"/>
            <w:r w:rsidRPr="009E3725">
              <w:rPr>
                <w:rFonts w:ascii="Calibri" w:eastAsia="Calibri" w:hAnsi="Calibri" w:cs="Calibri"/>
                <w:color w:val="181717"/>
                <w:sz w:val="19"/>
              </w:rPr>
              <w:t>rennie</w:t>
            </w:r>
            <w:proofErr w:type="spellEnd"/>
            <w:r w:rsidRPr="009E3725">
              <w:rPr>
                <w:rFonts w:ascii="Calibri" w:eastAsia="Calibri" w:hAnsi="Calibri" w:cs="Calibri"/>
                <w:color w:val="181717"/>
                <w:sz w:val="19"/>
              </w:rPr>
              <w:t xml:space="preserve"> (McKinsey &amp; Company), </w:t>
            </w:r>
            <w:proofErr w:type="spellStart"/>
            <w:r w:rsidRPr="009E3725">
              <w:rPr>
                <w:rFonts w:ascii="Calibri" w:eastAsia="Calibri" w:hAnsi="Calibri" w:cs="Calibri"/>
                <w:color w:val="181717"/>
                <w:sz w:val="19"/>
              </w:rPr>
              <w:t>simon</w:t>
            </w:r>
            <w:proofErr w:type="spellEnd"/>
            <w:r w:rsidRPr="009E3725">
              <w:rPr>
                <w:rFonts w:ascii="Calibri" w:eastAsia="Calibri" w:hAnsi="Calibri" w:cs="Calibri"/>
                <w:color w:val="181717"/>
                <w:sz w:val="19"/>
              </w:rPr>
              <w:t xml:space="preserve"> </w:t>
            </w:r>
            <w:proofErr w:type="spellStart"/>
            <w:r w:rsidRPr="009E3725">
              <w:rPr>
                <w:rFonts w:ascii="Calibri" w:eastAsia="Calibri" w:hAnsi="Calibri" w:cs="Calibri"/>
                <w:color w:val="181717"/>
                <w:sz w:val="19"/>
              </w:rPr>
              <w:t>rothery</w:t>
            </w:r>
            <w:proofErr w:type="spellEnd"/>
            <w:r w:rsidRPr="009E3725">
              <w:rPr>
                <w:rFonts w:ascii="Calibri" w:eastAsia="Calibri" w:hAnsi="Calibri" w:cs="Calibri"/>
                <w:color w:val="181717"/>
                <w:sz w:val="19"/>
              </w:rPr>
              <w:t xml:space="preserve"> (</w:t>
            </w:r>
            <w:proofErr w:type="spellStart"/>
            <w:r w:rsidRPr="009E3725">
              <w:rPr>
                <w:rFonts w:ascii="Calibri" w:eastAsia="Calibri" w:hAnsi="Calibri" w:cs="Calibri"/>
                <w:color w:val="181717"/>
                <w:sz w:val="19"/>
              </w:rPr>
              <w:t>goldman</w:t>
            </w:r>
            <w:proofErr w:type="spellEnd"/>
            <w:r w:rsidRPr="009E3725">
              <w:rPr>
                <w:rFonts w:ascii="Calibri" w:eastAsia="Calibri" w:hAnsi="Calibri" w:cs="Calibri"/>
                <w:color w:val="181717"/>
                <w:sz w:val="19"/>
              </w:rPr>
              <w:t xml:space="preserve"> </w:t>
            </w:r>
            <w:proofErr w:type="spellStart"/>
            <w:r w:rsidRPr="009E3725">
              <w:rPr>
                <w:rFonts w:ascii="Calibri" w:eastAsia="Calibri" w:hAnsi="Calibri" w:cs="Calibri"/>
                <w:color w:val="181717"/>
                <w:sz w:val="19"/>
              </w:rPr>
              <w:t>sachs</w:t>
            </w:r>
            <w:proofErr w:type="spellEnd"/>
            <w:r w:rsidRPr="009E3725">
              <w:rPr>
                <w:rFonts w:ascii="Calibri" w:eastAsia="Calibri" w:hAnsi="Calibri" w:cs="Calibri"/>
                <w:color w:val="181717"/>
                <w:sz w:val="19"/>
              </w:rPr>
              <w:t xml:space="preserve">), </w:t>
            </w:r>
            <w:proofErr w:type="spellStart"/>
            <w:r w:rsidRPr="009E3725">
              <w:rPr>
                <w:rFonts w:ascii="Calibri" w:eastAsia="Calibri" w:hAnsi="Calibri" w:cs="Calibri"/>
                <w:color w:val="181717"/>
                <w:sz w:val="19"/>
              </w:rPr>
              <w:t>Dr.</w:t>
            </w:r>
            <w:proofErr w:type="spellEnd"/>
            <w:r w:rsidRPr="009E3725">
              <w:rPr>
                <w:rFonts w:ascii="Calibri" w:eastAsia="Calibri" w:hAnsi="Calibri" w:cs="Calibri"/>
                <w:color w:val="181717"/>
                <w:sz w:val="19"/>
              </w:rPr>
              <w:t xml:space="preserve"> Ian Watt (Department of the Prime Minister and Cabinet), and </w:t>
            </w:r>
            <w:proofErr w:type="spellStart"/>
            <w:r w:rsidRPr="009E3725">
              <w:rPr>
                <w:rFonts w:ascii="Calibri" w:eastAsia="Calibri" w:hAnsi="Calibri" w:cs="Calibri"/>
                <w:color w:val="181717"/>
                <w:sz w:val="19"/>
              </w:rPr>
              <w:t>geoff</w:t>
            </w:r>
            <w:proofErr w:type="spellEnd"/>
            <w:r w:rsidRPr="009E3725">
              <w:rPr>
                <w:rFonts w:ascii="Calibri" w:eastAsia="Calibri" w:hAnsi="Calibri" w:cs="Calibri"/>
                <w:color w:val="181717"/>
                <w:sz w:val="19"/>
              </w:rPr>
              <w:t xml:space="preserve"> Wilson (</w:t>
            </w:r>
            <w:proofErr w:type="spellStart"/>
            <w:r w:rsidRPr="009E3725">
              <w:rPr>
                <w:rFonts w:ascii="Calibri" w:eastAsia="Calibri" w:hAnsi="Calibri" w:cs="Calibri"/>
                <w:color w:val="181717"/>
                <w:sz w:val="19"/>
              </w:rPr>
              <w:t>KPMg</w:t>
            </w:r>
            <w:proofErr w:type="spellEnd"/>
            <w:r w:rsidRPr="009E3725">
              <w:rPr>
                <w:rFonts w:ascii="Calibri" w:eastAsia="Calibri" w:hAnsi="Calibri" w:cs="Calibri"/>
                <w:color w:val="181717"/>
                <w:sz w:val="19"/>
              </w:rPr>
              <w:t>) join the MCC.</w:t>
            </w:r>
          </w:p>
        </w:tc>
      </w:tr>
      <w:tr w:rsidR="009E3725" w:rsidRPr="009E3725" w:rsidTr="007729F5">
        <w:trPr>
          <w:trHeight w:val="973"/>
        </w:trPr>
        <w:tc>
          <w:tcPr>
            <w:tcW w:w="1613" w:type="dxa"/>
            <w:tcBorders>
              <w:top w:val="single" w:sz="2" w:space="0" w:color="BCC2C8"/>
              <w:left w:val="single" w:sz="2" w:space="0" w:color="BCC2C8"/>
              <w:bottom w:val="single" w:sz="2" w:space="0" w:color="BCC2C8"/>
              <w:right w:val="single" w:sz="2" w:space="0" w:color="BCC2C8"/>
            </w:tcBorders>
            <w:shd w:val="clear" w:color="auto" w:fill="EFEEEF"/>
          </w:tcPr>
          <w:p w:rsidR="009E3725" w:rsidRPr="009E3725" w:rsidRDefault="009E3725" w:rsidP="009E3725">
            <w:pPr>
              <w:rPr>
                <w:rFonts w:ascii="Calibri" w:eastAsia="Calibri" w:hAnsi="Calibri" w:cs="Calibri"/>
                <w:color w:val="181717"/>
                <w:sz w:val="19"/>
              </w:rPr>
            </w:pPr>
            <w:r w:rsidRPr="009E3725">
              <w:rPr>
                <w:rFonts w:ascii="Calibri" w:eastAsia="Calibri" w:hAnsi="Calibri" w:cs="Calibri"/>
                <w:b/>
                <w:color w:val="181717"/>
                <w:sz w:val="19"/>
              </w:rPr>
              <w:t>November</w:t>
            </w:r>
          </w:p>
        </w:tc>
        <w:tc>
          <w:tcPr>
            <w:tcW w:w="7453" w:type="dxa"/>
            <w:tcBorders>
              <w:top w:val="single" w:sz="2" w:space="0" w:color="BCC2C8"/>
              <w:left w:val="single" w:sz="2" w:space="0" w:color="BCC2C8"/>
              <w:bottom w:val="single" w:sz="2" w:space="0" w:color="BCC2C8"/>
              <w:right w:val="single" w:sz="2" w:space="0" w:color="BCC2C8"/>
            </w:tcBorders>
            <w:shd w:val="clear" w:color="auto" w:fill="EFEEEF"/>
            <w:vAlign w:val="center"/>
          </w:tcPr>
          <w:p w:rsidR="009E3725" w:rsidRPr="009E3725" w:rsidRDefault="009E3725" w:rsidP="009E3725">
            <w:pPr>
              <w:rPr>
                <w:rFonts w:ascii="Calibri" w:eastAsia="Calibri" w:hAnsi="Calibri" w:cs="Calibri"/>
                <w:color w:val="181717"/>
                <w:sz w:val="19"/>
              </w:rPr>
            </w:pPr>
            <w:r w:rsidRPr="009E3725">
              <w:rPr>
                <w:rFonts w:ascii="Calibri" w:eastAsia="Calibri" w:hAnsi="Calibri" w:cs="Calibri"/>
                <w:color w:val="181717"/>
                <w:sz w:val="19"/>
              </w:rPr>
              <w:t xml:space="preserve">MCCs call for corporations to set and report against public targets for advancing women into leadership roles in response to the results of the 2012 </w:t>
            </w:r>
            <w:proofErr w:type="spellStart"/>
            <w:r w:rsidRPr="009E3725">
              <w:rPr>
                <w:rFonts w:ascii="Calibri" w:eastAsia="Calibri" w:hAnsi="Calibri" w:cs="Calibri"/>
                <w:color w:val="181717"/>
                <w:sz w:val="19"/>
              </w:rPr>
              <w:t>eoWA</w:t>
            </w:r>
            <w:proofErr w:type="spellEnd"/>
            <w:r w:rsidRPr="009E3725">
              <w:rPr>
                <w:rFonts w:ascii="Calibri" w:eastAsia="Calibri" w:hAnsi="Calibri" w:cs="Calibri"/>
                <w:color w:val="181717"/>
                <w:sz w:val="19"/>
              </w:rPr>
              <w:t xml:space="preserve"> (now </w:t>
            </w:r>
            <w:proofErr w:type="spellStart"/>
            <w:r w:rsidRPr="009E3725">
              <w:rPr>
                <w:rFonts w:ascii="Calibri" w:eastAsia="Calibri" w:hAnsi="Calibri" w:cs="Calibri"/>
                <w:color w:val="181717"/>
                <w:sz w:val="19"/>
              </w:rPr>
              <w:t>WgeA</w:t>
            </w:r>
            <w:proofErr w:type="spellEnd"/>
            <w:r w:rsidRPr="009E3725">
              <w:rPr>
                <w:rFonts w:ascii="Calibri" w:eastAsia="Calibri" w:hAnsi="Calibri" w:cs="Calibri"/>
                <w:color w:val="181717"/>
                <w:sz w:val="19"/>
              </w:rPr>
              <w:t xml:space="preserve">) Australian Census of Women in Leadership. </w:t>
            </w:r>
          </w:p>
        </w:tc>
      </w:tr>
    </w:tbl>
    <w:p w:rsidR="009E3725" w:rsidRDefault="009E3725" w:rsidP="009E3725">
      <w:pPr>
        <w:autoSpaceDE w:val="0"/>
        <w:autoSpaceDN w:val="0"/>
        <w:adjustRightInd w:val="0"/>
        <w:spacing w:after="0" w:line="240" w:lineRule="auto"/>
        <w:rPr>
          <w:rFonts w:ascii="Swiss721BT-BoldCondensed" w:hAnsi="Swiss721BT-BoldCondensed" w:cs="Swiss721BT-BoldCondensed"/>
          <w:b/>
          <w:bCs/>
          <w:color w:val="FFFFFF"/>
          <w:sz w:val="24"/>
          <w:szCs w:val="24"/>
        </w:rPr>
      </w:pPr>
    </w:p>
    <w:p w:rsidR="009E3725" w:rsidRDefault="009E3725">
      <w:pPr>
        <w:rPr>
          <w:rFonts w:ascii="Swiss721BT-BoldCondensed" w:hAnsi="Swiss721BT-BoldCondensed" w:cs="Swiss721BT-BoldCondensed"/>
          <w:b/>
          <w:bCs/>
          <w:color w:val="FFFFFF"/>
          <w:sz w:val="24"/>
          <w:szCs w:val="24"/>
        </w:rPr>
      </w:pPr>
      <w:r>
        <w:rPr>
          <w:rFonts w:ascii="Swiss721BT-BoldCondensed" w:hAnsi="Swiss721BT-BoldCondensed" w:cs="Swiss721BT-BoldCondensed"/>
          <w:b/>
          <w:bCs/>
          <w:color w:val="FFFFFF"/>
          <w:sz w:val="24"/>
          <w:szCs w:val="24"/>
        </w:rPr>
        <w:br w:type="page"/>
      </w:r>
    </w:p>
    <w:p w:rsidR="009E3725" w:rsidRDefault="009E3725" w:rsidP="009E3725">
      <w:pPr>
        <w:autoSpaceDE w:val="0"/>
        <w:autoSpaceDN w:val="0"/>
        <w:adjustRightInd w:val="0"/>
        <w:spacing w:after="0" w:line="240" w:lineRule="auto"/>
        <w:rPr>
          <w:rFonts w:ascii="Swiss721BT-BoldCondensed" w:hAnsi="Swiss721BT-BoldCondensed" w:cs="Swiss721BT-BoldCondensed"/>
          <w:b/>
          <w:bCs/>
          <w:color w:val="FFFFFF"/>
          <w:sz w:val="24"/>
          <w:szCs w:val="24"/>
        </w:rPr>
      </w:pPr>
      <w:proofErr w:type="gramStart"/>
      <w:r>
        <w:rPr>
          <w:rFonts w:ascii="Swiss721BT-BoldCondensed" w:hAnsi="Swiss721BT-BoldCondensed" w:cs="Swiss721BT-BoldCondensed"/>
          <w:b/>
          <w:bCs/>
          <w:color w:val="FFFFFF"/>
          <w:sz w:val="24"/>
          <w:szCs w:val="24"/>
        </w:rPr>
        <w:lastRenderedPageBreak/>
        <w:t>ne</w:t>
      </w:r>
      <w:proofErr w:type="gramEnd"/>
      <w:r>
        <w:rPr>
          <w:rFonts w:ascii="Swiss721BT-BoldCondensed" w:hAnsi="Swiss721BT-BoldCondensed" w:cs="Swiss721BT-BoldCondensed"/>
          <w:b/>
          <w:bCs/>
          <w:color w:val="FFFFFF"/>
          <w:sz w:val="24"/>
          <w:szCs w:val="24"/>
        </w:rPr>
        <w:t xml:space="preserve"> </w:t>
      </w:r>
    </w:p>
    <w:tbl>
      <w:tblPr>
        <w:tblStyle w:val="TableGrid0"/>
        <w:tblW w:w="9066" w:type="dxa"/>
        <w:tblInd w:w="10" w:type="dxa"/>
        <w:tblCellMar>
          <w:top w:w="78" w:type="dxa"/>
          <w:left w:w="170" w:type="dxa"/>
          <w:bottom w:w="0" w:type="dxa"/>
          <w:right w:w="115" w:type="dxa"/>
        </w:tblCellMar>
        <w:tblLook w:val="04A0" w:firstRow="1" w:lastRow="0" w:firstColumn="1" w:lastColumn="0" w:noHBand="0" w:noVBand="1"/>
      </w:tblPr>
      <w:tblGrid>
        <w:gridCol w:w="1613"/>
        <w:gridCol w:w="7453"/>
      </w:tblGrid>
      <w:tr w:rsidR="009E3725" w:rsidTr="007729F5">
        <w:trPr>
          <w:trHeight w:val="425"/>
        </w:trPr>
        <w:tc>
          <w:tcPr>
            <w:tcW w:w="9066" w:type="dxa"/>
            <w:gridSpan w:val="2"/>
            <w:tcBorders>
              <w:top w:val="single" w:sz="2" w:space="0" w:color="BCC2C8"/>
              <w:left w:val="single" w:sz="2" w:space="0" w:color="BCC2C8"/>
              <w:bottom w:val="single" w:sz="2" w:space="0" w:color="BCC2C8"/>
              <w:right w:val="single" w:sz="2" w:space="0" w:color="BCC2C8"/>
            </w:tcBorders>
            <w:shd w:val="clear" w:color="auto" w:fill="BCC2C8"/>
          </w:tcPr>
          <w:p w:rsidR="009E3725" w:rsidRDefault="009E3725" w:rsidP="007729F5">
            <w:pPr>
              <w:spacing w:line="259" w:lineRule="auto"/>
              <w:ind w:right="55"/>
              <w:jc w:val="center"/>
            </w:pPr>
            <w:r>
              <w:rPr>
                <w:rFonts w:ascii="Calibri" w:eastAsia="Calibri" w:hAnsi="Calibri" w:cs="Calibri"/>
                <w:b/>
                <w:color w:val="FFFEFD"/>
                <w:sz w:val="24"/>
              </w:rPr>
              <w:t>Timeline and progress (continued)</w:t>
            </w:r>
          </w:p>
        </w:tc>
      </w:tr>
      <w:tr w:rsidR="009E3725" w:rsidTr="007729F5">
        <w:trPr>
          <w:trHeight w:val="397"/>
        </w:trPr>
        <w:tc>
          <w:tcPr>
            <w:tcW w:w="9066" w:type="dxa"/>
            <w:gridSpan w:val="2"/>
            <w:tcBorders>
              <w:top w:val="single" w:sz="2" w:space="0" w:color="BCC2C8"/>
              <w:left w:val="single" w:sz="2" w:space="0" w:color="BCC2C8"/>
              <w:bottom w:val="single" w:sz="2" w:space="0" w:color="BCC2C8"/>
              <w:right w:val="single" w:sz="2" w:space="0" w:color="BCC2C8"/>
            </w:tcBorders>
            <w:shd w:val="clear" w:color="auto" w:fill="63676D"/>
          </w:tcPr>
          <w:p w:rsidR="009E3725" w:rsidRDefault="009E3725" w:rsidP="007729F5">
            <w:pPr>
              <w:spacing w:line="259" w:lineRule="auto"/>
              <w:ind w:right="55"/>
              <w:jc w:val="center"/>
            </w:pPr>
            <w:r>
              <w:rPr>
                <w:rFonts w:ascii="Calibri" w:eastAsia="Calibri" w:hAnsi="Calibri" w:cs="Calibri"/>
                <w:b/>
                <w:color w:val="FFFEFD"/>
                <w:sz w:val="20"/>
              </w:rPr>
              <w:t>2013</w:t>
            </w:r>
          </w:p>
        </w:tc>
      </w:tr>
      <w:tr w:rsidR="009E3725" w:rsidTr="007729F5">
        <w:trPr>
          <w:trHeight w:val="733"/>
        </w:trPr>
        <w:tc>
          <w:tcPr>
            <w:tcW w:w="1613" w:type="dxa"/>
            <w:tcBorders>
              <w:top w:val="single" w:sz="2" w:space="0" w:color="BCC2C8"/>
              <w:left w:val="single" w:sz="2" w:space="0" w:color="BCC2C8"/>
              <w:bottom w:val="single" w:sz="2" w:space="0" w:color="BCC2C8"/>
              <w:right w:val="single" w:sz="2" w:space="0" w:color="BCC2C8"/>
            </w:tcBorders>
            <w:shd w:val="clear" w:color="auto" w:fill="DDDEE2"/>
          </w:tcPr>
          <w:p w:rsidR="009E3725" w:rsidRDefault="009E3725" w:rsidP="007729F5">
            <w:pPr>
              <w:spacing w:line="259" w:lineRule="auto"/>
            </w:pPr>
            <w:r>
              <w:rPr>
                <w:rFonts w:ascii="Calibri" w:eastAsia="Calibri" w:hAnsi="Calibri" w:cs="Calibri"/>
                <w:b/>
              </w:rPr>
              <w:t>March</w:t>
            </w:r>
          </w:p>
        </w:tc>
        <w:tc>
          <w:tcPr>
            <w:tcW w:w="7453" w:type="dxa"/>
            <w:tcBorders>
              <w:top w:val="single" w:sz="2" w:space="0" w:color="BCC2C8"/>
              <w:left w:val="single" w:sz="2" w:space="0" w:color="BCC2C8"/>
              <w:bottom w:val="single" w:sz="2" w:space="0" w:color="BCC2C8"/>
              <w:right w:val="single" w:sz="2" w:space="0" w:color="BCC2C8"/>
            </w:tcBorders>
            <w:shd w:val="clear" w:color="auto" w:fill="DDDEE2"/>
            <w:vAlign w:val="center"/>
          </w:tcPr>
          <w:p w:rsidR="009E3725" w:rsidRDefault="009E3725" w:rsidP="007729F5">
            <w:pPr>
              <w:spacing w:line="259" w:lineRule="auto"/>
            </w:pPr>
            <w:r>
              <w:t>MCCs announce their 12-point plan, including their specific areas of focus, to their employees on International Women’s Day.</w:t>
            </w:r>
          </w:p>
        </w:tc>
      </w:tr>
      <w:tr w:rsidR="009E3725" w:rsidTr="007729F5">
        <w:trPr>
          <w:trHeight w:val="973"/>
        </w:trPr>
        <w:tc>
          <w:tcPr>
            <w:tcW w:w="1613" w:type="dxa"/>
            <w:tcBorders>
              <w:top w:val="single" w:sz="2" w:space="0" w:color="BCC2C8"/>
              <w:left w:val="single" w:sz="2" w:space="0" w:color="BCC2C8"/>
              <w:bottom w:val="single" w:sz="2" w:space="0" w:color="BCC2C8"/>
              <w:right w:val="single" w:sz="2" w:space="0" w:color="BCC2C8"/>
            </w:tcBorders>
            <w:shd w:val="clear" w:color="auto" w:fill="EFEEEF"/>
          </w:tcPr>
          <w:p w:rsidR="009E3725" w:rsidRDefault="009E3725" w:rsidP="007729F5">
            <w:pPr>
              <w:spacing w:line="259" w:lineRule="auto"/>
            </w:pPr>
            <w:r>
              <w:rPr>
                <w:rFonts w:ascii="Calibri" w:eastAsia="Calibri" w:hAnsi="Calibri" w:cs="Calibri"/>
                <w:b/>
              </w:rPr>
              <w:t>June</w:t>
            </w:r>
          </w:p>
        </w:tc>
        <w:tc>
          <w:tcPr>
            <w:tcW w:w="7453" w:type="dxa"/>
            <w:tcBorders>
              <w:top w:val="single" w:sz="2" w:space="0" w:color="BCC2C8"/>
              <w:left w:val="single" w:sz="2" w:space="0" w:color="BCC2C8"/>
              <w:bottom w:val="single" w:sz="2" w:space="0" w:color="BCC2C8"/>
              <w:right w:val="single" w:sz="2" w:space="0" w:color="BCC2C8"/>
            </w:tcBorders>
            <w:shd w:val="clear" w:color="auto" w:fill="EFEEEF"/>
            <w:vAlign w:val="center"/>
          </w:tcPr>
          <w:p w:rsidR="009E3725" w:rsidRDefault="009E3725" w:rsidP="007729F5">
            <w:pPr>
              <w:spacing w:line="259" w:lineRule="auto"/>
            </w:pPr>
            <w:r>
              <w:t xml:space="preserve">MCCs publicly raise the bar on gender reporting, committing to a robust and consistent approach to external reporting, internal reporting and setting women in management targets. </w:t>
            </w:r>
          </w:p>
        </w:tc>
      </w:tr>
      <w:tr w:rsidR="009E3725" w:rsidTr="007729F5">
        <w:trPr>
          <w:trHeight w:val="973"/>
        </w:trPr>
        <w:tc>
          <w:tcPr>
            <w:tcW w:w="1613" w:type="dxa"/>
            <w:tcBorders>
              <w:top w:val="single" w:sz="2" w:space="0" w:color="BCC2C8"/>
              <w:left w:val="single" w:sz="2" w:space="0" w:color="BCC2C8"/>
              <w:bottom w:val="single" w:sz="2" w:space="0" w:color="BCC2C8"/>
              <w:right w:val="single" w:sz="2" w:space="0" w:color="BCC2C8"/>
            </w:tcBorders>
            <w:shd w:val="clear" w:color="auto" w:fill="DDDEE2"/>
          </w:tcPr>
          <w:p w:rsidR="009E3725" w:rsidRDefault="009E3725" w:rsidP="007729F5">
            <w:pPr>
              <w:spacing w:line="259" w:lineRule="auto"/>
            </w:pPr>
            <w:r>
              <w:rPr>
                <w:rFonts w:ascii="Calibri" w:eastAsia="Calibri" w:hAnsi="Calibri" w:cs="Calibri"/>
                <w:b/>
              </w:rPr>
              <w:t>August</w:t>
            </w:r>
          </w:p>
        </w:tc>
        <w:tc>
          <w:tcPr>
            <w:tcW w:w="7453" w:type="dxa"/>
            <w:tcBorders>
              <w:top w:val="single" w:sz="2" w:space="0" w:color="BCC2C8"/>
              <w:left w:val="single" w:sz="2" w:space="0" w:color="BCC2C8"/>
              <w:bottom w:val="single" w:sz="2" w:space="0" w:color="BCC2C8"/>
              <w:right w:val="single" w:sz="2" w:space="0" w:color="BCC2C8"/>
            </w:tcBorders>
            <w:shd w:val="clear" w:color="auto" w:fill="DDDEE2"/>
            <w:vAlign w:val="center"/>
          </w:tcPr>
          <w:p w:rsidR="009E3725" w:rsidRDefault="009E3725" w:rsidP="007729F5">
            <w:pPr>
              <w:spacing w:line="259" w:lineRule="auto"/>
            </w:pPr>
            <w:r>
              <w:t xml:space="preserve">MCCs commitment to increasing gender balance on panels is covered in the media. When asked to participate or sponsor a panel or conference, each MCC agrees to ask organisers about efforts to ensure gender balance. </w:t>
            </w:r>
          </w:p>
        </w:tc>
      </w:tr>
      <w:tr w:rsidR="009E3725" w:rsidTr="007729F5">
        <w:trPr>
          <w:trHeight w:val="733"/>
        </w:trPr>
        <w:tc>
          <w:tcPr>
            <w:tcW w:w="1613" w:type="dxa"/>
            <w:tcBorders>
              <w:top w:val="single" w:sz="2" w:space="0" w:color="BCC2C8"/>
              <w:left w:val="single" w:sz="2" w:space="0" w:color="BCC2C8"/>
              <w:bottom w:val="single" w:sz="2" w:space="0" w:color="BCC2C8"/>
              <w:right w:val="single" w:sz="2" w:space="0" w:color="BCC2C8"/>
            </w:tcBorders>
            <w:shd w:val="clear" w:color="auto" w:fill="EFEEEF"/>
          </w:tcPr>
          <w:p w:rsidR="009E3725" w:rsidRDefault="009E3725" w:rsidP="007729F5">
            <w:pPr>
              <w:spacing w:line="259" w:lineRule="auto"/>
            </w:pPr>
            <w:r>
              <w:rPr>
                <w:rFonts w:ascii="Calibri" w:eastAsia="Calibri" w:hAnsi="Calibri" w:cs="Calibri"/>
                <w:b/>
              </w:rPr>
              <w:t>October</w:t>
            </w:r>
          </w:p>
        </w:tc>
        <w:tc>
          <w:tcPr>
            <w:tcW w:w="7453" w:type="dxa"/>
            <w:tcBorders>
              <w:top w:val="single" w:sz="2" w:space="0" w:color="BCC2C8"/>
              <w:left w:val="single" w:sz="2" w:space="0" w:color="BCC2C8"/>
              <w:bottom w:val="single" w:sz="2" w:space="0" w:color="BCC2C8"/>
              <w:right w:val="single" w:sz="2" w:space="0" w:color="BCC2C8"/>
            </w:tcBorders>
            <w:shd w:val="clear" w:color="auto" w:fill="EFEEEF"/>
            <w:vAlign w:val="center"/>
          </w:tcPr>
          <w:p w:rsidR="009E3725" w:rsidRDefault="009E3725" w:rsidP="007729F5">
            <w:pPr>
              <w:spacing w:line="259" w:lineRule="auto"/>
            </w:pPr>
            <w:r>
              <w:t>MCCs announce their supplier Multiplier – an initiative focused on encouraging and supporting their suppliers to increase the representation of women in leadership.</w:t>
            </w:r>
          </w:p>
        </w:tc>
      </w:tr>
      <w:tr w:rsidR="009E3725" w:rsidTr="007729F5">
        <w:trPr>
          <w:trHeight w:val="1693"/>
        </w:trPr>
        <w:tc>
          <w:tcPr>
            <w:tcW w:w="1613" w:type="dxa"/>
            <w:tcBorders>
              <w:top w:val="single" w:sz="2" w:space="0" w:color="BCC2C8"/>
              <w:left w:val="single" w:sz="2" w:space="0" w:color="BCC2C8"/>
              <w:bottom w:val="single" w:sz="2" w:space="0" w:color="BCC2C8"/>
              <w:right w:val="single" w:sz="2" w:space="0" w:color="BCC2C8"/>
            </w:tcBorders>
            <w:shd w:val="clear" w:color="auto" w:fill="DDDEE2"/>
          </w:tcPr>
          <w:p w:rsidR="009E3725" w:rsidRDefault="009E3725" w:rsidP="007729F5">
            <w:pPr>
              <w:spacing w:line="259" w:lineRule="auto"/>
            </w:pPr>
            <w:r>
              <w:rPr>
                <w:rFonts w:ascii="Calibri" w:eastAsia="Calibri" w:hAnsi="Calibri" w:cs="Calibri"/>
                <w:b/>
              </w:rPr>
              <w:t>November</w:t>
            </w:r>
          </w:p>
        </w:tc>
        <w:tc>
          <w:tcPr>
            <w:tcW w:w="7453" w:type="dxa"/>
            <w:tcBorders>
              <w:top w:val="single" w:sz="2" w:space="0" w:color="BCC2C8"/>
              <w:left w:val="single" w:sz="2" w:space="0" w:color="BCC2C8"/>
              <w:bottom w:val="single" w:sz="2" w:space="0" w:color="BCC2C8"/>
              <w:right w:val="single" w:sz="2" w:space="0" w:color="BCC2C8"/>
            </w:tcBorders>
            <w:shd w:val="clear" w:color="auto" w:fill="DDDEE2"/>
            <w:vAlign w:val="center"/>
          </w:tcPr>
          <w:p w:rsidR="009E3725" w:rsidRDefault="009E3725" w:rsidP="007729F5">
            <w:pPr>
              <w:spacing w:line="259" w:lineRule="auto"/>
              <w:ind w:right="18"/>
            </w:pPr>
            <w:r>
              <w:t xml:space="preserve">MCCs release a new letter to business leaders entitled </w:t>
            </w:r>
            <w:r>
              <w:rPr>
                <w:rFonts w:ascii="Calibri" w:eastAsia="Calibri" w:hAnsi="Calibri" w:cs="Calibri"/>
                <w:i/>
              </w:rPr>
              <w:t>Accelerating the advancement of women in leadership: Listening, Learning, Leading</w:t>
            </w:r>
            <w:r>
              <w:t xml:space="preserve">, which outlines actions to increase the number of women in leadership positions. A public launch draws more than 430 of Australia’s most influential Chief executive officers and their direct reports, senior government and community leaders and non-executive leaders. </w:t>
            </w:r>
            <w:proofErr w:type="gramStart"/>
            <w:r>
              <w:t>the</w:t>
            </w:r>
            <w:proofErr w:type="gramEnd"/>
            <w:r>
              <w:t xml:space="preserve"> letter is distributed to all </w:t>
            </w:r>
            <w:proofErr w:type="spellStart"/>
            <w:r>
              <w:t>AsX</w:t>
            </w:r>
            <w:proofErr w:type="spellEnd"/>
            <w:r>
              <w:t xml:space="preserve">-listed entities. </w:t>
            </w:r>
          </w:p>
        </w:tc>
      </w:tr>
      <w:tr w:rsidR="009E3725" w:rsidTr="007729F5">
        <w:trPr>
          <w:trHeight w:val="397"/>
        </w:trPr>
        <w:tc>
          <w:tcPr>
            <w:tcW w:w="9066" w:type="dxa"/>
            <w:gridSpan w:val="2"/>
            <w:tcBorders>
              <w:top w:val="single" w:sz="2" w:space="0" w:color="BCC2C8"/>
              <w:left w:val="single" w:sz="2" w:space="0" w:color="BCC2C8"/>
              <w:bottom w:val="single" w:sz="2" w:space="0" w:color="BCC2C8"/>
              <w:right w:val="single" w:sz="2" w:space="0" w:color="BCC2C8"/>
            </w:tcBorders>
            <w:shd w:val="clear" w:color="auto" w:fill="63676D"/>
          </w:tcPr>
          <w:p w:rsidR="009E3725" w:rsidRDefault="009E3725" w:rsidP="007729F5">
            <w:pPr>
              <w:spacing w:line="259" w:lineRule="auto"/>
              <w:ind w:right="55"/>
              <w:jc w:val="center"/>
            </w:pPr>
            <w:r>
              <w:rPr>
                <w:rFonts w:ascii="Calibri" w:eastAsia="Calibri" w:hAnsi="Calibri" w:cs="Calibri"/>
                <w:b/>
                <w:color w:val="FFFEFD"/>
                <w:sz w:val="20"/>
              </w:rPr>
              <w:t>2014</w:t>
            </w:r>
          </w:p>
        </w:tc>
      </w:tr>
      <w:tr w:rsidR="009E3725" w:rsidTr="007729F5">
        <w:trPr>
          <w:trHeight w:val="733"/>
        </w:trPr>
        <w:tc>
          <w:tcPr>
            <w:tcW w:w="1613" w:type="dxa"/>
            <w:tcBorders>
              <w:top w:val="single" w:sz="2" w:space="0" w:color="BCC2C8"/>
              <w:left w:val="single" w:sz="2" w:space="0" w:color="BCC2C8"/>
              <w:bottom w:val="single" w:sz="2" w:space="0" w:color="BCC2C8"/>
              <w:right w:val="single" w:sz="2" w:space="0" w:color="BCC2C8"/>
            </w:tcBorders>
            <w:shd w:val="clear" w:color="auto" w:fill="EFEEEF"/>
          </w:tcPr>
          <w:p w:rsidR="009E3725" w:rsidRDefault="009E3725" w:rsidP="007729F5">
            <w:pPr>
              <w:spacing w:line="259" w:lineRule="auto"/>
            </w:pPr>
            <w:r>
              <w:rPr>
                <w:rFonts w:ascii="Calibri" w:eastAsia="Calibri" w:hAnsi="Calibri" w:cs="Calibri"/>
                <w:b/>
              </w:rPr>
              <w:t>February</w:t>
            </w:r>
          </w:p>
        </w:tc>
        <w:tc>
          <w:tcPr>
            <w:tcW w:w="7453" w:type="dxa"/>
            <w:tcBorders>
              <w:top w:val="single" w:sz="2" w:space="0" w:color="BCC2C8"/>
              <w:left w:val="single" w:sz="2" w:space="0" w:color="BCC2C8"/>
              <w:bottom w:val="single" w:sz="2" w:space="0" w:color="BCC2C8"/>
              <w:right w:val="single" w:sz="2" w:space="0" w:color="BCC2C8"/>
            </w:tcBorders>
            <w:shd w:val="clear" w:color="auto" w:fill="EFEEEF"/>
            <w:vAlign w:val="center"/>
          </w:tcPr>
          <w:p w:rsidR="009E3725" w:rsidRDefault="009E3725" w:rsidP="007729F5">
            <w:pPr>
              <w:spacing w:line="259" w:lineRule="auto"/>
            </w:pPr>
            <w:r>
              <w:t xml:space="preserve">John </w:t>
            </w:r>
            <w:proofErr w:type="spellStart"/>
            <w:r>
              <w:t>Lydon</w:t>
            </w:r>
            <w:proofErr w:type="spellEnd"/>
            <w:r>
              <w:t xml:space="preserve"> (McKinsey) joins the MCC. Michael </w:t>
            </w:r>
            <w:proofErr w:type="spellStart"/>
            <w:r>
              <w:t>rennie</w:t>
            </w:r>
            <w:proofErr w:type="spellEnd"/>
            <w:r>
              <w:t xml:space="preserve"> becomes an international ambassador with his move to Dubai.</w:t>
            </w:r>
          </w:p>
        </w:tc>
      </w:tr>
      <w:tr w:rsidR="009E3725" w:rsidTr="007729F5">
        <w:trPr>
          <w:trHeight w:val="1453"/>
        </w:trPr>
        <w:tc>
          <w:tcPr>
            <w:tcW w:w="1613" w:type="dxa"/>
            <w:tcBorders>
              <w:top w:val="single" w:sz="2" w:space="0" w:color="BCC2C8"/>
              <w:left w:val="single" w:sz="2" w:space="0" w:color="BCC2C8"/>
              <w:bottom w:val="single" w:sz="2" w:space="0" w:color="BCC2C8"/>
              <w:right w:val="single" w:sz="2" w:space="0" w:color="BCC2C8"/>
            </w:tcBorders>
            <w:shd w:val="clear" w:color="auto" w:fill="EFEEEF"/>
          </w:tcPr>
          <w:p w:rsidR="009E3725" w:rsidRDefault="009E3725" w:rsidP="007729F5">
            <w:pPr>
              <w:spacing w:line="259" w:lineRule="auto"/>
            </w:pPr>
            <w:r>
              <w:rPr>
                <w:rFonts w:ascii="Calibri" w:eastAsia="Calibri" w:hAnsi="Calibri" w:cs="Calibri"/>
                <w:b/>
              </w:rPr>
              <w:t>March/April</w:t>
            </w:r>
          </w:p>
        </w:tc>
        <w:tc>
          <w:tcPr>
            <w:tcW w:w="7453" w:type="dxa"/>
            <w:tcBorders>
              <w:top w:val="single" w:sz="2" w:space="0" w:color="BCC2C8"/>
              <w:left w:val="single" w:sz="2" w:space="0" w:color="BCC2C8"/>
              <w:bottom w:val="single" w:sz="2" w:space="0" w:color="BCC2C8"/>
              <w:right w:val="single" w:sz="2" w:space="0" w:color="BCC2C8"/>
            </w:tcBorders>
            <w:shd w:val="clear" w:color="auto" w:fill="EFEEEF"/>
            <w:vAlign w:val="center"/>
          </w:tcPr>
          <w:p w:rsidR="009E3725" w:rsidRDefault="009E3725" w:rsidP="007729F5">
            <w:pPr>
              <w:spacing w:line="259" w:lineRule="auto"/>
              <w:ind w:right="203"/>
            </w:pPr>
            <w:r>
              <w:t>MCCs, in collaboration with Chief executive Women (</w:t>
            </w:r>
            <w:proofErr w:type="spellStart"/>
            <w:r>
              <w:t>CeW</w:t>
            </w:r>
            <w:proofErr w:type="spellEnd"/>
            <w:r>
              <w:t xml:space="preserve">), Australia’s peak body of executive women, release a new letter to business leaders entitled </w:t>
            </w:r>
            <w:r>
              <w:rPr>
                <w:rFonts w:ascii="Calibri" w:eastAsia="Calibri" w:hAnsi="Calibri" w:cs="Calibri"/>
                <w:i/>
              </w:rPr>
              <w:t>It starts with us: The Leadership Shadow</w:t>
            </w:r>
            <w:r>
              <w:t xml:space="preserve"> – which describes a model for leaders to reflect on how their own leadership is contributing to the representation of women in leadership. </w:t>
            </w:r>
            <w:proofErr w:type="gramStart"/>
            <w:r>
              <w:t>the</w:t>
            </w:r>
            <w:proofErr w:type="gramEnd"/>
            <w:r>
              <w:t xml:space="preserve"> letter is distributed to all </w:t>
            </w:r>
            <w:proofErr w:type="spellStart"/>
            <w:r>
              <w:t>AsX</w:t>
            </w:r>
            <w:proofErr w:type="spellEnd"/>
            <w:r>
              <w:t>-listed entities.</w:t>
            </w:r>
          </w:p>
        </w:tc>
      </w:tr>
      <w:tr w:rsidR="009E3725" w:rsidTr="007729F5">
        <w:trPr>
          <w:trHeight w:val="733"/>
        </w:trPr>
        <w:tc>
          <w:tcPr>
            <w:tcW w:w="1613" w:type="dxa"/>
            <w:tcBorders>
              <w:top w:val="single" w:sz="2" w:space="0" w:color="BCC2C8"/>
              <w:left w:val="single" w:sz="2" w:space="0" w:color="BCC2C8"/>
              <w:bottom w:val="single" w:sz="2" w:space="0" w:color="BCC2C8"/>
              <w:right w:val="single" w:sz="2" w:space="0" w:color="BCC2C8"/>
            </w:tcBorders>
            <w:shd w:val="clear" w:color="auto" w:fill="DDDEE2"/>
          </w:tcPr>
          <w:p w:rsidR="009E3725" w:rsidRDefault="009E3725" w:rsidP="007729F5">
            <w:pPr>
              <w:spacing w:line="259" w:lineRule="auto"/>
            </w:pPr>
            <w:r>
              <w:rPr>
                <w:rFonts w:ascii="Calibri" w:eastAsia="Calibri" w:hAnsi="Calibri" w:cs="Calibri"/>
                <w:b/>
              </w:rPr>
              <w:t>May</w:t>
            </w:r>
          </w:p>
        </w:tc>
        <w:tc>
          <w:tcPr>
            <w:tcW w:w="7453" w:type="dxa"/>
            <w:tcBorders>
              <w:top w:val="single" w:sz="2" w:space="0" w:color="BCC2C8"/>
              <w:left w:val="single" w:sz="2" w:space="0" w:color="BCC2C8"/>
              <w:bottom w:val="single" w:sz="2" w:space="0" w:color="BCC2C8"/>
              <w:right w:val="single" w:sz="2" w:space="0" w:color="BCC2C8"/>
            </w:tcBorders>
            <w:shd w:val="clear" w:color="auto" w:fill="DDDEE2"/>
            <w:vAlign w:val="center"/>
          </w:tcPr>
          <w:p w:rsidR="009E3725" w:rsidRDefault="009E3725" w:rsidP="007729F5">
            <w:pPr>
              <w:spacing w:line="259" w:lineRule="auto"/>
            </w:pPr>
            <w:r>
              <w:t xml:space="preserve">Hamish McLennan (ten) and </w:t>
            </w:r>
            <w:proofErr w:type="spellStart"/>
            <w:r>
              <w:t>gary</w:t>
            </w:r>
            <w:proofErr w:type="spellEnd"/>
            <w:r>
              <w:t xml:space="preserve"> </w:t>
            </w:r>
            <w:proofErr w:type="spellStart"/>
            <w:r>
              <w:t>Wingrove</w:t>
            </w:r>
            <w:proofErr w:type="spellEnd"/>
            <w:r>
              <w:t xml:space="preserve"> (</w:t>
            </w:r>
            <w:proofErr w:type="spellStart"/>
            <w:r>
              <w:t>KPMg</w:t>
            </w:r>
            <w:proofErr w:type="spellEnd"/>
            <w:r>
              <w:t xml:space="preserve">) join the MCC. </w:t>
            </w:r>
            <w:proofErr w:type="spellStart"/>
            <w:proofErr w:type="gramStart"/>
            <w:r>
              <w:t>geoff</w:t>
            </w:r>
            <w:proofErr w:type="spellEnd"/>
            <w:proofErr w:type="gramEnd"/>
            <w:r>
              <w:t xml:space="preserve"> Wilson (</w:t>
            </w:r>
            <w:proofErr w:type="spellStart"/>
            <w:r>
              <w:t>KPMg</w:t>
            </w:r>
            <w:proofErr w:type="spellEnd"/>
            <w:r>
              <w:t>) becomes an international ambassador with his move to Hong Kong.</w:t>
            </w:r>
          </w:p>
        </w:tc>
      </w:tr>
      <w:tr w:rsidR="009E3725" w:rsidTr="007729F5">
        <w:trPr>
          <w:trHeight w:val="973"/>
        </w:trPr>
        <w:tc>
          <w:tcPr>
            <w:tcW w:w="1613" w:type="dxa"/>
            <w:tcBorders>
              <w:top w:val="single" w:sz="2" w:space="0" w:color="BCC2C8"/>
              <w:left w:val="single" w:sz="2" w:space="0" w:color="BCC2C8"/>
              <w:bottom w:val="single" w:sz="2" w:space="0" w:color="BCC2C8"/>
              <w:right w:val="single" w:sz="2" w:space="0" w:color="BCC2C8"/>
            </w:tcBorders>
            <w:shd w:val="clear" w:color="auto" w:fill="EFEEEF"/>
          </w:tcPr>
          <w:p w:rsidR="009E3725" w:rsidRDefault="009E3725" w:rsidP="007729F5">
            <w:pPr>
              <w:spacing w:line="259" w:lineRule="auto"/>
            </w:pPr>
            <w:r>
              <w:rPr>
                <w:rFonts w:ascii="Calibri" w:eastAsia="Calibri" w:hAnsi="Calibri" w:cs="Calibri"/>
                <w:b/>
              </w:rPr>
              <w:t>July-December</w:t>
            </w:r>
          </w:p>
        </w:tc>
        <w:tc>
          <w:tcPr>
            <w:tcW w:w="7453" w:type="dxa"/>
            <w:tcBorders>
              <w:top w:val="single" w:sz="2" w:space="0" w:color="BCC2C8"/>
              <w:left w:val="single" w:sz="2" w:space="0" w:color="BCC2C8"/>
              <w:bottom w:val="single" w:sz="2" w:space="0" w:color="BCC2C8"/>
              <w:right w:val="single" w:sz="2" w:space="0" w:color="BCC2C8"/>
            </w:tcBorders>
            <w:shd w:val="clear" w:color="auto" w:fill="EFEEEF"/>
            <w:vAlign w:val="center"/>
          </w:tcPr>
          <w:p w:rsidR="009E3725" w:rsidRDefault="009E3725" w:rsidP="007729F5">
            <w:pPr>
              <w:spacing w:line="259" w:lineRule="auto"/>
            </w:pPr>
            <w:r>
              <w:t xml:space="preserve">MCCs codify their learnings in a How to guide. </w:t>
            </w:r>
            <w:proofErr w:type="gramStart"/>
            <w:r>
              <w:t>the</w:t>
            </w:r>
            <w:proofErr w:type="gramEnd"/>
            <w:r>
              <w:t xml:space="preserve"> group shares its knowledge supporting the development of MCC-like groups including within the property sector, the state of Victoria, and elite sports. </w:t>
            </w:r>
          </w:p>
        </w:tc>
      </w:tr>
      <w:tr w:rsidR="009E3725" w:rsidTr="007729F5">
        <w:trPr>
          <w:trHeight w:val="1326"/>
        </w:trPr>
        <w:tc>
          <w:tcPr>
            <w:tcW w:w="1613" w:type="dxa"/>
            <w:tcBorders>
              <w:top w:val="single" w:sz="2" w:space="0" w:color="BCC2C8"/>
              <w:left w:val="single" w:sz="2" w:space="0" w:color="BCC2C8"/>
              <w:bottom w:val="single" w:sz="2" w:space="0" w:color="BCC2C8"/>
              <w:right w:val="single" w:sz="2" w:space="0" w:color="BCC2C8"/>
            </w:tcBorders>
            <w:shd w:val="clear" w:color="auto" w:fill="DDDEE2"/>
          </w:tcPr>
          <w:p w:rsidR="009E3725" w:rsidRDefault="009E3725" w:rsidP="007729F5">
            <w:pPr>
              <w:spacing w:line="259" w:lineRule="auto"/>
            </w:pPr>
            <w:r>
              <w:rPr>
                <w:rFonts w:ascii="Calibri" w:eastAsia="Calibri" w:hAnsi="Calibri" w:cs="Calibri"/>
                <w:b/>
              </w:rPr>
              <w:t>November</w:t>
            </w:r>
          </w:p>
        </w:tc>
        <w:tc>
          <w:tcPr>
            <w:tcW w:w="7453" w:type="dxa"/>
            <w:tcBorders>
              <w:top w:val="single" w:sz="2" w:space="0" w:color="BCC2C8"/>
              <w:left w:val="single" w:sz="2" w:space="0" w:color="BCC2C8"/>
              <w:bottom w:val="single" w:sz="2" w:space="0" w:color="BCC2C8"/>
              <w:right w:val="single" w:sz="2" w:space="0" w:color="BCC2C8"/>
            </w:tcBorders>
            <w:shd w:val="clear" w:color="auto" w:fill="DDDEE2"/>
            <w:vAlign w:val="center"/>
          </w:tcPr>
          <w:p w:rsidR="009E3725" w:rsidRDefault="009E3725" w:rsidP="007729F5">
            <w:pPr>
              <w:spacing w:after="113" w:line="248" w:lineRule="auto"/>
            </w:pPr>
            <w:r>
              <w:t>MCCs begin exploring the topic of Men’s Violence against Women – meeting with courageous survivor-advocates. MCCs communicate with employees about the experience on International Day to end Violence Against Women.</w:t>
            </w:r>
          </w:p>
          <w:p w:rsidR="009E3725" w:rsidRDefault="009E3725" w:rsidP="007729F5">
            <w:pPr>
              <w:spacing w:line="259" w:lineRule="auto"/>
            </w:pPr>
            <w:r>
              <w:t xml:space="preserve">Michael </w:t>
            </w:r>
            <w:proofErr w:type="spellStart"/>
            <w:r>
              <w:t>spence</w:t>
            </w:r>
            <w:proofErr w:type="spellEnd"/>
            <w:r>
              <w:t xml:space="preserve"> (University of </w:t>
            </w:r>
            <w:proofErr w:type="spellStart"/>
            <w:r>
              <w:t>sydney</w:t>
            </w:r>
            <w:proofErr w:type="spellEnd"/>
            <w:r>
              <w:t>) joins the MCC.</w:t>
            </w:r>
          </w:p>
        </w:tc>
      </w:tr>
      <w:tr w:rsidR="009E3725" w:rsidTr="007729F5">
        <w:trPr>
          <w:trHeight w:val="397"/>
        </w:trPr>
        <w:tc>
          <w:tcPr>
            <w:tcW w:w="9066" w:type="dxa"/>
            <w:gridSpan w:val="2"/>
            <w:tcBorders>
              <w:top w:val="single" w:sz="2" w:space="0" w:color="BCC2C8"/>
              <w:left w:val="single" w:sz="2" w:space="0" w:color="BCC2C8"/>
              <w:bottom w:val="single" w:sz="2" w:space="0" w:color="BCC2C8"/>
              <w:right w:val="single" w:sz="2" w:space="0" w:color="BCC2C8"/>
            </w:tcBorders>
            <w:shd w:val="clear" w:color="auto" w:fill="63676D"/>
          </w:tcPr>
          <w:p w:rsidR="009E3725" w:rsidRDefault="009E3725" w:rsidP="007729F5">
            <w:pPr>
              <w:spacing w:line="259" w:lineRule="auto"/>
              <w:ind w:right="55"/>
              <w:jc w:val="center"/>
            </w:pPr>
            <w:r>
              <w:rPr>
                <w:rFonts w:ascii="Calibri" w:eastAsia="Calibri" w:hAnsi="Calibri" w:cs="Calibri"/>
                <w:b/>
                <w:color w:val="FFFEFD"/>
                <w:sz w:val="20"/>
              </w:rPr>
              <w:t>2015</w:t>
            </w:r>
          </w:p>
        </w:tc>
      </w:tr>
      <w:tr w:rsidR="009E3725" w:rsidTr="007729F5">
        <w:trPr>
          <w:trHeight w:val="859"/>
        </w:trPr>
        <w:tc>
          <w:tcPr>
            <w:tcW w:w="1613" w:type="dxa"/>
            <w:tcBorders>
              <w:top w:val="single" w:sz="2" w:space="0" w:color="BCC2C8"/>
              <w:left w:val="single" w:sz="2" w:space="0" w:color="BCC2C8"/>
              <w:bottom w:val="single" w:sz="2" w:space="0" w:color="BCC2C8"/>
              <w:right w:val="single" w:sz="2" w:space="0" w:color="BCC2C8"/>
            </w:tcBorders>
            <w:shd w:val="clear" w:color="auto" w:fill="EFEEEF"/>
          </w:tcPr>
          <w:p w:rsidR="009E3725" w:rsidRDefault="009E3725" w:rsidP="007729F5">
            <w:pPr>
              <w:spacing w:line="259" w:lineRule="auto"/>
            </w:pPr>
            <w:r>
              <w:rPr>
                <w:rFonts w:ascii="Calibri" w:eastAsia="Calibri" w:hAnsi="Calibri" w:cs="Calibri"/>
                <w:b/>
              </w:rPr>
              <w:t>February</w:t>
            </w:r>
          </w:p>
        </w:tc>
        <w:tc>
          <w:tcPr>
            <w:tcW w:w="7453" w:type="dxa"/>
            <w:tcBorders>
              <w:top w:val="single" w:sz="2" w:space="0" w:color="BCC2C8"/>
              <w:left w:val="single" w:sz="2" w:space="0" w:color="BCC2C8"/>
              <w:bottom w:val="single" w:sz="2" w:space="0" w:color="BCC2C8"/>
              <w:right w:val="single" w:sz="2" w:space="0" w:color="BCC2C8"/>
            </w:tcBorders>
            <w:shd w:val="clear" w:color="auto" w:fill="EFEEEF"/>
          </w:tcPr>
          <w:p w:rsidR="009E3725" w:rsidRDefault="009E3725" w:rsidP="007729F5">
            <w:pPr>
              <w:spacing w:line="259" w:lineRule="auto"/>
            </w:pPr>
            <w:r>
              <w:t xml:space="preserve">MCC welcome Cindy Hook, Deloitte Australia’s new </w:t>
            </w:r>
            <w:proofErr w:type="spellStart"/>
            <w:r>
              <w:t>Ceo</w:t>
            </w:r>
            <w:proofErr w:type="spellEnd"/>
            <w:r>
              <w:t xml:space="preserve"> (and treasurer of Chief executive Women), to the group as a special Adviser. </w:t>
            </w:r>
            <w:proofErr w:type="gramStart"/>
            <w:r>
              <w:t>this</w:t>
            </w:r>
            <w:proofErr w:type="gramEnd"/>
            <w:r>
              <w:t xml:space="preserve"> is the first time an outgoing </w:t>
            </w:r>
            <w:proofErr w:type="spellStart"/>
            <w:r>
              <w:t>Ceo</w:t>
            </w:r>
            <w:proofErr w:type="spellEnd"/>
            <w:r>
              <w:t xml:space="preserve"> (</w:t>
            </w:r>
            <w:proofErr w:type="spellStart"/>
            <w:r>
              <w:t>giam</w:t>
            </w:r>
            <w:proofErr w:type="spellEnd"/>
            <w:r>
              <w:t xml:space="preserve"> </w:t>
            </w:r>
            <w:proofErr w:type="spellStart"/>
            <w:r>
              <w:t>swiegers</w:t>
            </w:r>
            <w:proofErr w:type="spellEnd"/>
            <w:r>
              <w:t xml:space="preserve">) and a MCC has been succeeded by a woman. </w:t>
            </w:r>
          </w:p>
        </w:tc>
      </w:tr>
      <w:tr w:rsidR="009E3725" w:rsidTr="007729F5">
        <w:trPr>
          <w:trHeight w:val="619"/>
        </w:trPr>
        <w:tc>
          <w:tcPr>
            <w:tcW w:w="1613" w:type="dxa"/>
            <w:tcBorders>
              <w:top w:val="single" w:sz="2" w:space="0" w:color="BCC2C8"/>
              <w:left w:val="single" w:sz="2" w:space="0" w:color="BCC2C8"/>
              <w:bottom w:val="single" w:sz="2" w:space="0" w:color="BCC2C8"/>
              <w:right w:val="single" w:sz="2" w:space="0" w:color="BCC2C8"/>
            </w:tcBorders>
            <w:shd w:val="clear" w:color="auto" w:fill="EFEEEF"/>
          </w:tcPr>
          <w:p w:rsidR="009E3725" w:rsidRDefault="009E3725" w:rsidP="007729F5">
            <w:pPr>
              <w:spacing w:line="259" w:lineRule="auto"/>
            </w:pPr>
            <w:r>
              <w:rPr>
                <w:rFonts w:ascii="Calibri" w:eastAsia="Calibri" w:hAnsi="Calibri" w:cs="Calibri"/>
                <w:b/>
              </w:rPr>
              <w:lastRenderedPageBreak/>
              <w:t>March</w:t>
            </w:r>
          </w:p>
        </w:tc>
        <w:tc>
          <w:tcPr>
            <w:tcW w:w="7453" w:type="dxa"/>
            <w:tcBorders>
              <w:top w:val="single" w:sz="2" w:space="0" w:color="BCC2C8"/>
              <w:left w:val="single" w:sz="2" w:space="0" w:color="BCC2C8"/>
              <w:bottom w:val="single" w:sz="2" w:space="0" w:color="BCC2C8"/>
              <w:right w:val="single" w:sz="2" w:space="0" w:color="BCC2C8"/>
            </w:tcBorders>
            <w:shd w:val="clear" w:color="auto" w:fill="EFEEEF"/>
          </w:tcPr>
          <w:p w:rsidR="009E3725" w:rsidRDefault="009E3725" w:rsidP="007729F5">
            <w:pPr>
              <w:spacing w:line="259" w:lineRule="auto"/>
            </w:pPr>
            <w:r>
              <w:t>MCCs release their first annual Progress report aimed at creating a new level of transparency around progress and to share experiences.</w:t>
            </w:r>
          </w:p>
        </w:tc>
      </w:tr>
      <w:tr w:rsidR="009E3725" w:rsidTr="007729F5">
        <w:trPr>
          <w:trHeight w:val="1453"/>
        </w:trPr>
        <w:tc>
          <w:tcPr>
            <w:tcW w:w="9066" w:type="dxa"/>
            <w:gridSpan w:val="2"/>
            <w:tcBorders>
              <w:top w:val="single" w:sz="2" w:space="0" w:color="BCC2C8"/>
              <w:left w:val="single" w:sz="2" w:space="0" w:color="BCC2C8"/>
              <w:bottom w:val="single" w:sz="2" w:space="0" w:color="BCC2C8"/>
              <w:right w:val="single" w:sz="2" w:space="0" w:color="BCC2C8"/>
            </w:tcBorders>
            <w:shd w:val="clear" w:color="auto" w:fill="FCFCFB"/>
            <w:vAlign w:val="center"/>
          </w:tcPr>
          <w:p w:rsidR="009E3725" w:rsidRDefault="009E3725" w:rsidP="007729F5">
            <w:pPr>
              <w:spacing w:line="259" w:lineRule="auto"/>
            </w:pPr>
            <w:proofErr w:type="gramStart"/>
            <w:r>
              <w:t>since</w:t>
            </w:r>
            <w:proofErr w:type="gramEnd"/>
            <w:r>
              <w:t xml:space="preserve"> their formation, the MCCs have spoken at more than 250 events focused on women’s representation in leadership as an economic and societal priority both across Australia and globally. </w:t>
            </w:r>
            <w:proofErr w:type="gramStart"/>
            <w:r>
              <w:t>this</w:t>
            </w:r>
            <w:proofErr w:type="gramEnd"/>
            <w:r>
              <w:t xml:space="preserve"> includes at the Commission on the status of Women (New York), global economic symposium (</w:t>
            </w:r>
            <w:proofErr w:type="spellStart"/>
            <w:r>
              <w:t>rio</w:t>
            </w:r>
            <w:proofErr w:type="spellEnd"/>
            <w:r>
              <w:t xml:space="preserve">), the IMF, the </w:t>
            </w:r>
            <w:proofErr w:type="spellStart"/>
            <w:r>
              <w:t>sAIs</w:t>
            </w:r>
            <w:proofErr w:type="spellEnd"/>
            <w:r>
              <w:t xml:space="preserve"> global Women in Leadership Conference (Washington, DC), Women’s Leadership symposium (Japan), World summit for Women (Paris), and the World Bank.</w:t>
            </w:r>
          </w:p>
        </w:tc>
      </w:tr>
    </w:tbl>
    <w:p w:rsidR="009E3725" w:rsidRDefault="009E3725" w:rsidP="009E3725">
      <w:pPr>
        <w:autoSpaceDE w:val="0"/>
        <w:autoSpaceDN w:val="0"/>
        <w:adjustRightInd w:val="0"/>
        <w:spacing w:after="0" w:line="240" w:lineRule="auto"/>
        <w:rPr>
          <w:rFonts w:ascii="Swiss721BT-BoldCondensed" w:hAnsi="Swiss721BT-BoldCondensed" w:cs="Swiss721BT-BoldCondensed"/>
          <w:b/>
          <w:bCs/>
          <w:color w:val="FFFFFF"/>
          <w:sz w:val="24"/>
          <w:szCs w:val="24"/>
        </w:rPr>
      </w:pPr>
      <w:bookmarkStart w:id="0" w:name="_GoBack"/>
      <w:bookmarkEnd w:id="0"/>
      <w:proofErr w:type="gramStart"/>
      <w:r>
        <w:rPr>
          <w:rFonts w:ascii="Swiss721BT-BoldCondensed" w:hAnsi="Swiss721BT-BoldCondensed" w:cs="Swiss721BT-BoldCondensed"/>
          <w:b/>
          <w:bCs/>
          <w:color w:val="FFFFFF"/>
          <w:sz w:val="24"/>
          <w:szCs w:val="24"/>
        </w:rPr>
        <w:t>and</w:t>
      </w:r>
      <w:proofErr w:type="gramEnd"/>
      <w:r>
        <w:rPr>
          <w:rFonts w:ascii="Swiss721BT-BoldCondensed" w:hAnsi="Swiss721BT-BoldCondensed" w:cs="Swiss721BT-BoldCondensed"/>
          <w:b/>
          <w:bCs/>
          <w:color w:val="FFFFFF"/>
          <w:sz w:val="24"/>
          <w:szCs w:val="24"/>
        </w:rPr>
        <w:t xml:space="preserve"> progress</w:t>
      </w:r>
    </w:p>
    <w:p w:rsidR="00B5234A" w:rsidRPr="00B5234A" w:rsidRDefault="009E3725" w:rsidP="009E3725">
      <w:pPr>
        <w:spacing w:after="0" w:line="240" w:lineRule="auto"/>
      </w:pPr>
      <w:r>
        <w:rPr>
          <w:rFonts w:ascii="Swiss721BT-BoldCondensed" w:hAnsi="Swiss721BT-BoldCondensed" w:cs="Swiss721BT-BoldCondensed"/>
          <w:b/>
          <w:bCs/>
          <w:color w:val="FFFFFF"/>
          <w:sz w:val="20"/>
          <w:szCs w:val="20"/>
        </w:rPr>
        <w:t>2010</w:t>
      </w:r>
    </w:p>
    <w:sectPr w:rsidR="00B5234A" w:rsidRPr="00B5234A" w:rsidSect="00EB01F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67D" w:rsidRDefault="0009667D" w:rsidP="00EB01F5">
      <w:pPr>
        <w:spacing w:after="0" w:line="240" w:lineRule="auto"/>
      </w:pPr>
      <w:r>
        <w:separator/>
      </w:r>
    </w:p>
  </w:endnote>
  <w:endnote w:type="continuationSeparator" w:id="0">
    <w:p w:rsidR="0009667D" w:rsidRDefault="0009667D" w:rsidP="00EB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wiss721BT-Light">
    <w:panose1 w:val="00000000000000000000"/>
    <w:charset w:val="00"/>
    <w:family w:val="swiss"/>
    <w:notTrueType/>
    <w:pitch w:val="default"/>
    <w:sig w:usb0="00000003" w:usb1="00000000" w:usb2="00000000" w:usb3="00000000" w:csb0="00000001" w:csb1="00000000"/>
  </w:font>
  <w:font w:name="TiemposText-Regular">
    <w:panose1 w:val="00000000000000000000"/>
    <w:charset w:val="00"/>
    <w:family w:val="roman"/>
    <w:notTrueType/>
    <w:pitch w:val="default"/>
    <w:sig w:usb0="00000003" w:usb1="00000000" w:usb2="00000000" w:usb3="00000000" w:csb0="00000001" w:csb1="00000000"/>
  </w:font>
  <w:font w:name="Swiss721BT-Bold">
    <w:panose1 w:val="00000000000000000000"/>
    <w:charset w:val="00"/>
    <w:family w:val="swiss"/>
    <w:notTrueType/>
    <w:pitch w:val="default"/>
    <w:sig w:usb0="00000003" w:usb1="00000000" w:usb2="00000000" w:usb3="00000000" w:csb0="00000001" w:csb1="00000000"/>
  </w:font>
  <w:font w:name="Swiss721BT-BoldCondense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67D" w:rsidRDefault="0009667D" w:rsidP="00EB01F5">
      <w:pPr>
        <w:spacing w:after="0" w:line="240" w:lineRule="auto"/>
      </w:pPr>
      <w:r>
        <w:separator/>
      </w:r>
    </w:p>
  </w:footnote>
  <w:footnote w:type="continuationSeparator" w:id="0">
    <w:p w:rsidR="0009667D" w:rsidRDefault="0009667D" w:rsidP="00EB01F5">
      <w:pPr>
        <w:spacing w:after="0" w:line="240" w:lineRule="auto"/>
      </w:pPr>
      <w:r>
        <w:continuationSeparator/>
      </w:r>
    </w:p>
  </w:footnote>
  <w:footnote w:id="1">
    <w:p w:rsidR="00EB01F5" w:rsidRDefault="00EB01F5" w:rsidP="00EB01F5">
      <w:pPr>
        <w:pStyle w:val="footnotedescription"/>
        <w:ind w:right="0"/>
      </w:pPr>
      <w:r>
        <w:rPr>
          <w:rStyle w:val="footnotemark"/>
        </w:rPr>
        <w:footnoteRef/>
      </w:r>
      <w:r>
        <w:t xml:space="preserve"> ‘Balance’ based on WGEA definition of 40% male/40% female/20% either male or female (e.g., 40-60% female). </w:t>
      </w:r>
      <w:r>
        <w:rPr>
          <w:sz w:val="13"/>
          <w:vertAlign w:val="superscript"/>
        </w:rPr>
        <w:t>2</w:t>
      </w:r>
      <w:r>
        <w:t xml:space="preserve"> Representation within 0.5% (above or below) WGEA Comparison Group Benchmark. </w:t>
      </w:r>
      <w:r>
        <w:rPr>
          <w:sz w:val="13"/>
          <w:vertAlign w:val="superscript"/>
        </w:rPr>
        <w:t xml:space="preserve">3 </w:t>
      </w:r>
      <w:r>
        <w:t>Comparison group based on closest industry, and identified in consultation with the WGEA. The MCC thank the WGEA for their input. See Appendix 1 (page 15) for detail on benchmarks. For more information and resources, see www.wgea.gov.au</w:t>
      </w:r>
      <w:r>
        <w:rPr>
          <w:sz w:val="13"/>
          <w:vertAlign w:val="superscript"/>
        </w:rPr>
        <w:t xml:space="preserve"> 4</w:t>
      </w:r>
      <w:r>
        <w:t xml:space="preserve"> Army, figures represent from left to right, Star Ranking officers, Colonels, Majors and Lieutenant Colonels, Warrant Officers Class 2 to Captain, Recruit and Officer Cadet to Sergeant. </w:t>
      </w:r>
      <w:r>
        <w:rPr>
          <w:sz w:val="13"/>
          <w:vertAlign w:val="superscript"/>
        </w:rPr>
        <w:t>5</w:t>
      </w:r>
      <w:r>
        <w:rPr>
          <w:sz w:val="23"/>
          <w:vertAlign w:val="superscript"/>
        </w:rPr>
        <w:t xml:space="preserve"> </w:t>
      </w:r>
      <w:r>
        <w:t>For Treasury and PMC, figures represent from left to right, CEO-1, CEO-2, CEO-3, CEO-4, APS-EL1 staff. Note: Goldman Sachs and IBM data not included.</w:t>
      </w:r>
    </w:p>
  </w:footnote>
  <w:footnote w:id="2">
    <w:p w:rsidR="00EB01F5" w:rsidRDefault="00EB01F5" w:rsidP="00EB01F5">
      <w:pPr>
        <w:pStyle w:val="footnotedescription"/>
        <w:spacing w:line="241" w:lineRule="auto"/>
      </w:pPr>
      <w:r>
        <w:rPr>
          <w:rStyle w:val="footnotemark"/>
        </w:rPr>
        <w:footnoteRef/>
      </w:r>
      <w:r>
        <w:t xml:space="preserve"> ‘Balance’ based on WGEA definition of 40% male/40% female/20% either male or female (e.g., 40-60% female). </w:t>
      </w:r>
      <w:r>
        <w:rPr>
          <w:sz w:val="13"/>
          <w:vertAlign w:val="superscript"/>
        </w:rPr>
        <w:t>2</w:t>
      </w:r>
      <w:r>
        <w:t xml:space="preserve"> Representation of women in graduate programs - measured either by share of accepted offers or share of starting class. </w:t>
      </w:r>
      <w:r>
        <w:rPr>
          <w:sz w:val="13"/>
          <w:vertAlign w:val="superscript"/>
        </w:rPr>
        <w:t>3</w:t>
      </w:r>
      <w:r>
        <w:t xml:space="preserve"> Representation of women in hiring - including entries facilitated by service providers. Interim recruitment arrangements commenced for the Commonwealth Public Service in October 2013 restricting external recruitment. </w:t>
      </w:r>
      <w:r>
        <w:rPr>
          <w:sz w:val="13"/>
          <w:vertAlign w:val="superscript"/>
        </w:rPr>
        <w:t>4</w:t>
      </w:r>
      <w:r>
        <w:t xml:space="preserve"> Representation of women in formal programs whose objective is to develop and accelerate high potential talent. Mid-Level and Executive defined by each organisation. </w:t>
      </w:r>
      <w:r>
        <w:rPr>
          <w:sz w:val="13"/>
          <w:vertAlign w:val="superscript"/>
        </w:rPr>
        <w:t>5</w:t>
      </w:r>
      <w:r>
        <w:t xml:space="preserve"> Engagement as measured by staff engagement surveys. Green indicates women at least as engaged as men. Army does not yet split its engagement survey data by gender.  </w:t>
      </w:r>
      <w:r>
        <w:rPr>
          <w:sz w:val="13"/>
          <w:vertAlign w:val="superscript"/>
        </w:rPr>
        <w:t>6</w:t>
      </w:r>
      <w:r>
        <w:t xml:space="preserve"> Tracking being put in place. </w:t>
      </w:r>
      <w:r>
        <w:rPr>
          <w:color w:val="000000"/>
        </w:rPr>
        <w:t xml:space="preserve">N/A indicates that the organisation does not have a significant program. For example, </w:t>
      </w:r>
      <w:proofErr w:type="gramStart"/>
      <w:r>
        <w:rPr>
          <w:color w:val="000000"/>
        </w:rPr>
        <w:t>Ten</w:t>
      </w:r>
      <w:proofErr w:type="gramEnd"/>
      <w:r>
        <w:rPr>
          <w:color w:val="000000"/>
        </w:rPr>
        <w:t xml:space="preserve"> does not have a formal graduate program. Army does not have a substantial external hire program. McKinsey, Ten and Treasury do not have a formal talent program. Note: Goldman Sachs and IBM data not included.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D1084"/>
    <w:multiLevelType w:val="hybridMultilevel"/>
    <w:tmpl w:val="B3B25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4E3438"/>
    <w:multiLevelType w:val="hybridMultilevel"/>
    <w:tmpl w:val="2E40B2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CDD7202"/>
    <w:multiLevelType w:val="hybridMultilevel"/>
    <w:tmpl w:val="E8F0EC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D8C4603"/>
    <w:multiLevelType w:val="hybridMultilevel"/>
    <w:tmpl w:val="C91609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E8177C"/>
    <w:multiLevelType w:val="hybridMultilevel"/>
    <w:tmpl w:val="5E5427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9D04217"/>
    <w:multiLevelType w:val="hybridMultilevel"/>
    <w:tmpl w:val="8E82B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0100DE"/>
    <w:multiLevelType w:val="hybridMultilevel"/>
    <w:tmpl w:val="C1E063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9EF75ED"/>
    <w:multiLevelType w:val="hybridMultilevel"/>
    <w:tmpl w:val="1F3EE9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C5C056B"/>
    <w:multiLevelType w:val="hybridMultilevel"/>
    <w:tmpl w:val="32AEA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1E55750"/>
    <w:multiLevelType w:val="hybridMultilevel"/>
    <w:tmpl w:val="BF8E3D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8BB7207"/>
    <w:multiLevelType w:val="hybridMultilevel"/>
    <w:tmpl w:val="B6C8B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
  </w:num>
  <w:num w:numId="4">
    <w:abstractNumId w:val="9"/>
  </w:num>
  <w:num w:numId="5">
    <w:abstractNumId w:val="2"/>
  </w:num>
  <w:num w:numId="6">
    <w:abstractNumId w:val="4"/>
  </w:num>
  <w:num w:numId="7">
    <w:abstractNumId w:val="10"/>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4A"/>
    <w:rsid w:val="000012F0"/>
    <w:rsid w:val="0000362B"/>
    <w:rsid w:val="00003DE8"/>
    <w:rsid w:val="00006A1D"/>
    <w:rsid w:val="000103F8"/>
    <w:rsid w:val="00010A82"/>
    <w:rsid w:val="00010AC5"/>
    <w:rsid w:val="00010CFE"/>
    <w:rsid w:val="00012BB8"/>
    <w:rsid w:val="00012CDF"/>
    <w:rsid w:val="00013EEC"/>
    <w:rsid w:val="00014B60"/>
    <w:rsid w:val="00015144"/>
    <w:rsid w:val="000223CF"/>
    <w:rsid w:val="000237AB"/>
    <w:rsid w:val="00025770"/>
    <w:rsid w:val="00031BB6"/>
    <w:rsid w:val="00031C91"/>
    <w:rsid w:val="00032D04"/>
    <w:rsid w:val="00036DED"/>
    <w:rsid w:val="000442CC"/>
    <w:rsid w:val="00045754"/>
    <w:rsid w:val="00054530"/>
    <w:rsid w:val="00056E6B"/>
    <w:rsid w:val="00057C9B"/>
    <w:rsid w:val="00061567"/>
    <w:rsid w:val="00061A71"/>
    <w:rsid w:val="00062A60"/>
    <w:rsid w:val="000679BD"/>
    <w:rsid w:val="0007078E"/>
    <w:rsid w:val="0007121A"/>
    <w:rsid w:val="00076AE3"/>
    <w:rsid w:val="00077402"/>
    <w:rsid w:val="0008047D"/>
    <w:rsid w:val="000807E3"/>
    <w:rsid w:val="00081CB2"/>
    <w:rsid w:val="00082BD8"/>
    <w:rsid w:val="0008699C"/>
    <w:rsid w:val="00086EBD"/>
    <w:rsid w:val="00092D4D"/>
    <w:rsid w:val="00093B41"/>
    <w:rsid w:val="000963FC"/>
    <w:rsid w:val="0009667D"/>
    <w:rsid w:val="000A06D3"/>
    <w:rsid w:val="000A0C22"/>
    <w:rsid w:val="000A23B8"/>
    <w:rsid w:val="000A245B"/>
    <w:rsid w:val="000A2C78"/>
    <w:rsid w:val="000A692F"/>
    <w:rsid w:val="000B05C4"/>
    <w:rsid w:val="000B1508"/>
    <w:rsid w:val="000B31C6"/>
    <w:rsid w:val="000B4FA7"/>
    <w:rsid w:val="000C10DC"/>
    <w:rsid w:val="000C1C36"/>
    <w:rsid w:val="000C4340"/>
    <w:rsid w:val="000C5FB9"/>
    <w:rsid w:val="000D4EB2"/>
    <w:rsid w:val="000D4FF6"/>
    <w:rsid w:val="000D53F4"/>
    <w:rsid w:val="000D6793"/>
    <w:rsid w:val="000D748B"/>
    <w:rsid w:val="000E1757"/>
    <w:rsid w:val="000E2E8C"/>
    <w:rsid w:val="000E3F8B"/>
    <w:rsid w:val="000E7E58"/>
    <w:rsid w:val="000F0268"/>
    <w:rsid w:val="000F05AE"/>
    <w:rsid w:val="000F176A"/>
    <w:rsid w:val="000F2600"/>
    <w:rsid w:val="000F43DB"/>
    <w:rsid w:val="000F4ED4"/>
    <w:rsid w:val="000F680D"/>
    <w:rsid w:val="00102417"/>
    <w:rsid w:val="001076E6"/>
    <w:rsid w:val="0010792A"/>
    <w:rsid w:val="00111180"/>
    <w:rsid w:val="00112A34"/>
    <w:rsid w:val="0011327E"/>
    <w:rsid w:val="0011465D"/>
    <w:rsid w:val="00116EF2"/>
    <w:rsid w:val="00123AEF"/>
    <w:rsid w:val="0013065F"/>
    <w:rsid w:val="001308F8"/>
    <w:rsid w:val="00131708"/>
    <w:rsid w:val="00131AB6"/>
    <w:rsid w:val="00141B5B"/>
    <w:rsid w:val="00145FCA"/>
    <w:rsid w:val="00146154"/>
    <w:rsid w:val="001461B2"/>
    <w:rsid w:val="001468AB"/>
    <w:rsid w:val="0014739A"/>
    <w:rsid w:val="001477F5"/>
    <w:rsid w:val="001478BA"/>
    <w:rsid w:val="001514BF"/>
    <w:rsid w:val="001551A4"/>
    <w:rsid w:val="00155B91"/>
    <w:rsid w:val="00170848"/>
    <w:rsid w:val="00174C4D"/>
    <w:rsid w:val="00177037"/>
    <w:rsid w:val="00182F3A"/>
    <w:rsid w:val="001831C0"/>
    <w:rsid w:val="001840AE"/>
    <w:rsid w:val="001867D1"/>
    <w:rsid w:val="00186BCE"/>
    <w:rsid w:val="00187CDD"/>
    <w:rsid w:val="001932E3"/>
    <w:rsid w:val="00197C29"/>
    <w:rsid w:val="001A13F8"/>
    <w:rsid w:val="001A230C"/>
    <w:rsid w:val="001A3879"/>
    <w:rsid w:val="001A537C"/>
    <w:rsid w:val="001A784A"/>
    <w:rsid w:val="001B027C"/>
    <w:rsid w:val="001B12C5"/>
    <w:rsid w:val="001B1B15"/>
    <w:rsid w:val="001B1E3E"/>
    <w:rsid w:val="001B3487"/>
    <w:rsid w:val="001B34C0"/>
    <w:rsid w:val="001B7896"/>
    <w:rsid w:val="001C27FD"/>
    <w:rsid w:val="001C5724"/>
    <w:rsid w:val="001D11F7"/>
    <w:rsid w:val="001D6111"/>
    <w:rsid w:val="001D7258"/>
    <w:rsid w:val="001E03D0"/>
    <w:rsid w:val="001E1C80"/>
    <w:rsid w:val="001E5F29"/>
    <w:rsid w:val="001E6CC2"/>
    <w:rsid w:val="001E7D3F"/>
    <w:rsid w:val="001F4CC0"/>
    <w:rsid w:val="001F4EAA"/>
    <w:rsid w:val="001F664C"/>
    <w:rsid w:val="0020036C"/>
    <w:rsid w:val="0020039D"/>
    <w:rsid w:val="00202412"/>
    <w:rsid w:val="00202B23"/>
    <w:rsid w:val="00202BC8"/>
    <w:rsid w:val="002048BA"/>
    <w:rsid w:val="00204AD4"/>
    <w:rsid w:val="00206DDF"/>
    <w:rsid w:val="00206F70"/>
    <w:rsid w:val="00207784"/>
    <w:rsid w:val="00211937"/>
    <w:rsid w:val="00211C34"/>
    <w:rsid w:val="0021252F"/>
    <w:rsid w:val="00212D20"/>
    <w:rsid w:val="00214C5B"/>
    <w:rsid w:val="00215A40"/>
    <w:rsid w:val="00221DAD"/>
    <w:rsid w:val="00223AFC"/>
    <w:rsid w:val="00225C05"/>
    <w:rsid w:val="00232829"/>
    <w:rsid w:val="00233174"/>
    <w:rsid w:val="002332BD"/>
    <w:rsid w:val="002336FB"/>
    <w:rsid w:val="002337DF"/>
    <w:rsid w:val="002360EC"/>
    <w:rsid w:val="00242649"/>
    <w:rsid w:val="002427D8"/>
    <w:rsid w:val="00244262"/>
    <w:rsid w:val="0024483C"/>
    <w:rsid w:val="00247FA0"/>
    <w:rsid w:val="00251049"/>
    <w:rsid w:val="002527DB"/>
    <w:rsid w:val="002532AA"/>
    <w:rsid w:val="002670B1"/>
    <w:rsid w:val="00270978"/>
    <w:rsid w:val="00271839"/>
    <w:rsid w:val="00271BF8"/>
    <w:rsid w:val="00271D87"/>
    <w:rsid w:val="00277752"/>
    <w:rsid w:val="00283AD3"/>
    <w:rsid w:val="002860DB"/>
    <w:rsid w:val="0028787D"/>
    <w:rsid w:val="00287CB6"/>
    <w:rsid w:val="002943D1"/>
    <w:rsid w:val="002954FF"/>
    <w:rsid w:val="002962A1"/>
    <w:rsid w:val="00296A4D"/>
    <w:rsid w:val="002A019C"/>
    <w:rsid w:val="002A04F0"/>
    <w:rsid w:val="002A08BD"/>
    <w:rsid w:val="002A1FF4"/>
    <w:rsid w:val="002A3712"/>
    <w:rsid w:val="002A39E8"/>
    <w:rsid w:val="002A4B3E"/>
    <w:rsid w:val="002B239C"/>
    <w:rsid w:val="002B2D9D"/>
    <w:rsid w:val="002B717B"/>
    <w:rsid w:val="002C365A"/>
    <w:rsid w:val="002C795F"/>
    <w:rsid w:val="002C7D6E"/>
    <w:rsid w:val="002D0830"/>
    <w:rsid w:val="002D1922"/>
    <w:rsid w:val="002D2427"/>
    <w:rsid w:val="002D393A"/>
    <w:rsid w:val="002D46DA"/>
    <w:rsid w:val="002D5CF4"/>
    <w:rsid w:val="002D5D2B"/>
    <w:rsid w:val="002E1973"/>
    <w:rsid w:val="002E4AA5"/>
    <w:rsid w:val="002E6469"/>
    <w:rsid w:val="002F003D"/>
    <w:rsid w:val="002F0BB6"/>
    <w:rsid w:val="002F1955"/>
    <w:rsid w:val="002F2CC0"/>
    <w:rsid w:val="002F41AE"/>
    <w:rsid w:val="0030013A"/>
    <w:rsid w:val="003057A1"/>
    <w:rsid w:val="00311C05"/>
    <w:rsid w:val="00311C46"/>
    <w:rsid w:val="00320365"/>
    <w:rsid w:val="003214C3"/>
    <w:rsid w:val="00322B7C"/>
    <w:rsid w:val="00327076"/>
    <w:rsid w:val="0033150C"/>
    <w:rsid w:val="00331FDA"/>
    <w:rsid w:val="00333722"/>
    <w:rsid w:val="0033675D"/>
    <w:rsid w:val="00336BF9"/>
    <w:rsid w:val="00340AE0"/>
    <w:rsid w:val="00340B2F"/>
    <w:rsid w:val="00341751"/>
    <w:rsid w:val="00342FAA"/>
    <w:rsid w:val="0034788B"/>
    <w:rsid w:val="003545C9"/>
    <w:rsid w:val="00355711"/>
    <w:rsid w:val="00356562"/>
    <w:rsid w:val="00357FBD"/>
    <w:rsid w:val="00365265"/>
    <w:rsid w:val="00371CA7"/>
    <w:rsid w:val="00371CD6"/>
    <w:rsid w:val="00375FB2"/>
    <w:rsid w:val="00377338"/>
    <w:rsid w:val="0038155F"/>
    <w:rsid w:val="00381925"/>
    <w:rsid w:val="00383FE0"/>
    <w:rsid w:val="003841B4"/>
    <w:rsid w:val="0039394A"/>
    <w:rsid w:val="00395206"/>
    <w:rsid w:val="003953A0"/>
    <w:rsid w:val="00397165"/>
    <w:rsid w:val="003A5413"/>
    <w:rsid w:val="003B237A"/>
    <w:rsid w:val="003B2CFE"/>
    <w:rsid w:val="003B4F7E"/>
    <w:rsid w:val="003B7B4A"/>
    <w:rsid w:val="003C1781"/>
    <w:rsid w:val="003C4188"/>
    <w:rsid w:val="003D2306"/>
    <w:rsid w:val="003D2CB9"/>
    <w:rsid w:val="003D359B"/>
    <w:rsid w:val="003E064C"/>
    <w:rsid w:val="003E0C8C"/>
    <w:rsid w:val="003E0D15"/>
    <w:rsid w:val="003E29F1"/>
    <w:rsid w:val="003E30BE"/>
    <w:rsid w:val="003E6C6B"/>
    <w:rsid w:val="003E708E"/>
    <w:rsid w:val="003F02CA"/>
    <w:rsid w:val="003F778E"/>
    <w:rsid w:val="00401CB9"/>
    <w:rsid w:val="004063F1"/>
    <w:rsid w:val="00406BEE"/>
    <w:rsid w:val="0041111E"/>
    <w:rsid w:val="004155DE"/>
    <w:rsid w:val="00416574"/>
    <w:rsid w:val="00421D21"/>
    <w:rsid w:val="0042497F"/>
    <w:rsid w:val="0042794D"/>
    <w:rsid w:val="00434A80"/>
    <w:rsid w:val="00442FB6"/>
    <w:rsid w:val="00444D48"/>
    <w:rsid w:val="0045015D"/>
    <w:rsid w:val="004501F9"/>
    <w:rsid w:val="00451276"/>
    <w:rsid w:val="00451650"/>
    <w:rsid w:val="0045294E"/>
    <w:rsid w:val="0045381D"/>
    <w:rsid w:val="00457228"/>
    <w:rsid w:val="00461F5C"/>
    <w:rsid w:val="00462F63"/>
    <w:rsid w:val="00463D5B"/>
    <w:rsid w:val="0046577A"/>
    <w:rsid w:val="004672C1"/>
    <w:rsid w:val="004674A5"/>
    <w:rsid w:val="004679D0"/>
    <w:rsid w:val="00467E7D"/>
    <w:rsid w:val="0047062C"/>
    <w:rsid w:val="00470832"/>
    <w:rsid w:val="004713C0"/>
    <w:rsid w:val="00475C58"/>
    <w:rsid w:val="004761AE"/>
    <w:rsid w:val="00476639"/>
    <w:rsid w:val="00476AF9"/>
    <w:rsid w:val="00482C81"/>
    <w:rsid w:val="00487F00"/>
    <w:rsid w:val="00491C44"/>
    <w:rsid w:val="00494FE0"/>
    <w:rsid w:val="00496BC2"/>
    <w:rsid w:val="004A058D"/>
    <w:rsid w:val="004A05FD"/>
    <w:rsid w:val="004A0A71"/>
    <w:rsid w:val="004A0BD3"/>
    <w:rsid w:val="004A2B30"/>
    <w:rsid w:val="004A2DB3"/>
    <w:rsid w:val="004A38B8"/>
    <w:rsid w:val="004A65B7"/>
    <w:rsid w:val="004A68E9"/>
    <w:rsid w:val="004B671A"/>
    <w:rsid w:val="004B6DD8"/>
    <w:rsid w:val="004C04F6"/>
    <w:rsid w:val="004C14DA"/>
    <w:rsid w:val="004C278A"/>
    <w:rsid w:val="004C42E0"/>
    <w:rsid w:val="004D0BF0"/>
    <w:rsid w:val="004D218A"/>
    <w:rsid w:val="004D6B96"/>
    <w:rsid w:val="004D71FF"/>
    <w:rsid w:val="004E0CAF"/>
    <w:rsid w:val="004E2A47"/>
    <w:rsid w:val="004E307D"/>
    <w:rsid w:val="004E3680"/>
    <w:rsid w:val="004F027E"/>
    <w:rsid w:val="004F1D07"/>
    <w:rsid w:val="004F5917"/>
    <w:rsid w:val="004F7547"/>
    <w:rsid w:val="0050074D"/>
    <w:rsid w:val="00501C52"/>
    <w:rsid w:val="0050290A"/>
    <w:rsid w:val="00502FCA"/>
    <w:rsid w:val="005039EB"/>
    <w:rsid w:val="00503C3D"/>
    <w:rsid w:val="005060A7"/>
    <w:rsid w:val="00506CF4"/>
    <w:rsid w:val="00507218"/>
    <w:rsid w:val="0050787E"/>
    <w:rsid w:val="00510205"/>
    <w:rsid w:val="0051216E"/>
    <w:rsid w:val="005124AE"/>
    <w:rsid w:val="00514A97"/>
    <w:rsid w:val="00520039"/>
    <w:rsid w:val="00520402"/>
    <w:rsid w:val="005208B5"/>
    <w:rsid w:val="00522A0E"/>
    <w:rsid w:val="005251AD"/>
    <w:rsid w:val="00526977"/>
    <w:rsid w:val="00527640"/>
    <w:rsid w:val="00531024"/>
    <w:rsid w:val="0053237D"/>
    <w:rsid w:val="00535B6F"/>
    <w:rsid w:val="00540EC0"/>
    <w:rsid w:val="005433B4"/>
    <w:rsid w:val="005433F7"/>
    <w:rsid w:val="00544329"/>
    <w:rsid w:val="00545370"/>
    <w:rsid w:val="005504C0"/>
    <w:rsid w:val="00551D5F"/>
    <w:rsid w:val="005520CD"/>
    <w:rsid w:val="005523F0"/>
    <w:rsid w:val="00552945"/>
    <w:rsid w:val="00554BD4"/>
    <w:rsid w:val="005738D4"/>
    <w:rsid w:val="00576981"/>
    <w:rsid w:val="005806D5"/>
    <w:rsid w:val="0058275D"/>
    <w:rsid w:val="00582CBB"/>
    <w:rsid w:val="00583798"/>
    <w:rsid w:val="00583C89"/>
    <w:rsid w:val="005869A9"/>
    <w:rsid w:val="00587DD6"/>
    <w:rsid w:val="0059050B"/>
    <w:rsid w:val="0059053C"/>
    <w:rsid w:val="00591607"/>
    <w:rsid w:val="00591676"/>
    <w:rsid w:val="005916F7"/>
    <w:rsid w:val="0059741D"/>
    <w:rsid w:val="005A05FF"/>
    <w:rsid w:val="005A0FE5"/>
    <w:rsid w:val="005A3178"/>
    <w:rsid w:val="005A44DA"/>
    <w:rsid w:val="005A4803"/>
    <w:rsid w:val="005A5451"/>
    <w:rsid w:val="005B537E"/>
    <w:rsid w:val="005B5FA3"/>
    <w:rsid w:val="005B6DFA"/>
    <w:rsid w:val="005C1C96"/>
    <w:rsid w:val="005C2842"/>
    <w:rsid w:val="005C3043"/>
    <w:rsid w:val="005C4240"/>
    <w:rsid w:val="005C42AB"/>
    <w:rsid w:val="005C4E28"/>
    <w:rsid w:val="005C7074"/>
    <w:rsid w:val="005D0263"/>
    <w:rsid w:val="005D05D1"/>
    <w:rsid w:val="005D0CDB"/>
    <w:rsid w:val="005D346E"/>
    <w:rsid w:val="005D60BC"/>
    <w:rsid w:val="005D75CD"/>
    <w:rsid w:val="005E0D98"/>
    <w:rsid w:val="005E0E1B"/>
    <w:rsid w:val="005E2253"/>
    <w:rsid w:val="005E3C6C"/>
    <w:rsid w:val="005E4CFD"/>
    <w:rsid w:val="005F0E4E"/>
    <w:rsid w:val="005F419E"/>
    <w:rsid w:val="005F4236"/>
    <w:rsid w:val="005F55DD"/>
    <w:rsid w:val="005F58B3"/>
    <w:rsid w:val="005F63FF"/>
    <w:rsid w:val="005F711A"/>
    <w:rsid w:val="006001D3"/>
    <w:rsid w:val="00602AC5"/>
    <w:rsid w:val="00605745"/>
    <w:rsid w:val="00605F48"/>
    <w:rsid w:val="00606CDB"/>
    <w:rsid w:val="0061061F"/>
    <w:rsid w:val="00610ECD"/>
    <w:rsid w:val="00614544"/>
    <w:rsid w:val="006146D6"/>
    <w:rsid w:val="00616CFB"/>
    <w:rsid w:val="00622A76"/>
    <w:rsid w:val="00623B85"/>
    <w:rsid w:val="0063252C"/>
    <w:rsid w:val="00633BF0"/>
    <w:rsid w:val="00633D6D"/>
    <w:rsid w:val="006353ED"/>
    <w:rsid w:val="00636645"/>
    <w:rsid w:val="00644572"/>
    <w:rsid w:val="00644A76"/>
    <w:rsid w:val="0064705F"/>
    <w:rsid w:val="00652223"/>
    <w:rsid w:val="00654CC8"/>
    <w:rsid w:val="00655A37"/>
    <w:rsid w:val="0065602D"/>
    <w:rsid w:val="0065625C"/>
    <w:rsid w:val="0065719B"/>
    <w:rsid w:val="006641F6"/>
    <w:rsid w:val="00666105"/>
    <w:rsid w:val="00666B64"/>
    <w:rsid w:val="00667C63"/>
    <w:rsid w:val="00670090"/>
    <w:rsid w:val="00673D47"/>
    <w:rsid w:val="00674445"/>
    <w:rsid w:val="0067553B"/>
    <w:rsid w:val="00675F30"/>
    <w:rsid w:val="006770A1"/>
    <w:rsid w:val="00677B46"/>
    <w:rsid w:val="00677BE4"/>
    <w:rsid w:val="00677F4D"/>
    <w:rsid w:val="0068235B"/>
    <w:rsid w:val="0068249E"/>
    <w:rsid w:val="006838B5"/>
    <w:rsid w:val="00691993"/>
    <w:rsid w:val="00694B0D"/>
    <w:rsid w:val="00694F8C"/>
    <w:rsid w:val="00696159"/>
    <w:rsid w:val="00697797"/>
    <w:rsid w:val="006A0C7F"/>
    <w:rsid w:val="006A44F3"/>
    <w:rsid w:val="006A4731"/>
    <w:rsid w:val="006A691A"/>
    <w:rsid w:val="006A7B99"/>
    <w:rsid w:val="006A7EC4"/>
    <w:rsid w:val="006B00A3"/>
    <w:rsid w:val="006B1C37"/>
    <w:rsid w:val="006B4514"/>
    <w:rsid w:val="006B7667"/>
    <w:rsid w:val="006C1311"/>
    <w:rsid w:val="006C1F86"/>
    <w:rsid w:val="006C6013"/>
    <w:rsid w:val="006C6E15"/>
    <w:rsid w:val="006C708B"/>
    <w:rsid w:val="006C7D7A"/>
    <w:rsid w:val="006D1926"/>
    <w:rsid w:val="006D3406"/>
    <w:rsid w:val="006E3E7D"/>
    <w:rsid w:val="006E66B8"/>
    <w:rsid w:val="006E7109"/>
    <w:rsid w:val="006E7289"/>
    <w:rsid w:val="006F0014"/>
    <w:rsid w:val="006F056A"/>
    <w:rsid w:val="006F11AB"/>
    <w:rsid w:val="006F274A"/>
    <w:rsid w:val="006F3B80"/>
    <w:rsid w:val="006F50FA"/>
    <w:rsid w:val="006F539C"/>
    <w:rsid w:val="006F5800"/>
    <w:rsid w:val="006F6077"/>
    <w:rsid w:val="006F6755"/>
    <w:rsid w:val="00700DF4"/>
    <w:rsid w:val="007055F6"/>
    <w:rsid w:val="00705ABF"/>
    <w:rsid w:val="00705EF4"/>
    <w:rsid w:val="007061FD"/>
    <w:rsid w:val="00707536"/>
    <w:rsid w:val="007076B6"/>
    <w:rsid w:val="00707953"/>
    <w:rsid w:val="0071300F"/>
    <w:rsid w:val="0071321D"/>
    <w:rsid w:val="00716F3C"/>
    <w:rsid w:val="00717D91"/>
    <w:rsid w:val="00720DF9"/>
    <w:rsid w:val="007218FF"/>
    <w:rsid w:val="00722E4E"/>
    <w:rsid w:val="007251B9"/>
    <w:rsid w:val="00725D0B"/>
    <w:rsid w:val="00726612"/>
    <w:rsid w:val="00726A5B"/>
    <w:rsid w:val="00727B80"/>
    <w:rsid w:val="00731F06"/>
    <w:rsid w:val="007320E9"/>
    <w:rsid w:val="00732C36"/>
    <w:rsid w:val="00736E34"/>
    <w:rsid w:val="00736FB6"/>
    <w:rsid w:val="0074086B"/>
    <w:rsid w:val="00743E5F"/>
    <w:rsid w:val="00745DDD"/>
    <w:rsid w:val="00745E40"/>
    <w:rsid w:val="0075424F"/>
    <w:rsid w:val="00755ABA"/>
    <w:rsid w:val="007628B9"/>
    <w:rsid w:val="00764FBA"/>
    <w:rsid w:val="0076533A"/>
    <w:rsid w:val="007662D8"/>
    <w:rsid w:val="00770038"/>
    <w:rsid w:val="007705BE"/>
    <w:rsid w:val="0077400D"/>
    <w:rsid w:val="007744F4"/>
    <w:rsid w:val="00774E9D"/>
    <w:rsid w:val="0078140B"/>
    <w:rsid w:val="00783555"/>
    <w:rsid w:val="00784DF8"/>
    <w:rsid w:val="00786102"/>
    <w:rsid w:val="00787CAD"/>
    <w:rsid w:val="007910B0"/>
    <w:rsid w:val="00793A3C"/>
    <w:rsid w:val="00794509"/>
    <w:rsid w:val="00794BB0"/>
    <w:rsid w:val="00795300"/>
    <w:rsid w:val="0079622D"/>
    <w:rsid w:val="007A6ADF"/>
    <w:rsid w:val="007A7678"/>
    <w:rsid w:val="007A7F55"/>
    <w:rsid w:val="007B150C"/>
    <w:rsid w:val="007B2A7A"/>
    <w:rsid w:val="007B2FC2"/>
    <w:rsid w:val="007C577C"/>
    <w:rsid w:val="007C589B"/>
    <w:rsid w:val="007C5F60"/>
    <w:rsid w:val="007C663C"/>
    <w:rsid w:val="007C735E"/>
    <w:rsid w:val="007C764B"/>
    <w:rsid w:val="007D405B"/>
    <w:rsid w:val="007D4A5E"/>
    <w:rsid w:val="007D5E75"/>
    <w:rsid w:val="007E0B75"/>
    <w:rsid w:val="007E143B"/>
    <w:rsid w:val="007E268A"/>
    <w:rsid w:val="007E2FD0"/>
    <w:rsid w:val="007E365D"/>
    <w:rsid w:val="007E44FA"/>
    <w:rsid w:val="007E4D95"/>
    <w:rsid w:val="007E7340"/>
    <w:rsid w:val="007F2A94"/>
    <w:rsid w:val="007F3EE1"/>
    <w:rsid w:val="007F7CA2"/>
    <w:rsid w:val="008017C6"/>
    <w:rsid w:val="00804489"/>
    <w:rsid w:val="00806C9E"/>
    <w:rsid w:val="0080786F"/>
    <w:rsid w:val="00811764"/>
    <w:rsid w:val="0081291D"/>
    <w:rsid w:val="00815855"/>
    <w:rsid w:val="0082013F"/>
    <w:rsid w:val="00822E52"/>
    <w:rsid w:val="00823987"/>
    <w:rsid w:val="00823E78"/>
    <w:rsid w:val="00832085"/>
    <w:rsid w:val="00833D88"/>
    <w:rsid w:val="008342E4"/>
    <w:rsid w:val="00835399"/>
    <w:rsid w:val="0083550E"/>
    <w:rsid w:val="0083632E"/>
    <w:rsid w:val="008365A0"/>
    <w:rsid w:val="00837C8B"/>
    <w:rsid w:val="00840192"/>
    <w:rsid w:val="008458A5"/>
    <w:rsid w:val="00846C20"/>
    <w:rsid w:val="00847FC2"/>
    <w:rsid w:val="00850D6E"/>
    <w:rsid w:val="00853860"/>
    <w:rsid w:val="00854683"/>
    <w:rsid w:val="00860DED"/>
    <w:rsid w:val="00861464"/>
    <w:rsid w:val="008636F9"/>
    <w:rsid w:val="00872A72"/>
    <w:rsid w:val="008801F3"/>
    <w:rsid w:val="00884D34"/>
    <w:rsid w:val="0088549D"/>
    <w:rsid w:val="00885FF4"/>
    <w:rsid w:val="00886281"/>
    <w:rsid w:val="00887F0E"/>
    <w:rsid w:val="008908B2"/>
    <w:rsid w:val="00892A8C"/>
    <w:rsid w:val="00893862"/>
    <w:rsid w:val="00893A4D"/>
    <w:rsid w:val="008946D0"/>
    <w:rsid w:val="00895C2D"/>
    <w:rsid w:val="008A11D6"/>
    <w:rsid w:val="008A1ADC"/>
    <w:rsid w:val="008A2943"/>
    <w:rsid w:val="008B5B03"/>
    <w:rsid w:val="008B64ED"/>
    <w:rsid w:val="008C457A"/>
    <w:rsid w:val="008C54EC"/>
    <w:rsid w:val="008D2BA1"/>
    <w:rsid w:val="008E2F21"/>
    <w:rsid w:val="008E322D"/>
    <w:rsid w:val="008E4D13"/>
    <w:rsid w:val="008E5781"/>
    <w:rsid w:val="008E72EF"/>
    <w:rsid w:val="008F0A1B"/>
    <w:rsid w:val="008F77FC"/>
    <w:rsid w:val="008F7D8D"/>
    <w:rsid w:val="00905856"/>
    <w:rsid w:val="0090670F"/>
    <w:rsid w:val="00906B21"/>
    <w:rsid w:val="00907E19"/>
    <w:rsid w:val="00910221"/>
    <w:rsid w:val="009115DC"/>
    <w:rsid w:val="0091304C"/>
    <w:rsid w:val="0091444E"/>
    <w:rsid w:val="0091714F"/>
    <w:rsid w:val="00921DC9"/>
    <w:rsid w:val="009225E3"/>
    <w:rsid w:val="00924728"/>
    <w:rsid w:val="009250B1"/>
    <w:rsid w:val="00931BC0"/>
    <w:rsid w:val="009328F0"/>
    <w:rsid w:val="00937305"/>
    <w:rsid w:val="00941A29"/>
    <w:rsid w:val="00954517"/>
    <w:rsid w:val="00956DD4"/>
    <w:rsid w:val="0095746D"/>
    <w:rsid w:val="00957C87"/>
    <w:rsid w:val="0096053A"/>
    <w:rsid w:val="00967E7A"/>
    <w:rsid w:val="00970F6B"/>
    <w:rsid w:val="00976171"/>
    <w:rsid w:val="009766EB"/>
    <w:rsid w:val="00977678"/>
    <w:rsid w:val="00981FC5"/>
    <w:rsid w:val="009844F4"/>
    <w:rsid w:val="0098538C"/>
    <w:rsid w:val="009858EA"/>
    <w:rsid w:val="00986414"/>
    <w:rsid w:val="0098739D"/>
    <w:rsid w:val="00990E3F"/>
    <w:rsid w:val="009950F3"/>
    <w:rsid w:val="009A0081"/>
    <w:rsid w:val="009A05A6"/>
    <w:rsid w:val="009A0758"/>
    <w:rsid w:val="009A0A65"/>
    <w:rsid w:val="009A1671"/>
    <w:rsid w:val="009A36DA"/>
    <w:rsid w:val="009A37DE"/>
    <w:rsid w:val="009A7177"/>
    <w:rsid w:val="009A72C3"/>
    <w:rsid w:val="009A7A09"/>
    <w:rsid w:val="009B1EDC"/>
    <w:rsid w:val="009B2B7F"/>
    <w:rsid w:val="009B3637"/>
    <w:rsid w:val="009B7D06"/>
    <w:rsid w:val="009C15C0"/>
    <w:rsid w:val="009C2C46"/>
    <w:rsid w:val="009C4E2D"/>
    <w:rsid w:val="009C5302"/>
    <w:rsid w:val="009D13F7"/>
    <w:rsid w:val="009D3EE9"/>
    <w:rsid w:val="009D4ACF"/>
    <w:rsid w:val="009D616C"/>
    <w:rsid w:val="009E01CF"/>
    <w:rsid w:val="009E3646"/>
    <w:rsid w:val="009E3725"/>
    <w:rsid w:val="009E3738"/>
    <w:rsid w:val="009E4E3F"/>
    <w:rsid w:val="009E5482"/>
    <w:rsid w:val="009E5E28"/>
    <w:rsid w:val="009F0DCD"/>
    <w:rsid w:val="009F1BFD"/>
    <w:rsid w:val="009F3390"/>
    <w:rsid w:val="009F57FB"/>
    <w:rsid w:val="00A00DBB"/>
    <w:rsid w:val="00A02CBA"/>
    <w:rsid w:val="00A05584"/>
    <w:rsid w:val="00A077F1"/>
    <w:rsid w:val="00A10593"/>
    <w:rsid w:val="00A12C0F"/>
    <w:rsid w:val="00A145AC"/>
    <w:rsid w:val="00A148A6"/>
    <w:rsid w:val="00A14FDA"/>
    <w:rsid w:val="00A152DB"/>
    <w:rsid w:val="00A16506"/>
    <w:rsid w:val="00A20DFD"/>
    <w:rsid w:val="00A2111B"/>
    <w:rsid w:val="00A31D01"/>
    <w:rsid w:val="00A32BEC"/>
    <w:rsid w:val="00A33C7E"/>
    <w:rsid w:val="00A3419D"/>
    <w:rsid w:val="00A3466E"/>
    <w:rsid w:val="00A3514F"/>
    <w:rsid w:val="00A37721"/>
    <w:rsid w:val="00A41B10"/>
    <w:rsid w:val="00A43135"/>
    <w:rsid w:val="00A46E0D"/>
    <w:rsid w:val="00A479F9"/>
    <w:rsid w:val="00A50C70"/>
    <w:rsid w:val="00A50DCA"/>
    <w:rsid w:val="00A52277"/>
    <w:rsid w:val="00A523D8"/>
    <w:rsid w:val="00A54588"/>
    <w:rsid w:val="00A57CD4"/>
    <w:rsid w:val="00A60BC8"/>
    <w:rsid w:val="00A63236"/>
    <w:rsid w:val="00A641C1"/>
    <w:rsid w:val="00A646FA"/>
    <w:rsid w:val="00A65C04"/>
    <w:rsid w:val="00A70E4D"/>
    <w:rsid w:val="00A71EB8"/>
    <w:rsid w:val="00A7263D"/>
    <w:rsid w:val="00A72E6A"/>
    <w:rsid w:val="00A7301C"/>
    <w:rsid w:val="00A7325A"/>
    <w:rsid w:val="00A75A82"/>
    <w:rsid w:val="00A7618F"/>
    <w:rsid w:val="00A77BDE"/>
    <w:rsid w:val="00A817DA"/>
    <w:rsid w:val="00A8333B"/>
    <w:rsid w:val="00A87C17"/>
    <w:rsid w:val="00A90025"/>
    <w:rsid w:val="00A92F3C"/>
    <w:rsid w:val="00A9352F"/>
    <w:rsid w:val="00AA06EF"/>
    <w:rsid w:val="00AA183F"/>
    <w:rsid w:val="00AA45D3"/>
    <w:rsid w:val="00AA488F"/>
    <w:rsid w:val="00AA4CF8"/>
    <w:rsid w:val="00AB20EE"/>
    <w:rsid w:val="00AB5B8A"/>
    <w:rsid w:val="00AB5FDF"/>
    <w:rsid w:val="00AB7114"/>
    <w:rsid w:val="00AB7CBB"/>
    <w:rsid w:val="00AC26EA"/>
    <w:rsid w:val="00AC3B15"/>
    <w:rsid w:val="00AC47BC"/>
    <w:rsid w:val="00AC4A25"/>
    <w:rsid w:val="00AC77F7"/>
    <w:rsid w:val="00AC78D3"/>
    <w:rsid w:val="00AD3752"/>
    <w:rsid w:val="00AD3757"/>
    <w:rsid w:val="00AD486F"/>
    <w:rsid w:val="00AD5789"/>
    <w:rsid w:val="00AD7B8D"/>
    <w:rsid w:val="00AE30D4"/>
    <w:rsid w:val="00AE35DE"/>
    <w:rsid w:val="00AE4087"/>
    <w:rsid w:val="00AE52C0"/>
    <w:rsid w:val="00AE5EBE"/>
    <w:rsid w:val="00AE6EC5"/>
    <w:rsid w:val="00AE7F61"/>
    <w:rsid w:val="00AF2894"/>
    <w:rsid w:val="00AF5400"/>
    <w:rsid w:val="00AF5976"/>
    <w:rsid w:val="00AF7252"/>
    <w:rsid w:val="00AF7BA6"/>
    <w:rsid w:val="00B02DF8"/>
    <w:rsid w:val="00B042B8"/>
    <w:rsid w:val="00B07B2B"/>
    <w:rsid w:val="00B1017A"/>
    <w:rsid w:val="00B13CDB"/>
    <w:rsid w:val="00B146E8"/>
    <w:rsid w:val="00B16898"/>
    <w:rsid w:val="00B205A9"/>
    <w:rsid w:val="00B2199A"/>
    <w:rsid w:val="00B23A02"/>
    <w:rsid w:val="00B250CA"/>
    <w:rsid w:val="00B25306"/>
    <w:rsid w:val="00B31B0C"/>
    <w:rsid w:val="00B31C1A"/>
    <w:rsid w:val="00B32B17"/>
    <w:rsid w:val="00B32B57"/>
    <w:rsid w:val="00B35963"/>
    <w:rsid w:val="00B36E4F"/>
    <w:rsid w:val="00B40022"/>
    <w:rsid w:val="00B40267"/>
    <w:rsid w:val="00B468AC"/>
    <w:rsid w:val="00B51C71"/>
    <w:rsid w:val="00B5234A"/>
    <w:rsid w:val="00B52566"/>
    <w:rsid w:val="00B54D3D"/>
    <w:rsid w:val="00B54F79"/>
    <w:rsid w:val="00B565EB"/>
    <w:rsid w:val="00B6135B"/>
    <w:rsid w:val="00B63B7D"/>
    <w:rsid w:val="00B64BB7"/>
    <w:rsid w:val="00B64EF7"/>
    <w:rsid w:val="00B65690"/>
    <w:rsid w:val="00B66187"/>
    <w:rsid w:val="00B66666"/>
    <w:rsid w:val="00B716C4"/>
    <w:rsid w:val="00B72BF6"/>
    <w:rsid w:val="00B809B0"/>
    <w:rsid w:val="00B811B4"/>
    <w:rsid w:val="00B815CD"/>
    <w:rsid w:val="00B81F2F"/>
    <w:rsid w:val="00B833FA"/>
    <w:rsid w:val="00B84B35"/>
    <w:rsid w:val="00B84BDF"/>
    <w:rsid w:val="00B8611A"/>
    <w:rsid w:val="00B877BF"/>
    <w:rsid w:val="00B908FC"/>
    <w:rsid w:val="00B91A89"/>
    <w:rsid w:val="00B9777D"/>
    <w:rsid w:val="00B9792B"/>
    <w:rsid w:val="00BA635E"/>
    <w:rsid w:val="00BA6B05"/>
    <w:rsid w:val="00BA6E3E"/>
    <w:rsid w:val="00BB011A"/>
    <w:rsid w:val="00BB11AB"/>
    <w:rsid w:val="00BB16ED"/>
    <w:rsid w:val="00BB237E"/>
    <w:rsid w:val="00BB28F9"/>
    <w:rsid w:val="00BB4E34"/>
    <w:rsid w:val="00BC246E"/>
    <w:rsid w:val="00BC6069"/>
    <w:rsid w:val="00BD3CDD"/>
    <w:rsid w:val="00BD689F"/>
    <w:rsid w:val="00BD6CF8"/>
    <w:rsid w:val="00BE0728"/>
    <w:rsid w:val="00BE4CD6"/>
    <w:rsid w:val="00BE5E42"/>
    <w:rsid w:val="00BE6DA1"/>
    <w:rsid w:val="00BF3828"/>
    <w:rsid w:val="00BF3AF5"/>
    <w:rsid w:val="00BF57B1"/>
    <w:rsid w:val="00C00349"/>
    <w:rsid w:val="00C003A0"/>
    <w:rsid w:val="00C00C95"/>
    <w:rsid w:val="00C0414A"/>
    <w:rsid w:val="00C105E2"/>
    <w:rsid w:val="00C10F1E"/>
    <w:rsid w:val="00C1168C"/>
    <w:rsid w:val="00C130C1"/>
    <w:rsid w:val="00C14306"/>
    <w:rsid w:val="00C162D0"/>
    <w:rsid w:val="00C170E6"/>
    <w:rsid w:val="00C20F11"/>
    <w:rsid w:val="00C21364"/>
    <w:rsid w:val="00C21796"/>
    <w:rsid w:val="00C21BDD"/>
    <w:rsid w:val="00C2261F"/>
    <w:rsid w:val="00C23629"/>
    <w:rsid w:val="00C23A8A"/>
    <w:rsid w:val="00C24A68"/>
    <w:rsid w:val="00C27324"/>
    <w:rsid w:val="00C276EF"/>
    <w:rsid w:val="00C300F1"/>
    <w:rsid w:val="00C31A2D"/>
    <w:rsid w:val="00C345AB"/>
    <w:rsid w:val="00C362FD"/>
    <w:rsid w:val="00C405DD"/>
    <w:rsid w:val="00C43790"/>
    <w:rsid w:val="00C442BC"/>
    <w:rsid w:val="00C44528"/>
    <w:rsid w:val="00C473C4"/>
    <w:rsid w:val="00C50104"/>
    <w:rsid w:val="00C50C54"/>
    <w:rsid w:val="00C52BCB"/>
    <w:rsid w:val="00C55BC4"/>
    <w:rsid w:val="00C55EB5"/>
    <w:rsid w:val="00C5759F"/>
    <w:rsid w:val="00C62DEB"/>
    <w:rsid w:val="00C70413"/>
    <w:rsid w:val="00C72FAD"/>
    <w:rsid w:val="00C73FFF"/>
    <w:rsid w:val="00C7493C"/>
    <w:rsid w:val="00C81755"/>
    <w:rsid w:val="00C819C5"/>
    <w:rsid w:val="00C838F1"/>
    <w:rsid w:val="00C83906"/>
    <w:rsid w:val="00C850DA"/>
    <w:rsid w:val="00C8599B"/>
    <w:rsid w:val="00C86684"/>
    <w:rsid w:val="00C87F92"/>
    <w:rsid w:val="00C903AE"/>
    <w:rsid w:val="00C90667"/>
    <w:rsid w:val="00C9202B"/>
    <w:rsid w:val="00C926D5"/>
    <w:rsid w:val="00C92CF6"/>
    <w:rsid w:val="00C96686"/>
    <w:rsid w:val="00C9759E"/>
    <w:rsid w:val="00CA0E89"/>
    <w:rsid w:val="00CA0FB9"/>
    <w:rsid w:val="00CA20D9"/>
    <w:rsid w:val="00CA259C"/>
    <w:rsid w:val="00CA522D"/>
    <w:rsid w:val="00CA5624"/>
    <w:rsid w:val="00CA5CC5"/>
    <w:rsid w:val="00CA62B8"/>
    <w:rsid w:val="00CA6DE2"/>
    <w:rsid w:val="00CB1E17"/>
    <w:rsid w:val="00CB1F6D"/>
    <w:rsid w:val="00CB280B"/>
    <w:rsid w:val="00CB289D"/>
    <w:rsid w:val="00CB2DEB"/>
    <w:rsid w:val="00CB3897"/>
    <w:rsid w:val="00CB5B3E"/>
    <w:rsid w:val="00CB5CA5"/>
    <w:rsid w:val="00CB605A"/>
    <w:rsid w:val="00CB7FF3"/>
    <w:rsid w:val="00CC4FB2"/>
    <w:rsid w:val="00CC79B6"/>
    <w:rsid w:val="00CD02D3"/>
    <w:rsid w:val="00CD1AA1"/>
    <w:rsid w:val="00CD260B"/>
    <w:rsid w:val="00CD377F"/>
    <w:rsid w:val="00CD47C8"/>
    <w:rsid w:val="00CD4C2B"/>
    <w:rsid w:val="00CD6ED6"/>
    <w:rsid w:val="00CE3AE4"/>
    <w:rsid w:val="00CE4FDD"/>
    <w:rsid w:val="00CF2895"/>
    <w:rsid w:val="00CF349B"/>
    <w:rsid w:val="00CF551C"/>
    <w:rsid w:val="00CF750A"/>
    <w:rsid w:val="00D03A44"/>
    <w:rsid w:val="00D110AA"/>
    <w:rsid w:val="00D1453D"/>
    <w:rsid w:val="00D15413"/>
    <w:rsid w:val="00D15785"/>
    <w:rsid w:val="00D220B5"/>
    <w:rsid w:val="00D23643"/>
    <w:rsid w:val="00D24269"/>
    <w:rsid w:val="00D303EF"/>
    <w:rsid w:val="00D35294"/>
    <w:rsid w:val="00D371DE"/>
    <w:rsid w:val="00D4156F"/>
    <w:rsid w:val="00D46048"/>
    <w:rsid w:val="00D460D2"/>
    <w:rsid w:val="00D46877"/>
    <w:rsid w:val="00D47C81"/>
    <w:rsid w:val="00D51D78"/>
    <w:rsid w:val="00D52B00"/>
    <w:rsid w:val="00D52C54"/>
    <w:rsid w:val="00D53603"/>
    <w:rsid w:val="00D53B53"/>
    <w:rsid w:val="00D54042"/>
    <w:rsid w:val="00D54B35"/>
    <w:rsid w:val="00D54FDE"/>
    <w:rsid w:val="00D60222"/>
    <w:rsid w:val="00D602AB"/>
    <w:rsid w:val="00D6168B"/>
    <w:rsid w:val="00D62902"/>
    <w:rsid w:val="00D62BFB"/>
    <w:rsid w:val="00D6436A"/>
    <w:rsid w:val="00D67EA8"/>
    <w:rsid w:val="00D70A94"/>
    <w:rsid w:val="00D71243"/>
    <w:rsid w:val="00D71246"/>
    <w:rsid w:val="00D744A9"/>
    <w:rsid w:val="00D76630"/>
    <w:rsid w:val="00D7688C"/>
    <w:rsid w:val="00D77BBA"/>
    <w:rsid w:val="00D8007B"/>
    <w:rsid w:val="00D80DE8"/>
    <w:rsid w:val="00D81146"/>
    <w:rsid w:val="00D816BA"/>
    <w:rsid w:val="00D8209C"/>
    <w:rsid w:val="00D849FF"/>
    <w:rsid w:val="00D9141E"/>
    <w:rsid w:val="00D91472"/>
    <w:rsid w:val="00D91D1A"/>
    <w:rsid w:val="00D950EE"/>
    <w:rsid w:val="00D97358"/>
    <w:rsid w:val="00DA2055"/>
    <w:rsid w:val="00DA246D"/>
    <w:rsid w:val="00DA46A3"/>
    <w:rsid w:val="00DA6123"/>
    <w:rsid w:val="00DA6157"/>
    <w:rsid w:val="00DA71E2"/>
    <w:rsid w:val="00DB03E2"/>
    <w:rsid w:val="00DB3E28"/>
    <w:rsid w:val="00DB4A0B"/>
    <w:rsid w:val="00DB505D"/>
    <w:rsid w:val="00DB6331"/>
    <w:rsid w:val="00DC2367"/>
    <w:rsid w:val="00DC2C69"/>
    <w:rsid w:val="00DC3A72"/>
    <w:rsid w:val="00DC5CA6"/>
    <w:rsid w:val="00DD0408"/>
    <w:rsid w:val="00DD469C"/>
    <w:rsid w:val="00DD7DEB"/>
    <w:rsid w:val="00DE144A"/>
    <w:rsid w:val="00DE5223"/>
    <w:rsid w:val="00DE55F4"/>
    <w:rsid w:val="00DE562E"/>
    <w:rsid w:val="00DE71F2"/>
    <w:rsid w:val="00DE723F"/>
    <w:rsid w:val="00DE7A42"/>
    <w:rsid w:val="00DE7EC6"/>
    <w:rsid w:val="00DF00BA"/>
    <w:rsid w:val="00DF0FAC"/>
    <w:rsid w:val="00DF4B9D"/>
    <w:rsid w:val="00DF5654"/>
    <w:rsid w:val="00E00019"/>
    <w:rsid w:val="00E01600"/>
    <w:rsid w:val="00E0223A"/>
    <w:rsid w:val="00E07226"/>
    <w:rsid w:val="00E11B21"/>
    <w:rsid w:val="00E141B9"/>
    <w:rsid w:val="00E15356"/>
    <w:rsid w:val="00E21779"/>
    <w:rsid w:val="00E30FD7"/>
    <w:rsid w:val="00E31765"/>
    <w:rsid w:val="00E328E3"/>
    <w:rsid w:val="00E332CC"/>
    <w:rsid w:val="00E41316"/>
    <w:rsid w:val="00E43B91"/>
    <w:rsid w:val="00E50103"/>
    <w:rsid w:val="00E55324"/>
    <w:rsid w:val="00E55AD4"/>
    <w:rsid w:val="00E560AB"/>
    <w:rsid w:val="00E56743"/>
    <w:rsid w:val="00E57633"/>
    <w:rsid w:val="00E624B6"/>
    <w:rsid w:val="00E639C1"/>
    <w:rsid w:val="00E67BF3"/>
    <w:rsid w:val="00E70ED1"/>
    <w:rsid w:val="00E722D7"/>
    <w:rsid w:val="00E72B6B"/>
    <w:rsid w:val="00E72C57"/>
    <w:rsid w:val="00E75176"/>
    <w:rsid w:val="00E77F45"/>
    <w:rsid w:val="00E803D2"/>
    <w:rsid w:val="00E863A8"/>
    <w:rsid w:val="00E86BCB"/>
    <w:rsid w:val="00E8772A"/>
    <w:rsid w:val="00E912A9"/>
    <w:rsid w:val="00E9283F"/>
    <w:rsid w:val="00E94978"/>
    <w:rsid w:val="00E9528C"/>
    <w:rsid w:val="00EA0BD2"/>
    <w:rsid w:val="00EA3B08"/>
    <w:rsid w:val="00EB01E4"/>
    <w:rsid w:val="00EB01F5"/>
    <w:rsid w:val="00EB08AF"/>
    <w:rsid w:val="00EB3224"/>
    <w:rsid w:val="00EB6C67"/>
    <w:rsid w:val="00EC0969"/>
    <w:rsid w:val="00EC1526"/>
    <w:rsid w:val="00EC2A0F"/>
    <w:rsid w:val="00EC53BA"/>
    <w:rsid w:val="00EC7A7C"/>
    <w:rsid w:val="00ED207B"/>
    <w:rsid w:val="00ED33F0"/>
    <w:rsid w:val="00ED4F5D"/>
    <w:rsid w:val="00EE08C4"/>
    <w:rsid w:val="00EE353C"/>
    <w:rsid w:val="00EE3F63"/>
    <w:rsid w:val="00EE565A"/>
    <w:rsid w:val="00EE59A2"/>
    <w:rsid w:val="00EE6379"/>
    <w:rsid w:val="00EF1222"/>
    <w:rsid w:val="00EF2971"/>
    <w:rsid w:val="00EF31A7"/>
    <w:rsid w:val="00F05BF0"/>
    <w:rsid w:val="00F07388"/>
    <w:rsid w:val="00F11E18"/>
    <w:rsid w:val="00F134C0"/>
    <w:rsid w:val="00F2237E"/>
    <w:rsid w:val="00F23D57"/>
    <w:rsid w:val="00F3109F"/>
    <w:rsid w:val="00F32472"/>
    <w:rsid w:val="00F327B5"/>
    <w:rsid w:val="00F332BE"/>
    <w:rsid w:val="00F36B29"/>
    <w:rsid w:val="00F3767B"/>
    <w:rsid w:val="00F37DDC"/>
    <w:rsid w:val="00F37E6B"/>
    <w:rsid w:val="00F40DEF"/>
    <w:rsid w:val="00F41F40"/>
    <w:rsid w:val="00F5442D"/>
    <w:rsid w:val="00F56528"/>
    <w:rsid w:val="00F566BC"/>
    <w:rsid w:val="00F57380"/>
    <w:rsid w:val="00F62E91"/>
    <w:rsid w:val="00F65F53"/>
    <w:rsid w:val="00F71C0B"/>
    <w:rsid w:val="00F7300C"/>
    <w:rsid w:val="00F75784"/>
    <w:rsid w:val="00F75BB6"/>
    <w:rsid w:val="00F801AF"/>
    <w:rsid w:val="00F80685"/>
    <w:rsid w:val="00F8084B"/>
    <w:rsid w:val="00F81E67"/>
    <w:rsid w:val="00F829C8"/>
    <w:rsid w:val="00F82A90"/>
    <w:rsid w:val="00F83459"/>
    <w:rsid w:val="00F84472"/>
    <w:rsid w:val="00F84E16"/>
    <w:rsid w:val="00F851B2"/>
    <w:rsid w:val="00F86658"/>
    <w:rsid w:val="00F96780"/>
    <w:rsid w:val="00FA20DE"/>
    <w:rsid w:val="00FA5321"/>
    <w:rsid w:val="00FA5422"/>
    <w:rsid w:val="00FA6449"/>
    <w:rsid w:val="00FA6D8B"/>
    <w:rsid w:val="00FB0CD6"/>
    <w:rsid w:val="00FB2849"/>
    <w:rsid w:val="00FB2BA6"/>
    <w:rsid w:val="00FB4BAC"/>
    <w:rsid w:val="00FC0357"/>
    <w:rsid w:val="00FC1A65"/>
    <w:rsid w:val="00FC1ACF"/>
    <w:rsid w:val="00FC32D0"/>
    <w:rsid w:val="00FC3B9E"/>
    <w:rsid w:val="00FC5F08"/>
    <w:rsid w:val="00FC6209"/>
    <w:rsid w:val="00FC63A2"/>
    <w:rsid w:val="00FD06B1"/>
    <w:rsid w:val="00FD1617"/>
    <w:rsid w:val="00FD3019"/>
    <w:rsid w:val="00FD41D6"/>
    <w:rsid w:val="00FD68B7"/>
    <w:rsid w:val="00FE0091"/>
    <w:rsid w:val="00FE0BAF"/>
    <w:rsid w:val="00FF7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6368E-8376-4793-8FA3-D51328DC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4C0"/>
  </w:style>
  <w:style w:type="paragraph" w:styleId="Heading1">
    <w:name w:val="heading 1"/>
    <w:next w:val="Normal"/>
    <w:link w:val="Heading1Char"/>
    <w:uiPriority w:val="9"/>
    <w:unhideWhenUsed/>
    <w:qFormat/>
    <w:rsid w:val="00B5234A"/>
    <w:pPr>
      <w:keepNext/>
      <w:keepLines/>
      <w:spacing w:after="0"/>
      <w:ind w:left="25" w:hanging="10"/>
      <w:outlineLvl w:val="0"/>
    </w:pPr>
    <w:rPr>
      <w:rFonts w:ascii="Calibri" w:eastAsia="Calibri" w:hAnsi="Calibri" w:cs="Calibri"/>
      <w:b/>
      <w:color w:val="181717"/>
      <w:sz w:val="16"/>
      <w:lang w:eastAsia="en-AU"/>
    </w:rPr>
  </w:style>
  <w:style w:type="paragraph" w:styleId="Heading2">
    <w:name w:val="heading 2"/>
    <w:basedOn w:val="Normal"/>
    <w:next w:val="Normal"/>
    <w:link w:val="Heading2Char"/>
    <w:uiPriority w:val="9"/>
    <w:semiHidden/>
    <w:unhideWhenUsed/>
    <w:qFormat/>
    <w:rsid w:val="00EB01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34A"/>
    <w:rPr>
      <w:rFonts w:ascii="Calibri" w:eastAsia="Calibri" w:hAnsi="Calibri" w:cs="Calibri"/>
      <w:b/>
      <w:color w:val="181717"/>
      <w:sz w:val="16"/>
      <w:lang w:eastAsia="en-AU"/>
    </w:rPr>
  </w:style>
  <w:style w:type="paragraph" w:styleId="ListParagraph">
    <w:name w:val="List Paragraph"/>
    <w:basedOn w:val="Normal"/>
    <w:uiPriority w:val="34"/>
    <w:qFormat/>
    <w:rsid w:val="00B5234A"/>
    <w:pPr>
      <w:spacing w:after="4" w:line="255" w:lineRule="auto"/>
      <w:ind w:left="720" w:right="1065" w:hanging="60"/>
      <w:contextualSpacing/>
    </w:pPr>
    <w:rPr>
      <w:rFonts w:ascii="Calibri" w:eastAsia="Calibri" w:hAnsi="Calibri" w:cs="Calibri"/>
      <w:color w:val="181717"/>
      <w:sz w:val="19"/>
      <w:lang w:eastAsia="en-AU"/>
    </w:rPr>
  </w:style>
  <w:style w:type="table" w:styleId="TableGrid">
    <w:name w:val="Table Grid"/>
    <w:basedOn w:val="TableNormal"/>
    <w:uiPriority w:val="39"/>
    <w:rsid w:val="00B52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B01F5"/>
    <w:rPr>
      <w:rFonts w:asciiTheme="majorHAnsi" w:eastAsiaTheme="majorEastAsia" w:hAnsiTheme="majorHAnsi" w:cstheme="majorBidi"/>
      <w:color w:val="2E74B5" w:themeColor="accent1" w:themeShade="BF"/>
      <w:sz w:val="26"/>
      <w:szCs w:val="26"/>
    </w:rPr>
  </w:style>
  <w:style w:type="paragraph" w:customStyle="1" w:styleId="footnotedescription">
    <w:name w:val="footnote description"/>
    <w:next w:val="Normal"/>
    <w:link w:val="footnotedescriptionChar"/>
    <w:hidden/>
    <w:rsid w:val="00EB01F5"/>
    <w:pPr>
      <w:spacing w:after="0" w:line="243" w:lineRule="auto"/>
      <w:ind w:left="7" w:right="10"/>
    </w:pPr>
    <w:rPr>
      <w:rFonts w:ascii="Calibri" w:eastAsia="Calibri" w:hAnsi="Calibri" w:cs="Calibri"/>
      <w:color w:val="181717"/>
      <w:sz w:val="15"/>
      <w:lang w:eastAsia="en-AU"/>
    </w:rPr>
  </w:style>
  <w:style w:type="character" w:customStyle="1" w:styleId="footnotedescriptionChar">
    <w:name w:val="footnote description Char"/>
    <w:link w:val="footnotedescription"/>
    <w:rsid w:val="00EB01F5"/>
    <w:rPr>
      <w:rFonts w:ascii="Calibri" w:eastAsia="Calibri" w:hAnsi="Calibri" w:cs="Calibri"/>
      <w:color w:val="181717"/>
      <w:sz w:val="15"/>
      <w:lang w:eastAsia="en-AU"/>
    </w:rPr>
  </w:style>
  <w:style w:type="character" w:customStyle="1" w:styleId="footnotemark">
    <w:name w:val="footnote mark"/>
    <w:hidden/>
    <w:rsid w:val="00EB01F5"/>
    <w:rPr>
      <w:rFonts w:ascii="Calibri" w:eastAsia="Calibri" w:hAnsi="Calibri" w:cs="Calibri"/>
      <w:color w:val="181717"/>
      <w:sz w:val="13"/>
      <w:vertAlign w:val="superscript"/>
    </w:rPr>
  </w:style>
  <w:style w:type="table" w:customStyle="1" w:styleId="TableGrid0">
    <w:name w:val="TableGrid"/>
    <w:rsid w:val="00EB01F5"/>
    <w:pPr>
      <w:spacing w:after="0" w:line="240" w:lineRule="auto"/>
    </w:pPr>
    <w:rPr>
      <w:rFonts w:eastAsia="Times New Roman"/>
      <w:lang w:eastAsia="en-AU"/>
    </w:rPr>
    <w:tblPr>
      <w:tblCellMar>
        <w:top w:w="0" w:type="dxa"/>
        <w:left w:w="0" w:type="dxa"/>
        <w:bottom w:w="0" w:type="dxa"/>
        <w:right w:w="0" w:type="dxa"/>
      </w:tblCellMar>
    </w:tblPr>
  </w:style>
  <w:style w:type="table" w:customStyle="1" w:styleId="TableGrid1">
    <w:name w:val="TableGrid1"/>
    <w:rsid w:val="009E3725"/>
    <w:pPr>
      <w:spacing w:after="0" w:line="240" w:lineRule="auto"/>
    </w:pPr>
    <w:rPr>
      <w:rFonts w:eastAsia="Times New Roman"/>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3662</Words>
  <Characters>20878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2015-02-27T07:03:00Z</dcterms:created>
  <dcterms:modified xsi:type="dcterms:W3CDTF">2015-03-01T11:33:00Z</dcterms:modified>
</cp:coreProperties>
</file>