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E77" w:rsidRPr="00F65425" w:rsidRDefault="002F35FD" w:rsidP="00F65425">
      <w:pPr>
        <w:pStyle w:val="Heading1"/>
        <w:numPr>
          <w:ilvl w:val="0"/>
          <w:numId w:val="0"/>
        </w:numPr>
        <w:jc w:val="center"/>
        <w:rPr>
          <w:sz w:val="32"/>
          <w:szCs w:val="32"/>
        </w:rPr>
      </w:pPr>
      <w:r w:rsidRPr="00F65425">
        <w:rPr>
          <w:sz w:val="32"/>
          <w:szCs w:val="32"/>
        </w:rPr>
        <w:t>Recogn</w:t>
      </w:r>
      <w:r w:rsidR="00EC5358" w:rsidRPr="00F65425">
        <w:rPr>
          <w:sz w:val="32"/>
          <w:szCs w:val="32"/>
        </w:rPr>
        <w:t>i</w:t>
      </w:r>
      <w:r w:rsidRPr="00F65425">
        <w:rPr>
          <w:sz w:val="32"/>
          <w:szCs w:val="32"/>
        </w:rPr>
        <w:t>sing and responding to sexual harassment in the workplace: Information</w:t>
      </w:r>
      <w:r w:rsidR="001320B7" w:rsidRPr="00F65425">
        <w:rPr>
          <w:sz w:val="32"/>
          <w:szCs w:val="32"/>
        </w:rPr>
        <w:t xml:space="preserve"> for employees</w:t>
      </w:r>
    </w:p>
    <w:p w:rsidR="005534AA" w:rsidRDefault="00606E9D" w:rsidP="002415DB">
      <w:pPr>
        <w:pStyle w:val="Heading2"/>
        <w:numPr>
          <w:ilvl w:val="0"/>
          <w:numId w:val="0"/>
        </w:numPr>
        <w:ind w:left="851" w:hanging="851"/>
      </w:pPr>
      <w:r>
        <w:t>What is sexual harassment?</w:t>
      </w:r>
    </w:p>
    <w:p w:rsidR="00E15EA7" w:rsidRPr="002415DB" w:rsidRDefault="004870A5" w:rsidP="00321758">
      <w:r>
        <w:t xml:space="preserve">Sexual harassment is </w:t>
      </w:r>
      <w:r w:rsidR="00FF6605">
        <w:t xml:space="preserve">any </w:t>
      </w:r>
      <w:r>
        <w:t xml:space="preserve">unwelcome </w:t>
      </w:r>
      <w:r w:rsidR="00FF6605">
        <w:t xml:space="preserve">conduct </w:t>
      </w:r>
      <w:r w:rsidR="00321758">
        <w:t>of a sexual nature</w:t>
      </w:r>
      <w:r w:rsidR="00FF6605">
        <w:t>.</w:t>
      </w:r>
      <w:r>
        <w:t xml:space="preserve"> If</w:t>
      </w:r>
      <w:r w:rsidR="00321758">
        <w:t xml:space="preserve"> a </w:t>
      </w:r>
      <w:r w:rsidR="00FF6605" w:rsidRPr="007803DB">
        <w:t xml:space="preserve">reasonable person </w:t>
      </w:r>
      <w:r>
        <w:t xml:space="preserve">would </w:t>
      </w:r>
      <w:r w:rsidR="00FF6605" w:rsidRPr="007803DB">
        <w:t xml:space="preserve">anticipate </w:t>
      </w:r>
      <w:r w:rsidR="00321758">
        <w:t xml:space="preserve">this behaviour </w:t>
      </w:r>
      <w:r>
        <w:t>might</w:t>
      </w:r>
      <w:r w:rsidR="00FF6605">
        <w:t xml:space="preserve"> make </w:t>
      </w:r>
      <w:r w:rsidR="00321758">
        <w:t>you feel</w:t>
      </w:r>
      <w:r w:rsidR="00FF6605" w:rsidRPr="007803DB">
        <w:t xml:space="preserve"> offended, humiliated or intimidated</w:t>
      </w:r>
      <w:r w:rsidR="00321758">
        <w:t>, it may be sexual harassment.</w:t>
      </w:r>
      <w:r w:rsidR="005269B8">
        <w:t xml:space="preserve"> </w:t>
      </w:r>
      <w:r w:rsidR="00C0413E">
        <w:t xml:space="preserve">Sexual harassment is unlawful under the </w:t>
      </w:r>
      <w:r w:rsidR="00C0413E" w:rsidRPr="00F31DE8">
        <w:rPr>
          <w:i/>
        </w:rPr>
        <w:t xml:space="preserve">Sex Discrimination Act 1984 </w:t>
      </w:r>
      <w:r w:rsidR="00C0413E" w:rsidRPr="00D43577">
        <w:t>(</w:t>
      </w:r>
      <w:proofErr w:type="spellStart"/>
      <w:r w:rsidR="00C0413E" w:rsidRPr="00D43577">
        <w:t>Cth</w:t>
      </w:r>
      <w:proofErr w:type="spellEnd"/>
      <w:r w:rsidR="00C0413E" w:rsidRPr="00D43577">
        <w:t>)</w:t>
      </w:r>
      <w:r w:rsidR="00C0413E" w:rsidRPr="00F31DE8">
        <w:rPr>
          <w:i/>
        </w:rPr>
        <w:t>.</w:t>
      </w:r>
    </w:p>
    <w:tbl>
      <w:tblPr>
        <w:tblStyle w:val="TableGrid"/>
        <w:tblW w:w="0" w:type="auto"/>
        <w:tblLook w:val="04A0" w:firstRow="1" w:lastRow="0" w:firstColumn="1" w:lastColumn="0" w:noHBand="0" w:noVBand="1"/>
      </w:tblPr>
      <w:tblGrid>
        <w:gridCol w:w="9286"/>
      </w:tblGrid>
      <w:tr w:rsidR="008C1659" w:rsidTr="008C1659">
        <w:tc>
          <w:tcPr>
            <w:tcW w:w="9286" w:type="dxa"/>
            <w:shd w:val="clear" w:color="auto" w:fill="92CDDC" w:themeFill="accent5" w:themeFillTint="99"/>
          </w:tcPr>
          <w:p w:rsidR="008C1659" w:rsidRDefault="008C1659" w:rsidP="008C1659">
            <w:r>
              <w:t>Some examples of behaviour that may be sexual harassment include:</w:t>
            </w:r>
          </w:p>
          <w:p w:rsidR="008C1659" w:rsidRDefault="008C1659" w:rsidP="008C1659">
            <w:pPr>
              <w:pStyle w:val="ListParagraph"/>
              <w:numPr>
                <w:ilvl w:val="0"/>
                <w:numId w:val="41"/>
              </w:numPr>
            </w:pPr>
            <w:r>
              <w:t>Sexually suggestive comments or jokes</w:t>
            </w:r>
          </w:p>
          <w:p w:rsidR="008C1659" w:rsidRDefault="008C1659" w:rsidP="008C1659">
            <w:pPr>
              <w:pStyle w:val="ListParagraph"/>
              <w:numPr>
                <w:ilvl w:val="0"/>
                <w:numId w:val="41"/>
              </w:numPr>
            </w:pPr>
            <w:r>
              <w:t>Intrusive questions about your private life or physical appearance</w:t>
            </w:r>
          </w:p>
          <w:p w:rsidR="008C1659" w:rsidRDefault="008C1659" w:rsidP="008C1659">
            <w:pPr>
              <w:pStyle w:val="ListParagraph"/>
              <w:numPr>
                <w:ilvl w:val="0"/>
                <w:numId w:val="41"/>
              </w:numPr>
            </w:pPr>
            <w:r>
              <w:t>Inappropriate staring or leering</w:t>
            </w:r>
          </w:p>
          <w:p w:rsidR="008C1659" w:rsidRDefault="008C1659" w:rsidP="008C1659">
            <w:pPr>
              <w:pStyle w:val="ListParagraph"/>
              <w:numPr>
                <w:ilvl w:val="0"/>
                <w:numId w:val="41"/>
              </w:numPr>
            </w:pPr>
            <w:r>
              <w:t>Unwelcome hugging, kissing or cornering or other types of inappropriate physical contact</w:t>
            </w:r>
          </w:p>
          <w:p w:rsidR="008C1659" w:rsidRDefault="008C1659" w:rsidP="008C1659">
            <w:pPr>
              <w:pStyle w:val="ListParagraph"/>
              <w:numPr>
                <w:ilvl w:val="0"/>
                <w:numId w:val="41"/>
              </w:numPr>
            </w:pPr>
            <w:r>
              <w:t>Sexually explicit text messages, images, phone calls or emails</w:t>
            </w:r>
          </w:p>
        </w:tc>
      </w:tr>
    </w:tbl>
    <w:p w:rsidR="00F969B3" w:rsidRDefault="00314D22" w:rsidP="00246A53">
      <w:pPr>
        <w:shd w:val="clear" w:color="auto" w:fill="DAEEF3" w:themeFill="accent5" w:themeFillTint="33"/>
        <w:ind w:left="720" w:right="565"/>
        <w:rPr>
          <w:rFonts w:cs="Arial"/>
        </w:rPr>
      </w:pPr>
      <w:r w:rsidRPr="00687610">
        <w:rPr>
          <w:rFonts w:cs="Arial"/>
          <w:b/>
        </w:rPr>
        <w:t>CASE STUDY:</w:t>
      </w:r>
      <w:r>
        <w:rPr>
          <w:rFonts w:cs="Arial"/>
        </w:rPr>
        <w:t xml:space="preserve"> </w:t>
      </w:r>
      <w:r w:rsidR="00F969B3" w:rsidRPr="004D226D">
        <w:rPr>
          <w:rFonts w:cs="Arial"/>
        </w:rPr>
        <w:t xml:space="preserve">The </w:t>
      </w:r>
      <w:r w:rsidR="00E9689B">
        <w:rPr>
          <w:rFonts w:cs="Arial"/>
        </w:rPr>
        <w:t xml:space="preserve">female </w:t>
      </w:r>
      <w:r w:rsidR="00F969B3" w:rsidRPr="004D226D">
        <w:rPr>
          <w:rFonts w:cs="Arial"/>
        </w:rPr>
        <w:t>complainant alleged that at a workplace function a partner from the company sexually harassed her by asking her how far up her body her tights went and by telling her she was beautiful.</w:t>
      </w:r>
      <w:r w:rsidR="00F969B3">
        <w:rPr>
          <w:rFonts w:cs="Arial"/>
        </w:rPr>
        <w:t xml:space="preserve"> </w:t>
      </w:r>
      <w:r w:rsidR="00687610" w:rsidRPr="004D226D">
        <w:rPr>
          <w:rFonts w:cs="Arial"/>
        </w:rPr>
        <w:t>The complaint was resolved with an agreement that the company would pay the complainant $4,650 which represented compensation for loss of wages and reimbursement of costs for counselling sessions the complainant had undertaken.</w:t>
      </w:r>
    </w:p>
    <w:p w:rsidR="00B46218" w:rsidRPr="00F969B3" w:rsidRDefault="00B46218" w:rsidP="00A01BE9"/>
    <w:p w:rsidR="00687610" w:rsidRDefault="00687610" w:rsidP="00246A53">
      <w:pPr>
        <w:shd w:val="clear" w:color="auto" w:fill="DAEEF3" w:themeFill="accent5" w:themeFillTint="33"/>
        <w:spacing w:before="0" w:after="0"/>
        <w:ind w:left="720" w:right="565"/>
        <w:rPr>
          <w:rFonts w:cs="Arial"/>
        </w:rPr>
      </w:pPr>
      <w:r w:rsidRPr="00687610">
        <w:rPr>
          <w:rFonts w:cs="Arial"/>
          <w:b/>
        </w:rPr>
        <w:t>CASE STUDY:</w:t>
      </w:r>
      <w:r>
        <w:rPr>
          <w:rFonts w:cs="Arial"/>
        </w:rPr>
        <w:t xml:space="preserve"> </w:t>
      </w:r>
      <w:r w:rsidRPr="004D226D">
        <w:rPr>
          <w:rFonts w:cs="Arial"/>
        </w:rPr>
        <w:t xml:space="preserve">The </w:t>
      </w:r>
      <w:r w:rsidR="00E9689B">
        <w:rPr>
          <w:rFonts w:cs="Arial"/>
        </w:rPr>
        <w:t xml:space="preserve">male </w:t>
      </w:r>
      <w:r w:rsidRPr="004D226D">
        <w:rPr>
          <w:rFonts w:cs="Arial"/>
        </w:rPr>
        <w:t xml:space="preserve">complainant </w:t>
      </w:r>
      <w:r>
        <w:rPr>
          <w:rFonts w:cs="Arial"/>
        </w:rPr>
        <w:t>had recently started to work for</w:t>
      </w:r>
      <w:r w:rsidRPr="004D226D">
        <w:rPr>
          <w:rFonts w:cs="Arial"/>
        </w:rPr>
        <w:t xml:space="preserve"> </w:t>
      </w:r>
      <w:r>
        <w:rPr>
          <w:rFonts w:cs="Arial"/>
        </w:rPr>
        <w:t xml:space="preserve">the </w:t>
      </w:r>
      <w:r w:rsidRPr="004D226D">
        <w:rPr>
          <w:rFonts w:cs="Arial"/>
        </w:rPr>
        <w:t>respondent and was to be trained by a long serving employee of the company. He alleged that the male trainer sexually harassed him from his first day at work including by asking him inappropriate questions and making comments of a sexual nature. The complainant alleged the trainer tried to flirt with him, made excuses to try to touch him, often placed his hand on the complainant's knee, would try to brush past him and would press his crotch into the complainant's back.</w:t>
      </w:r>
      <w:r w:rsidRPr="00687610">
        <w:rPr>
          <w:rFonts w:cs="Arial"/>
        </w:rPr>
        <w:t xml:space="preserve"> </w:t>
      </w:r>
      <w:r w:rsidRPr="004D226D">
        <w:rPr>
          <w:rFonts w:cs="Arial"/>
        </w:rPr>
        <w:t>The company said it investigated the complaint and terminated the co-worker on the gr</w:t>
      </w:r>
      <w:r w:rsidR="00E15EA7">
        <w:rPr>
          <w:rFonts w:cs="Arial"/>
        </w:rPr>
        <w:t xml:space="preserve">ounds of inappropriate conduct. </w:t>
      </w:r>
      <w:r w:rsidRPr="004D226D">
        <w:rPr>
          <w:rFonts w:cs="Arial"/>
        </w:rPr>
        <w:t>The complaint was resolved with an agreement that the company would pay the complainant $20,000 and provide him with an apology.</w:t>
      </w:r>
      <w:r>
        <w:rPr>
          <w:rFonts w:cs="Arial"/>
        </w:rPr>
        <w:t xml:space="preserve"> </w:t>
      </w:r>
    </w:p>
    <w:p w:rsidR="00B46218" w:rsidRDefault="00B46218" w:rsidP="00B46218">
      <w:pPr>
        <w:spacing w:before="0" w:after="0"/>
        <w:ind w:left="720"/>
        <w:rPr>
          <w:rFonts w:cs="Arial"/>
        </w:rPr>
      </w:pPr>
    </w:p>
    <w:p w:rsidR="000D15A1" w:rsidRPr="00246A53" w:rsidRDefault="00314D22" w:rsidP="00246A53">
      <w:pPr>
        <w:shd w:val="clear" w:color="auto" w:fill="DAEEF3" w:themeFill="accent5" w:themeFillTint="33"/>
        <w:ind w:left="720" w:right="565"/>
        <w:rPr>
          <w:rFonts w:cs="Arial"/>
        </w:rPr>
      </w:pPr>
      <w:r w:rsidRPr="00687610">
        <w:rPr>
          <w:rFonts w:cs="Arial"/>
          <w:b/>
        </w:rPr>
        <w:lastRenderedPageBreak/>
        <w:t>CASE STUDY:</w:t>
      </w:r>
      <w:r>
        <w:rPr>
          <w:rFonts w:cs="Arial"/>
        </w:rPr>
        <w:t xml:space="preserve"> </w:t>
      </w:r>
      <w:r w:rsidR="00CD4497" w:rsidRPr="004D226D">
        <w:rPr>
          <w:rFonts w:cs="Arial"/>
        </w:rPr>
        <w:t xml:space="preserve">The </w:t>
      </w:r>
      <w:r w:rsidR="00E9689B">
        <w:rPr>
          <w:rFonts w:cs="Arial"/>
        </w:rPr>
        <w:t xml:space="preserve">female </w:t>
      </w:r>
      <w:r w:rsidR="00CD4497" w:rsidRPr="004D226D">
        <w:rPr>
          <w:rFonts w:cs="Arial"/>
        </w:rPr>
        <w:t xml:space="preserve">complainant said she has been employed with the respondent company for over 20 years. She claimed that her manager sent her sexually explicit emails which she found offensive. The respondents said the emails were sent as a joke and the particular images the complainant referred to in her complaint, were taken out of context. </w:t>
      </w:r>
      <w:r w:rsidR="00DA36F5" w:rsidRPr="004D226D">
        <w:rPr>
          <w:rFonts w:cs="Arial"/>
        </w:rPr>
        <w:t>The complaint was resolved with an agreement that the company would pay the complainant $10,000 in general damages and $3,500 to cover her legal fees.</w:t>
      </w:r>
    </w:p>
    <w:p w:rsidR="00246A53" w:rsidRPr="00246A53" w:rsidRDefault="00246A53" w:rsidP="000D15A1">
      <w:pPr>
        <w:rPr>
          <w:b/>
        </w:rPr>
      </w:pPr>
      <w:r>
        <w:rPr>
          <w:b/>
        </w:rPr>
        <w:t xml:space="preserve">How common is sexual harassment in </w:t>
      </w:r>
      <w:r w:rsidR="00C0413E">
        <w:rPr>
          <w:b/>
        </w:rPr>
        <w:t xml:space="preserve">the </w:t>
      </w:r>
      <w:r>
        <w:rPr>
          <w:b/>
        </w:rPr>
        <w:t>workplace?</w:t>
      </w:r>
    </w:p>
    <w:tbl>
      <w:tblPr>
        <w:tblStyle w:val="TableGrid"/>
        <w:tblW w:w="4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9"/>
      </w:tblGrid>
      <w:tr w:rsidR="00AE2958" w:rsidRPr="003624E0" w:rsidTr="00AE2958">
        <w:trPr>
          <w:trHeight w:val="1542"/>
        </w:trPr>
        <w:tc>
          <w:tcPr>
            <w:tcW w:w="4739" w:type="dxa"/>
          </w:tcPr>
          <w:p w:rsidR="00AE2958" w:rsidRPr="003624E0" w:rsidRDefault="00AE2958" w:rsidP="00AE2958">
            <w:pPr>
              <w:pStyle w:val="SubmissionNormal"/>
              <w:numPr>
                <w:ilvl w:val="0"/>
                <w:numId w:val="0"/>
              </w:numPr>
              <w:ind w:left="2160"/>
              <w:rPr>
                <w:rStyle w:val="EndnoteReference"/>
              </w:rPr>
            </w:pPr>
            <w:r w:rsidRPr="003624E0">
              <w:rPr>
                <w:noProof/>
                <w:sz w:val="20"/>
                <w:vertAlign w:val="superscript"/>
              </w:rPr>
              <w:drawing>
                <wp:inline distT="0" distB="0" distL="0" distR="0" wp14:anchorId="35029048" wp14:editId="3E65DABF">
                  <wp:extent cx="2872663" cy="1407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n 4 wom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2663" cy="1407900"/>
                          </a:xfrm>
                          <a:prstGeom prst="rect">
                            <a:avLst/>
                          </a:prstGeom>
                        </pic:spPr>
                      </pic:pic>
                    </a:graphicData>
                  </a:graphic>
                </wp:inline>
              </w:drawing>
            </w:r>
          </w:p>
        </w:tc>
      </w:tr>
    </w:tbl>
    <w:p w:rsidR="00E15EA7" w:rsidRDefault="005534AA" w:rsidP="00F33457">
      <w:pPr>
        <w:rPr>
          <w:rFonts w:cs="HelveticaNeue-Bold"/>
          <w:b/>
          <w:bCs/>
          <w:color w:val="000000"/>
          <w:szCs w:val="22"/>
        </w:rPr>
      </w:pPr>
      <w:r>
        <w:t>We are also seeing i</w:t>
      </w:r>
      <w:r w:rsidR="00897812">
        <w:t>ncre</w:t>
      </w:r>
      <w:r>
        <w:t>asing rates of men being sexually harassed</w:t>
      </w:r>
      <w:r w:rsidR="00103A72">
        <w:t>,</w:t>
      </w:r>
      <w:r>
        <w:t xml:space="preserve"> </w:t>
      </w:r>
      <w:r w:rsidR="00103A72">
        <w:t xml:space="preserve">by other men, </w:t>
      </w:r>
      <w:r>
        <w:t>in the workplace.</w:t>
      </w:r>
      <w:r w:rsidR="00103A72">
        <w:rPr>
          <w:rStyle w:val="EndnoteReference"/>
        </w:rPr>
        <w:endnoteReference w:id="1"/>
      </w:r>
    </w:p>
    <w:p w:rsidR="002415DB" w:rsidRDefault="00AE2958" w:rsidP="001439A5">
      <w:pPr>
        <w:keepNext/>
        <w:widowControl w:val="0"/>
        <w:suppressAutoHyphens/>
        <w:autoSpaceDE w:val="0"/>
        <w:autoSpaceDN w:val="0"/>
        <w:adjustRightInd w:val="0"/>
        <w:spacing w:before="120" w:after="120"/>
        <w:textAlignment w:val="center"/>
      </w:pPr>
      <w:r>
        <w:rPr>
          <w:rFonts w:cs="HelveticaNeue-Bold"/>
          <w:b/>
          <w:bCs/>
          <w:color w:val="000000"/>
          <w:szCs w:val="22"/>
        </w:rPr>
        <w:t>Where</w:t>
      </w:r>
      <w:r w:rsidR="005306A6">
        <w:rPr>
          <w:rFonts w:cs="HelveticaNeue-Bold"/>
          <w:b/>
          <w:bCs/>
          <w:color w:val="000000"/>
          <w:szCs w:val="22"/>
        </w:rPr>
        <w:t xml:space="preserve"> </w:t>
      </w:r>
      <w:r w:rsidR="00302FD0" w:rsidRPr="00302FD0">
        <w:rPr>
          <w:rFonts w:cs="HelveticaNeue-Bold"/>
          <w:b/>
          <w:bCs/>
          <w:color w:val="000000"/>
          <w:szCs w:val="22"/>
        </w:rPr>
        <w:t xml:space="preserve">does workplace </w:t>
      </w:r>
      <w:r w:rsidR="00440DA8">
        <w:rPr>
          <w:rFonts w:cs="HelveticaNeue-Bold"/>
          <w:b/>
          <w:bCs/>
          <w:color w:val="000000"/>
          <w:szCs w:val="22"/>
        </w:rPr>
        <w:t xml:space="preserve">sexual </w:t>
      </w:r>
      <w:r w:rsidR="00302FD0" w:rsidRPr="00302FD0">
        <w:rPr>
          <w:rFonts w:cs="HelveticaNeue-Bold"/>
          <w:b/>
          <w:bCs/>
          <w:color w:val="000000"/>
          <w:szCs w:val="22"/>
        </w:rPr>
        <w:t>harassment take place?</w:t>
      </w:r>
    </w:p>
    <w:p w:rsidR="005306A6" w:rsidRDefault="005306A6" w:rsidP="002415DB">
      <w:r>
        <w:t xml:space="preserve">Under the </w:t>
      </w:r>
      <w:r w:rsidRPr="00A01BE9">
        <w:rPr>
          <w:i/>
        </w:rPr>
        <w:t>Sex Discrimination Act 1984</w:t>
      </w:r>
      <w:r>
        <w:t>, a ‘</w:t>
      </w:r>
      <w:r w:rsidR="00E15EA7">
        <w:t>w</w:t>
      </w:r>
      <w:r w:rsidR="00302FD0" w:rsidRPr="00FD02E4">
        <w:t>orkplace</w:t>
      </w:r>
      <w:r>
        <w:t>’</w:t>
      </w:r>
      <w:r w:rsidR="00302FD0" w:rsidRPr="00FD02E4">
        <w:t xml:space="preserve"> is</w:t>
      </w:r>
      <w:r>
        <w:t>:</w:t>
      </w:r>
    </w:p>
    <w:p w:rsidR="005306A6" w:rsidRDefault="006F2427" w:rsidP="002415DB">
      <w:pPr>
        <w:pStyle w:val="ListParagraph"/>
        <w:numPr>
          <w:ilvl w:val="0"/>
          <w:numId w:val="45"/>
        </w:numPr>
      </w:pPr>
      <w:r>
        <w:t>W</w:t>
      </w:r>
      <w:r w:rsidR="00302FD0" w:rsidRPr="00FD02E4">
        <w:t>here the harasser works</w:t>
      </w:r>
    </w:p>
    <w:p w:rsidR="005306A6" w:rsidRDefault="005306A6" w:rsidP="002415DB">
      <w:pPr>
        <w:pStyle w:val="ListParagraph"/>
        <w:numPr>
          <w:ilvl w:val="0"/>
          <w:numId w:val="45"/>
        </w:numPr>
      </w:pPr>
      <w:r>
        <w:t>W</w:t>
      </w:r>
      <w:r w:rsidR="00302FD0" w:rsidRPr="00FD02E4">
        <w:t>here the person being harassed works</w:t>
      </w:r>
    </w:p>
    <w:p w:rsidR="005306A6" w:rsidRDefault="005306A6" w:rsidP="002415DB">
      <w:pPr>
        <w:pStyle w:val="ListParagraph"/>
        <w:numPr>
          <w:ilvl w:val="0"/>
          <w:numId w:val="45"/>
        </w:numPr>
      </w:pPr>
      <w:r>
        <w:t>W</w:t>
      </w:r>
      <w:r w:rsidR="00302FD0" w:rsidRPr="00FD02E4">
        <w:t>here they both work</w:t>
      </w:r>
    </w:p>
    <w:p w:rsidR="00E32756" w:rsidRDefault="005306A6" w:rsidP="002415DB">
      <w:r>
        <w:t>The Sex Discrimination Act also covers ‘work related’ sexual harassment, which can take place:</w:t>
      </w:r>
    </w:p>
    <w:p w:rsidR="00E9689B" w:rsidRDefault="00E9689B" w:rsidP="00302FD0">
      <w:pPr>
        <w:pStyle w:val="NoSpacing"/>
        <w:numPr>
          <w:ilvl w:val="0"/>
          <w:numId w:val="38"/>
        </w:numPr>
      </w:pPr>
      <w:r>
        <w:t xml:space="preserve">At the location of someone working remotely who is harassed by email, on a social networking site, or by mobile phone. </w:t>
      </w:r>
    </w:p>
    <w:p w:rsidR="00302FD0" w:rsidRDefault="00302FD0" w:rsidP="00302FD0">
      <w:pPr>
        <w:pStyle w:val="NoSpacing"/>
        <w:numPr>
          <w:ilvl w:val="0"/>
          <w:numId w:val="38"/>
        </w:numPr>
      </w:pPr>
      <w:r>
        <w:t>On work-related trips</w:t>
      </w:r>
      <w:r w:rsidR="005306A6">
        <w:t xml:space="preserve"> (</w:t>
      </w:r>
      <w:r>
        <w:t>such as training</w:t>
      </w:r>
      <w:r w:rsidR="00E236A0">
        <w:t xml:space="preserve"> and</w:t>
      </w:r>
      <w:r w:rsidR="005306A6">
        <w:t xml:space="preserve">, </w:t>
      </w:r>
      <w:r>
        <w:t>conferences</w:t>
      </w:r>
      <w:r w:rsidR="00E236A0">
        <w:t xml:space="preserve"> or</w:t>
      </w:r>
      <w:r>
        <w:t xml:space="preserve"> in hotels, cars</w:t>
      </w:r>
      <w:r w:rsidR="005306A6">
        <w:t xml:space="preserve"> or</w:t>
      </w:r>
      <w:r>
        <w:t xml:space="preserve"> </w:t>
      </w:r>
      <w:r w:rsidR="005306A6">
        <w:t xml:space="preserve">on </w:t>
      </w:r>
      <w:r>
        <w:t>trains</w:t>
      </w:r>
      <w:r w:rsidR="00E236A0">
        <w:t xml:space="preserve"> </w:t>
      </w:r>
      <w:proofErr w:type="spellStart"/>
      <w:r w:rsidR="00E236A0">
        <w:t>etc</w:t>
      </w:r>
      <w:proofErr w:type="spellEnd"/>
      <w:r w:rsidR="00E236A0">
        <w:t>)</w:t>
      </w:r>
      <w:r w:rsidR="005534AA">
        <w:t>.</w:t>
      </w:r>
    </w:p>
    <w:p w:rsidR="00302FD0" w:rsidRPr="00302FD0" w:rsidRDefault="00302FD0" w:rsidP="00302FD0">
      <w:pPr>
        <w:pStyle w:val="NoSpacing"/>
        <w:numPr>
          <w:ilvl w:val="0"/>
          <w:numId w:val="38"/>
        </w:numPr>
      </w:pPr>
      <w:r w:rsidRPr="00302FD0">
        <w:t xml:space="preserve">At </w:t>
      </w:r>
      <w:r w:rsidR="00E236A0">
        <w:t xml:space="preserve">work-related </w:t>
      </w:r>
      <w:r w:rsidRPr="00302FD0">
        <w:t>social events</w:t>
      </w:r>
      <w:r w:rsidR="00E236A0">
        <w:t xml:space="preserve"> (</w:t>
      </w:r>
      <w:r w:rsidRPr="00302FD0">
        <w:t>such as work lunches</w:t>
      </w:r>
      <w:r w:rsidR="005306A6">
        <w:t>,</w:t>
      </w:r>
      <w:r w:rsidR="00E15EA7">
        <w:t xml:space="preserve"> </w:t>
      </w:r>
      <w:r w:rsidRPr="00302FD0">
        <w:t>office parties, at bars and restaurants</w:t>
      </w:r>
      <w:r w:rsidR="00E236A0">
        <w:t>)</w:t>
      </w:r>
      <w:r w:rsidRPr="00302FD0">
        <w:t>.</w:t>
      </w:r>
    </w:p>
    <w:p w:rsidR="00302FD0" w:rsidRDefault="00302FD0" w:rsidP="001439A5">
      <w:pPr>
        <w:pStyle w:val="NoSpacing"/>
        <w:numPr>
          <w:ilvl w:val="0"/>
          <w:numId w:val="38"/>
        </w:numPr>
      </w:pPr>
      <w:r w:rsidRPr="00302FD0">
        <w:t>In classroom or training facilities or in the workplaces of interns, trainees and apprentices.</w:t>
      </w:r>
    </w:p>
    <w:p w:rsidR="001E63C0" w:rsidRDefault="001E63C0" w:rsidP="001439A5">
      <w:pPr>
        <w:pStyle w:val="NoSpacing"/>
        <w:numPr>
          <w:ilvl w:val="0"/>
          <w:numId w:val="38"/>
        </w:numPr>
      </w:pPr>
      <w:r>
        <w:t>In educational institutions and inter-school activities</w:t>
      </w:r>
      <w:r w:rsidR="00EA4519">
        <w:t xml:space="preserve"> (sexual harassment can be perpetrated</w:t>
      </w:r>
      <w:r>
        <w:t xml:space="preserve"> by students over the age of 16</w:t>
      </w:r>
      <w:r w:rsidR="00E9689B">
        <w:t xml:space="preserve"> </w:t>
      </w:r>
      <w:r>
        <w:t>or by staff</w:t>
      </w:r>
      <w:r w:rsidR="00EA4519">
        <w:t>)</w:t>
      </w:r>
      <w:r>
        <w:t xml:space="preserve">  </w:t>
      </w:r>
    </w:p>
    <w:p w:rsidR="00606E9D" w:rsidRDefault="00860E98" w:rsidP="00606E9D">
      <w:pPr>
        <w:pStyle w:val="NoSpacing"/>
        <w:numPr>
          <w:ilvl w:val="0"/>
          <w:numId w:val="38"/>
        </w:numPr>
      </w:pPr>
      <w:r w:rsidRPr="004E3BF9">
        <w:t>In shop</w:t>
      </w:r>
      <w:r w:rsidR="004E3BF9" w:rsidRPr="004E3BF9">
        <w:t>s</w:t>
      </w:r>
      <w:r w:rsidR="004E3BF9">
        <w:t>,</w:t>
      </w:r>
      <w:r w:rsidR="004E3BF9" w:rsidRPr="004E3BF9">
        <w:t xml:space="preserve"> restaurants</w:t>
      </w:r>
      <w:r w:rsidR="004E3BF9">
        <w:t>, or anywhere that goods and services are provided</w:t>
      </w:r>
      <w:r w:rsidR="00EA4519">
        <w:t xml:space="preserve"> (sexual harassment can be perpetrated by</w:t>
      </w:r>
      <w:r w:rsidR="00897812">
        <w:t xml:space="preserve"> </w:t>
      </w:r>
      <w:r w:rsidR="004E3BF9" w:rsidRPr="004E3BF9">
        <w:t>customers towards staff or by staff towards customers</w:t>
      </w:r>
      <w:r w:rsidR="00EA4519">
        <w:t>)</w:t>
      </w:r>
      <w:r w:rsidR="00E9689B">
        <w:t>.</w:t>
      </w:r>
    </w:p>
    <w:p w:rsidR="00F65425" w:rsidRDefault="00F65425" w:rsidP="00F77D4C">
      <w:pPr>
        <w:rPr>
          <w:b/>
        </w:rPr>
      </w:pPr>
    </w:p>
    <w:p w:rsidR="00F65425" w:rsidRDefault="00F65425" w:rsidP="00F77D4C">
      <w:pPr>
        <w:rPr>
          <w:b/>
        </w:rPr>
      </w:pPr>
    </w:p>
    <w:p w:rsidR="00F77D4C" w:rsidRPr="00F33457" w:rsidRDefault="00F77D4C" w:rsidP="00F77D4C">
      <w:pPr>
        <w:rPr>
          <w:b/>
        </w:rPr>
      </w:pPr>
      <w:r>
        <w:rPr>
          <w:b/>
        </w:rPr>
        <w:lastRenderedPageBreak/>
        <w:t>Which</w:t>
      </w:r>
      <w:r w:rsidRPr="00F33457">
        <w:rPr>
          <w:b/>
        </w:rPr>
        <w:t xml:space="preserve"> workplace relationship</w:t>
      </w:r>
      <w:r>
        <w:rPr>
          <w:b/>
        </w:rPr>
        <w:t>s</w:t>
      </w:r>
      <w:r w:rsidRPr="00F33457">
        <w:rPr>
          <w:b/>
        </w:rPr>
        <w:t xml:space="preserve"> </w:t>
      </w:r>
      <w:r>
        <w:rPr>
          <w:b/>
        </w:rPr>
        <w:t xml:space="preserve">are </w:t>
      </w:r>
      <w:r w:rsidR="00E60358">
        <w:rPr>
          <w:b/>
        </w:rPr>
        <w:t>covered</w:t>
      </w:r>
      <w:r w:rsidRPr="00F33457">
        <w:rPr>
          <w:b/>
        </w:rPr>
        <w:t>?</w:t>
      </w:r>
    </w:p>
    <w:p w:rsidR="00F77D4C" w:rsidRPr="003624E0" w:rsidRDefault="00F77D4C" w:rsidP="00F77D4C">
      <w:r w:rsidRPr="002208DE">
        <w:t>The relationship between the alleged harasser and the person allegedly harassed is the key to understanding when the Sex Discrimination Act applies in the area of employment.</w:t>
      </w:r>
      <w:r w:rsidRPr="003624E0">
        <w:t xml:space="preserve">  </w:t>
      </w:r>
    </w:p>
    <w:p w:rsidR="00F77D4C" w:rsidRPr="003624E0" w:rsidRDefault="00F77D4C" w:rsidP="00F77D4C">
      <w:r w:rsidRPr="003624E0">
        <w:t xml:space="preserve">Under the Act, it is </w:t>
      </w:r>
      <w:r>
        <w:t xml:space="preserve">unlawful </w:t>
      </w:r>
      <w:r w:rsidRPr="003624E0">
        <w:t>to sexually harass:</w:t>
      </w:r>
    </w:p>
    <w:p w:rsidR="00F77D4C" w:rsidRPr="003624E0" w:rsidRDefault="00F77D4C" w:rsidP="00F77D4C">
      <w:pPr>
        <w:pStyle w:val="ListParagraph"/>
        <w:numPr>
          <w:ilvl w:val="0"/>
          <w:numId w:val="47"/>
        </w:numPr>
        <w:ind w:left="567" w:hanging="567"/>
        <w:contextualSpacing w:val="0"/>
      </w:pPr>
      <w:r w:rsidRPr="003624E0">
        <w:t>an employee</w:t>
      </w:r>
      <w:r w:rsidR="00E352DF">
        <w:rPr>
          <w:rStyle w:val="EndnoteReference"/>
        </w:rPr>
        <w:endnoteReference w:id="2"/>
      </w:r>
      <w:r w:rsidRPr="003624E0">
        <w:t>, a commission agent</w:t>
      </w:r>
      <w:r w:rsidR="00E352DF">
        <w:rPr>
          <w:rStyle w:val="EndnoteReference"/>
        </w:rPr>
        <w:endnoteReference w:id="3"/>
      </w:r>
      <w:r w:rsidRPr="003624E0">
        <w:t xml:space="preserve"> or a contract worker  </w:t>
      </w:r>
    </w:p>
    <w:p w:rsidR="00F77D4C" w:rsidRPr="003624E0" w:rsidRDefault="00F77D4C" w:rsidP="00F77D4C">
      <w:pPr>
        <w:pStyle w:val="ListParagraph"/>
        <w:numPr>
          <w:ilvl w:val="0"/>
          <w:numId w:val="47"/>
        </w:numPr>
        <w:ind w:left="567" w:hanging="567"/>
        <w:contextualSpacing w:val="0"/>
      </w:pPr>
      <w:r w:rsidRPr="003624E0">
        <w:t>a prospective employee, commission agent or contract worker</w:t>
      </w:r>
    </w:p>
    <w:p w:rsidR="00F77D4C" w:rsidRPr="003624E0" w:rsidRDefault="00F77D4C" w:rsidP="00F77D4C">
      <w:pPr>
        <w:pStyle w:val="ListParagraph"/>
        <w:numPr>
          <w:ilvl w:val="0"/>
          <w:numId w:val="47"/>
        </w:numPr>
        <w:ind w:left="567" w:hanging="567"/>
        <w:contextualSpacing w:val="0"/>
      </w:pPr>
      <w:r w:rsidRPr="003624E0">
        <w:t xml:space="preserve">a colleague, partner, fellow commission agent or fellow contract worker </w:t>
      </w:r>
    </w:p>
    <w:p w:rsidR="00F77D4C" w:rsidRPr="003624E0" w:rsidRDefault="00F77D4C" w:rsidP="00F77D4C">
      <w:pPr>
        <w:pStyle w:val="ListParagraph"/>
        <w:numPr>
          <w:ilvl w:val="0"/>
          <w:numId w:val="47"/>
        </w:numPr>
        <w:ind w:left="567" w:hanging="567"/>
        <w:contextualSpacing w:val="0"/>
      </w:pPr>
      <w:r w:rsidRPr="003624E0">
        <w:t>a prospective colleague, partner, fellow commission agent or fellow contract worker</w:t>
      </w:r>
    </w:p>
    <w:p w:rsidR="00F77D4C" w:rsidRPr="003624E0" w:rsidRDefault="00F77D4C" w:rsidP="00F77D4C">
      <w:pPr>
        <w:pStyle w:val="ListParagraph"/>
        <w:numPr>
          <w:ilvl w:val="0"/>
          <w:numId w:val="47"/>
        </w:numPr>
        <w:ind w:left="567" w:hanging="567"/>
        <w:contextualSpacing w:val="0"/>
      </w:pPr>
      <w:proofErr w:type="gramStart"/>
      <w:r w:rsidRPr="003624E0">
        <w:t>another</w:t>
      </w:r>
      <w:proofErr w:type="gramEnd"/>
      <w:r w:rsidRPr="003624E0">
        <w:t xml:space="preserve"> workplace </w:t>
      </w:r>
      <w:r w:rsidRPr="00BE1CBC">
        <w:t>participant</w:t>
      </w:r>
      <w:r w:rsidR="00BE1CBC" w:rsidRPr="00E352DF">
        <w:t xml:space="preserve"> (</w:t>
      </w:r>
      <w:r w:rsidR="00BE1CBC" w:rsidRPr="00F33457">
        <w:t>includes employers</w:t>
      </w:r>
      <w:r w:rsidR="00957E04">
        <w:t xml:space="preserve"> (</w:t>
      </w:r>
      <w:proofErr w:type="spellStart"/>
      <w:r w:rsidR="00957E04">
        <w:t>eg</w:t>
      </w:r>
      <w:proofErr w:type="spellEnd"/>
      <w:r w:rsidR="00957E04">
        <w:t xml:space="preserve"> sole trader)</w:t>
      </w:r>
      <w:r w:rsidR="00BE1CBC" w:rsidRPr="00F33457">
        <w:t>, employees, commission agents, contract workers and partners in a partnership)</w:t>
      </w:r>
      <w:r w:rsidRPr="00BE1CBC">
        <w:t>.</w:t>
      </w:r>
      <w:r w:rsidRPr="003624E0">
        <w:rPr>
          <w:rStyle w:val="EndnoteReference"/>
        </w:rPr>
        <w:endnoteReference w:id="4"/>
      </w:r>
    </w:p>
    <w:p w:rsidR="0004501B" w:rsidRPr="0004501B" w:rsidRDefault="0004501B" w:rsidP="00A01BE9">
      <w:pPr>
        <w:pStyle w:val="Heading2"/>
        <w:numPr>
          <w:ilvl w:val="0"/>
          <w:numId w:val="0"/>
        </w:numPr>
        <w:ind w:left="851" w:hanging="851"/>
      </w:pPr>
      <w:r>
        <w:t>W</w:t>
      </w:r>
      <w:r w:rsidR="00246A53">
        <w:t>hat c</w:t>
      </w:r>
      <w:r w:rsidR="00606E9D">
        <w:t>an I do</w:t>
      </w:r>
      <w:r w:rsidR="003728EB">
        <w:t xml:space="preserve"> about </w:t>
      </w:r>
      <w:r w:rsidR="00BF09F7">
        <w:t xml:space="preserve">sexual </w:t>
      </w:r>
      <w:r w:rsidR="003728EB">
        <w:t>harassment in my workplace</w:t>
      </w:r>
      <w:r w:rsidR="00606E9D">
        <w:t>?</w:t>
      </w:r>
    </w:p>
    <w:p w:rsidR="00157F6D" w:rsidRDefault="00157F6D" w:rsidP="00157F6D">
      <w:pPr>
        <w:spacing w:before="0" w:after="0"/>
        <w:rPr>
          <w:b/>
        </w:rPr>
      </w:pPr>
      <w:r>
        <w:rPr>
          <w:b/>
        </w:rPr>
        <w:t xml:space="preserve">What can I do if I’m experiencing sexual harassment at work? </w:t>
      </w:r>
    </w:p>
    <w:p w:rsidR="0054576A" w:rsidRPr="00606E9D" w:rsidRDefault="0054576A" w:rsidP="00157F6D">
      <w:pPr>
        <w:spacing w:before="0" w:after="0"/>
        <w:rPr>
          <w:b/>
        </w:rPr>
      </w:pPr>
    </w:p>
    <w:p w:rsidR="00157F6D" w:rsidRDefault="009B714B" w:rsidP="00157F6D">
      <w:pPr>
        <w:pStyle w:val="ListParagraph"/>
        <w:numPr>
          <w:ilvl w:val="0"/>
          <w:numId w:val="31"/>
        </w:numPr>
        <w:spacing w:before="0" w:after="0"/>
        <w:ind w:left="709" w:hanging="425"/>
      </w:pPr>
      <w:r>
        <w:t xml:space="preserve">Raise the issue directly with the </w:t>
      </w:r>
      <w:r w:rsidR="00157F6D">
        <w:t xml:space="preserve">harasser </w:t>
      </w:r>
      <w:r>
        <w:t xml:space="preserve">and tell them </w:t>
      </w:r>
      <w:r w:rsidR="00157F6D">
        <w:t>that their behaviour is unwelcome</w:t>
      </w:r>
    </w:p>
    <w:p w:rsidR="00157F6D" w:rsidRDefault="00157F6D" w:rsidP="00157F6D">
      <w:pPr>
        <w:pStyle w:val="ListParagraph"/>
        <w:numPr>
          <w:ilvl w:val="0"/>
          <w:numId w:val="31"/>
        </w:numPr>
        <w:spacing w:before="0" w:after="0"/>
        <w:ind w:left="709" w:hanging="425"/>
      </w:pPr>
      <w:r>
        <w:t xml:space="preserve">Talk to a colleague for support </w:t>
      </w:r>
    </w:p>
    <w:p w:rsidR="005B2601" w:rsidRDefault="005B2601" w:rsidP="00157F6D">
      <w:pPr>
        <w:pStyle w:val="ListParagraph"/>
        <w:numPr>
          <w:ilvl w:val="0"/>
          <w:numId w:val="31"/>
        </w:numPr>
        <w:spacing w:before="0" w:after="0"/>
        <w:ind w:left="709" w:hanging="425"/>
      </w:pPr>
      <w:r>
        <w:t xml:space="preserve">Talk to </w:t>
      </w:r>
      <w:r w:rsidR="00216245">
        <w:t>a</w:t>
      </w:r>
      <w:r>
        <w:t xml:space="preserve"> union delegate or contact </w:t>
      </w:r>
      <w:r w:rsidR="00216245">
        <w:t>a</w:t>
      </w:r>
      <w:r>
        <w:t xml:space="preserve"> union office for advice</w:t>
      </w:r>
    </w:p>
    <w:p w:rsidR="00EF7446" w:rsidRPr="00E26305" w:rsidRDefault="00EF7446" w:rsidP="00157F6D">
      <w:pPr>
        <w:pStyle w:val="ListParagraph"/>
        <w:numPr>
          <w:ilvl w:val="0"/>
          <w:numId w:val="31"/>
        </w:numPr>
        <w:spacing w:before="0" w:after="0"/>
        <w:ind w:left="709" w:hanging="425"/>
      </w:pPr>
      <w:r w:rsidRPr="00E26305">
        <w:t xml:space="preserve">Contact a </w:t>
      </w:r>
      <w:hyperlink r:id="rId10" w:history="1">
        <w:r w:rsidRPr="00E26305">
          <w:rPr>
            <w:rStyle w:val="Hyperlink"/>
          </w:rPr>
          <w:t>community legal centre</w:t>
        </w:r>
      </w:hyperlink>
      <w:r w:rsidRPr="00E26305">
        <w:t xml:space="preserve"> or </w:t>
      </w:r>
      <w:hyperlink r:id="rId11" w:history="1">
        <w:r w:rsidRPr="00E26305">
          <w:rPr>
            <w:rStyle w:val="Hyperlink"/>
          </w:rPr>
          <w:t>working women’s centre</w:t>
        </w:r>
      </w:hyperlink>
      <w:r w:rsidRPr="00E26305">
        <w:t xml:space="preserve"> for legal advice</w:t>
      </w:r>
      <w:r w:rsidR="00FA0121" w:rsidRPr="00E26305">
        <w:rPr>
          <w:rStyle w:val="EndnoteReference"/>
        </w:rPr>
        <w:endnoteReference w:id="5"/>
      </w:r>
    </w:p>
    <w:p w:rsidR="00EF7446" w:rsidRPr="00E26305" w:rsidRDefault="00EF7446" w:rsidP="00157F6D">
      <w:pPr>
        <w:pStyle w:val="ListParagraph"/>
        <w:numPr>
          <w:ilvl w:val="0"/>
          <w:numId w:val="31"/>
        </w:numPr>
        <w:spacing w:before="0" w:after="0"/>
        <w:ind w:left="709" w:hanging="425"/>
      </w:pPr>
      <w:r w:rsidRPr="00E26305">
        <w:t>Contact 1800 RESPECT for telephone and online counselling</w:t>
      </w:r>
      <w:r w:rsidR="00D50A0A" w:rsidRPr="007F748D">
        <w:t>, information and referral</w:t>
      </w:r>
    </w:p>
    <w:p w:rsidR="00157F6D" w:rsidRDefault="00157F6D" w:rsidP="00157F6D">
      <w:pPr>
        <w:pStyle w:val="ListParagraph"/>
        <w:numPr>
          <w:ilvl w:val="0"/>
          <w:numId w:val="31"/>
        </w:numPr>
        <w:spacing w:before="0" w:after="0"/>
        <w:ind w:left="709" w:hanging="425"/>
      </w:pPr>
      <w:r>
        <w:t xml:space="preserve">Make a complaint to your </w:t>
      </w:r>
      <w:r w:rsidR="006268B8">
        <w:t>manager/</w:t>
      </w:r>
      <w:r>
        <w:t>employer</w:t>
      </w:r>
    </w:p>
    <w:p w:rsidR="00157F6D" w:rsidRDefault="003B6F91" w:rsidP="00157F6D">
      <w:pPr>
        <w:pStyle w:val="ListParagraph"/>
        <w:numPr>
          <w:ilvl w:val="0"/>
          <w:numId w:val="31"/>
        </w:numPr>
        <w:spacing w:before="0" w:after="0"/>
        <w:ind w:left="709" w:hanging="425"/>
      </w:pPr>
      <w:r>
        <w:t>Contact</w:t>
      </w:r>
      <w:r w:rsidR="00E60358">
        <w:t xml:space="preserve"> </w:t>
      </w:r>
      <w:r w:rsidR="00157F6D">
        <w:t>the Australian Human Rights Commission</w:t>
      </w:r>
      <w:r w:rsidR="00C0413E">
        <w:t xml:space="preserve"> or</w:t>
      </w:r>
      <w:r w:rsidR="00EC5358">
        <w:t xml:space="preserve"> state and federal anti-discrim</w:t>
      </w:r>
      <w:r w:rsidR="00C0413E">
        <w:t>in</w:t>
      </w:r>
      <w:r w:rsidR="00EC5358">
        <w:t>a</w:t>
      </w:r>
      <w:r w:rsidR="00C0413E">
        <w:t>tion agencies</w:t>
      </w:r>
      <w:r>
        <w:t xml:space="preserve"> for information or to make a complaint.</w:t>
      </w:r>
    </w:p>
    <w:p w:rsidR="00157F6D" w:rsidRDefault="00157F6D" w:rsidP="00157F6D">
      <w:pPr>
        <w:spacing w:before="0" w:after="0"/>
      </w:pPr>
    </w:p>
    <w:p w:rsidR="00A01BE9" w:rsidRPr="00897812" w:rsidRDefault="00A01BE9" w:rsidP="00A01BE9">
      <w:pPr>
        <w:spacing w:before="0" w:after="0"/>
        <w:rPr>
          <w:b/>
        </w:rPr>
      </w:pPr>
      <w:r>
        <w:rPr>
          <w:b/>
        </w:rPr>
        <w:t>How do I make a complaint</w:t>
      </w:r>
      <w:r w:rsidR="0054576A">
        <w:rPr>
          <w:b/>
        </w:rPr>
        <w:t xml:space="preserve"> to the Australian Human Rights Commission</w:t>
      </w:r>
      <w:r>
        <w:rPr>
          <w:b/>
        </w:rPr>
        <w:t>?</w:t>
      </w:r>
    </w:p>
    <w:p w:rsidR="00A01BE9" w:rsidRDefault="00A01BE9" w:rsidP="00A01BE9">
      <w:r>
        <w:t xml:space="preserve">A person who believes he or she has been sexually harassed in the workplace can make a complaint to the Australian Human Rights Commission alleging sexual harassment under the </w:t>
      </w:r>
      <w:r>
        <w:rPr>
          <w:i/>
        </w:rPr>
        <w:t xml:space="preserve">Sex Discrimination Act 1984 </w:t>
      </w:r>
      <w:r>
        <w:t>(</w:t>
      </w:r>
      <w:proofErr w:type="spellStart"/>
      <w:r>
        <w:t>Cth</w:t>
      </w:r>
      <w:proofErr w:type="spellEnd"/>
      <w:r>
        <w:t>).</w:t>
      </w:r>
      <w:r w:rsidR="009B714B">
        <w:t xml:space="preserve"> Or they can </w:t>
      </w:r>
      <w:r w:rsidR="001F7162">
        <w:t>contact a solici</w:t>
      </w:r>
      <w:r w:rsidR="009B714B">
        <w:t>t</w:t>
      </w:r>
      <w:r w:rsidR="001F7162">
        <w:t>o</w:t>
      </w:r>
      <w:r w:rsidR="009B714B">
        <w:t>r advocate or trade union to make a complaint to the Commission on their behalf.</w:t>
      </w:r>
    </w:p>
    <w:tbl>
      <w:tblPr>
        <w:tblStyle w:val="TableGrid"/>
        <w:tblW w:w="0" w:type="auto"/>
        <w:shd w:val="clear" w:color="auto" w:fill="C6D9F1" w:themeFill="text2" w:themeFillTint="33"/>
        <w:tblLook w:val="04A0" w:firstRow="1" w:lastRow="0" w:firstColumn="1" w:lastColumn="0" w:noHBand="0" w:noVBand="1"/>
      </w:tblPr>
      <w:tblGrid>
        <w:gridCol w:w="9286"/>
      </w:tblGrid>
      <w:tr w:rsidR="00A01BE9" w:rsidTr="00A01BE9">
        <w:tc>
          <w:tcPr>
            <w:tcW w:w="9286" w:type="dxa"/>
            <w:shd w:val="clear" w:color="auto" w:fill="C6D9F1" w:themeFill="text2" w:themeFillTint="33"/>
          </w:tcPr>
          <w:p w:rsidR="00A01BE9" w:rsidRDefault="00A01BE9" w:rsidP="00A01BE9">
            <w:pPr>
              <w:jc w:val="center"/>
            </w:pPr>
            <w:r w:rsidRPr="00A01BE9">
              <w:rPr>
                <w:b/>
              </w:rPr>
              <w:t xml:space="preserve">Australian Human Rights Commission’s </w:t>
            </w:r>
            <w:r w:rsidR="00093E9D">
              <w:rPr>
                <w:b/>
              </w:rPr>
              <w:t>National</w:t>
            </w:r>
            <w:r w:rsidR="00E60358">
              <w:rPr>
                <w:b/>
              </w:rPr>
              <w:t xml:space="preserve"> </w:t>
            </w:r>
            <w:r w:rsidRPr="00A01BE9">
              <w:rPr>
                <w:b/>
              </w:rPr>
              <w:t>Information Service</w:t>
            </w:r>
          </w:p>
          <w:p w:rsidR="00A01BE9" w:rsidRPr="00A01BE9" w:rsidRDefault="00A01BE9" w:rsidP="00A01BE9">
            <w:pPr>
              <w:ind w:left="720"/>
              <w:rPr>
                <w:b/>
                <w:sz w:val="22"/>
                <w:szCs w:val="22"/>
              </w:rPr>
            </w:pPr>
            <w:r>
              <w:rPr>
                <w:b/>
                <w:sz w:val="22"/>
                <w:szCs w:val="22"/>
              </w:rPr>
              <w:t>Call us</w:t>
            </w:r>
            <w:r>
              <w:rPr>
                <w:b/>
                <w:sz w:val="22"/>
                <w:szCs w:val="22"/>
              </w:rPr>
              <w:br/>
            </w:r>
            <w:proofErr w:type="spellStart"/>
            <w:r w:rsidRPr="00A01BE9">
              <w:rPr>
                <w:sz w:val="22"/>
                <w:szCs w:val="22"/>
              </w:rPr>
              <w:t>Infoline</w:t>
            </w:r>
            <w:proofErr w:type="spellEnd"/>
            <w:r w:rsidRPr="00A01BE9">
              <w:rPr>
                <w:sz w:val="22"/>
                <w:szCs w:val="22"/>
              </w:rPr>
              <w:t xml:space="preserve">: 1300 656 419 or (02) 9284 9888 </w:t>
            </w:r>
            <w:r w:rsidRPr="00A01BE9">
              <w:rPr>
                <w:sz w:val="22"/>
                <w:szCs w:val="22"/>
              </w:rPr>
              <w:br/>
              <w:t>TTY: 1800 620 241</w:t>
            </w:r>
          </w:p>
          <w:p w:rsidR="00A01BE9" w:rsidRPr="00A01BE9" w:rsidRDefault="00A01BE9" w:rsidP="00A01BE9">
            <w:pPr>
              <w:ind w:left="720"/>
              <w:rPr>
                <w:sz w:val="22"/>
                <w:szCs w:val="22"/>
              </w:rPr>
            </w:pPr>
            <w:r w:rsidRPr="00A01BE9">
              <w:rPr>
                <w:sz w:val="22"/>
                <w:szCs w:val="22"/>
              </w:rPr>
              <w:t xml:space="preserve">If you need an interpreter you can call the Translating and Interpreting Service (TIS) on </w:t>
            </w:r>
            <w:r w:rsidRPr="00A01BE9">
              <w:rPr>
                <w:b/>
                <w:sz w:val="22"/>
                <w:szCs w:val="22"/>
              </w:rPr>
              <w:t>131 450</w:t>
            </w:r>
            <w:r w:rsidRPr="00A01BE9">
              <w:rPr>
                <w:sz w:val="22"/>
                <w:szCs w:val="22"/>
              </w:rPr>
              <w:t xml:space="preserve"> and ask to be connected to the Australian Human Rights Commission.</w:t>
            </w:r>
          </w:p>
          <w:p w:rsidR="00A01BE9" w:rsidRPr="00A01BE9" w:rsidRDefault="00A01BE9" w:rsidP="00A01BE9">
            <w:pPr>
              <w:ind w:left="720"/>
              <w:rPr>
                <w:sz w:val="22"/>
                <w:szCs w:val="22"/>
              </w:rPr>
            </w:pPr>
            <w:r w:rsidRPr="00A01BE9">
              <w:rPr>
                <w:sz w:val="22"/>
                <w:szCs w:val="22"/>
              </w:rPr>
              <w:t xml:space="preserve">If you are deaf or have a hearing or speech impairment you can contact the National Relay Service (NRS) on </w:t>
            </w:r>
            <w:r w:rsidRPr="00A01BE9">
              <w:rPr>
                <w:b/>
                <w:sz w:val="22"/>
                <w:szCs w:val="22"/>
              </w:rPr>
              <w:t xml:space="preserve">133 677 </w:t>
            </w:r>
            <w:r w:rsidRPr="00A01BE9">
              <w:rPr>
                <w:sz w:val="22"/>
                <w:szCs w:val="22"/>
              </w:rPr>
              <w:t xml:space="preserve">(TTY/Voice) or </w:t>
            </w:r>
            <w:r w:rsidRPr="00A01BE9">
              <w:rPr>
                <w:b/>
                <w:sz w:val="22"/>
                <w:szCs w:val="22"/>
              </w:rPr>
              <w:t>1300 555 727</w:t>
            </w:r>
            <w:r w:rsidRPr="00A01BE9">
              <w:rPr>
                <w:sz w:val="22"/>
                <w:szCs w:val="22"/>
              </w:rPr>
              <w:t xml:space="preserve"> (Speak &amp; Listen) and ask to be connected to the Australian Human Rights Commission.</w:t>
            </w:r>
          </w:p>
          <w:p w:rsidR="00A01BE9" w:rsidRPr="00A01BE9" w:rsidRDefault="00A01BE9" w:rsidP="00A01BE9">
            <w:pPr>
              <w:ind w:left="720"/>
              <w:rPr>
                <w:b/>
                <w:sz w:val="22"/>
                <w:szCs w:val="22"/>
              </w:rPr>
            </w:pPr>
            <w:r>
              <w:rPr>
                <w:b/>
                <w:sz w:val="22"/>
                <w:szCs w:val="22"/>
              </w:rPr>
              <w:t>Write to us</w:t>
            </w:r>
            <w:r>
              <w:rPr>
                <w:b/>
                <w:sz w:val="22"/>
                <w:szCs w:val="22"/>
              </w:rPr>
              <w:br/>
            </w:r>
            <w:r w:rsidRPr="00A01BE9">
              <w:rPr>
                <w:sz w:val="22"/>
                <w:szCs w:val="22"/>
              </w:rPr>
              <w:t>Postal Address: GPO Box 5218, Sydney NSW 2001</w:t>
            </w:r>
            <w:r w:rsidRPr="00A01BE9">
              <w:rPr>
                <w:sz w:val="22"/>
                <w:szCs w:val="22"/>
              </w:rPr>
              <w:br/>
              <w:t xml:space="preserve">Email: </w:t>
            </w:r>
            <w:hyperlink r:id="rId12" w:history="1">
              <w:r w:rsidR="00093E9D" w:rsidRPr="00093E9D">
                <w:rPr>
                  <w:rStyle w:val="Hyperlink"/>
                  <w:sz w:val="22"/>
                  <w:szCs w:val="22"/>
                </w:rPr>
                <w:t>infoservice</w:t>
              </w:r>
              <w:r w:rsidR="00093E9D" w:rsidRPr="00DC54D3">
                <w:rPr>
                  <w:rStyle w:val="Hyperlink"/>
                  <w:sz w:val="22"/>
                  <w:szCs w:val="22"/>
                </w:rPr>
                <w:t>@humanrights.gov.au</w:t>
              </w:r>
            </w:hyperlink>
            <w:r w:rsidRPr="00A01BE9">
              <w:rPr>
                <w:sz w:val="22"/>
                <w:szCs w:val="22"/>
                <w:u w:val="single"/>
              </w:rPr>
              <w:t xml:space="preserve"> </w:t>
            </w:r>
            <w:r w:rsidRPr="00A01BE9">
              <w:rPr>
                <w:sz w:val="22"/>
                <w:szCs w:val="22"/>
              </w:rPr>
              <w:br/>
              <w:t>Fax: (02) 9284 9611</w:t>
            </w:r>
          </w:p>
          <w:p w:rsidR="00A01BE9" w:rsidRPr="00A01BE9" w:rsidRDefault="00A01BE9" w:rsidP="00A01BE9">
            <w:pPr>
              <w:ind w:left="720"/>
              <w:rPr>
                <w:b/>
                <w:sz w:val="22"/>
                <w:szCs w:val="22"/>
              </w:rPr>
            </w:pPr>
            <w:r>
              <w:rPr>
                <w:b/>
                <w:sz w:val="22"/>
                <w:szCs w:val="22"/>
              </w:rPr>
              <w:t>Go online</w:t>
            </w:r>
            <w:r>
              <w:rPr>
                <w:b/>
                <w:sz w:val="22"/>
                <w:szCs w:val="22"/>
              </w:rPr>
              <w:br/>
            </w:r>
            <w:r w:rsidRPr="00A01BE9">
              <w:rPr>
                <w:sz w:val="22"/>
                <w:szCs w:val="22"/>
              </w:rPr>
              <w:t xml:space="preserve">Website: </w:t>
            </w:r>
            <w:hyperlink r:id="rId13" w:history="1">
              <w:r w:rsidRPr="00A01BE9">
                <w:rPr>
                  <w:rStyle w:val="Hyperlink"/>
                  <w:sz w:val="22"/>
                  <w:szCs w:val="22"/>
                </w:rPr>
                <w:t>www.humanrights.gov.au</w:t>
              </w:r>
            </w:hyperlink>
            <w:r w:rsidRPr="00A01BE9">
              <w:rPr>
                <w:sz w:val="22"/>
                <w:szCs w:val="22"/>
                <w:u w:val="single"/>
              </w:rPr>
              <w:t xml:space="preserve"> </w:t>
            </w:r>
            <w:r w:rsidRPr="00A01BE9">
              <w:rPr>
                <w:sz w:val="22"/>
                <w:szCs w:val="22"/>
              </w:rPr>
              <w:br/>
              <w:t xml:space="preserve">Make a complaint: </w:t>
            </w:r>
            <w:hyperlink r:id="rId14" w:history="1">
              <w:r w:rsidRPr="00A01BE9">
                <w:rPr>
                  <w:rStyle w:val="Hyperlink"/>
                  <w:sz w:val="22"/>
                  <w:szCs w:val="22"/>
                </w:rPr>
                <w:t>www.humanrights.gov.au/complaints/lodging-your-complaint</w:t>
              </w:r>
            </w:hyperlink>
          </w:p>
        </w:tc>
      </w:tr>
    </w:tbl>
    <w:p w:rsidR="00A01BE9" w:rsidRDefault="00A01BE9" w:rsidP="00157F6D">
      <w:pPr>
        <w:spacing w:before="0" w:after="0"/>
        <w:rPr>
          <w:b/>
        </w:rPr>
      </w:pPr>
    </w:p>
    <w:p w:rsidR="00157F6D" w:rsidRPr="009614BC" w:rsidRDefault="00157F6D" w:rsidP="00157F6D">
      <w:pPr>
        <w:spacing w:before="0" w:after="0"/>
        <w:rPr>
          <w:b/>
        </w:rPr>
      </w:pPr>
      <w:r w:rsidRPr="009614BC">
        <w:rPr>
          <w:b/>
        </w:rPr>
        <w:t>Why take action?</w:t>
      </w:r>
    </w:p>
    <w:p w:rsidR="00103A72" w:rsidRDefault="00103A72" w:rsidP="00157F6D">
      <w:pPr>
        <w:spacing w:before="0" w:after="0"/>
      </w:pPr>
    </w:p>
    <w:p w:rsidR="00157F6D" w:rsidRDefault="00C0413E" w:rsidP="00157F6D">
      <w:pPr>
        <w:spacing w:before="0" w:after="0"/>
      </w:pPr>
      <w:r>
        <w:t>E</w:t>
      </w:r>
      <w:r w:rsidR="00157F6D">
        <w:t>vidence shows that reporting is an effective way to make the sexual harassment stop</w:t>
      </w:r>
      <w:r w:rsidR="00D71E25">
        <w:t>.</w:t>
      </w:r>
    </w:p>
    <w:p w:rsidR="00157F6D" w:rsidRDefault="00157F6D" w:rsidP="00157F6D">
      <w:pPr>
        <w:spacing w:before="0" w:after="0"/>
      </w:pPr>
    </w:p>
    <w:tbl>
      <w:tblPr>
        <w:tblStyle w:val="TableGrid"/>
        <w:tblW w:w="0" w:type="auto"/>
        <w:tblLook w:val="04A0" w:firstRow="1" w:lastRow="0" w:firstColumn="1" w:lastColumn="0" w:noHBand="0" w:noVBand="1"/>
      </w:tblPr>
      <w:tblGrid>
        <w:gridCol w:w="9286"/>
      </w:tblGrid>
      <w:tr w:rsidR="00C36F82" w:rsidTr="00C36F82">
        <w:tc>
          <w:tcPr>
            <w:tcW w:w="9286" w:type="dxa"/>
            <w:shd w:val="clear" w:color="auto" w:fill="B6DDE8" w:themeFill="accent5" w:themeFillTint="66"/>
          </w:tcPr>
          <w:p w:rsidR="00C36F82" w:rsidRPr="00506CD8" w:rsidRDefault="00C36F82" w:rsidP="00C36F82">
            <w:pPr>
              <w:jc w:val="center"/>
              <w:rPr>
                <w:b/>
              </w:rPr>
            </w:pPr>
            <w:r w:rsidRPr="00F33457">
              <w:rPr>
                <w:b/>
                <w:sz w:val="36"/>
                <w:szCs w:val="36"/>
              </w:rPr>
              <w:t>45%</w:t>
            </w:r>
            <w:r>
              <w:t xml:space="preserve"> </w:t>
            </w:r>
            <w:r w:rsidRPr="00506CD8">
              <w:rPr>
                <w:b/>
              </w:rPr>
              <w:t xml:space="preserve">of workplace sexual harassment </w:t>
            </w:r>
          </w:p>
          <w:p w:rsidR="00C36F82" w:rsidRDefault="00C36F82" w:rsidP="00C36F82">
            <w:pPr>
              <w:jc w:val="center"/>
            </w:pPr>
            <w:proofErr w:type="gramStart"/>
            <w:r w:rsidRPr="0031104C">
              <w:rPr>
                <w:b/>
                <w:i/>
                <w:sz w:val="36"/>
                <w:szCs w:val="36"/>
              </w:rPr>
              <w:t>stops</w:t>
            </w:r>
            <w:proofErr w:type="gramEnd"/>
            <w:r w:rsidRPr="0031104C">
              <w:rPr>
                <w:b/>
                <w:sz w:val="36"/>
                <w:szCs w:val="36"/>
              </w:rPr>
              <w:t xml:space="preserve"> </w:t>
            </w:r>
            <w:r w:rsidRPr="00506CD8">
              <w:rPr>
                <w:b/>
              </w:rPr>
              <w:t>afte</w:t>
            </w:r>
            <w:r w:rsidR="00506CD8" w:rsidRPr="00506CD8">
              <w:rPr>
                <w:b/>
              </w:rPr>
              <w:t>r a complaint or report is made</w:t>
            </w:r>
            <w:r w:rsidRPr="00506CD8">
              <w:rPr>
                <w:b/>
              </w:rPr>
              <w:t>.</w:t>
            </w:r>
            <w:r w:rsidR="0026458B">
              <w:rPr>
                <w:rStyle w:val="EndnoteReference"/>
                <w:b/>
              </w:rPr>
              <w:endnoteReference w:id="6"/>
            </w:r>
          </w:p>
        </w:tc>
      </w:tr>
    </w:tbl>
    <w:p w:rsidR="00C36F82" w:rsidRDefault="00C36F82" w:rsidP="00157F6D">
      <w:pPr>
        <w:spacing w:before="0" w:after="0"/>
        <w:rPr>
          <w:b/>
        </w:rPr>
      </w:pPr>
    </w:p>
    <w:p w:rsidR="00157F6D" w:rsidRDefault="00157F6D" w:rsidP="00157F6D">
      <w:pPr>
        <w:spacing w:before="0" w:after="0"/>
        <w:rPr>
          <w:b/>
        </w:rPr>
      </w:pPr>
      <w:r w:rsidRPr="00606E9D">
        <w:rPr>
          <w:b/>
        </w:rPr>
        <w:t>I</w:t>
      </w:r>
      <w:r>
        <w:rPr>
          <w:b/>
        </w:rPr>
        <w:t>’m worried about what will happen if I make a complaint…</w:t>
      </w:r>
    </w:p>
    <w:p w:rsidR="00157F6D" w:rsidRDefault="00157F6D" w:rsidP="00157F6D">
      <w:pPr>
        <w:spacing w:before="0" w:after="0"/>
        <w:rPr>
          <w:b/>
        </w:rPr>
      </w:pPr>
    </w:p>
    <w:p w:rsidR="00157F6D" w:rsidRDefault="00157F6D" w:rsidP="00A01BE9">
      <w:pPr>
        <w:spacing w:before="0" w:after="0"/>
      </w:pPr>
      <w:r>
        <w:t xml:space="preserve">Many people are worried they will make things worse if they report their experience of sexual harassment to their employer. Under federal legislation it is </w:t>
      </w:r>
      <w:r w:rsidR="00E60358">
        <w:t xml:space="preserve">unlawful </w:t>
      </w:r>
      <w:r>
        <w:t xml:space="preserve">for an employee to be disadvantaged because they’ve reported sexual harassment. For example, </w:t>
      </w:r>
      <w:r w:rsidR="00E60358">
        <w:t>it may be unlawful</w:t>
      </w:r>
      <w:r>
        <w:t xml:space="preserve"> for your employer to move you to a position with fewer responsibilities or give you a critical reference just because you’</w:t>
      </w:r>
      <w:r w:rsidR="00A01BE9">
        <w:t xml:space="preserve">ve reported sexual harassment. </w:t>
      </w:r>
    </w:p>
    <w:p w:rsidR="00157F6D" w:rsidRPr="00A01BE9" w:rsidRDefault="00A01BE9" w:rsidP="0004501B">
      <w:pPr>
        <w:rPr>
          <w:b/>
        </w:rPr>
      </w:pPr>
      <w:r w:rsidRPr="00A01BE9">
        <w:rPr>
          <w:b/>
        </w:rPr>
        <w:t>How can I take action as a bystander?</w:t>
      </w:r>
    </w:p>
    <w:p w:rsidR="0004501B" w:rsidRDefault="0004501B" w:rsidP="0004501B">
      <w:pPr>
        <w:rPr>
          <w:color w:val="000000" w:themeColor="text1"/>
        </w:rPr>
      </w:pPr>
      <w:r>
        <w:t xml:space="preserve">People who see or hear about harassment in their workplace are called </w:t>
      </w:r>
      <w:r w:rsidRPr="00A01BE9">
        <w:rPr>
          <w:i/>
          <w:color w:val="000000" w:themeColor="text1"/>
        </w:rPr>
        <w:t>bystanders</w:t>
      </w:r>
      <w:r w:rsidRPr="00440DA8">
        <w:rPr>
          <w:color w:val="000000" w:themeColor="text1"/>
        </w:rPr>
        <w:t xml:space="preserve">. </w:t>
      </w:r>
    </w:p>
    <w:p w:rsidR="0004501B" w:rsidRDefault="0004501B" w:rsidP="0004501B">
      <w:r>
        <w:t xml:space="preserve">Active bystanders play a role to reduce the harm of sexual harassment and ensure there is no tolerance for sexual </w:t>
      </w:r>
      <w:r w:rsidR="00A01BE9">
        <w:t xml:space="preserve">harassment in their workplace. </w:t>
      </w:r>
    </w:p>
    <w:p w:rsidR="0004501B" w:rsidRDefault="0004501B" w:rsidP="00A01BE9">
      <w:pPr>
        <w:ind w:left="2127"/>
      </w:pPr>
      <w:r>
        <w:rPr>
          <w:b/>
          <w:noProof/>
        </w:rPr>
        <w:drawing>
          <wp:inline distT="0" distB="0" distL="0" distR="0" wp14:anchorId="1B3B987A" wp14:editId="58552DE0">
            <wp:extent cx="1897200" cy="12960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n 2 workers took action.jpg"/>
                    <pic:cNvPicPr/>
                  </pic:nvPicPr>
                  <pic:blipFill rotWithShape="1">
                    <a:blip r:embed="rId15" cstate="print">
                      <a:extLst>
                        <a:ext uri="{28A0092B-C50C-407E-A947-70E740481C1C}">
                          <a14:useLocalDpi xmlns:a14="http://schemas.microsoft.com/office/drawing/2010/main" val="0"/>
                        </a:ext>
                      </a:extLst>
                    </a:blip>
                    <a:srcRect l="20248" t="5679" r="21101" b="37778"/>
                    <a:stretch/>
                  </pic:blipFill>
                  <pic:spPr bwMode="auto">
                    <a:xfrm>
                      <a:off x="0" y="0"/>
                      <a:ext cx="1897200" cy="1296000"/>
                    </a:xfrm>
                    <a:prstGeom prst="rect">
                      <a:avLst/>
                    </a:prstGeom>
                    <a:ln>
                      <a:noFill/>
                    </a:ln>
                    <a:extLst>
                      <a:ext uri="{53640926-AAD7-44D8-BBD7-CCE9431645EC}">
                        <a14:shadowObscured xmlns:a14="http://schemas.microsoft.com/office/drawing/2010/main"/>
                      </a:ext>
                    </a:extLst>
                  </pic:spPr>
                </pic:pic>
              </a:graphicData>
            </a:graphic>
          </wp:inline>
        </w:drawing>
      </w:r>
    </w:p>
    <w:p w:rsidR="009A2A49" w:rsidRDefault="00093E9D" w:rsidP="00F33457">
      <w:pPr>
        <w:ind w:firstLine="720"/>
      </w:pPr>
      <w:r>
        <w:t>You can</w:t>
      </w:r>
      <w:r w:rsidR="009A2A49">
        <w:t xml:space="preserve"> talk to the person </w:t>
      </w:r>
      <w:r w:rsidR="00EF137A">
        <w:t>experiencing harassment</w:t>
      </w:r>
      <w:r w:rsidR="00E32756">
        <w:t>:</w:t>
      </w:r>
    </w:p>
    <w:p w:rsidR="00EC5358" w:rsidRDefault="009A2A49" w:rsidP="00E60358">
      <w:pPr>
        <w:pStyle w:val="ListParagraph"/>
        <w:numPr>
          <w:ilvl w:val="0"/>
          <w:numId w:val="42"/>
        </w:numPr>
      </w:pPr>
      <w:r>
        <w:t xml:space="preserve">Listen to them </w:t>
      </w:r>
    </w:p>
    <w:p w:rsidR="009A2A49" w:rsidRDefault="00E60358" w:rsidP="00E60358">
      <w:pPr>
        <w:pStyle w:val="ListParagraph"/>
        <w:numPr>
          <w:ilvl w:val="0"/>
          <w:numId w:val="42"/>
        </w:numPr>
      </w:pPr>
      <w:r>
        <w:t>Assist them in</w:t>
      </w:r>
      <w:r w:rsidR="009A2A49">
        <w:t xml:space="preserve"> find</w:t>
      </w:r>
      <w:r>
        <w:t>ing</w:t>
      </w:r>
      <w:r w:rsidR="009A2A49">
        <w:t xml:space="preserve"> information or </w:t>
      </w:r>
      <w:r>
        <w:t xml:space="preserve">on how to </w:t>
      </w:r>
      <w:r w:rsidR="009A2A49">
        <w:t>make a complaint</w:t>
      </w:r>
    </w:p>
    <w:p w:rsidR="00582770" w:rsidRDefault="00582770" w:rsidP="00582770">
      <w:pPr>
        <w:pStyle w:val="ListParagraph"/>
        <w:ind w:left="1080"/>
      </w:pPr>
    </w:p>
    <w:p w:rsidR="009A2A49" w:rsidRDefault="00E60358" w:rsidP="00F33457">
      <w:pPr>
        <w:pStyle w:val="ListParagraph"/>
      </w:pPr>
      <w:r>
        <w:t>There are also o</w:t>
      </w:r>
      <w:r w:rsidR="00EE69A4">
        <w:t>ther things you can do</w:t>
      </w:r>
      <w:r w:rsidR="00E32756">
        <w:t>:</w:t>
      </w:r>
    </w:p>
    <w:p w:rsidR="00EC5358" w:rsidRDefault="00EC5358" w:rsidP="00F33457">
      <w:pPr>
        <w:pStyle w:val="ListParagraph"/>
      </w:pPr>
    </w:p>
    <w:p w:rsidR="00EE69A4" w:rsidRDefault="00EE69A4" w:rsidP="00EE69A4">
      <w:pPr>
        <w:pStyle w:val="ListParagraph"/>
        <w:numPr>
          <w:ilvl w:val="0"/>
          <w:numId w:val="39"/>
        </w:numPr>
      </w:pPr>
      <w:r>
        <w:t xml:space="preserve">Talk to your manager or supervisor about displaying the workplace sexual harassment policy </w:t>
      </w:r>
      <w:r w:rsidR="00E32756">
        <w:t xml:space="preserve">prominently </w:t>
      </w:r>
      <w:r>
        <w:t xml:space="preserve">in your </w:t>
      </w:r>
      <w:r w:rsidR="00C0413E">
        <w:t>workplace</w:t>
      </w:r>
    </w:p>
    <w:p w:rsidR="00EE69A4" w:rsidRDefault="00EE69A4" w:rsidP="00EE69A4">
      <w:pPr>
        <w:pStyle w:val="ListParagraph"/>
        <w:numPr>
          <w:ilvl w:val="0"/>
          <w:numId w:val="39"/>
        </w:numPr>
      </w:pPr>
      <w:r>
        <w:t>Organise sexual harassment training for your workplace</w:t>
      </w:r>
    </w:p>
    <w:p w:rsidR="00103A72" w:rsidRDefault="00EE69A4" w:rsidP="00F33457">
      <w:pPr>
        <w:pStyle w:val="ListParagraph"/>
        <w:numPr>
          <w:ilvl w:val="0"/>
          <w:numId w:val="39"/>
        </w:numPr>
      </w:pPr>
      <w:r>
        <w:t>Talk to Human Resources</w:t>
      </w:r>
      <w:r w:rsidR="00216245">
        <w:t xml:space="preserve"> about implementing any sexual harassment policies</w:t>
      </w:r>
    </w:p>
    <w:p w:rsidR="00E663DC" w:rsidRDefault="00E663DC" w:rsidP="00F33457">
      <w:pPr>
        <w:pStyle w:val="ListParagraph"/>
        <w:numPr>
          <w:ilvl w:val="0"/>
          <w:numId w:val="39"/>
        </w:numPr>
      </w:pPr>
      <w:r>
        <w:t>Talk to a union delegate or union about raising awareness of sexual harassment in the workplace</w:t>
      </w:r>
    </w:p>
    <w:p w:rsidR="009A2A49" w:rsidRDefault="007D55BF" w:rsidP="00F33457">
      <w:pPr>
        <w:pStyle w:val="ListParagraph"/>
        <w:numPr>
          <w:ilvl w:val="0"/>
          <w:numId w:val="39"/>
        </w:numPr>
      </w:pPr>
      <w:r>
        <w:t xml:space="preserve">If </w:t>
      </w:r>
      <w:r w:rsidR="00886359">
        <w:t xml:space="preserve">you have </w:t>
      </w:r>
      <w:r>
        <w:t>the person experiencing the harassment</w:t>
      </w:r>
      <w:r w:rsidR="00886359">
        <w:t>’s permission</w:t>
      </w:r>
      <w:r>
        <w:t xml:space="preserve"> you can also report it to your employer.</w:t>
      </w:r>
    </w:p>
    <w:p w:rsidR="00D25824" w:rsidRDefault="00D25824" w:rsidP="00F33457">
      <w:r w:rsidRPr="00EC5358">
        <w:t xml:space="preserve">What bystander action is possible will differ in different workplace contexts, so </w:t>
      </w:r>
      <w:r w:rsidR="0082208D" w:rsidRPr="00EC5358">
        <w:t>it may be necessary to adapt what action you take to the context of your workplace.</w:t>
      </w:r>
    </w:p>
    <w:p w:rsidR="00C00851" w:rsidRDefault="00C00851" w:rsidP="00780FF8">
      <w:pPr>
        <w:spacing w:before="0" w:after="0"/>
      </w:pPr>
      <w:r>
        <w:rPr>
          <w:noProof/>
        </w:rPr>
        <mc:AlternateContent>
          <mc:Choice Requires="wps">
            <w:drawing>
              <wp:anchor distT="0" distB="0" distL="114300" distR="114300" simplePos="0" relativeHeight="251695104" behindDoc="0" locked="0" layoutInCell="1" allowOverlap="1" wp14:anchorId="48A4E88E" wp14:editId="797A61DB">
                <wp:simplePos x="0" y="0"/>
                <wp:positionH relativeFrom="column">
                  <wp:posOffset>47625</wp:posOffset>
                </wp:positionH>
                <wp:positionV relativeFrom="paragraph">
                  <wp:posOffset>86995</wp:posOffset>
                </wp:positionV>
                <wp:extent cx="6020435" cy="1403985"/>
                <wp:effectExtent l="0" t="0" r="0" b="63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35" cy="1403985"/>
                        </a:xfrm>
                        <a:prstGeom prst="rect">
                          <a:avLst/>
                        </a:prstGeom>
                        <a:solidFill>
                          <a:schemeClr val="accent5">
                            <a:lumMod val="20000"/>
                            <a:lumOff val="80000"/>
                          </a:schemeClr>
                        </a:solidFill>
                        <a:ln w="9525">
                          <a:noFill/>
                          <a:miter lim="800000"/>
                          <a:headEnd/>
                          <a:tailEnd/>
                        </a:ln>
                      </wps:spPr>
                      <wps:txbx>
                        <w:txbxContent>
                          <w:p w:rsidR="00830C97" w:rsidRPr="007D55BF" w:rsidRDefault="00830C97" w:rsidP="007D55BF">
                            <w:r>
                              <w:t>The best thing you can do is to listen to the person who has been harassed and ask them what support they would like.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6.85pt;width:474.05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N6OwIAAFoEAAAOAAAAZHJzL2Uyb0RvYy54bWysVNtu2zAMfR+wfxD0vthxky4x4hRdugwD&#10;ugvQ7gMUWY6FSaImKbGzrx8lO2m2vQ17MSSSOoc8JL2667UiR+G8BFPR6SSnRBgOtTT7in573r5Z&#10;UOIDMzVTYERFT8LTu/XrV6vOlqKAFlQtHEEQ48vOVrQNwZZZ5nkrNPMTsMKgswGnWcCr22e1Yx2i&#10;a5UVeX6bdeBq64AL79H6MDjpOuE3jeDhS9N4EYiqKOYW0tel7y5+s/WKlXvHbCv5mAb7hyw0kwZJ&#10;L1APLDBycPIvKC25Aw9NmHDQGTSN5CLVgNVM8z+qeWqZFakWFMfbi0z+/8Hyz8evjsi6onNKDNPY&#10;omfRB/IOelJEdTrrSwx6shgWejRjl1Ol3j4C/+6JgU3LzF7cOwddK1iN2U3jy+zq6YDjI8iu+wQ1&#10;0rBDgATUN05H6VAMgujYpdOlMzEVjsbbvMhnN5giR990lt8sF/PEwcrzc+t8+CBAk3ioqMPWJ3h2&#10;fPQhpsPKc0hk86BkvZVKpUscN7FRjhwZDgrjXJgwT8/VQWO+gx0HLh9HBs04WIN5cTYjRRrciJQI&#10;fyNRhnQVXc6LAdhAZE/zp2XAJVBSVzRhjRxRzPemTiGBSTWckUSZUd0o6CBt6Hc9BkbJd1CfUGcH&#10;w7DjcuKhBfeTkg4HvaL+x4E5QYn6aLBXy+lsFjcjXWbztwVe3LVnd+1hhiNURQMlw3ET0jYlFe09&#10;9nQrk9ovmYy54gAnTcZlixtyfU9RL7+E9S8AAAD//wMAUEsDBBQABgAIAAAAIQBPXPxS3wAAAAgB&#10;AAAPAAAAZHJzL2Rvd25yZXYueG1sTI9PT4NAEMXvJn6HzZh4s4ttgYosjfFPYnsxRU08TmEEIjtL&#10;2G2L397xpMc37+W93+TryfbqSKPvHBu4nkWgiCtXd9wYeHt9ulqB8gG5xt4xGfgmD+vi/CzHrHYn&#10;3tGxDI2SEvYZGmhDGDKtfdWSRT9zA7F4n260GESOja5HPEm57fU8ihJtsWNZaHGg+5aqr/JgDewe&#10;2W2f0w9Mwkv5sHTvWA6brTGXF9PdLahAU/gLwy++oEMhTHt34Nqr3kAaS1DOixSU2DdxnIDaG5gv&#10;livQRa7/P1D8AAAA//8DAFBLAQItABQABgAIAAAAIQC2gziS/gAAAOEBAAATAAAAAAAAAAAAAAAA&#10;AAAAAABbQ29udGVudF9UeXBlc10ueG1sUEsBAi0AFAAGAAgAAAAhADj9If/WAAAAlAEAAAsAAAAA&#10;AAAAAAAAAAAALwEAAF9yZWxzLy5yZWxzUEsBAi0AFAAGAAgAAAAhAD/r03o7AgAAWgQAAA4AAAAA&#10;AAAAAAAAAAAALgIAAGRycy9lMm9Eb2MueG1sUEsBAi0AFAAGAAgAAAAhAE9c/FLfAAAACAEAAA8A&#10;AAAAAAAAAAAAAAAAlQQAAGRycy9kb3ducmV2LnhtbFBLBQYAAAAABAAEAPMAAAChBQAAAAA=&#10;" fillcolor="#daeef3 [664]" stroked="f">
                <v:textbox style="mso-fit-shape-to-text:t">
                  <w:txbxContent>
                    <w:p w:rsidR="006B671D" w:rsidRPr="007D55BF" w:rsidRDefault="006B671D" w:rsidP="007D55BF">
                      <w:r>
                        <w:t>The best thing you can do is to listen to the person who has been harassed and ask them what support they would like.</w:t>
                      </w:r>
                    </w:p>
                  </w:txbxContent>
                </v:textbox>
                <w10:wrap type="square"/>
              </v:shape>
            </w:pict>
          </mc:Fallback>
        </mc:AlternateContent>
      </w:r>
    </w:p>
    <w:p w:rsidR="0054576A" w:rsidRDefault="003114BF" w:rsidP="00780FF8">
      <w:pPr>
        <w:spacing w:before="0" w:after="0"/>
        <w:rPr>
          <w:b/>
        </w:rPr>
      </w:pPr>
      <w:r>
        <w:rPr>
          <w:b/>
        </w:rPr>
        <w:t>Know where the line is</w:t>
      </w:r>
    </w:p>
    <w:p w:rsidR="003114BF" w:rsidRPr="003114BF" w:rsidRDefault="003114BF" w:rsidP="00780FF8">
      <w:pPr>
        <w:spacing w:before="0" w:after="0"/>
        <w:rPr>
          <w:b/>
        </w:rPr>
      </w:pPr>
    </w:p>
    <w:p w:rsidR="00CB6215" w:rsidRDefault="00C00851" w:rsidP="00780FF8">
      <w:pPr>
        <w:spacing w:before="0" w:after="0"/>
      </w:pPr>
      <w:r w:rsidRPr="0096754B">
        <w:t>For information on sexual harassment</w:t>
      </w:r>
      <w:r w:rsidR="00CC3783" w:rsidRPr="0096754B">
        <w:t xml:space="preserve">, </w:t>
      </w:r>
      <w:r w:rsidRPr="0096754B">
        <w:t xml:space="preserve">how to take bystander action </w:t>
      </w:r>
      <w:r w:rsidR="00CC3783" w:rsidRPr="0096754B">
        <w:t>or make a complaint to the Australian Human Rights Commission see our website at:</w:t>
      </w:r>
      <w:r w:rsidRPr="0096754B">
        <w:t xml:space="preserve"> </w:t>
      </w:r>
      <w:hyperlink r:id="rId16" w:history="1">
        <w:r w:rsidR="00CC3783" w:rsidRPr="0096754B">
          <w:rPr>
            <w:rStyle w:val="Hyperlink"/>
          </w:rPr>
          <w:t>www.knowtheline.com.au</w:t>
        </w:r>
      </w:hyperlink>
      <w:r w:rsidR="00CC3783">
        <w:t xml:space="preserve"> </w:t>
      </w:r>
    </w:p>
    <w:p w:rsidR="0054576A" w:rsidRDefault="0054576A" w:rsidP="00780FF8">
      <w:pPr>
        <w:spacing w:before="0" w:after="0"/>
      </w:pPr>
    </w:p>
    <w:p w:rsidR="0054576A" w:rsidRPr="00A02F56" w:rsidRDefault="0054576A" w:rsidP="00780FF8">
      <w:pPr>
        <w:spacing w:before="0" w:after="0"/>
      </w:pPr>
    </w:p>
    <w:sectPr w:rsidR="0054576A" w:rsidRPr="00A02F56" w:rsidSect="00F33457">
      <w:footerReference w:type="default" r:id="rId17"/>
      <w:headerReference w:type="first" r:id="rId18"/>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C97" w:rsidRDefault="00830C97" w:rsidP="00F14C6D">
      <w:r>
        <w:separator/>
      </w:r>
    </w:p>
  </w:endnote>
  <w:endnote w:type="continuationSeparator" w:id="0">
    <w:p w:rsidR="00830C97" w:rsidRDefault="00830C97" w:rsidP="00F14C6D">
      <w:r>
        <w:continuationSeparator/>
      </w:r>
    </w:p>
  </w:endnote>
  <w:endnote w:id="1">
    <w:p w:rsidR="00830C97" w:rsidRPr="00E00294" w:rsidRDefault="00830C97">
      <w:pPr>
        <w:pStyle w:val="EndnoteText"/>
      </w:pPr>
      <w:r>
        <w:rPr>
          <w:rStyle w:val="EndnoteReference"/>
        </w:rPr>
        <w:endnoteRef/>
      </w:r>
      <w:r>
        <w:t xml:space="preserve"> </w:t>
      </w:r>
      <w:r w:rsidRPr="00E00294">
        <w:rPr>
          <w:rFonts w:cs="Arial"/>
        </w:rPr>
        <w:t xml:space="preserve">Australian Human Rights Commission, </w:t>
      </w:r>
      <w:r w:rsidRPr="00F33457">
        <w:rPr>
          <w:rFonts w:cs="Arial"/>
          <w:i/>
        </w:rPr>
        <w:t xml:space="preserve">Working without Fear: Results of the 2012 Sexual Harassment National Telephone Survey </w:t>
      </w:r>
      <w:r w:rsidRPr="00F33457">
        <w:rPr>
          <w:rFonts w:cs="Arial"/>
        </w:rPr>
        <w:t xml:space="preserve">(2012), p5. At: </w:t>
      </w:r>
      <w:hyperlink r:id="rId1" w:history="1">
        <w:r w:rsidRPr="00F33457">
          <w:rPr>
            <w:rStyle w:val="Hyperlink"/>
            <w:rFonts w:cs="Arial"/>
          </w:rPr>
          <w:t>http://www.humanrights.gov.au/working-without-fear-results-sexual-harassment-national-telephone-survey-2012</w:t>
        </w:r>
      </w:hyperlink>
      <w:r w:rsidRPr="00F33457">
        <w:rPr>
          <w:rFonts w:cs="Arial"/>
        </w:rPr>
        <w:t xml:space="preserve"> (viewed 14 May 2014).</w:t>
      </w:r>
    </w:p>
  </w:endnote>
  <w:endnote w:id="2">
    <w:p w:rsidR="00830C97" w:rsidRPr="00E00294" w:rsidRDefault="00830C97">
      <w:pPr>
        <w:pStyle w:val="EndnoteText"/>
      </w:pPr>
      <w:r w:rsidRPr="002F35FD">
        <w:rPr>
          <w:rStyle w:val="EndnoteReference"/>
        </w:rPr>
        <w:endnoteRef/>
      </w:r>
      <w:r w:rsidRPr="00F33457">
        <w:t xml:space="preserve"> An employee includes full-time, part-time and casual workers as well as independent contractors.</w:t>
      </w:r>
    </w:p>
  </w:endnote>
  <w:endnote w:id="3">
    <w:p w:rsidR="00830C97" w:rsidRPr="00E00294" w:rsidRDefault="00830C97">
      <w:pPr>
        <w:pStyle w:val="EndnoteText"/>
      </w:pPr>
      <w:r w:rsidRPr="002F35FD">
        <w:rPr>
          <w:rStyle w:val="EndnoteReference"/>
        </w:rPr>
        <w:endnoteRef/>
      </w:r>
      <w:r w:rsidRPr="00F33457">
        <w:t xml:space="preserve"> A commission agent is a person who does work for another person as the agent of that other person and who is remunerated, whether in whole or in part, by commission.</w:t>
      </w:r>
    </w:p>
  </w:endnote>
  <w:endnote w:id="4">
    <w:p w:rsidR="00830C97" w:rsidRPr="00E00294" w:rsidRDefault="00830C97" w:rsidP="00F77D4C">
      <w:pPr>
        <w:pStyle w:val="EndnoteText"/>
        <w:spacing w:before="120" w:after="120"/>
        <w:rPr>
          <w:rFonts w:cs="Arial"/>
        </w:rPr>
      </w:pPr>
      <w:r w:rsidRPr="002F35FD">
        <w:rPr>
          <w:rStyle w:val="EndnoteReference"/>
          <w:rFonts w:cs="Arial"/>
        </w:rPr>
        <w:endnoteRef/>
      </w:r>
      <w:r w:rsidRPr="00F33457">
        <w:rPr>
          <w:rFonts w:cs="Arial"/>
        </w:rPr>
        <w:t xml:space="preserve"> </w:t>
      </w:r>
      <w:r w:rsidRPr="00F33457">
        <w:rPr>
          <w:rFonts w:cs="Arial"/>
          <w:i/>
        </w:rPr>
        <w:t xml:space="preserve">Sex Discrimination Act 1984 </w:t>
      </w:r>
      <w:r w:rsidRPr="00E00294">
        <w:rPr>
          <w:rFonts w:cs="Arial"/>
        </w:rPr>
        <w:t>(</w:t>
      </w:r>
      <w:proofErr w:type="spellStart"/>
      <w:r w:rsidRPr="00F33457">
        <w:rPr>
          <w:rFonts w:cs="Arial"/>
        </w:rPr>
        <w:t>Cth</w:t>
      </w:r>
      <w:proofErr w:type="spellEnd"/>
      <w:r w:rsidRPr="00F33457">
        <w:rPr>
          <w:rFonts w:cs="Arial"/>
        </w:rPr>
        <w:t xml:space="preserve">), </w:t>
      </w:r>
      <w:proofErr w:type="spellStart"/>
      <w:r w:rsidRPr="00F33457">
        <w:rPr>
          <w:rFonts w:cs="Arial"/>
        </w:rPr>
        <w:t>ss</w:t>
      </w:r>
      <w:proofErr w:type="spellEnd"/>
      <w:r w:rsidRPr="00F33457">
        <w:rPr>
          <w:rFonts w:cs="Arial"/>
        </w:rPr>
        <w:t xml:space="preserve"> </w:t>
      </w:r>
      <w:proofErr w:type="gramStart"/>
      <w:r w:rsidRPr="00F33457">
        <w:rPr>
          <w:rFonts w:cs="Arial"/>
        </w:rPr>
        <w:t>28B(</w:t>
      </w:r>
      <w:proofErr w:type="gramEnd"/>
      <w:r w:rsidRPr="00F33457">
        <w:rPr>
          <w:rFonts w:cs="Arial"/>
        </w:rPr>
        <w:t>1)-28B(6).</w:t>
      </w:r>
    </w:p>
  </w:endnote>
  <w:endnote w:id="5">
    <w:p w:rsidR="00830C97" w:rsidRDefault="00830C97">
      <w:pPr>
        <w:pStyle w:val="EndnoteText"/>
      </w:pPr>
      <w:r>
        <w:rPr>
          <w:rStyle w:val="EndnoteReference"/>
        </w:rPr>
        <w:endnoteRef/>
      </w:r>
      <w:r>
        <w:t xml:space="preserve"> Community Legal Centres: </w:t>
      </w:r>
      <w:hyperlink r:id="rId2" w:history="1">
        <w:r w:rsidR="003D05F1" w:rsidRPr="001220B4">
          <w:rPr>
            <w:rStyle w:val="Hyperlink"/>
          </w:rPr>
          <w:t>http://www.naclc.org.au/need_legal_help.php</w:t>
        </w:r>
      </w:hyperlink>
      <w:r>
        <w:t xml:space="preserve"> </w:t>
      </w:r>
    </w:p>
    <w:p w:rsidR="00830C97" w:rsidRDefault="00830C97">
      <w:pPr>
        <w:pStyle w:val="EndnoteText"/>
      </w:pPr>
      <w:r>
        <w:t xml:space="preserve">Women’s Legal Services: </w:t>
      </w:r>
      <w:hyperlink r:id="rId3" w:history="1">
        <w:r w:rsidRPr="006A46DF">
          <w:rPr>
            <w:rStyle w:val="Hyperlink"/>
          </w:rPr>
          <w:t>http://www.wlsa.org.au/members</w:t>
        </w:r>
      </w:hyperlink>
    </w:p>
    <w:p w:rsidR="00830C97" w:rsidRDefault="00830C97">
      <w:pPr>
        <w:pStyle w:val="EndnoteText"/>
      </w:pPr>
      <w:r>
        <w:t xml:space="preserve">Working Women’s Centres: </w:t>
      </w:r>
      <w:hyperlink r:id="rId4" w:history="1">
        <w:r w:rsidR="003D05F1" w:rsidRPr="001220B4">
          <w:rPr>
            <w:rStyle w:val="Hyperlink"/>
          </w:rPr>
          <w:t>http://www.wwc.org.au/</w:t>
        </w:r>
      </w:hyperlink>
      <w:r>
        <w:t xml:space="preserve"> </w:t>
      </w:r>
    </w:p>
    <w:p w:rsidR="00830C97" w:rsidRDefault="00185F89">
      <w:pPr>
        <w:pStyle w:val="EndnoteText"/>
      </w:pPr>
      <w:r>
        <w:t>Victoria</w:t>
      </w:r>
      <w:r w:rsidR="00830C97">
        <w:t xml:space="preserve"> Legal Aid: </w:t>
      </w:r>
      <w:r w:rsidR="003D05F1">
        <w:fldChar w:fldCharType="begin"/>
      </w:r>
      <w:r w:rsidR="003D05F1">
        <w:instrText xml:space="preserve"> HYPERLINK "</w:instrText>
      </w:r>
      <w:r w:rsidR="003D05F1" w:rsidRPr="00133DB7">
        <w:instrText>http://www.legalaid.vic.gov.au/</w:instrText>
      </w:r>
      <w:r w:rsidR="003D05F1">
        <w:instrText xml:space="preserve">" </w:instrText>
      </w:r>
      <w:r w:rsidR="003D05F1">
        <w:fldChar w:fldCharType="separate"/>
      </w:r>
      <w:r w:rsidR="003D05F1" w:rsidRPr="001220B4">
        <w:rPr>
          <w:rStyle w:val="Hyperlink"/>
        </w:rPr>
        <w:t>http://www.legalaid.vic.gov.au/</w:t>
      </w:r>
      <w:r w:rsidR="003D05F1">
        <w:fldChar w:fldCharType="end"/>
      </w:r>
      <w:r w:rsidR="003D05F1">
        <w:t xml:space="preserve"> </w:t>
      </w:r>
    </w:p>
    <w:p w:rsidR="00830C97" w:rsidRDefault="00830C97">
      <w:pPr>
        <w:pStyle w:val="EndnoteText"/>
      </w:pPr>
      <w:r>
        <w:t xml:space="preserve">Job Watch (Victoria): </w:t>
      </w:r>
      <w:hyperlink r:id="rId5" w:history="1">
        <w:r w:rsidRPr="006A46DF">
          <w:rPr>
            <w:rStyle w:val="Hyperlink"/>
          </w:rPr>
          <w:t>http://www.jobwatch.org.au/</w:t>
        </w:r>
      </w:hyperlink>
    </w:p>
    <w:p w:rsidR="00830C97" w:rsidRDefault="00830C97">
      <w:pPr>
        <w:pStyle w:val="EndnoteText"/>
      </w:pPr>
      <w:r>
        <w:t xml:space="preserve">Employment Law Centre of WA: </w:t>
      </w:r>
      <w:hyperlink r:id="rId6" w:history="1">
        <w:r w:rsidR="003D05F1" w:rsidRPr="001220B4">
          <w:rPr>
            <w:rStyle w:val="Hyperlink"/>
          </w:rPr>
          <w:t>http://elcwa.org.au/</w:t>
        </w:r>
      </w:hyperlink>
      <w:bookmarkStart w:id="0" w:name="_GoBack"/>
      <w:bookmarkEnd w:id="0"/>
      <w:r>
        <w:t xml:space="preserve"> </w:t>
      </w:r>
    </w:p>
  </w:endnote>
  <w:endnote w:id="6">
    <w:p w:rsidR="00830C97" w:rsidRDefault="00830C97">
      <w:pPr>
        <w:pStyle w:val="EndnoteText"/>
      </w:pPr>
      <w:r w:rsidRPr="002F35FD">
        <w:rPr>
          <w:rStyle w:val="EndnoteReference"/>
        </w:rPr>
        <w:endnoteRef/>
      </w:r>
      <w:r w:rsidRPr="00F33457">
        <w:t xml:space="preserve"> </w:t>
      </w:r>
      <w:proofErr w:type="gramStart"/>
      <w:r w:rsidRPr="00F33457">
        <w:rPr>
          <w:rFonts w:cs="Arial"/>
        </w:rPr>
        <w:t>Above n1, p5.</w:t>
      </w:r>
      <w:proofErr w:type="gramEnd"/>
      <w:r>
        <w:rPr>
          <w:rFonts w:cs="Arial"/>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C97" w:rsidRDefault="00830C97" w:rsidP="00CE7182">
    <w:pPr>
      <w:pStyle w:val="Footer"/>
      <w:spacing w:before="0"/>
    </w:pPr>
    <w:r w:rsidRPr="0090165F">
      <w:fldChar w:fldCharType="begin"/>
    </w:r>
    <w:r w:rsidRPr="0090165F">
      <w:instrText xml:space="preserve"> PAGE   \* MERGEFORMAT </w:instrText>
    </w:r>
    <w:r w:rsidRPr="0090165F">
      <w:fldChar w:fldCharType="separate"/>
    </w:r>
    <w:r w:rsidR="00712820">
      <w:rPr>
        <w:noProof/>
      </w:rPr>
      <w:t>2</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C97" w:rsidRDefault="00830C97" w:rsidP="00F14C6D">
      <w:r>
        <w:separator/>
      </w:r>
    </w:p>
  </w:footnote>
  <w:footnote w:type="continuationSeparator" w:id="0">
    <w:p w:rsidR="00830C97" w:rsidRDefault="00830C97"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C97" w:rsidRDefault="00830C97">
    <w:pPr>
      <w:pStyle w:val="Header"/>
    </w:pPr>
  </w:p>
  <w:tbl>
    <w:tblPr>
      <w:tblW w:w="13044" w:type="dxa"/>
      <w:tblLayout w:type="fixed"/>
      <w:tblLook w:val="00A0" w:firstRow="1" w:lastRow="0" w:firstColumn="1" w:lastColumn="0" w:noHBand="0" w:noVBand="0"/>
    </w:tblPr>
    <w:tblGrid>
      <w:gridCol w:w="3936"/>
      <w:gridCol w:w="2688"/>
      <w:gridCol w:w="2302"/>
      <w:gridCol w:w="2130"/>
      <w:gridCol w:w="1988"/>
    </w:tblGrid>
    <w:tr w:rsidR="00830C97" w:rsidRPr="008D1634" w:rsidTr="005B2601">
      <w:trPr>
        <w:trHeight w:val="1603"/>
      </w:trPr>
      <w:tc>
        <w:tcPr>
          <w:tcW w:w="3936" w:type="dxa"/>
        </w:tcPr>
        <w:p w:rsidR="00830C97" w:rsidRPr="008D1634" w:rsidRDefault="00830C97" w:rsidP="005B2601">
          <w:pPr>
            <w:pStyle w:val="Header"/>
            <w:tabs>
              <w:tab w:val="left" w:pos="4686"/>
              <w:tab w:val="left" w:pos="7088"/>
              <w:tab w:val="left" w:pos="7242"/>
            </w:tabs>
            <w:jc w:val="center"/>
            <w:rPr>
              <w:rFonts w:cs="ArialMT"/>
              <w:b/>
              <w:color w:val="000000"/>
              <w:spacing w:val="-20"/>
              <w:sz w:val="32"/>
              <w:lang w:val="en-US" w:eastAsia="en-US" w:bidi="en-US"/>
            </w:rPr>
          </w:pPr>
          <w:r>
            <w:rPr>
              <w:rFonts w:cs="ArialMT"/>
              <w:b/>
              <w:noProof/>
              <w:color w:val="000000"/>
              <w:spacing w:val="-20"/>
              <w:sz w:val="32"/>
            </w:rPr>
            <w:drawing>
              <wp:inline distT="0" distB="0" distL="0" distR="0" wp14:anchorId="44F11027" wp14:editId="6F058CB8">
                <wp:extent cx="2363470" cy="808990"/>
                <wp:effectExtent l="0" t="0" r="0" b="0"/>
                <wp:docPr id="3" name="Picture 3"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3470" cy="808990"/>
                        </a:xfrm>
                        <a:prstGeom prst="rect">
                          <a:avLst/>
                        </a:prstGeom>
                        <a:noFill/>
                        <a:ln>
                          <a:noFill/>
                        </a:ln>
                      </pic:spPr>
                    </pic:pic>
                  </a:graphicData>
                </a:graphic>
              </wp:inline>
            </w:drawing>
          </w:r>
        </w:p>
      </w:tc>
      <w:tc>
        <w:tcPr>
          <w:tcW w:w="2688" w:type="dxa"/>
          <w:vAlign w:val="center"/>
        </w:tcPr>
        <w:p w:rsidR="00830C97" w:rsidRPr="008D1634" w:rsidRDefault="00830C97" w:rsidP="005B2601">
          <w:pPr>
            <w:spacing w:before="0" w:after="0" w:line="210" w:lineRule="exact"/>
            <w:rPr>
              <w:rFonts w:cs="ArialMT"/>
              <w:i/>
              <w:color w:val="808080"/>
              <w:sz w:val="17"/>
              <w:lang w:val="en-US" w:eastAsia="en-US" w:bidi="en-US"/>
            </w:rPr>
          </w:pPr>
        </w:p>
      </w:tc>
      <w:tc>
        <w:tcPr>
          <w:tcW w:w="2302" w:type="dxa"/>
        </w:tcPr>
        <w:p w:rsidR="00830C97" w:rsidRPr="008D1634" w:rsidRDefault="00830C97" w:rsidP="005B2601">
          <w:pPr>
            <w:pStyle w:val="HeaderFooter"/>
            <w:spacing w:before="0" w:after="0"/>
            <w:jc w:val="both"/>
            <w:rPr>
              <w:b/>
              <w:color w:val="000000"/>
              <w:spacing w:val="-20"/>
              <w:sz w:val="40"/>
              <w:lang w:val="en-US" w:eastAsia="en-US" w:bidi="en-US"/>
            </w:rPr>
          </w:pPr>
        </w:p>
      </w:tc>
      <w:tc>
        <w:tcPr>
          <w:tcW w:w="2130" w:type="dxa"/>
        </w:tcPr>
        <w:p w:rsidR="00830C97" w:rsidRPr="008D1634" w:rsidRDefault="00830C97" w:rsidP="005B2601">
          <w:pPr>
            <w:pStyle w:val="HeaderFooter"/>
            <w:spacing w:before="0" w:after="0"/>
            <w:jc w:val="both"/>
            <w:rPr>
              <w:b/>
              <w:color w:val="000000"/>
              <w:spacing w:val="-20"/>
              <w:sz w:val="40"/>
              <w:lang w:val="en-US" w:eastAsia="en-US" w:bidi="en-US"/>
            </w:rPr>
          </w:pPr>
        </w:p>
      </w:tc>
      <w:tc>
        <w:tcPr>
          <w:tcW w:w="1988" w:type="dxa"/>
        </w:tcPr>
        <w:p w:rsidR="00830C97" w:rsidRPr="008D1634" w:rsidRDefault="00830C97" w:rsidP="005B2601">
          <w:pPr>
            <w:pStyle w:val="HeaderFooter"/>
            <w:jc w:val="both"/>
            <w:rPr>
              <w:b/>
              <w:color w:val="000000"/>
              <w:spacing w:val="-20"/>
              <w:sz w:val="40"/>
              <w:lang w:val="en-US" w:eastAsia="en-US" w:bidi="en-US"/>
            </w:rPr>
          </w:pPr>
        </w:p>
      </w:tc>
    </w:tr>
  </w:tbl>
  <w:p w:rsidR="00830C97" w:rsidRDefault="00830C97" w:rsidP="00F65425">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775A1C"/>
    <w:multiLevelType w:val="hybridMultilevel"/>
    <w:tmpl w:val="675CB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08042415"/>
    <w:multiLevelType w:val="hybridMultilevel"/>
    <w:tmpl w:val="96A83DE8"/>
    <w:lvl w:ilvl="0" w:tplc="40CEABBE">
      <w:start w:val="1"/>
      <w:numFmt w:val="decimal"/>
      <w:lvlText w:val="%1)"/>
      <w:lvlJc w:val="left"/>
      <w:pPr>
        <w:ind w:left="720" w:hanging="360"/>
      </w:pPr>
      <w:rPr>
        <w:rFonts w:ascii="Arial" w:eastAsia="Times New Roman" w:hAnsi="Arial"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A830281"/>
    <w:multiLevelType w:val="hybridMultilevel"/>
    <w:tmpl w:val="7A0A5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E35404B"/>
    <w:multiLevelType w:val="hybridMultilevel"/>
    <w:tmpl w:val="5C2C7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BB94E55"/>
    <w:multiLevelType w:val="hybridMultilevel"/>
    <w:tmpl w:val="972C10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2512EAB"/>
    <w:multiLevelType w:val="hybridMultilevel"/>
    <w:tmpl w:val="422AB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2C8476C1"/>
    <w:multiLevelType w:val="hybridMultilevel"/>
    <w:tmpl w:val="F85C93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2E024380"/>
    <w:multiLevelType w:val="hybridMultilevel"/>
    <w:tmpl w:val="A7E8D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30223C1"/>
    <w:multiLevelType w:val="hybridMultilevel"/>
    <w:tmpl w:val="9F8C5D38"/>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6">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nsid w:val="38A24F5E"/>
    <w:multiLevelType w:val="hybridMultilevel"/>
    <w:tmpl w:val="2F72777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8">
    <w:nsid w:val="3B782EEB"/>
    <w:multiLevelType w:val="hybridMultilevel"/>
    <w:tmpl w:val="3A483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008213F"/>
    <w:multiLevelType w:val="hybridMultilevel"/>
    <w:tmpl w:val="0EB45C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nsid w:val="55486171"/>
    <w:multiLevelType w:val="hybridMultilevel"/>
    <w:tmpl w:val="EC041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68161FE"/>
    <w:multiLevelType w:val="hybridMultilevel"/>
    <w:tmpl w:val="44002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B2E46FD"/>
    <w:multiLevelType w:val="hybridMultilevel"/>
    <w:tmpl w:val="41A27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0">
    <w:nsid w:val="69FE77CA"/>
    <w:multiLevelType w:val="hybridMultilevel"/>
    <w:tmpl w:val="B198A05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31E09E6"/>
    <w:multiLevelType w:val="hybridMultilevel"/>
    <w:tmpl w:val="BC86F332"/>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42">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nsid w:val="7E597E7A"/>
    <w:multiLevelType w:val="hybridMultilevel"/>
    <w:tmpl w:val="21760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FB17A8A"/>
    <w:multiLevelType w:val="hybridMultilevel"/>
    <w:tmpl w:val="80A24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4"/>
  </w:num>
  <w:num w:numId="12">
    <w:abstractNumId w:val="29"/>
  </w:num>
  <w:num w:numId="13">
    <w:abstractNumId w:val="19"/>
  </w:num>
  <w:num w:numId="14">
    <w:abstractNumId w:val="33"/>
  </w:num>
  <w:num w:numId="15">
    <w:abstractNumId w:val="21"/>
  </w:num>
  <w:num w:numId="16">
    <w:abstractNumId w:val="11"/>
  </w:num>
  <w:num w:numId="17">
    <w:abstractNumId w:val="42"/>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2"/>
  </w:num>
  <w:num w:numId="21">
    <w:abstractNumId w:val="30"/>
  </w:num>
  <w:num w:numId="22">
    <w:abstractNumId w:val="1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39"/>
  </w:num>
  <w:num w:numId="28">
    <w:abstractNumId w:val="44"/>
  </w:num>
  <w:num w:numId="29">
    <w:abstractNumId w:val="18"/>
  </w:num>
  <w:num w:numId="30">
    <w:abstractNumId w:val="36"/>
  </w:num>
  <w:num w:numId="31">
    <w:abstractNumId w:val="27"/>
  </w:num>
  <w:num w:numId="32">
    <w:abstractNumId w:val="31"/>
  </w:num>
  <w:num w:numId="33">
    <w:abstractNumId w:val="41"/>
  </w:num>
  <w:num w:numId="34">
    <w:abstractNumId w:val="25"/>
  </w:num>
  <w:num w:numId="35">
    <w:abstractNumId w:val="37"/>
  </w:num>
  <w:num w:numId="36">
    <w:abstractNumId w:val="20"/>
  </w:num>
  <w:num w:numId="37">
    <w:abstractNumId w:val="13"/>
  </w:num>
  <w:num w:numId="38">
    <w:abstractNumId w:val="10"/>
  </w:num>
  <w:num w:numId="39">
    <w:abstractNumId w:val="22"/>
  </w:num>
  <w:num w:numId="40">
    <w:abstractNumId w:val="12"/>
  </w:num>
  <w:num w:numId="41">
    <w:abstractNumId w:val="23"/>
  </w:num>
  <w:num w:numId="42">
    <w:abstractNumId w:val="17"/>
  </w:num>
  <w:num w:numId="43">
    <w:abstractNumId w:val="28"/>
  </w:num>
  <w:num w:numId="44">
    <w:abstractNumId w:val="38"/>
  </w:num>
  <w:num w:numId="45">
    <w:abstractNumId w:val="15"/>
  </w:num>
  <w:num w:numId="46">
    <w:abstractNumId w:val="40"/>
  </w:num>
  <w:num w:numId="47">
    <w:abstractNumId w:val="4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20"/>
  <w:displayHorizontalDrawingGridEvery w:val="2"/>
  <w:characterSpacingControl w:val="doNotCompress"/>
  <w:hdrShapeDefaults>
    <o:shapedefaults v:ext="edit" spidmax="757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A23"/>
    <w:rsid w:val="00003B31"/>
    <w:rsid w:val="0001254B"/>
    <w:rsid w:val="00013272"/>
    <w:rsid w:val="00021134"/>
    <w:rsid w:val="00024108"/>
    <w:rsid w:val="00031B70"/>
    <w:rsid w:val="00036B6E"/>
    <w:rsid w:val="00036C7A"/>
    <w:rsid w:val="0004501B"/>
    <w:rsid w:val="000540A0"/>
    <w:rsid w:val="000579B1"/>
    <w:rsid w:val="00074750"/>
    <w:rsid w:val="00074CD6"/>
    <w:rsid w:val="0008152B"/>
    <w:rsid w:val="000833A5"/>
    <w:rsid w:val="00093E9D"/>
    <w:rsid w:val="000959E2"/>
    <w:rsid w:val="000B0A5D"/>
    <w:rsid w:val="000D007D"/>
    <w:rsid w:val="000D15A1"/>
    <w:rsid w:val="000D3621"/>
    <w:rsid w:val="000E47EC"/>
    <w:rsid w:val="000E6C9D"/>
    <w:rsid w:val="000F2B15"/>
    <w:rsid w:val="000F301C"/>
    <w:rsid w:val="000F34D8"/>
    <w:rsid w:val="001002E0"/>
    <w:rsid w:val="001011C8"/>
    <w:rsid w:val="00103A72"/>
    <w:rsid w:val="0011182F"/>
    <w:rsid w:val="001320B7"/>
    <w:rsid w:val="00132462"/>
    <w:rsid w:val="00133DB7"/>
    <w:rsid w:val="00140077"/>
    <w:rsid w:val="001439A5"/>
    <w:rsid w:val="001523D8"/>
    <w:rsid w:val="001566D4"/>
    <w:rsid w:val="00157F6D"/>
    <w:rsid w:val="00162A8D"/>
    <w:rsid w:val="00176D29"/>
    <w:rsid w:val="00184098"/>
    <w:rsid w:val="00185F89"/>
    <w:rsid w:val="001867A2"/>
    <w:rsid w:val="00192011"/>
    <w:rsid w:val="001A5D46"/>
    <w:rsid w:val="001B0353"/>
    <w:rsid w:val="001B184E"/>
    <w:rsid w:val="001C139C"/>
    <w:rsid w:val="001C451B"/>
    <w:rsid w:val="001E38FA"/>
    <w:rsid w:val="001E63C0"/>
    <w:rsid w:val="001F1C20"/>
    <w:rsid w:val="001F2BBB"/>
    <w:rsid w:val="001F7162"/>
    <w:rsid w:val="002023FC"/>
    <w:rsid w:val="0020759E"/>
    <w:rsid w:val="00216245"/>
    <w:rsid w:val="002162DC"/>
    <w:rsid w:val="00231ED1"/>
    <w:rsid w:val="0023303F"/>
    <w:rsid w:val="002415DB"/>
    <w:rsid w:val="0024264B"/>
    <w:rsid w:val="0024300C"/>
    <w:rsid w:val="00244FBA"/>
    <w:rsid w:val="0024557E"/>
    <w:rsid w:val="00246A53"/>
    <w:rsid w:val="00250AC3"/>
    <w:rsid w:val="00260A2E"/>
    <w:rsid w:val="00263E26"/>
    <w:rsid w:val="0026458B"/>
    <w:rsid w:val="00265626"/>
    <w:rsid w:val="002702D9"/>
    <w:rsid w:val="002F35FD"/>
    <w:rsid w:val="00302FD0"/>
    <w:rsid w:val="003040CA"/>
    <w:rsid w:val="00310ED4"/>
    <w:rsid w:val="0031104C"/>
    <w:rsid w:val="003114BF"/>
    <w:rsid w:val="0031492A"/>
    <w:rsid w:val="00314D22"/>
    <w:rsid w:val="00316504"/>
    <w:rsid w:val="00316C1A"/>
    <w:rsid w:val="00321758"/>
    <w:rsid w:val="00321AF0"/>
    <w:rsid w:val="00335950"/>
    <w:rsid w:val="003728EB"/>
    <w:rsid w:val="00377C8F"/>
    <w:rsid w:val="00382234"/>
    <w:rsid w:val="003931C7"/>
    <w:rsid w:val="003955AE"/>
    <w:rsid w:val="00395B25"/>
    <w:rsid w:val="003A1EB3"/>
    <w:rsid w:val="003A533F"/>
    <w:rsid w:val="003B18A7"/>
    <w:rsid w:val="003B1F08"/>
    <w:rsid w:val="003B52A6"/>
    <w:rsid w:val="003B6F91"/>
    <w:rsid w:val="003D05F1"/>
    <w:rsid w:val="003D6219"/>
    <w:rsid w:val="003E6776"/>
    <w:rsid w:val="003F0CEE"/>
    <w:rsid w:val="003F3423"/>
    <w:rsid w:val="00400C83"/>
    <w:rsid w:val="00410E78"/>
    <w:rsid w:val="00416D1C"/>
    <w:rsid w:val="004215B3"/>
    <w:rsid w:val="0042304C"/>
    <w:rsid w:val="00440DA8"/>
    <w:rsid w:val="00444303"/>
    <w:rsid w:val="00445C82"/>
    <w:rsid w:val="004561BE"/>
    <w:rsid w:val="00462D4C"/>
    <w:rsid w:val="00473DB9"/>
    <w:rsid w:val="00474063"/>
    <w:rsid w:val="00476EEA"/>
    <w:rsid w:val="004870A5"/>
    <w:rsid w:val="00494D4B"/>
    <w:rsid w:val="004A0490"/>
    <w:rsid w:val="004A722D"/>
    <w:rsid w:val="004B0D4B"/>
    <w:rsid w:val="004B67C4"/>
    <w:rsid w:val="004C050A"/>
    <w:rsid w:val="004C0FFC"/>
    <w:rsid w:val="004D63FE"/>
    <w:rsid w:val="004E3BF9"/>
    <w:rsid w:val="004F2637"/>
    <w:rsid w:val="004F53EF"/>
    <w:rsid w:val="00503E04"/>
    <w:rsid w:val="00504B28"/>
    <w:rsid w:val="00506CD8"/>
    <w:rsid w:val="00513540"/>
    <w:rsid w:val="00522CED"/>
    <w:rsid w:val="005269B8"/>
    <w:rsid w:val="005306A6"/>
    <w:rsid w:val="0054576A"/>
    <w:rsid w:val="005534AA"/>
    <w:rsid w:val="00554C04"/>
    <w:rsid w:val="005656CC"/>
    <w:rsid w:val="00582770"/>
    <w:rsid w:val="005856A3"/>
    <w:rsid w:val="00593051"/>
    <w:rsid w:val="005B2601"/>
    <w:rsid w:val="005B7515"/>
    <w:rsid w:val="005C1654"/>
    <w:rsid w:val="005D04F4"/>
    <w:rsid w:val="005D1F34"/>
    <w:rsid w:val="005F5F45"/>
    <w:rsid w:val="00606E9D"/>
    <w:rsid w:val="006268B8"/>
    <w:rsid w:val="00631056"/>
    <w:rsid w:val="006367AA"/>
    <w:rsid w:val="00650A23"/>
    <w:rsid w:val="00652A1C"/>
    <w:rsid w:val="00672FBE"/>
    <w:rsid w:val="00687610"/>
    <w:rsid w:val="00690313"/>
    <w:rsid w:val="00696390"/>
    <w:rsid w:val="0069732A"/>
    <w:rsid w:val="006A6BB3"/>
    <w:rsid w:val="006B3680"/>
    <w:rsid w:val="006B671D"/>
    <w:rsid w:val="006D5EE5"/>
    <w:rsid w:val="006E06ED"/>
    <w:rsid w:val="006E06F5"/>
    <w:rsid w:val="006E0DC9"/>
    <w:rsid w:val="006E2BBF"/>
    <w:rsid w:val="006F2427"/>
    <w:rsid w:val="007039FC"/>
    <w:rsid w:val="00706FAB"/>
    <w:rsid w:val="00707793"/>
    <w:rsid w:val="00712820"/>
    <w:rsid w:val="00715776"/>
    <w:rsid w:val="007169BB"/>
    <w:rsid w:val="00725D5E"/>
    <w:rsid w:val="007548CA"/>
    <w:rsid w:val="00762064"/>
    <w:rsid w:val="00762E77"/>
    <w:rsid w:val="00770DCB"/>
    <w:rsid w:val="00775485"/>
    <w:rsid w:val="00780FF8"/>
    <w:rsid w:val="007841E1"/>
    <w:rsid w:val="007B1454"/>
    <w:rsid w:val="007D40BD"/>
    <w:rsid w:val="007D55BF"/>
    <w:rsid w:val="007D7974"/>
    <w:rsid w:val="007E1866"/>
    <w:rsid w:val="007E22DB"/>
    <w:rsid w:val="007E6434"/>
    <w:rsid w:val="007F748D"/>
    <w:rsid w:val="00805036"/>
    <w:rsid w:val="00810ABF"/>
    <w:rsid w:val="008125EE"/>
    <w:rsid w:val="0082208D"/>
    <w:rsid w:val="00830C97"/>
    <w:rsid w:val="0083209A"/>
    <w:rsid w:val="008505B2"/>
    <w:rsid w:val="00860E98"/>
    <w:rsid w:val="008724DE"/>
    <w:rsid w:val="00886359"/>
    <w:rsid w:val="00891214"/>
    <w:rsid w:val="00897812"/>
    <w:rsid w:val="008A2AF7"/>
    <w:rsid w:val="008A3D57"/>
    <w:rsid w:val="008C1659"/>
    <w:rsid w:val="008C36EB"/>
    <w:rsid w:val="008E3D60"/>
    <w:rsid w:val="008F573F"/>
    <w:rsid w:val="0090165F"/>
    <w:rsid w:val="00921CB7"/>
    <w:rsid w:val="00923C4F"/>
    <w:rsid w:val="00925EF3"/>
    <w:rsid w:val="009472C4"/>
    <w:rsid w:val="00950E88"/>
    <w:rsid w:val="00957E04"/>
    <w:rsid w:val="009614BC"/>
    <w:rsid w:val="00966C2F"/>
    <w:rsid w:val="0096754B"/>
    <w:rsid w:val="009802F3"/>
    <w:rsid w:val="00984BA7"/>
    <w:rsid w:val="009A2A49"/>
    <w:rsid w:val="009A5753"/>
    <w:rsid w:val="009B714B"/>
    <w:rsid w:val="009C5FB8"/>
    <w:rsid w:val="009E27DB"/>
    <w:rsid w:val="009E7FC4"/>
    <w:rsid w:val="009F51D9"/>
    <w:rsid w:val="009F7AAC"/>
    <w:rsid w:val="00A01BE9"/>
    <w:rsid w:val="00A02F56"/>
    <w:rsid w:val="00A0406E"/>
    <w:rsid w:val="00A13742"/>
    <w:rsid w:val="00A3784E"/>
    <w:rsid w:val="00A41355"/>
    <w:rsid w:val="00A43B92"/>
    <w:rsid w:val="00A44720"/>
    <w:rsid w:val="00A516E5"/>
    <w:rsid w:val="00A51EE2"/>
    <w:rsid w:val="00A6179E"/>
    <w:rsid w:val="00A66F67"/>
    <w:rsid w:val="00A96810"/>
    <w:rsid w:val="00AC02B4"/>
    <w:rsid w:val="00AC27AB"/>
    <w:rsid w:val="00AC6A34"/>
    <w:rsid w:val="00AD7955"/>
    <w:rsid w:val="00AE2958"/>
    <w:rsid w:val="00AE76EB"/>
    <w:rsid w:val="00B22697"/>
    <w:rsid w:val="00B277E0"/>
    <w:rsid w:val="00B40782"/>
    <w:rsid w:val="00B46218"/>
    <w:rsid w:val="00B52E2D"/>
    <w:rsid w:val="00B76653"/>
    <w:rsid w:val="00BA262D"/>
    <w:rsid w:val="00BC79EB"/>
    <w:rsid w:val="00BD01BC"/>
    <w:rsid w:val="00BD63B4"/>
    <w:rsid w:val="00BE1CBC"/>
    <w:rsid w:val="00BF09F7"/>
    <w:rsid w:val="00C00851"/>
    <w:rsid w:val="00C0413E"/>
    <w:rsid w:val="00C076F2"/>
    <w:rsid w:val="00C247EB"/>
    <w:rsid w:val="00C25BDA"/>
    <w:rsid w:val="00C36F82"/>
    <w:rsid w:val="00C42969"/>
    <w:rsid w:val="00C53971"/>
    <w:rsid w:val="00C54FB1"/>
    <w:rsid w:val="00C54FDE"/>
    <w:rsid w:val="00C80F9F"/>
    <w:rsid w:val="00C91AB5"/>
    <w:rsid w:val="00C94F59"/>
    <w:rsid w:val="00CA0D78"/>
    <w:rsid w:val="00CB27A8"/>
    <w:rsid w:val="00CB6215"/>
    <w:rsid w:val="00CC3783"/>
    <w:rsid w:val="00CD4497"/>
    <w:rsid w:val="00CE7182"/>
    <w:rsid w:val="00D0638A"/>
    <w:rsid w:val="00D2020F"/>
    <w:rsid w:val="00D25824"/>
    <w:rsid w:val="00D34BEF"/>
    <w:rsid w:val="00D36D90"/>
    <w:rsid w:val="00D50A0A"/>
    <w:rsid w:val="00D55709"/>
    <w:rsid w:val="00D65C76"/>
    <w:rsid w:val="00D71E25"/>
    <w:rsid w:val="00D92852"/>
    <w:rsid w:val="00D95655"/>
    <w:rsid w:val="00DA2F73"/>
    <w:rsid w:val="00DA36F5"/>
    <w:rsid w:val="00DA42E8"/>
    <w:rsid w:val="00DC193F"/>
    <w:rsid w:val="00DC3C4F"/>
    <w:rsid w:val="00DC462F"/>
    <w:rsid w:val="00DF571C"/>
    <w:rsid w:val="00E00294"/>
    <w:rsid w:val="00E15EA7"/>
    <w:rsid w:val="00E236A0"/>
    <w:rsid w:val="00E24FA3"/>
    <w:rsid w:val="00E26305"/>
    <w:rsid w:val="00E32756"/>
    <w:rsid w:val="00E328CD"/>
    <w:rsid w:val="00E352DF"/>
    <w:rsid w:val="00E37062"/>
    <w:rsid w:val="00E42117"/>
    <w:rsid w:val="00E45954"/>
    <w:rsid w:val="00E60358"/>
    <w:rsid w:val="00E663DC"/>
    <w:rsid w:val="00E75D90"/>
    <w:rsid w:val="00E81955"/>
    <w:rsid w:val="00E835AF"/>
    <w:rsid w:val="00E9689B"/>
    <w:rsid w:val="00E97EF8"/>
    <w:rsid w:val="00EA4519"/>
    <w:rsid w:val="00EB76D0"/>
    <w:rsid w:val="00EC5358"/>
    <w:rsid w:val="00ED0D4F"/>
    <w:rsid w:val="00ED6186"/>
    <w:rsid w:val="00EE44D7"/>
    <w:rsid w:val="00EE69A4"/>
    <w:rsid w:val="00EF137A"/>
    <w:rsid w:val="00EF7446"/>
    <w:rsid w:val="00F028E5"/>
    <w:rsid w:val="00F046F9"/>
    <w:rsid w:val="00F14C6D"/>
    <w:rsid w:val="00F30AF6"/>
    <w:rsid w:val="00F3100E"/>
    <w:rsid w:val="00F31DE8"/>
    <w:rsid w:val="00F33457"/>
    <w:rsid w:val="00F41F74"/>
    <w:rsid w:val="00F45974"/>
    <w:rsid w:val="00F65425"/>
    <w:rsid w:val="00F71A6E"/>
    <w:rsid w:val="00F77D4C"/>
    <w:rsid w:val="00F77FED"/>
    <w:rsid w:val="00F9078E"/>
    <w:rsid w:val="00F95982"/>
    <w:rsid w:val="00F969B3"/>
    <w:rsid w:val="00FA0121"/>
    <w:rsid w:val="00FB0754"/>
    <w:rsid w:val="00FB6352"/>
    <w:rsid w:val="00FC3B89"/>
    <w:rsid w:val="00FC582E"/>
    <w:rsid w:val="00FD02E4"/>
    <w:rsid w:val="00FD754C"/>
    <w:rsid w:val="00FE4004"/>
    <w:rsid w:val="00FF66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650A23"/>
    <w:pPr>
      <w:ind w:left="720"/>
      <w:contextualSpacing/>
    </w:pPr>
  </w:style>
  <w:style w:type="paragraph" w:styleId="BalloonText">
    <w:name w:val="Balloon Text"/>
    <w:basedOn w:val="Normal"/>
    <w:link w:val="BalloonTextChar"/>
    <w:locked/>
    <w:rsid w:val="00650A23"/>
    <w:pPr>
      <w:spacing w:before="0" w:after="0"/>
    </w:pPr>
    <w:rPr>
      <w:rFonts w:ascii="Tahoma" w:hAnsi="Tahoma" w:cs="Tahoma"/>
      <w:sz w:val="16"/>
      <w:szCs w:val="16"/>
    </w:rPr>
  </w:style>
  <w:style w:type="character" w:customStyle="1" w:styleId="BalloonTextChar">
    <w:name w:val="Balloon Text Char"/>
    <w:basedOn w:val="DefaultParagraphFont"/>
    <w:link w:val="BalloonText"/>
    <w:rsid w:val="00650A23"/>
    <w:rPr>
      <w:rFonts w:ascii="Tahoma" w:hAnsi="Tahoma" w:cs="Tahoma"/>
      <w:sz w:val="16"/>
      <w:szCs w:val="16"/>
    </w:rPr>
  </w:style>
  <w:style w:type="paragraph" w:customStyle="1" w:styleId="SubmissionNormal">
    <w:name w:val="Submission Normal"/>
    <w:basedOn w:val="Normal"/>
    <w:link w:val="SubmissionNormalChar"/>
    <w:rsid w:val="0024264B"/>
    <w:pPr>
      <w:numPr>
        <w:numId w:val="29"/>
      </w:numPr>
      <w:tabs>
        <w:tab w:val="clear" w:pos="720"/>
      </w:tabs>
      <w:ind w:hanging="720"/>
    </w:pPr>
  </w:style>
  <w:style w:type="character" w:customStyle="1" w:styleId="SubmissionNormalChar">
    <w:name w:val="Submission Normal Char"/>
    <w:link w:val="SubmissionNormal"/>
    <w:rsid w:val="0024264B"/>
    <w:rPr>
      <w:rFonts w:ascii="Arial" w:hAnsi="Arial"/>
      <w:sz w:val="24"/>
      <w:szCs w:val="24"/>
    </w:rPr>
  </w:style>
  <w:style w:type="paragraph" w:styleId="NoSpacing">
    <w:name w:val="No Spacing"/>
    <w:uiPriority w:val="1"/>
    <w:qFormat/>
    <w:rsid w:val="00302FD0"/>
    <w:rPr>
      <w:rFonts w:ascii="Arial" w:hAnsi="Arial"/>
      <w:sz w:val="24"/>
      <w:szCs w:val="24"/>
    </w:rPr>
  </w:style>
  <w:style w:type="character" w:styleId="CommentReference">
    <w:name w:val="annotation reference"/>
    <w:basedOn w:val="DefaultParagraphFont"/>
    <w:locked/>
    <w:rsid w:val="009A2A49"/>
    <w:rPr>
      <w:sz w:val="16"/>
      <w:szCs w:val="16"/>
    </w:rPr>
  </w:style>
  <w:style w:type="paragraph" w:styleId="CommentText">
    <w:name w:val="annotation text"/>
    <w:basedOn w:val="Normal"/>
    <w:link w:val="CommentTextChar"/>
    <w:locked/>
    <w:rsid w:val="009A2A49"/>
    <w:rPr>
      <w:sz w:val="20"/>
      <w:szCs w:val="20"/>
    </w:rPr>
  </w:style>
  <w:style w:type="character" w:customStyle="1" w:styleId="CommentTextChar">
    <w:name w:val="Comment Text Char"/>
    <w:basedOn w:val="DefaultParagraphFont"/>
    <w:link w:val="CommentText"/>
    <w:rsid w:val="009A2A49"/>
    <w:rPr>
      <w:rFonts w:ascii="Arial" w:hAnsi="Arial"/>
    </w:rPr>
  </w:style>
  <w:style w:type="paragraph" w:styleId="CommentSubject">
    <w:name w:val="annotation subject"/>
    <w:basedOn w:val="CommentText"/>
    <w:next w:val="CommentText"/>
    <w:link w:val="CommentSubjectChar"/>
    <w:locked/>
    <w:rsid w:val="009A2A49"/>
    <w:rPr>
      <w:b/>
      <w:bCs/>
    </w:rPr>
  </w:style>
  <w:style w:type="character" w:customStyle="1" w:styleId="CommentSubjectChar">
    <w:name w:val="Comment Subject Char"/>
    <w:basedOn w:val="CommentTextChar"/>
    <w:link w:val="CommentSubject"/>
    <w:rsid w:val="009A2A49"/>
    <w:rPr>
      <w:rFonts w:ascii="Arial" w:hAnsi="Arial"/>
      <w:b/>
      <w:bCs/>
    </w:rPr>
  </w:style>
  <w:style w:type="character" w:customStyle="1" w:styleId="EndnoteTextChar1">
    <w:name w:val="Endnote Text Char1"/>
    <w:rsid w:val="00F77D4C"/>
    <w:rPr>
      <w:rFonts w:ascii="Arial" w:eastAsia="MS Mincho" w:hAnsi="Arial"/>
      <w:lang w:val="en-AU" w:eastAsia="en-AU" w:bidi="ar-SA"/>
    </w:rPr>
  </w:style>
  <w:style w:type="paragraph" w:customStyle="1" w:styleId="HeaderFooter">
    <w:name w:val="Header &amp; Footer"/>
    <w:basedOn w:val="Normal"/>
    <w:semiHidden/>
    <w:rsid w:val="00F65425"/>
    <w:pPr>
      <w:spacing w:line="200" w:lineRule="exact"/>
    </w:pPr>
    <w:rPr>
      <w:rFonts w:cs="ArialMT"/>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650A23"/>
    <w:pPr>
      <w:ind w:left="720"/>
      <w:contextualSpacing/>
    </w:pPr>
  </w:style>
  <w:style w:type="paragraph" w:styleId="BalloonText">
    <w:name w:val="Balloon Text"/>
    <w:basedOn w:val="Normal"/>
    <w:link w:val="BalloonTextChar"/>
    <w:locked/>
    <w:rsid w:val="00650A23"/>
    <w:pPr>
      <w:spacing w:before="0" w:after="0"/>
    </w:pPr>
    <w:rPr>
      <w:rFonts w:ascii="Tahoma" w:hAnsi="Tahoma" w:cs="Tahoma"/>
      <w:sz w:val="16"/>
      <w:szCs w:val="16"/>
    </w:rPr>
  </w:style>
  <w:style w:type="character" w:customStyle="1" w:styleId="BalloonTextChar">
    <w:name w:val="Balloon Text Char"/>
    <w:basedOn w:val="DefaultParagraphFont"/>
    <w:link w:val="BalloonText"/>
    <w:rsid w:val="00650A23"/>
    <w:rPr>
      <w:rFonts w:ascii="Tahoma" w:hAnsi="Tahoma" w:cs="Tahoma"/>
      <w:sz w:val="16"/>
      <w:szCs w:val="16"/>
    </w:rPr>
  </w:style>
  <w:style w:type="paragraph" w:customStyle="1" w:styleId="SubmissionNormal">
    <w:name w:val="Submission Normal"/>
    <w:basedOn w:val="Normal"/>
    <w:link w:val="SubmissionNormalChar"/>
    <w:rsid w:val="0024264B"/>
    <w:pPr>
      <w:numPr>
        <w:numId w:val="29"/>
      </w:numPr>
      <w:tabs>
        <w:tab w:val="clear" w:pos="720"/>
      </w:tabs>
      <w:ind w:hanging="720"/>
    </w:pPr>
  </w:style>
  <w:style w:type="character" w:customStyle="1" w:styleId="SubmissionNormalChar">
    <w:name w:val="Submission Normal Char"/>
    <w:link w:val="SubmissionNormal"/>
    <w:rsid w:val="0024264B"/>
    <w:rPr>
      <w:rFonts w:ascii="Arial" w:hAnsi="Arial"/>
      <w:sz w:val="24"/>
      <w:szCs w:val="24"/>
    </w:rPr>
  </w:style>
  <w:style w:type="paragraph" w:styleId="NoSpacing">
    <w:name w:val="No Spacing"/>
    <w:uiPriority w:val="1"/>
    <w:qFormat/>
    <w:rsid w:val="00302FD0"/>
    <w:rPr>
      <w:rFonts w:ascii="Arial" w:hAnsi="Arial"/>
      <w:sz w:val="24"/>
      <w:szCs w:val="24"/>
    </w:rPr>
  </w:style>
  <w:style w:type="character" w:styleId="CommentReference">
    <w:name w:val="annotation reference"/>
    <w:basedOn w:val="DefaultParagraphFont"/>
    <w:locked/>
    <w:rsid w:val="009A2A49"/>
    <w:rPr>
      <w:sz w:val="16"/>
      <w:szCs w:val="16"/>
    </w:rPr>
  </w:style>
  <w:style w:type="paragraph" w:styleId="CommentText">
    <w:name w:val="annotation text"/>
    <w:basedOn w:val="Normal"/>
    <w:link w:val="CommentTextChar"/>
    <w:locked/>
    <w:rsid w:val="009A2A49"/>
    <w:rPr>
      <w:sz w:val="20"/>
      <w:szCs w:val="20"/>
    </w:rPr>
  </w:style>
  <w:style w:type="character" w:customStyle="1" w:styleId="CommentTextChar">
    <w:name w:val="Comment Text Char"/>
    <w:basedOn w:val="DefaultParagraphFont"/>
    <w:link w:val="CommentText"/>
    <w:rsid w:val="009A2A49"/>
    <w:rPr>
      <w:rFonts w:ascii="Arial" w:hAnsi="Arial"/>
    </w:rPr>
  </w:style>
  <w:style w:type="paragraph" w:styleId="CommentSubject">
    <w:name w:val="annotation subject"/>
    <w:basedOn w:val="CommentText"/>
    <w:next w:val="CommentText"/>
    <w:link w:val="CommentSubjectChar"/>
    <w:locked/>
    <w:rsid w:val="009A2A49"/>
    <w:rPr>
      <w:b/>
      <w:bCs/>
    </w:rPr>
  </w:style>
  <w:style w:type="character" w:customStyle="1" w:styleId="CommentSubjectChar">
    <w:name w:val="Comment Subject Char"/>
    <w:basedOn w:val="CommentTextChar"/>
    <w:link w:val="CommentSubject"/>
    <w:rsid w:val="009A2A49"/>
    <w:rPr>
      <w:rFonts w:ascii="Arial" w:hAnsi="Arial"/>
      <w:b/>
      <w:bCs/>
    </w:rPr>
  </w:style>
  <w:style w:type="character" w:customStyle="1" w:styleId="EndnoteTextChar1">
    <w:name w:val="Endnote Text Char1"/>
    <w:rsid w:val="00F77D4C"/>
    <w:rPr>
      <w:rFonts w:ascii="Arial" w:eastAsia="MS Mincho" w:hAnsi="Arial"/>
      <w:lang w:val="en-AU" w:eastAsia="en-AU" w:bidi="ar-SA"/>
    </w:rPr>
  </w:style>
  <w:style w:type="paragraph" w:customStyle="1" w:styleId="HeaderFooter">
    <w:name w:val="Header &amp; Footer"/>
    <w:basedOn w:val="Normal"/>
    <w:semiHidden/>
    <w:rsid w:val="00F65425"/>
    <w:pPr>
      <w:spacing w:line="200" w:lineRule="exact"/>
    </w:pPr>
    <w:rPr>
      <w:rFonts w:cs="ArialMT"/>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manrights.gov.a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service@humanrights.gov.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nowtheline.com.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wc.org.au/"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www.naclc.org.au/need_legal_help.ph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umanrights.gov.au/complaints/lodging-your-complaint"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wlsa.org.au/members" TargetMode="External"/><Relationship Id="rId2" Type="http://schemas.openxmlformats.org/officeDocument/2006/relationships/hyperlink" Target="http://www.naclc.org.au/need_legal_help.php" TargetMode="External"/><Relationship Id="rId1" Type="http://schemas.openxmlformats.org/officeDocument/2006/relationships/hyperlink" Target="http://www.humanrights.gov.au/working-without-fear-results-sexual-harassment-national-telephone-survey-2012" TargetMode="External"/><Relationship Id="rId6" Type="http://schemas.openxmlformats.org/officeDocument/2006/relationships/hyperlink" Target="http://elcwa.org.au/" TargetMode="External"/><Relationship Id="rId5" Type="http://schemas.openxmlformats.org/officeDocument/2006/relationships/hyperlink" Target="http://www.jobwatch.org.au/" TargetMode="External"/><Relationship Id="rId4" Type="http://schemas.openxmlformats.org/officeDocument/2006/relationships/hyperlink" Target="http://www.wwc.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BF51B-28A5-458C-AAB3-2E03E4190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1262</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Jennifer Jones</dc:creator>
  <cp:lastModifiedBy>Alison Aggarwal</cp:lastModifiedBy>
  <cp:revision>5</cp:revision>
  <cp:lastPrinted>2014-05-13T09:06:00Z</cp:lastPrinted>
  <dcterms:created xsi:type="dcterms:W3CDTF">2014-05-23T05:18:00Z</dcterms:created>
  <dcterms:modified xsi:type="dcterms:W3CDTF">2014-05-23T05:20:00Z</dcterms:modified>
</cp:coreProperties>
</file>