
<file path=[Content_Types].xml><?xml version="1.0" encoding="utf-8"?>
<Types xmlns="http://schemas.openxmlformats.org/package/2006/content-types">
  <Default Extension="xml" ContentType="application/xml"/>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7580C1" w14:textId="69D1004E" w:rsidR="00391B48" w:rsidRPr="00391B48" w:rsidRDefault="004676BE" w:rsidP="00F82562">
      <w:pPr>
        <w:spacing w:before="87" w:after="0" w:line="580" w:lineRule="exact"/>
        <w:ind w:left="5795" w:right="255" w:firstLine="340"/>
        <w:jc w:val="right"/>
        <w:rPr>
          <w:rFonts w:ascii="Arial Narrow" w:eastAsia="Arial Narrow" w:hAnsi="Arial Narrow" w:cs="Arial Hebrew"/>
          <w:sz w:val="52"/>
          <w:szCs w:val="52"/>
        </w:rPr>
      </w:pPr>
      <w:bookmarkStart w:id="0" w:name="_GoBack"/>
      <w:r>
        <w:rPr>
          <w:rFonts w:eastAsia="Arial" w:cs="Arial"/>
          <w:b/>
          <w:bCs/>
          <w:noProof/>
          <w:sz w:val="20"/>
          <w:szCs w:val="20"/>
        </w:rPr>
        <w:drawing>
          <wp:anchor distT="0" distB="0" distL="114300" distR="114300" simplePos="0" relativeHeight="251658240" behindDoc="1" locked="0" layoutInCell="1" allowOverlap="1" wp14:anchorId="1367B32A" wp14:editId="47D03E1B">
            <wp:simplePos x="0" y="0"/>
            <wp:positionH relativeFrom="column">
              <wp:posOffset>-1066800</wp:posOffset>
            </wp:positionH>
            <wp:positionV relativeFrom="paragraph">
              <wp:posOffset>-828040</wp:posOffset>
            </wp:positionV>
            <wp:extent cx="7717790" cy="10886440"/>
            <wp:effectExtent l="0" t="0" r="3810" b="10160"/>
            <wp:wrapNone/>
            <wp:docPr id="12" name="Picture 12" descr="Kelly is standing to the right of the photo. In the background there is a desk and blue shelves on the wall which are out of focus. Kelly is smiling with her arms folded." title="Kelly Bamblett, a member of staff at the Palm Island Children and Famil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G 2016_Cover_Senza_Titilo.jpg"/>
                    <pic:cNvPicPr/>
                  </pic:nvPicPr>
                  <pic:blipFill>
                    <a:blip r:embed="rId9">
                      <a:extLst>
                        <a:ext uri="{28A0092B-C50C-407E-A947-70E740481C1C}">
                          <a14:useLocalDpi xmlns:a14="http://schemas.microsoft.com/office/drawing/2010/main" val="0"/>
                        </a:ext>
                      </a:extLst>
                    </a:blip>
                    <a:stretch>
                      <a:fillRect/>
                    </a:stretch>
                  </pic:blipFill>
                  <pic:spPr>
                    <a:xfrm>
                      <a:off x="0" y="0"/>
                      <a:ext cx="7717790" cy="10886440"/>
                    </a:xfrm>
                    <a:prstGeom prst="rect">
                      <a:avLst/>
                    </a:prstGeom>
                  </pic:spPr>
                </pic:pic>
              </a:graphicData>
            </a:graphic>
            <wp14:sizeRelH relativeFrom="page">
              <wp14:pctWidth>0</wp14:pctWidth>
            </wp14:sizeRelH>
            <wp14:sizeRelV relativeFrom="page">
              <wp14:pctHeight>0</wp14:pctHeight>
            </wp14:sizeRelV>
          </wp:anchor>
        </w:drawing>
      </w:r>
      <w:bookmarkEnd w:id="0"/>
      <w:r w:rsidR="00391B48" w:rsidRPr="00391B48">
        <w:rPr>
          <w:rFonts w:ascii="Arial Narrow" w:hAnsi="Arial Narrow" w:cs="Arial Hebrew"/>
          <w:color w:val="FFFFFF"/>
          <w:sz w:val="52"/>
          <w:szCs w:val="52"/>
        </w:rPr>
        <w:t>Progress</w:t>
      </w:r>
      <w:r w:rsidR="00391B48" w:rsidRPr="00391B48">
        <w:rPr>
          <w:rFonts w:ascii="Arial Narrow" w:hAnsi="Arial Narrow" w:cs="Arial Hebrew"/>
          <w:color w:val="FFFFFF"/>
          <w:spacing w:val="-5"/>
          <w:sz w:val="52"/>
          <w:szCs w:val="52"/>
        </w:rPr>
        <w:t xml:space="preserve"> </w:t>
      </w:r>
      <w:r w:rsidR="00391B48" w:rsidRPr="00391B48">
        <w:rPr>
          <w:rFonts w:ascii="Arial Narrow" w:hAnsi="Arial Narrow" w:cs="Arial Hebrew"/>
          <w:color w:val="FFFFFF"/>
          <w:sz w:val="52"/>
          <w:szCs w:val="52"/>
        </w:rPr>
        <w:t>and</w:t>
      </w:r>
      <w:r w:rsidR="00391B48" w:rsidRPr="00391B48">
        <w:rPr>
          <w:rFonts w:ascii="Arial Narrow" w:hAnsi="Arial Narrow" w:cs="Arial Hebrew"/>
          <w:color w:val="FFFFFF"/>
          <w:spacing w:val="-1"/>
          <w:sz w:val="52"/>
          <w:szCs w:val="52"/>
        </w:rPr>
        <w:t xml:space="preserve"> </w:t>
      </w:r>
      <w:r w:rsidR="00391B48" w:rsidRPr="00391B48">
        <w:rPr>
          <w:rFonts w:ascii="Arial Narrow" w:hAnsi="Arial Narrow" w:cs="Arial Hebrew"/>
          <w:color w:val="FFFFFF"/>
          <w:sz w:val="52"/>
          <w:szCs w:val="52"/>
        </w:rPr>
        <w:t>priorities</w:t>
      </w:r>
      <w:r w:rsidR="00391B48" w:rsidRPr="00985266">
        <w:rPr>
          <w:rFonts w:ascii="Arial Narrow" w:hAnsi="Arial Narrow" w:cs="Arial Hebrew"/>
          <w:color w:val="FFFFFF"/>
          <w:spacing w:val="-9"/>
          <w:sz w:val="58"/>
        </w:rPr>
        <w:t xml:space="preserve"> </w:t>
      </w:r>
      <w:r w:rsidR="00391B48" w:rsidRPr="00391B48">
        <w:rPr>
          <w:rFonts w:ascii="Arial Narrow" w:hAnsi="Arial Narrow" w:cs="Arial Hebrew"/>
          <w:color w:val="FFFFFF"/>
          <w:sz w:val="52"/>
          <w:szCs w:val="52"/>
        </w:rPr>
        <w:t>report</w:t>
      </w:r>
    </w:p>
    <w:p w14:paraId="15D96700" w14:textId="77777777" w:rsidR="00391B48" w:rsidRPr="00B931DA" w:rsidRDefault="00391B48" w:rsidP="00391B48">
      <w:pPr>
        <w:spacing w:before="97"/>
        <w:ind w:right="280"/>
        <w:jc w:val="right"/>
        <w:rPr>
          <w:rFonts w:eastAsia="Arial" w:cs="Arial"/>
          <w:sz w:val="68"/>
          <w:szCs w:val="68"/>
        </w:rPr>
      </w:pPr>
      <w:r w:rsidRPr="00B931DA">
        <w:rPr>
          <w:b/>
          <w:color w:val="BDE5E9"/>
          <w:spacing w:val="-23"/>
          <w:sz w:val="68"/>
        </w:rPr>
        <w:t>2016</w:t>
      </w:r>
    </w:p>
    <w:p w14:paraId="691569DF" w14:textId="48B52ECB" w:rsidR="00391B48" w:rsidRPr="00B931DA" w:rsidRDefault="00391B48" w:rsidP="00391B48">
      <w:pPr>
        <w:rPr>
          <w:rFonts w:eastAsia="Arial" w:cs="Arial"/>
          <w:b/>
          <w:bCs/>
          <w:sz w:val="20"/>
          <w:szCs w:val="20"/>
        </w:rPr>
      </w:pPr>
    </w:p>
    <w:p w14:paraId="758B7C48" w14:textId="77777777" w:rsidR="00391B48" w:rsidRPr="00B931DA" w:rsidRDefault="00391B48" w:rsidP="00391B48">
      <w:pPr>
        <w:rPr>
          <w:rFonts w:eastAsia="Arial" w:cs="Arial"/>
          <w:b/>
          <w:bCs/>
          <w:sz w:val="20"/>
          <w:szCs w:val="20"/>
        </w:rPr>
      </w:pPr>
    </w:p>
    <w:p w14:paraId="032BC20F" w14:textId="77777777" w:rsidR="00391B48" w:rsidRPr="00B931DA" w:rsidRDefault="00391B48" w:rsidP="00391B48">
      <w:pPr>
        <w:rPr>
          <w:rFonts w:eastAsia="Arial" w:cs="Arial"/>
          <w:b/>
          <w:bCs/>
          <w:sz w:val="20"/>
          <w:szCs w:val="20"/>
        </w:rPr>
      </w:pPr>
    </w:p>
    <w:p w14:paraId="40C05C24" w14:textId="77777777" w:rsidR="00391B48" w:rsidRPr="00B931DA" w:rsidRDefault="00391B48" w:rsidP="00391B48">
      <w:pPr>
        <w:rPr>
          <w:rFonts w:eastAsia="Arial" w:cs="Arial"/>
          <w:b/>
          <w:bCs/>
          <w:sz w:val="20"/>
          <w:szCs w:val="20"/>
        </w:rPr>
      </w:pPr>
    </w:p>
    <w:p w14:paraId="2E9BAEBE" w14:textId="77777777" w:rsidR="00391B48" w:rsidRPr="00B931DA" w:rsidRDefault="00391B48" w:rsidP="00391B48">
      <w:pPr>
        <w:rPr>
          <w:rFonts w:eastAsia="Arial" w:cs="Arial"/>
          <w:b/>
          <w:bCs/>
          <w:sz w:val="20"/>
          <w:szCs w:val="20"/>
        </w:rPr>
      </w:pPr>
    </w:p>
    <w:p w14:paraId="258B7B74" w14:textId="77777777" w:rsidR="00391B48" w:rsidRPr="00B931DA" w:rsidRDefault="00391B48" w:rsidP="00391B48">
      <w:pPr>
        <w:rPr>
          <w:rFonts w:eastAsia="Arial" w:cs="Arial"/>
          <w:b/>
          <w:bCs/>
          <w:sz w:val="20"/>
          <w:szCs w:val="20"/>
        </w:rPr>
      </w:pPr>
    </w:p>
    <w:p w14:paraId="65995579" w14:textId="77777777" w:rsidR="00391B48" w:rsidRPr="00B931DA" w:rsidRDefault="00391B48" w:rsidP="00391B48">
      <w:pPr>
        <w:rPr>
          <w:rFonts w:eastAsia="Arial" w:cs="Arial"/>
          <w:b/>
          <w:bCs/>
          <w:sz w:val="20"/>
          <w:szCs w:val="20"/>
        </w:rPr>
      </w:pPr>
    </w:p>
    <w:p w14:paraId="467102A3" w14:textId="77777777" w:rsidR="00391B48" w:rsidRPr="00B931DA" w:rsidRDefault="00391B48" w:rsidP="00391B48">
      <w:pPr>
        <w:rPr>
          <w:rFonts w:eastAsia="Arial" w:cs="Arial"/>
          <w:b/>
          <w:bCs/>
          <w:sz w:val="20"/>
          <w:szCs w:val="20"/>
        </w:rPr>
      </w:pPr>
    </w:p>
    <w:p w14:paraId="787EEE78" w14:textId="77777777" w:rsidR="00391B48" w:rsidRPr="00B931DA" w:rsidRDefault="00391B48" w:rsidP="00391B48">
      <w:pPr>
        <w:rPr>
          <w:rFonts w:eastAsia="Arial" w:cs="Arial"/>
          <w:b/>
          <w:bCs/>
          <w:sz w:val="20"/>
          <w:szCs w:val="20"/>
        </w:rPr>
      </w:pPr>
    </w:p>
    <w:p w14:paraId="6A730A72" w14:textId="77777777" w:rsidR="00391B48" w:rsidRPr="00B931DA" w:rsidRDefault="00391B48" w:rsidP="00391B48">
      <w:pPr>
        <w:rPr>
          <w:rFonts w:eastAsia="Arial" w:cs="Arial"/>
          <w:b/>
          <w:bCs/>
          <w:sz w:val="20"/>
          <w:szCs w:val="20"/>
        </w:rPr>
      </w:pPr>
    </w:p>
    <w:p w14:paraId="5A64B36B" w14:textId="77777777" w:rsidR="00391B48" w:rsidRPr="00B931DA" w:rsidRDefault="00391B48" w:rsidP="00391B48">
      <w:pPr>
        <w:rPr>
          <w:rFonts w:eastAsia="Arial" w:cs="Arial"/>
          <w:b/>
          <w:bCs/>
          <w:sz w:val="20"/>
          <w:szCs w:val="20"/>
        </w:rPr>
      </w:pPr>
    </w:p>
    <w:p w14:paraId="64440150" w14:textId="77777777" w:rsidR="00391B48" w:rsidRPr="00B931DA" w:rsidRDefault="00391B48" w:rsidP="00391B48">
      <w:pPr>
        <w:rPr>
          <w:rFonts w:eastAsia="Arial" w:cs="Arial"/>
          <w:b/>
          <w:bCs/>
          <w:sz w:val="20"/>
          <w:szCs w:val="20"/>
        </w:rPr>
      </w:pPr>
    </w:p>
    <w:p w14:paraId="1FF3340E" w14:textId="77777777" w:rsidR="00391B48" w:rsidRPr="00B931DA" w:rsidRDefault="00391B48" w:rsidP="00391B48">
      <w:pPr>
        <w:rPr>
          <w:rFonts w:eastAsia="Arial" w:cs="Arial"/>
          <w:b/>
          <w:bCs/>
          <w:sz w:val="20"/>
          <w:szCs w:val="20"/>
        </w:rPr>
      </w:pPr>
    </w:p>
    <w:p w14:paraId="5020B655" w14:textId="77777777" w:rsidR="00391B48" w:rsidRPr="00B931DA" w:rsidRDefault="00391B48" w:rsidP="00391B48">
      <w:pPr>
        <w:rPr>
          <w:rFonts w:eastAsia="Arial" w:cs="Arial"/>
          <w:b/>
          <w:bCs/>
          <w:sz w:val="20"/>
          <w:szCs w:val="20"/>
        </w:rPr>
      </w:pPr>
    </w:p>
    <w:p w14:paraId="11FFAC08" w14:textId="77777777" w:rsidR="00391B48" w:rsidRPr="00B931DA" w:rsidRDefault="00391B48" w:rsidP="00391B48">
      <w:pPr>
        <w:rPr>
          <w:rFonts w:eastAsia="Arial" w:cs="Arial"/>
          <w:b/>
          <w:bCs/>
          <w:sz w:val="20"/>
          <w:szCs w:val="20"/>
        </w:rPr>
      </w:pPr>
    </w:p>
    <w:p w14:paraId="18775785" w14:textId="77777777" w:rsidR="00391B48" w:rsidRPr="00B931DA" w:rsidRDefault="00391B48" w:rsidP="00391B48">
      <w:pPr>
        <w:rPr>
          <w:rFonts w:eastAsia="Arial" w:cs="Arial"/>
          <w:b/>
          <w:bCs/>
          <w:sz w:val="20"/>
          <w:szCs w:val="20"/>
        </w:rPr>
      </w:pPr>
    </w:p>
    <w:p w14:paraId="35654E07" w14:textId="77777777" w:rsidR="00391B48" w:rsidRPr="00B931DA" w:rsidRDefault="00391B48" w:rsidP="00391B48">
      <w:pPr>
        <w:rPr>
          <w:rFonts w:eastAsia="Arial" w:cs="Arial"/>
          <w:b/>
          <w:bCs/>
          <w:sz w:val="20"/>
          <w:szCs w:val="20"/>
        </w:rPr>
      </w:pPr>
    </w:p>
    <w:p w14:paraId="0A6F2BAD" w14:textId="77777777" w:rsidR="00391B48" w:rsidRPr="00B931DA" w:rsidRDefault="00391B48" w:rsidP="00391B48">
      <w:pPr>
        <w:rPr>
          <w:rFonts w:eastAsia="Arial" w:cs="Arial"/>
          <w:b/>
          <w:bCs/>
          <w:sz w:val="20"/>
          <w:szCs w:val="20"/>
        </w:rPr>
      </w:pPr>
    </w:p>
    <w:p w14:paraId="12368B99" w14:textId="77777777" w:rsidR="00391B48" w:rsidRDefault="00391B48" w:rsidP="00391B48">
      <w:pPr>
        <w:rPr>
          <w:rFonts w:eastAsia="Arial" w:cs="Arial"/>
          <w:b/>
          <w:bCs/>
          <w:sz w:val="20"/>
          <w:szCs w:val="20"/>
        </w:rPr>
      </w:pPr>
    </w:p>
    <w:p w14:paraId="7A296387" w14:textId="77777777" w:rsidR="00391B48" w:rsidRPr="00B931DA" w:rsidRDefault="00391B48" w:rsidP="00391B48">
      <w:pPr>
        <w:rPr>
          <w:rFonts w:eastAsia="Arial" w:cs="Arial"/>
          <w:b/>
          <w:bCs/>
          <w:sz w:val="20"/>
          <w:szCs w:val="20"/>
        </w:rPr>
      </w:pPr>
    </w:p>
    <w:p w14:paraId="51962B5F" w14:textId="77777777" w:rsidR="00391B48" w:rsidRPr="00B931DA" w:rsidRDefault="00391B48" w:rsidP="00391B48">
      <w:pPr>
        <w:rPr>
          <w:rFonts w:eastAsia="Arial" w:cs="Arial"/>
          <w:b/>
          <w:bCs/>
          <w:sz w:val="20"/>
          <w:szCs w:val="20"/>
        </w:rPr>
      </w:pPr>
    </w:p>
    <w:p w14:paraId="090ABD99" w14:textId="77777777" w:rsidR="00391B48" w:rsidRPr="00B931DA" w:rsidRDefault="00391B48" w:rsidP="00391B48">
      <w:pPr>
        <w:rPr>
          <w:rFonts w:eastAsia="Arial" w:cs="Arial"/>
          <w:b/>
          <w:bCs/>
          <w:sz w:val="20"/>
          <w:szCs w:val="20"/>
        </w:rPr>
      </w:pPr>
    </w:p>
    <w:p w14:paraId="7C184123" w14:textId="77777777" w:rsidR="00391B48" w:rsidRPr="00B931DA" w:rsidRDefault="00391B48" w:rsidP="00391B48">
      <w:pPr>
        <w:rPr>
          <w:rFonts w:eastAsia="Arial" w:cs="Arial"/>
          <w:b/>
          <w:bCs/>
          <w:sz w:val="20"/>
          <w:szCs w:val="20"/>
        </w:rPr>
      </w:pPr>
    </w:p>
    <w:p w14:paraId="4987E283" w14:textId="77777777" w:rsidR="00391B48" w:rsidRPr="00B931DA" w:rsidRDefault="00391B48" w:rsidP="004676BE">
      <w:pPr>
        <w:spacing w:after="0"/>
        <w:rPr>
          <w:rFonts w:eastAsia="Arial" w:cs="Arial"/>
          <w:b/>
          <w:bCs/>
          <w:sz w:val="20"/>
          <w:szCs w:val="20"/>
        </w:rPr>
      </w:pPr>
    </w:p>
    <w:p w14:paraId="7D098CBC" w14:textId="77777777" w:rsidR="00391B48" w:rsidRPr="00B931DA" w:rsidRDefault="00391B48" w:rsidP="00391B48">
      <w:pPr>
        <w:pStyle w:val="Heading4"/>
        <w:spacing w:before="194" w:line="242" w:lineRule="auto"/>
        <w:ind w:left="7492" w:right="99"/>
        <w:rPr>
          <w:b w:val="0"/>
          <w:bCs/>
        </w:rPr>
      </w:pPr>
      <w:r w:rsidRPr="00B931DA">
        <w:rPr>
          <w:color w:val="FFFFFF"/>
        </w:rPr>
        <w:t>Close the Gap Campaign Steering Committee</w:t>
      </w:r>
    </w:p>
    <w:p w14:paraId="7268FDA2" w14:textId="77777777" w:rsidR="00391B48" w:rsidRPr="00B931DA" w:rsidRDefault="00391B48" w:rsidP="00391B48">
      <w:pPr>
        <w:spacing w:line="242" w:lineRule="auto"/>
        <w:sectPr w:rsidR="00391B48" w:rsidRPr="00B931DA" w:rsidSect="00391B48">
          <w:pgSz w:w="11910" w:h="16840"/>
          <w:pgMar w:top="1100" w:right="1000" w:bottom="280" w:left="1680" w:header="720" w:footer="720" w:gutter="0"/>
          <w:cols w:space="720"/>
        </w:sectPr>
      </w:pPr>
    </w:p>
    <w:p w14:paraId="6F0093F5" w14:textId="77777777" w:rsidR="00F01AA5" w:rsidRPr="00F659F8" w:rsidRDefault="00F01AA5" w:rsidP="00FD3F1D"/>
    <w:p w14:paraId="3B5053B7" w14:textId="77777777" w:rsidR="00391B48" w:rsidRPr="00B931DA" w:rsidRDefault="00391B48" w:rsidP="00391B48">
      <w:pPr>
        <w:spacing w:before="66"/>
        <w:ind w:left="439" w:right="493"/>
        <w:rPr>
          <w:rFonts w:eastAsia="Arial" w:cs="Arial"/>
          <w:sz w:val="28"/>
          <w:szCs w:val="28"/>
        </w:rPr>
      </w:pPr>
      <w:r w:rsidRPr="00B931DA">
        <w:rPr>
          <w:b/>
          <w:color w:val="0080A6"/>
          <w:sz w:val="28"/>
        </w:rPr>
        <w:t>Acknowledgements</w:t>
      </w:r>
    </w:p>
    <w:p w14:paraId="13A876D7" w14:textId="77777777" w:rsidR="00391B48" w:rsidRPr="00B931DA" w:rsidRDefault="00391B48" w:rsidP="00391B48">
      <w:pPr>
        <w:spacing w:before="170" w:line="259" w:lineRule="auto"/>
        <w:ind w:left="439" w:right="493"/>
        <w:rPr>
          <w:rFonts w:eastAsia="Tahoma" w:cs="Tahoma"/>
          <w:sz w:val="20"/>
          <w:szCs w:val="20"/>
        </w:rPr>
      </w:pPr>
      <w:r w:rsidRPr="00B931DA">
        <w:rPr>
          <w:color w:val="231F20"/>
          <w:sz w:val="20"/>
        </w:rPr>
        <w:t xml:space="preserve">This report is a collaborative effort of the Close the Gap Campaign Steering Committee. Funding </w:t>
      </w:r>
      <w:r w:rsidRPr="00B931DA">
        <w:rPr>
          <w:color w:val="231F20"/>
          <w:spacing w:val="-5"/>
          <w:sz w:val="20"/>
        </w:rPr>
        <w:t xml:space="preserve">for, </w:t>
      </w:r>
      <w:r w:rsidRPr="00B931DA">
        <w:rPr>
          <w:color w:val="231F20"/>
          <w:sz w:val="20"/>
        </w:rPr>
        <w:t>and project management of, the report was provided by Oxfam</w:t>
      </w:r>
      <w:r w:rsidRPr="00B931DA">
        <w:rPr>
          <w:color w:val="231F20"/>
          <w:spacing w:val="27"/>
          <w:sz w:val="20"/>
        </w:rPr>
        <w:t xml:space="preserve"> </w:t>
      </w:r>
      <w:r w:rsidRPr="00B931DA">
        <w:rPr>
          <w:color w:val="231F20"/>
          <w:sz w:val="20"/>
        </w:rPr>
        <w:t>Australia.</w:t>
      </w:r>
    </w:p>
    <w:p w14:paraId="40E3C409" w14:textId="77777777" w:rsidR="00391B48" w:rsidRPr="00B931DA" w:rsidRDefault="00391B48" w:rsidP="00391B48">
      <w:pPr>
        <w:spacing w:before="112"/>
        <w:ind w:left="439" w:right="493"/>
        <w:rPr>
          <w:rFonts w:eastAsia="Tahoma" w:cs="Tahoma"/>
          <w:sz w:val="20"/>
          <w:szCs w:val="20"/>
        </w:rPr>
      </w:pPr>
      <w:r w:rsidRPr="00B931DA">
        <w:rPr>
          <w:b/>
          <w:color w:val="0080A6"/>
          <w:sz w:val="20"/>
        </w:rPr>
        <w:t xml:space="preserve">Author: </w:t>
      </w:r>
      <w:r w:rsidRPr="00B931DA">
        <w:rPr>
          <w:color w:val="231F20"/>
          <w:sz w:val="20"/>
        </w:rPr>
        <w:t>Christopher</w:t>
      </w:r>
      <w:r w:rsidRPr="00B931DA">
        <w:rPr>
          <w:color w:val="231F20"/>
          <w:spacing w:val="28"/>
          <w:sz w:val="20"/>
        </w:rPr>
        <w:t xml:space="preserve"> </w:t>
      </w:r>
      <w:r w:rsidRPr="00B931DA">
        <w:rPr>
          <w:color w:val="231F20"/>
          <w:sz w:val="20"/>
        </w:rPr>
        <w:t>Holland</w:t>
      </w:r>
    </w:p>
    <w:p w14:paraId="7CE4745E" w14:textId="77777777" w:rsidR="00391B48" w:rsidRPr="00B931DA" w:rsidRDefault="00391B48" w:rsidP="00391B48">
      <w:pPr>
        <w:spacing w:before="131" w:line="259" w:lineRule="auto"/>
        <w:ind w:left="439" w:right="438"/>
        <w:rPr>
          <w:rFonts w:eastAsia="Tahoma" w:cs="Tahoma"/>
          <w:sz w:val="20"/>
          <w:szCs w:val="20"/>
        </w:rPr>
      </w:pPr>
      <w:r w:rsidRPr="00B931DA">
        <w:rPr>
          <w:rFonts w:eastAsia="Arial" w:cs="Arial"/>
          <w:b/>
          <w:bCs/>
          <w:color w:val="0080A6"/>
          <w:w w:val="105"/>
          <w:sz w:val="20"/>
          <w:szCs w:val="20"/>
        </w:rPr>
        <w:t xml:space="preserve">Editors: </w:t>
      </w:r>
      <w:r w:rsidRPr="00B931DA">
        <w:rPr>
          <w:rFonts w:eastAsia="Tahoma" w:cs="Tahoma"/>
          <w:color w:val="231F20"/>
          <w:w w:val="105"/>
          <w:sz w:val="20"/>
          <w:szCs w:val="20"/>
        </w:rPr>
        <w:t xml:space="preserve">Paul Wright, Executive </w:t>
      </w:r>
      <w:r w:rsidRPr="00B931DA">
        <w:rPr>
          <w:rFonts w:eastAsia="Tahoma" w:cs="Tahoma"/>
          <w:color w:val="231F20"/>
          <w:spacing w:val="-3"/>
          <w:w w:val="105"/>
          <w:sz w:val="20"/>
          <w:szCs w:val="20"/>
        </w:rPr>
        <w:t xml:space="preserve">Officer, </w:t>
      </w:r>
      <w:r w:rsidRPr="00B931DA">
        <w:rPr>
          <w:rFonts w:eastAsia="Tahoma" w:cs="Tahoma"/>
          <w:color w:val="231F20"/>
          <w:w w:val="105"/>
          <w:sz w:val="20"/>
          <w:szCs w:val="20"/>
        </w:rPr>
        <w:t>Close the Gap Campaign Steering Committee Secretariat and National Health Leadership Forum Secretariat – Australian Human Rights Commission;</w:t>
      </w:r>
      <w:r w:rsidRPr="00B931DA">
        <w:rPr>
          <w:rFonts w:eastAsia="Tahoma" w:cs="Tahoma"/>
          <w:color w:val="231F20"/>
          <w:spacing w:val="-27"/>
          <w:w w:val="105"/>
          <w:sz w:val="20"/>
          <w:szCs w:val="20"/>
        </w:rPr>
        <w:t xml:space="preserve"> </w:t>
      </w:r>
      <w:r w:rsidRPr="00B931DA">
        <w:rPr>
          <w:rFonts w:eastAsia="Tahoma" w:cs="Tahoma"/>
          <w:color w:val="231F20"/>
          <w:w w:val="105"/>
          <w:sz w:val="20"/>
          <w:szCs w:val="20"/>
        </w:rPr>
        <w:t>Andrew</w:t>
      </w:r>
      <w:r w:rsidRPr="00B931DA">
        <w:rPr>
          <w:rFonts w:eastAsia="Tahoma" w:cs="Tahoma"/>
          <w:color w:val="231F20"/>
          <w:spacing w:val="-27"/>
          <w:w w:val="105"/>
          <w:sz w:val="20"/>
          <w:szCs w:val="20"/>
        </w:rPr>
        <w:t xml:space="preserve"> </w:t>
      </w:r>
      <w:r w:rsidRPr="00B931DA">
        <w:rPr>
          <w:rFonts w:eastAsia="Tahoma" w:cs="Tahoma"/>
          <w:color w:val="231F20"/>
          <w:w w:val="105"/>
          <w:sz w:val="20"/>
          <w:szCs w:val="20"/>
        </w:rPr>
        <w:t>Meehan,</w:t>
      </w:r>
      <w:r w:rsidRPr="00B931DA">
        <w:rPr>
          <w:rFonts w:eastAsia="Tahoma" w:cs="Tahoma"/>
          <w:color w:val="231F20"/>
          <w:spacing w:val="-27"/>
          <w:w w:val="105"/>
          <w:sz w:val="20"/>
          <w:szCs w:val="20"/>
        </w:rPr>
        <w:t xml:space="preserve"> </w:t>
      </w:r>
      <w:r w:rsidRPr="00B931DA">
        <w:rPr>
          <w:rFonts w:eastAsia="Tahoma" w:cs="Tahoma"/>
          <w:color w:val="231F20"/>
          <w:w w:val="105"/>
          <w:sz w:val="20"/>
          <w:szCs w:val="20"/>
        </w:rPr>
        <w:t>National</w:t>
      </w:r>
      <w:r w:rsidRPr="00B931DA">
        <w:rPr>
          <w:rFonts w:eastAsia="Tahoma" w:cs="Tahoma"/>
          <w:color w:val="231F20"/>
          <w:spacing w:val="-27"/>
          <w:w w:val="105"/>
          <w:sz w:val="20"/>
          <w:szCs w:val="20"/>
        </w:rPr>
        <w:t xml:space="preserve"> </w:t>
      </w:r>
      <w:r w:rsidRPr="00B931DA">
        <w:rPr>
          <w:rFonts w:eastAsia="Tahoma" w:cs="Tahoma"/>
          <w:color w:val="231F20"/>
          <w:spacing w:val="-3"/>
          <w:w w:val="105"/>
          <w:sz w:val="20"/>
          <w:szCs w:val="20"/>
        </w:rPr>
        <w:t>Director,</w:t>
      </w:r>
      <w:r w:rsidRPr="00B931DA">
        <w:rPr>
          <w:rFonts w:eastAsia="Tahoma" w:cs="Tahoma"/>
          <w:color w:val="231F20"/>
          <w:spacing w:val="-27"/>
          <w:w w:val="105"/>
          <w:sz w:val="20"/>
          <w:szCs w:val="20"/>
        </w:rPr>
        <w:t xml:space="preserve"> </w:t>
      </w:r>
      <w:proofErr w:type="spellStart"/>
      <w:r w:rsidRPr="00B931DA">
        <w:rPr>
          <w:rFonts w:eastAsia="Tahoma" w:cs="Tahoma"/>
          <w:color w:val="231F20"/>
          <w:spacing w:val="-4"/>
          <w:w w:val="105"/>
          <w:sz w:val="20"/>
          <w:szCs w:val="20"/>
        </w:rPr>
        <w:t>ANTaR</w:t>
      </w:r>
      <w:proofErr w:type="spellEnd"/>
      <w:r w:rsidRPr="00B931DA">
        <w:rPr>
          <w:rFonts w:eastAsia="Tahoma" w:cs="Tahoma"/>
          <w:color w:val="231F20"/>
          <w:spacing w:val="-4"/>
          <w:w w:val="105"/>
          <w:sz w:val="20"/>
          <w:szCs w:val="20"/>
        </w:rPr>
        <w:t>;</w:t>
      </w:r>
      <w:r w:rsidRPr="00B931DA">
        <w:rPr>
          <w:rFonts w:eastAsia="Tahoma" w:cs="Tahoma"/>
          <w:color w:val="231F20"/>
          <w:spacing w:val="-27"/>
          <w:w w:val="105"/>
          <w:sz w:val="20"/>
          <w:szCs w:val="20"/>
        </w:rPr>
        <w:t xml:space="preserve"> </w:t>
      </w:r>
      <w:proofErr w:type="spellStart"/>
      <w:r w:rsidRPr="00B931DA">
        <w:rPr>
          <w:rFonts w:eastAsia="Tahoma" w:cs="Tahoma"/>
          <w:color w:val="231F20"/>
          <w:w w:val="105"/>
          <w:sz w:val="20"/>
          <w:szCs w:val="20"/>
        </w:rPr>
        <w:t>Dr</w:t>
      </w:r>
      <w:proofErr w:type="spellEnd"/>
      <w:r w:rsidRPr="00B931DA">
        <w:rPr>
          <w:rFonts w:eastAsia="Tahoma" w:cs="Tahoma"/>
          <w:color w:val="231F20"/>
          <w:spacing w:val="-27"/>
          <w:w w:val="105"/>
          <w:sz w:val="20"/>
          <w:szCs w:val="20"/>
        </w:rPr>
        <w:t xml:space="preserve"> </w:t>
      </w:r>
      <w:r w:rsidRPr="00B931DA">
        <w:rPr>
          <w:rFonts w:eastAsia="Tahoma" w:cs="Tahoma"/>
          <w:color w:val="231F20"/>
          <w:w w:val="105"/>
          <w:sz w:val="20"/>
          <w:szCs w:val="20"/>
        </w:rPr>
        <w:t>Peter</w:t>
      </w:r>
      <w:r w:rsidRPr="00B931DA">
        <w:rPr>
          <w:rFonts w:eastAsia="Tahoma" w:cs="Tahoma"/>
          <w:color w:val="231F20"/>
          <w:spacing w:val="-27"/>
          <w:w w:val="105"/>
          <w:sz w:val="20"/>
          <w:szCs w:val="20"/>
        </w:rPr>
        <w:t xml:space="preserve"> </w:t>
      </w:r>
      <w:r w:rsidRPr="00B931DA">
        <w:rPr>
          <w:rFonts w:eastAsia="Tahoma" w:cs="Tahoma"/>
          <w:color w:val="231F20"/>
          <w:w w:val="105"/>
          <w:sz w:val="20"/>
          <w:szCs w:val="20"/>
        </w:rPr>
        <w:t>Lewis,</w:t>
      </w:r>
      <w:r w:rsidRPr="00B931DA">
        <w:rPr>
          <w:rFonts w:eastAsia="Tahoma" w:cs="Tahoma"/>
          <w:color w:val="231F20"/>
          <w:spacing w:val="-27"/>
          <w:w w:val="105"/>
          <w:sz w:val="20"/>
          <w:szCs w:val="20"/>
        </w:rPr>
        <w:t xml:space="preserve"> </w:t>
      </w:r>
      <w:r w:rsidRPr="00B931DA">
        <w:rPr>
          <w:rFonts w:eastAsia="Tahoma" w:cs="Tahoma"/>
          <w:color w:val="231F20"/>
          <w:w w:val="105"/>
          <w:sz w:val="20"/>
          <w:szCs w:val="20"/>
        </w:rPr>
        <w:t>Aboriginal</w:t>
      </w:r>
      <w:r w:rsidRPr="00B931DA">
        <w:rPr>
          <w:rFonts w:eastAsia="Tahoma" w:cs="Tahoma"/>
          <w:color w:val="231F20"/>
          <w:spacing w:val="-27"/>
          <w:w w:val="105"/>
          <w:sz w:val="20"/>
          <w:szCs w:val="20"/>
        </w:rPr>
        <w:t xml:space="preserve"> </w:t>
      </w:r>
      <w:r w:rsidRPr="00B931DA">
        <w:rPr>
          <w:rFonts w:eastAsia="Tahoma" w:cs="Tahoma"/>
          <w:color w:val="231F20"/>
          <w:w w:val="105"/>
          <w:sz w:val="20"/>
          <w:szCs w:val="20"/>
        </w:rPr>
        <w:t>and</w:t>
      </w:r>
      <w:r w:rsidRPr="00B931DA">
        <w:rPr>
          <w:rFonts w:eastAsia="Tahoma" w:cs="Tahoma"/>
          <w:color w:val="231F20"/>
          <w:spacing w:val="-27"/>
          <w:w w:val="105"/>
          <w:sz w:val="20"/>
          <w:szCs w:val="20"/>
        </w:rPr>
        <w:t xml:space="preserve"> </w:t>
      </w:r>
      <w:r w:rsidRPr="00B931DA">
        <w:rPr>
          <w:rFonts w:eastAsia="Tahoma" w:cs="Tahoma"/>
          <w:color w:val="231F20"/>
          <w:spacing w:val="-5"/>
          <w:w w:val="105"/>
          <w:sz w:val="20"/>
          <w:szCs w:val="20"/>
        </w:rPr>
        <w:t xml:space="preserve">Torres </w:t>
      </w:r>
      <w:r w:rsidRPr="00B931DA">
        <w:rPr>
          <w:rFonts w:eastAsia="Tahoma" w:cs="Tahoma"/>
          <w:color w:val="231F20"/>
          <w:w w:val="105"/>
          <w:sz w:val="20"/>
          <w:szCs w:val="20"/>
        </w:rPr>
        <w:t>Strait</w:t>
      </w:r>
      <w:r w:rsidRPr="00B931DA">
        <w:rPr>
          <w:rFonts w:eastAsia="Tahoma" w:cs="Tahoma"/>
          <w:color w:val="231F20"/>
          <w:spacing w:val="-21"/>
          <w:w w:val="105"/>
          <w:sz w:val="20"/>
          <w:szCs w:val="20"/>
        </w:rPr>
        <w:t xml:space="preserve"> </w:t>
      </w:r>
      <w:r w:rsidRPr="00B931DA">
        <w:rPr>
          <w:rFonts w:eastAsia="Tahoma" w:cs="Tahoma"/>
          <w:color w:val="231F20"/>
          <w:w w:val="105"/>
          <w:sz w:val="20"/>
          <w:szCs w:val="20"/>
        </w:rPr>
        <w:t>Islander</w:t>
      </w:r>
      <w:r w:rsidRPr="00B931DA">
        <w:rPr>
          <w:rFonts w:eastAsia="Tahoma" w:cs="Tahoma"/>
          <w:color w:val="231F20"/>
          <w:spacing w:val="-21"/>
          <w:w w:val="105"/>
          <w:sz w:val="20"/>
          <w:szCs w:val="20"/>
        </w:rPr>
        <w:t xml:space="preserve"> </w:t>
      </w:r>
      <w:r w:rsidRPr="00B931DA">
        <w:rPr>
          <w:rFonts w:eastAsia="Tahoma" w:cs="Tahoma"/>
          <w:color w:val="231F20"/>
          <w:w w:val="105"/>
          <w:sz w:val="20"/>
          <w:szCs w:val="20"/>
        </w:rPr>
        <w:t>Peoples’</w:t>
      </w:r>
      <w:r w:rsidRPr="00B931DA">
        <w:rPr>
          <w:rFonts w:eastAsia="Tahoma" w:cs="Tahoma"/>
          <w:color w:val="231F20"/>
          <w:spacing w:val="-21"/>
          <w:w w:val="105"/>
          <w:sz w:val="20"/>
          <w:szCs w:val="20"/>
        </w:rPr>
        <w:t xml:space="preserve"> </w:t>
      </w:r>
      <w:r w:rsidRPr="00B931DA">
        <w:rPr>
          <w:rFonts w:eastAsia="Tahoma" w:cs="Tahoma"/>
          <w:color w:val="231F20"/>
          <w:w w:val="105"/>
          <w:sz w:val="20"/>
          <w:szCs w:val="20"/>
        </w:rPr>
        <w:t>Rights</w:t>
      </w:r>
      <w:r w:rsidRPr="00B931DA">
        <w:rPr>
          <w:rFonts w:eastAsia="Tahoma" w:cs="Tahoma"/>
          <w:color w:val="231F20"/>
          <w:spacing w:val="-21"/>
          <w:w w:val="105"/>
          <w:sz w:val="20"/>
          <w:szCs w:val="20"/>
        </w:rPr>
        <w:t xml:space="preserve"> </w:t>
      </w:r>
      <w:r w:rsidRPr="00B931DA">
        <w:rPr>
          <w:rFonts w:eastAsia="Tahoma" w:cs="Tahoma"/>
          <w:color w:val="231F20"/>
          <w:w w:val="105"/>
          <w:sz w:val="20"/>
          <w:szCs w:val="20"/>
        </w:rPr>
        <w:t>Advocacy</w:t>
      </w:r>
      <w:r w:rsidRPr="00B931DA">
        <w:rPr>
          <w:rFonts w:eastAsia="Tahoma" w:cs="Tahoma"/>
          <w:color w:val="231F20"/>
          <w:spacing w:val="-21"/>
          <w:w w:val="105"/>
          <w:sz w:val="20"/>
          <w:szCs w:val="20"/>
        </w:rPr>
        <w:t xml:space="preserve"> </w:t>
      </w:r>
      <w:r w:rsidRPr="00B931DA">
        <w:rPr>
          <w:rFonts w:eastAsia="Tahoma" w:cs="Tahoma"/>
          <w:color w:val="231F20"/>
          <w:w w:val="105"/>
          <w:sz w:val="20"/>
          <w:szCs w:val="20"/>
        </w:rPr>
        <w:t>Lead,</w:t>
      </w:r>
      <w:r w:rsidRPr="00B931DA">
        <w:rPr>
          <w:rFonts w:eastAsia="Tahoma" w:cs="Tahoma"/>
          <w:color w:val="231F20"/>
          <w:spacing w:val="-21"/>
          <w:w w:val="105"/>
          <w:sz w:val="20"/>
          <w:szCs w:val="20"/>
        </w:rPr>
        <w:t xml:space="preserve"> </w:t>
      </w:r>
      <w:r w:rsidRPr="00B931DA">
        <w:rPr>
          <w:rFonts w:eastAsia="Tahoma" w:cs="Tahoma"/>
          <w:color w:val="231F20"/>
          <w:w w:val="105"/>
          <w:sz w:val="20"/>
          <w:szCs w:val="20"/>
        </w:rPr>
        <w:t>Oxfam</w:t>
      </w:r>
      <w:r w:rsidRPr="00B931DA">
        <w:rPr>
          <w:rFonts w:eastAsia="Tahoma" w:cs="Tahoma"/>
          <w:color w:val="231F20"/>
          <w:spacing w:val="-21"/>
          <w:w w:val="105"/>
          <w:sz w:val="20"/>
          <w:szCs w:val="20"/>
        </w:rPr>
        <w:t xml:space="preserve"> </w:t>
      </w:r>
      <w:r w:rsidRPr="00B931DA">
        <w:rPr>
          <w:rFonts w:eastAsia="Tahoma" w:cs="Tahoma"/>
          <w:color w:val="231F20"/>
          <w:w w:val="105"/>
          <w:sz w:val="20"/>
          <w:szCs w:val="20"/>
        </w:rPr>
        <w:t>Australia.</w:t>
      </w:r>
    </w:p>
    <w:p w14:paraId="635137F4" w14:textId="77777777" w:rsidR="00391B48" w:rsidRPr="00B931DA" w:rsidRDefault="00391B48" w:rsidP="00391B48">
      <w:pPr>
        <w:spacing w:before="112" w:line="256" w:lineRule="auto"/>
        <w:ind w:left="439" w:right="493"/>
        <w:rPr>
          <w:rFonts w:eastAsia="Tahoma" w:cs="Tahoma"/>
          <w:sz w:val="20"/>
          <w:szCs w:val="20"/>
        </w:rPr>
      </w:pPr>
      <w:r w:rsidRPr="00B931DA">
        <w:rPr>
          <w:b/>
          <w:color w:val="0080A6"/>
          <w:sz w:val="20"/>
        </w:rPr>
        <w:t xml:space="preserve">Editorial assistance: </w:t>
      </w:r>
      <w:r w:rsidRPr="00B931DA">
        <w:rPr>
          <w:color w:val="231F20"/>
          <w:sz w:val="20"/>
        </w:rPr>
        <w:t xml:space="preserve">Angela </w:t>
      </w:r>
      <w:proofErr w:type="spellStart"/>
      <w:r w:rsidRPr="00B931DA">
        <w:rPr>
          <w:color w:val="231F20"/>
          <w:sz w:val="20"/>
        </w:rPr>
        <w:t>Dorizas</w:t>
      </w:r>
      <w:proofErr w:type="spellEnd"/>
      <w:r w:rsidRPr="00B931DA">
        <w:rPr>
          <w:color w:val="231F20"/>
          <w:sz w:val="20"/>
        </w:rPr>
        <w:t>, Support Officer for Close the Gap Secretariat and National Health Leadership</w:t>
      </w:r>
      <w:r w:rsidRPr="00B931DA">
        <w:rPr>
          <w:color w:val="231F20"/>
          <w:spacing w:val="49"/>
          <w:sz w:val="20"/>
        </w:rPr>
        <w:t xml:space="preserve"> </w:t>
      </w:r>
      <w:r w:rsidRPr="00B931DA">
        <w:rPr>
          <w:color w:val="231F20"/>
          <w:sz w:val="20"/>
        </w:rPr>
        <w:t>Forum.</w:t>
      </w:r>
    </w:p>
    <w:p w14:paraId="3DDC6495" w14:textId="77777777" w:rsidR="00391B48" w:rsidRPr="00B931DA" w:rsidRDefault="00391B48" w:rsidP="00391B48">
      <w:pPr>
        <w:spacing w:before="115"/>
        <w:ind w:left="439" w:right="493"/>
        <w:rPr>
          <w:rFonts w:eastAsia="Tahoma" w:cs="Tahoma"/>
          <w:sz w:val="20"/>
          <w:szCs w:val="20"/>
        </w:rPr>
      </w:pPr>
      <w:r w:rsidRPr="00B931DA">
        <w:rPr>
          <w:b/>
          <w:color w:val="0080A6"/>
          <w:sz w:val="20"/>
        </w:rPr>
        <w:t xml:space="preserve">Design and layout: </w:t>
      </w:r>
      <w:proofErr w:type="spellStart"/>
      <w:r w:rsidRPr="00B931DA">
        <w:rPr>
          <w:color w:val="231F20"/>
          <w:sz w:val="20"/>
        </w:rPr>
        <w:t>Dancingirl</w:t>
      </w:r>
      <w:proofErr w:type="spellEnd"/>
      <w:r w:rsidRPr="00B931DA">
        <w:rPr>
          <w:color w:val="231F20"/>
          <w:spacing w:val="18"/>
          <w:sz w:val="20"/>
        </w:rPr>
        <w:t xml:space="preserve"> </w:t>
      </w:r>
      <w:r w:rsidRPr="00B931DA">
        <w:rPr>
          <w:color w:val="231F20"/>
          <w:sz w:val="20"/>
        </w:rPr>
        <w:t>Designs</w:t>
      </w:r>
    </w:p>
    <w:p w14:paraId="4B0B72E8" w14:textId="77777777" w:rsidR="00391B48" w:rsidRPr="00B931DA" w:rsidRDefault="00391B48" w:rsidP="00391B48">
      <w:pPr>
        <w:spacing w:before="131"/>
        <w:ind w:left="439" w:right="493"/>
        <w:rPr>
          <w:rFonts w:eastAsia="Tahoma" w:cs="Tahoma"/>
          <w:sz w:val="20"/>
          <w:szCs w:val="20"/>
        </w:rPr>
      </w:pPr>
      <w:r w:rsidRPr="00B931DA">
        <w:rPr>
          <w:b/>
          <w:color w:val="0080A6"/>
          <w:sz w:val="20"/>
        </w:rPr>
        <w:t xml:space="preserve">Printing: </w:t>
      </w:r>
      <w:r w:rsidRPr="00B931DA">
        <w:rPr>
          <w:color w:val="231F20"/>
          <w:sz w:val="20"/>
        </w:rPr>
        <w:t>Bright Print</w:t>
      </w:r>
      <w:r w:rsidRPr="00B931DA">
        <w:rPr>
          <w:color w:val="231F20"/>
          <w:spacing w:val="7"/>
          <w:sz w:val="20"/>
        </w:rPr>
        <w:t xml:space="preserve"> </w:t>
      </w:r>
      <w:r w:rsidRPr="00B931DA">
        <w:rPr>
          <w:color w:val="231F20"/>
          <w:sz w:val="20"/>
        </w:rPr>
        <w:t>Group</w:t>
      </w:r>
    </w:p>
    <w:p w14:paraId="114412C3" w14:textId="77777777" w:rsidR="00391B48" w:rsidRPr="00B931DA" w:rsidRDefault="00391B48" w:rsidP="00391B48">
      <w:pPr>
        <w:spacing w:before="131"/>
        <w:ind w:left="439" w:right="493"/>
        <w:rPr>
          <w:rFonts w:eastAsia="Tahoma" w:cs="Tahoma"/>
          <w:sz w:val="20"/>
          <w:szCs w:val="20"/>
        </w:rPr>
      </w:pPr>
      <w:r w:rsidRPr="00B931DA">
        <w:rPr>
          <w:b/>
          <w:color w:val="0080A6"/>
          <w:w w:val="105"/>
          <w:sz w:val="20"/>
        </w:rPr>
        <w:t>Published</w:t>
      </w:r>
      <w:r w:rsidRPr="00B931DA">
        <w:rPr>
          <w:b/>
          <w:color w:val="0080A6"/>
          <w:spacing w:val="-21"/>
          <w:w w:val="105"/>
          <w:sz w:val="20"/>
        </w:rPr>
        <w:t xml:space="preserve"> </w:t>
      </w:r>
      <w:r w:rsidRPr="00B931DA">
        <w:rPr>
          <w:b/>
          <w:color w:val="0080A6"/>
          <w:w w:val="105"/>
          <w:sz w:val="20"/>
        </w:rPr>
        <w:t>by:</w:t>
      </w:r>
      <w:r w:rsidRPr="00B931DA">
        <w:rPr>
          <w:b/>
          <w:color w:val="0080A6"/>
          <w:spacing w:val="-21"/>
          <w:w w:val="105"/>
          <w:sz w:val="20"/>
        </w:rPr>
        <w:t xml:space="preserve"> </w:t>
      </w:r>
      <w:r w:rsidRPr="00B931DA">
        <w:rPr>
          <w:color w:val="231F20"/>
          <w:w w:val="105"/>
          <w:sz w:val="20"/>
        </w:rPr>
        <w:t>The</w:t>
      </w:r>
      <w:r w:rsidRPr="00B931DA">
        <w:rPr>
          <w:color w:val="231F20"/>
          <w:spacing w:val="-28"/>
          <w:w w:val="105"/>
          <w:sz w:val="20"/>
        </w:rPr>
        <w:t xml:space="preserve"> </w:t>
      </w:r>
      <w:r w:rsidRPr="00B931DA">
        <w:rPr>
          <w:color w:val="231F20"/>
          <w:w w:val="105"/>
          <w:sz w:val="20"/>
        </w:rPr>
        <w:t>Close</w:t>
      </w:r>
      <w:r w:rsidRPr="00B931DA">
        <w:rPr>
          <w:color w:val="231F20"/>
          <w:spacing w:val="-28"/>
          <w:w w:val="105"/>
          <w:sz w:val="20"/>
        </w:rPr>
        <w:t xml:space="preserve"> </w:t>
      </w:r>
      <w:r w:rsidRPr="00B931DA">
        <w:rPr>
          <w:color w:val="231F20"/>
          <w:w w:val="105"/>
          <w:sz w:val="20"/>
        </w:rPr>
        <w:t>the</w:t>
      </w:r>
      <w:r w:rsidRPr="00B931DA">
        <w:rPr>
          <w:color w:val="231F20"/>
          <w:spacing w:val="-28"/>
          <w:w w:val="105"/>
          <w:sz w:val="20"/>
        </w:rPr>
        <w:t xml:space="preserve"> </w:t>
      </w:r>
      <w:r w:rsidRPr="00B931DA">
        <w:rPr>
          <w:color w:val="231F20"/>
          <w:w w:val="105"/>
          <w:sz w:val="20"/>
        </w:rPr>
        <w:t>Gap</w:t>
      </w:r>
      <w:r w:rsidRPr="00B931DA">
        <w:rPr>
          <w:color w:val="231F20"/>
          <w:spacing w:val="-28"/>
          <w:w w:val="105"/>
          <w:sz w:val="20"/>
        </w:rPr>
        <w:t xml:space="preserve"> </w:t>
      </w:r>
      <w:r w:rsidRPr="00B931DA">
        <w:rPr>
          <w:color w:val="231F20"/>
          <w:w w:val="105"/>
          <w:sz w:val="20"/>
        </w:rPr>
        <w:t>Campaign</w:t>
      </w:r>
      <w:r w:rsidRPr="00B931DA">
        <w:rPr>
          <w:color w:val="231F20"/>
          <w:spacing w:val="-28"/>
          <w:w w:val="105"/>
          <w:sz w:val="20"/>
        </w:rPr>
        <w:t xml:space="preserve"> </w:t>
      </w:r>
      <w:r w:rsidRPr="00B931DA">
        <w:rPr>
          <w:color w:val="231F20"/>
          <w:w w:val="105"/>
          <w:sz w:val="20"/>
        </w:rPr>
        <w:t>Steering</w:t>
      </w:r>
      <w:r w:rsidRPr="00B931DA">
        <w:rPr>
          <w:color w:val="231F20"/>
          <w:spacing w:val="-28"/>
          <w:w w:val="105"/>
          <w:sz w:val="20"/>
        </w:rPr>
        <w:t xml:space="preserve"> </w:t>
      </w:r>
      <w:r w:rsidRPr="00B931DA">
        <w:rPr>
          <w:color w:val="231F20"/>
          <w:w w:val="105"/>
          <w:sz w:val="20"/>
        </w:rPr>
        <w:t>Committee</w:t>
      </w:r>
      <w:r w:rsidRPr="00B931DA">
        <w:rPr>
          <w:color w:val="231F20"/>
          <w:spacing w:val="-28"/>
          <w:w w:val="105"/>
          <w:sz w:val="20"/>
        </w:rPr>
        <w:t xml:space="preserve"> </w:t>
      </w:r>
      <w:r w:rsidRPr="00B931DA">
        <w:rPr>
          <w:color w:val="231F20"/>
          <w:w w:val="105"/>
          <w:sz w:val="20"/>
        </w:rPr>
        <w:t>in</w:t>
      </w:r>
      <w:r w:rsidRPr="00B931DA">
        <w:rPr>
          <w:color w:val="231F20"/>
          <w:spacing w:val="-28"/>
          <w:w w:val="105"/>
          <w:sz w:val="20"/>
        </w:rPr>
        <w:t xml:space="preserve"> </w:t>
      </w:r>
      <w:r w:rsidRPr="00B931DA">
        <w:rPr>
          <w:color w:val="231F20"/>
          <w:w w:val="105"/>
          <w:sz w:val="20"/>
        </w:rPr>
        <w:t>February</w:t>
      </w:r>
      <w:r w:rsidRPr="00B931DA">
        <w:rPr>
          <w:color w:val="231F20"/>
          <w:spacing w:val="-28"/>
          <w:w w:val="105"/>
          <w:sz w:val="20"/>
        </w:rPr>
        <w:t xml:space="preserve"> </w:t>
      </w:r>
      <w:r w:rsidRPr="00B931DA">
        <w:rPr>
          <w:color w:val="231F20"/>
          <w:w w:val="105"/>
          <w:sz w:val="20"/>
        </w:rPr>
        <w:t>2016.</w:t>
      </w:r>
    </w:p>
    <w:p w14:paraId="7B908C91" w14:textId="77777777" w:rsidR="00391B48" w:rsidRPr="00B931DA" w:rsidRDefault="00391B48" w:rsidP="00391B48">
      <w:pPr>
        <w:spacing w:before="131"/>
        <w:ind w:left="439" w:right="493"/>
        <w:rPr>
          <w:rFonts w:eastAsia="Tahoma" w:cs="Tahoma"/>
          <w:sz w:val="20"/>
          <w:szCs w:val="20"/>
        </w:rPr>
      </w:pPr>
      <w:r w:rsidRPr="00B931DA">
        <w:rPr>
          <w:color w:val="231F20"/>
          <w:sz w:val="20"/>
        </w:rPr>
        <w:t>© Close the Gap Campaign Steering Committee for Indigenous Health Equality, 2016.</w:t>
      </w:r>
    </w:p>
    <w:p w14:paraId="4CBB1913" w14:textId="1070E035" w:rsidR="00391B48" w:rsidRPr="003001CB" w:rsidRDefault="00391B48" w:rsidP="003001CB">
      <w:pPr>
        <w:spacing w:before="132"/>
        <w:ind w:left="439" w:right="493"/>
        <w:rPr>
          <w:rFonts w:eastAsia="Tahoma" w:cs="Tahoma"/>
          <w:sz w:val="20"/>
          <w:szCs w:val="20"/>
        </w:rPr>
      </w:pPr>
      <w:r w:rsidRPr="00B931DA">
        <w:rPr>
          <w:rFonts w:eastAsia="Tahoma" w:cs="Tahoma"/>
          <w:color w:val="231F20"/>
          <w:w w:val="105"/>
          <w:sz w:val="20"/>
          <w:szCs w:val="20"/>
        </w:rPr>
        <w:t>This</w:t>
      </w:r>
      <w:r w:rsidRPr="00B931DA">
        <w:rPr>
          <w:rFonts w:eastAsia="Tahoma" w:cs="Tahoma"/>
          <w:color w:val="231F20"/>
          <w:spacing w:val="-25"/>
          <w:w w:val="105"/>
          <w:sz w:val="20"/>
          <w:szCs w:val="20"/>
        </w:rPr>
        <w:t xml:space="preserve"> </w:t>
      </w:r>
      <w:r w:rsidRPr="00B931DA">
        <w:rPr>
          <w:rFonts w:eastAsia="Tahoma" w:cs="Tahoma"/>
          <w:color w:val="231F20"/>
          <w:w w:val="105"/>
          <w:sz w:val="20"/>
          <w:szCs w:val="20"/>
        </w:rPr>
        <w:t>work</w:t>
      </w:r>
      <w:r w:rsidRPr="00B931DA">
        <w:rPr>
          <w:rFonts w:eastAsia="Tahoma" w:cs="Tahoma"/>
          <w:color w:val="231F20"/>
          <w:spacing w:val="-25"/>
          <w:w w:val="105"/>
          <w:sz w:val="20"/>
          <w:szCs w:val="20"/>
        </w:rPr>
        <w:t xml:space="preserve"> </w:t>
      </w:r>
      <w:r w:rsidRPr="00B931DA">
        <w:rPr>
          <w:rFonts w:eastAsia="Tahoma" w:cs="Tahoma"/>
          <w:color w:val="231F20"/>
          <w:w w:val="105"/>
          <w:sz w:val="20"/>
          <w:szCs w:val="20"/>
        </w:rPr>
        <w:t>is</w:t>
      </w:r>
      <w:r w:rsidRPr="00B931DA">
        <w:rPr>
          <w:rFonts w:eastAsia="Tahoma" w:cs="Tahoma"/>
          <w:color w:val="231F20"/>
          <w:spacing w:val="-25"/>
          <w:w w:val="105"/>
          <w:sz w:val="20"/>
          <w:szCs w:val="20"/>
        </w:rPr>
        <w:t xml:space="preserve"> </w:t>
      </w:r>
      <w:r w:rsidRPr="00B931DA">
        <w:rPr>
          <w:rFonts w:eastAsia="Tahoma" w:cs="Tahoma"/>
          <w:color w:val="231F20"/>
          <w:w w:val="105"/>
          <w:sz w:val="20"/>
          <w:szCs w:val="20"/>
        </w:rPr>
        <w:t>licensed</w:t>
      </w:r>
      <w:r w:rsidRPr="00B931DA">
        <w:rPr>
          <w:rFonts w:eastAsia="Tahoma" w:cs="Tahoma"/>
          <w:color w:val="231F20"/>
          <w:spacing w:val="-25"/>
          <w:w w:val="105"/>
          <w:sz w:val="20"/>
          <w:szCs w:val="20"/>
        </w:rPr>
        <w:t xml:space="preserve"> </w:t>
      </w:r>
      <w:r w:rsidRPr="00B931DA">
        <w:rPr>
          <w:rFonts w:eastAsia="Tahoma" w:cs="Tahoma"/>
          <w:color w:val="231F20"/>
          <w:w w:val="105"/>
          <w:sz w:val="20"/>
          <w:szCs w:val="20"/>
        </w:rPr>
        <w:t>under</w:t>
      </w:r>
      <w:r w:rsidRPr="00B931DA">
        <w:rPr>
          <w:rFonts w:eastAsia="Tahoma" w:cs="Tahoma"/>
          <w:color w:val="231F20"/>
          <w:spacing w:val="-25"/>
          <w:w w:val="105"/>
          <w:sz w:val="20"/>
          <w:szCs w:val="20"/>
        </w:rPr>
        <w:t xml:space="preserve"> </w:t>
      </w:r>
      <w:r w:rsidRPr="00B931DA">
        <w:rPr>
          <w:rFonts w:eastAsia="Tahoma" w:cs="Tahoma"/>
          <w:color w:val="231F20"/>
          <w:w w:val="105"/>
          <w:sz w:val="20"/>
          <w:szCs w:val="20"/>
        </w:rPr>
        <w:t>the</w:t>
      </w:r>
      <w:r w:rsidRPr="00B931DA">
        <w:rPr>
          <w:rFonts w:eastAsia="Tahoma" w:cs="Tahoma"/>
          <w:color w:val="231F20"/>
          <w:spacing w:val="-25"/>
          <w:w w:val="105"/>
          <w:sz w:val="20"/>
          <w:szCs w:val="20"/>
        </w:rPr>
        <w:t xml:space="preserve"> </w:t>
      </w:r>
      <w:r w:rsidRPr="00B931DA">
        <w:rPr>
          <w:rFonts w:eastAsia="Tahoma" w:cs="Tahoma"/>
          <w:color w:val="231F20"/>
          <w:w w:val="105"/>
          <w:sz w:val="20"/>
          <w:szCs w:val="20"/>
        </w:rPr>
        <w:t>Creative</w:t>
      </w:r>
      <w:r w:rsidRPr="00B931DA">
        <w:rPr>
          <w:rFonts w:eastAsia="Tahoma" w:cs="Tahoma"/>
          <w:color w:val="231F20"/>
          <w:spacing w:val="-25"/>
          <w:w w:val="105"/>
          <w:sz w:val="20"/>
          <w:szCs w:val="20"/>
        </w:rPr>
        <w:t xml:space="preserve"> </w:t>
      </w:r>
      <w:r w:rsidRPr="00B931DA">
        <w:rPr>
          <w:rFonts w:eastAsia="Tahoma" w:cs="Tahoma"/>
          <w:color w:val="231F20"/>
          <w:w w:val="105"/>
          <w:sz w:val="20"/>
          <w:szCs w:val="20"/>
        </w:rPr>
        <w:t>Commons</w:t>
      </w:r>
      <w:r w:rsidRPr="00B931DA">
        <w:rPr>
          <w:rFonts w:eastAsia="Tahoma" w:cs="Tahoma"/>
          <w:color w:val="231F20"/>
          <w:spacing w:val="-25"/>
          <w:w w:val="105"/>
          <w:sz w:val="20"/>
          <w:szCs w:val="20"/>
        </w:rPr>
        <w:t xml:space="preserve"> </w:t>
      </w:r>
      <w:r w:rsidRPr="00B931DA">
        <w:rPr>
          <w:rFonts w:eastAsia="Tahoma" w:cs="Tahoma"/>
          <w:color w:val="231F20"/>
          <w:w w:val="105"/>
          <w:sz w:val="20"/>
          <w:szCs w:val="20"/>
        </w:rPr>
        <w:t>Attribution</w:t>
      </w:r>
      <w:r w:rsidRPr="00B931DA">
        <w:rPr>
          <w:rFonts w:eastAsia="Tahoma" w:cs="Tahoma"/>
          <w:color w:val="231F20"/>
          <w:spacing w:val="-25"/>
          <w:w w:val="105"/>
          <w:sz w:val="20"/>
          <w:szCs w:val="20"/>
        </w:rPr>
        <w:t xml:space="preserve"> </w:t>
      </w:r>
      <w:r w:rsidRPr="00B931DA">
        <w:rPr>
          <w:rFonts w:eastAsia="Tahoma" w:cs="Tahoma"/>
          <w:color w:val="231F20"/>
          <w:w w:val="105"/>
          <w:sz w:val="20"/>
          <w:szCs w:val="20"/>
        </w:rPr>
        <w:t>–</w:t>
      </w:r>
      <w:r w:rsidRPr="00B931DA">
        <w:rPr>
          <w:rFonts w:eastAsia="Tahoma" w:cs="Tahoma"/>
          <w:color w:val="231F20"/>
          <w:spacing w:val="-25"/>
          <w:w w:val="105"/>
          <w:sz w:val="20"/>
          <w:szCs w:val="20"/>
        </w:rPr>
        <w:t xml:space="preserve"> </w:t>
      </w:r>
      <w:proofErr w:type="spellStart"/>
      <w:r w:rsidRPr="00B931DA">
        <w:rPr>
          <w:rFonts w:eastAsia="Tahoma" w:cs="Tahoma"/>
          <w:color w:val="231F20"/>
          <w:w w:val="105"/>
          <w:sz w:val="20"/>
          <w:szCs w:val="20"/>
        </w:rPr>
        <w:t>NonCommercial</w:t>
      </w:r>
      <w:proofErr w:type="spellEnd"/>
      <w:r w:rsidRPr="00B931DA">
        <w:rPr>
          <w:rFonts w:eastAsia="Tahoma" w:cs="Tahoma"/>
          <w:color w:val="231F20"/>
          <w:spacing w:val="-25"/>
          <w:w w:val="105"/>
          <w:sz w:val="20"/>
          <w:szCs w:val="20"/>
        </w:rPr>
        <w:t xml:space="preserve"> </w:t>
      </w:r>
      <w:r w:rsidRPr="00B931DA">
        <w:rPr>
          <w:rFonts w:eastAsia="Tahoma" w:cs="Tahoma"/>
          <w:color w:val="231F20"/>
          <w:w w:val="105"/>
          <w:sz w:val="20"/>
          <w:szCs w:val="20"/>
        </w:rPr>
        <w:t>–</w:t>
      </w:r>
      <w:r w:rsidRPr="00B931DA">
        <w:rPr>
          <w:rFonts w:eastAsia="Tahoma" w:cs="Tahoma"/>
          <w:color w:val="231F20"/>
          <w:spacing w:val="-25"/>
          <w:w w:val="105"/>
          <w:sz w:val="20"/>
          <w:szCs w:val="20"/>
        </w:rPr>
        <w:t xml:space="preserve"> </w:t>
      </w:r>
      <w:proofErr w:type="spellStart"/>
      <w:r w:rsidRPr="00B931DA">
        <w:rPr>
          <w:rFonts w:eastAsia="Tahoma" w:cs="Tahoma"/>
          <w:color w:val="231F20"/>
          <w:w w:val="105"/>
          <w:sz w:val="20"/>
          <w:szCs w:val="20"/>
        </w:rPr>
        <w:t>ShareAlike</w:t>
      </w:r>
      <w:proofErr w:type="spellEnd"/>
      <w:r w:rsidR="003001CB">
        <w:rPr>
          <w:rFonts w:eastAsia="Tahoma" w:cs="Tahoma"/>
          <w:sz w:val="20"/>
          <w:szCs w:val="20"/>
        </w:rPr>
        <w:t xml:space="preserve"> </w:t>
      </w:r>
      <w:r w:rsidR="003001CB" w:rsidRPr="003001CB">
        <w:rPr>
          <w:color w:val="231F20"/>
          <w:w w:val="105"/>
          <w:sz w:val="20"/>
        </w:rPr>
        <w:t xml:space="preserve">2.5 </w:t>
      </w:r>
      <w:r w:rsidRPr="003001CB">
        <w:rPr>
          <w:color w:val="231F20"/>
          <w:w w:val="105"/>
          <w:sz w:val="20"/>
        </w:rPr>
        <w:t>Australia</w:t>
      </w:r>
      <w:r w:rsidRPr="003001CB">
        <w:rPr>
          <w:color w:val="231F20"/>
          <w:spacing w:val="-24"/>
          <w:w w:val="105"/>
          <w:sz w:val="20"/>
        </w:rPr>
        <w:t xml:space="preserve"> </w:t>
      </w:r>
      <w:r w:rsidRPr="003001CB">
        <w:rPr>
          <w:color w:val="231F20"/>
          <w:w w:val="105"/>
          <w:sz w:val="20"/>
        </w:rPr>
        <w:t>License.</w:t>
      </w:r>
      <w:r w:rsidRPr="003001CB">
        <w:rPr>
          <w:color w:val="231F20"/>
          <w:spacing w:val="-24"/>
          <w:w w:val="105"/>
          <w:sz w:val="20"/>
        </w:rPr>
        <w:t xml:space="preserve"> </w:t>
      </w:r>
      <w:r w:rsidRPr="003001CB">
        <w:rPr>
          <w:color w:val="231F20"/>
          <w:spacing w:val="-12"/>
          <w:w w:val="105"/>
          <w:sz w:val="20"/>
        </w:rPr>
        <w:t>To</w:t>
      </w:r>
      <w:r w:rsidRPr="003001CB">
        <w:rPr>
          <w:color w:val="231F20"/>
          <w:spacing w:val="-24"/>
          <w:w w:val="105"/>
          <w:sz w:val="20"/>
        </w:rPr>
        <w:t xml:space="preserve"> </w:t>
      </w:r>
      <w:r w:rsidRPr="003001CB">
        <w:rPr>
          <w:color w:val="231F20"/>
          <w:w w:val="105"/>
          <w:sz w:val="20"/>
        </w:rPr>
        <w:t>view</w:t>
      </w:r>
      <w:r w:rsidRPr="003001CB">
        <w:rPr>
          <w:color w:val="231F20"/>
          <w:spacing w:val="-24"/>
          <w:w w:val="105"/>
          <w:sz w:val="20"/>
        </w:rPr>
        <w:t xml:space="preserve"> </w:t>
      </w:r>
      <w:r w:rsidRPr="003001CB">
        <w:rPr>
          <w:color w:val="231F20"/>
          <w:w w:val="105"/>
          <w:sz w:val="20"/>
        </w:rPr>
        <w:t>a</w:t>
      </w:r>
      <w:r w:rsidRPr="003001CB">
        <w:rPr>
          <w:color w:val="231F20"/>
          <w:spacing w:val="-24"/>
          <w:w w:val="105"/>
          <w:sz w:val="20"/>
        </w:rPr>
        <w:t xml:space="preserve"> </w:t>
      </w:r>
      <w:r w:rsidRPr="003001CB">
        <w:rPr>
          <w:color w:val="231F20"/>
          <w:w w:val="105"/>
          <w:sz w:val="20"/>
        </w:rPr>
        <w:t>copy</w:t>
      </w:r>
      <w:r w:rsidRPr="003001CB">
        <w:rPr>
          <w:color w:val="231F20"/>
          <w:spacing w:val="-24"/>
          <w:w w:val="105"/>
          <w:sz w:val="20"/>
        </w:rPr>
        <w:t xml:space="preserve"> </w:t>
      </w:r>
      <w:r w:rsidRPr="003001CB">
        <w:rPr>
          <w:color w:val="231F20"/>
          <w:w w:val="105"/>
          <w:sz w:val="20"/>
        </w:rPr>
        <w:t>of</w:t>
      </w:r>
      <w:r w:rsidRPr="003001CB">
        <w:rPr>
          <w:color w:val="231F20"/>
          <w:spacing w:val="-24"/>
          <w:w w:val="105"/>
          <w:sz w:val="20"/>
        </w:rPr>
        <w:t xml:space="preserve"> </w:t>
      </w:r>
      <w:r w:rsidRPr="003001CB">
        <w:rPr>
          <w:color w:val="231F20"/>
          <w:w w:val="105"/>
          <w:sz w:val="20"/>
        </w:rPr>
        <w:t>this</w:t>
      </w:r>
      <w:r w:rsidRPr="003001CB">
        <w:rPr>
          <w:color w:val="231F20"/>
          <w:spacing w:val="-24"/>
          <w:w w:val="105"/>
          <w:sz w:val="20"/>
        </w:rPr>
        <w:t xml:space="preserve"> </w:t>
      </w:r>
      <w:r w:rsidRPr="003001CB">
        <w:rPr>
          <w:color w:val="231F20"/>
          <w:w w:val="105"/>
          <w:sz w:val="20"/>
        </w:rPr>
        <w:t>license,</w:t>
      </w:r>
      <w:r w:rsidRPr="003001CB">
        <w:rPr>
          <w:color w:val="231F20"/>
          <w:spacing w:val="-24"/>
          <w:w w:val="105"/>
          <w:sz w:val="20"/>
        </w:rPr>
        <w:t xml:space="preserve"> </w:t>
      </w:r>
      <w:r w:rsidRPr="003001CB">
        <w:rPr>
          <w:color w:val="231F20"/>
          <w:w w:val="105"/>
          <w:sz w:val="20"/>
        </w:rPr>
        <w:t>visit:</w:t>
      </w:r>
      <w:r w:rsidRPr="003001CB">
        <w:rPr>
          <w:color w:val="231F20"/>
          <w:spacing w:val="-24"/>
          <w:w w:val="105"/>
          <w:sz w:val="20"/>
        </w:rPr>
        <w:t xml:space="preserve"> </w:t>
      </w:r>
      <w:hyperlink r:id="rId10">
        <w:r w:rsidRPr="003001CB">
          <w:rPr>
            <w:rStyle w:val="Hyperlink"/>
            <w:sz w:val="20"/>
            <w:szCs w:val="20"/>
          </w:rPr>
          <w:t>http://</w:t>
        </w:r>
        <w:proofErr w:type="spellStart"/>
        <w:r w:rsidRPr="003001CB">
          <w:rPr>
            <w:rStyle w:val="Hyperlink"/>
            <w:sz w:val="20"/>
            <w:szCs w:val="20"/>
          </w:rPr>
          <w:t>creativecommons.org</w:t>
        </w:r>
        <w:proofErr w:type="spellEnd"/>
        <w:r w:rsidRPr="003001CB">
          <w:rPr>
            <w:rStyle w:val="Hyperlink"/>
            <w:sz w:val="20"/>
            <w:szCs w:val="20"/>
          </w:rPr>
          <w:t>/</w:t>
        </w:r>
      </w:hyperlink>
      <w:r w:rsidRPr="003001CB">
        <w:rPr>
          <w:rStyle w:val="Hyperlink"/>
          <w:sz w:val="20"/>
          <w:szCs w:val="20"/>
        </w:rPr>
        <w:t xml:space="preserve"> licenses/by-</w:t>
      </w:r>
      <w:proofErr w:type="spellStart"/>
      <w:r w:rsidRPr="003001CB">
        <w:rPr>
          <w:rStyle w:val="Hyperlink"/>
          <w:sz w:val="20"/>
          <w:szCs w:val="20"/>
        </w:rPr>
        <w:t>nc</w:t>
      </w:r>
      <w:proofErr w:type="spellEnd"/>
      <w:r w:rsidRPr="003001CB">
        <w:rPr>
          <w:rStyle w:val="Hyperlink"/>
          <w:sz w:val="20"/>
          <w:szCs w:val="20"/>
        </w:rPr>
        <w:t>-</w:t>
      </w:r>
      <w:proofErr w:type="spellStart"/>
      <w:r w:rsidRPr="003001CB">
        <w:rPr>
          <w:rStyle w:val="Hyperlink"/>
          <w:sz w:val="20"/>
          <w:szCs w:val="20"/>
        </w:rPr>
        <w:t>sa</w:t>
      </w:r>
      <w:proofErr w:type="spellEnd"/>
      <w:r w:rsidRPr="003001CB">
        <w:rPr>
          <w:rStyle w:val="Hyperlink"/>
          <w:sz w:val="20"/>
          <w:szCs w:val="20"/>
        </w:rPr>
        <w:t>/2.5/au</w:t>
      </w:r>
      <w:r w:rsidRPr="003001CB">
        <w:rPr>
          <w:b/>
          <w:color w:val="0080A6"/>
          <w:spacing w:val="-16"/>
          <w:w w:val="105"/>
          <w:sz w:val="20"/>
        </w:rPr>
        <w:t xml:space="preserve"> </w:t>
      </w:r>
      <w:r w:rsidRPr="003001CB">
        <w:rPr>
          <w:color w:val="231F20"/>
          <w:w w:val="105"/>
          <w:sz w:val="20"/>
        </w:rPr>
        <w:t>or</w:t>
      </w:r>
      <w:r w:rsidRPr="003001CB">
        <w:rPr>
          <w:color w:val="231F20"/>
          <w:spacing w:val="-24"/>
          <w:w w:val="105"/>
          <w:sz w:val="20"/>
        </w:rPr>
        <w:t xml:space="preserve"> </w:t>
      </w:r>
      <w:r w:rsidRPr="003001CB">
        <w:rPr>
          <w:color w:val="231F20"/>
          <w:w w:val="105"/>
          <w:sz w:val="20"/>
        </w:rPr>
        <w:t>send</w:t>
      </w:r>
      <w:r w:rsidRPr="003001CB">
        <w:rPr>
          <w:color w:val="231F20"/>
          <w:spacing w:val="-24"/>
          <w:w w:val="105"/>
          <w:sz w:val="20"/>
        </w:rPr>
        <w:t xml:space="preserve"> </w:t>
      </w:r>
      <w:r w:rsidRPr="003001CB">
        <w:rPr>
          <w:color w:val="231F20"/>
          <w:w w:val="105"/>
          <w:sz w:val="20"/>
        </w:rPr>
        <w:t>a</w:t>
      </w:r>
      <w:r w:rsidRPr="003001CB">
        <w:rPr>
          <w:color w:val="231F20"/>
          <w:spacing w:val="-24"/>
          <w:w w:val="105"/>
          <w:sz w:val="20"/>
        </w:rPr>
        <w:t xml:space="preserve"> </w:t>
      </w:r>
      <w:r w:rsidRPr="003001CB">
        <w:rPr>
          <w:color w:val="231F20"/>
          <w:w w:val="105"/>
          <w:sz w:val="20"/>
        </w:rPr>
        <w:t>letter</w:t>
      </w:r>
      <w:r w:rsidRPr="003001CB">
        <w:rPr>
          <w:color w:val="231F20"/>
          <w:spacing w:val="-24"/>
          <w:w w:val="105"/>
          <w:sz w:val="20"/>
        </w:rPr>
        <w:t xml:space="preserve"> </w:t>
      </w:r>
      <w:r w:rsidRPr="003001CB">
        <w:rPr>
          <w:color w:val="231F20"/>
          <w:w w:val="105"/>
          <w:sz w:val="20"/>
        </w:rPr>
        <w:t>to</w:t>
      </w:r>
      <w:r w:rsidRPr="003001CB">
        <w:rPr>
          <w:color w:val="231F20"/>
          <w:spacing w:val="-24"/>
          <w:w w:val="105"/>
          <w:sz w:val="20"/>
        </w:rPr>
        <w:t xml:space="preserve"> </w:t>
      </w:r>
      <w:r w:rsidRPr="003001CB">
        <w:rPr>
          <w:color w:val="231F20"/>
          <w:w w:val="105"/>
          <w:sz w:val="20"/>
        </w:rPr>
        <w:t>Creative</w:t>
      </w:r>
      <w:r w:rsidRPr="003001CB">
        <w:rPr>
          <w:color w:val="231F20"/>
          <w:spacing w:val="-24"/>
          <w:w w:val="105"/>
          <w:sz w:val="20"/>
        </w:rPr>
        <w:t xml:space="preserve"> </w:t>
      </w:r>
      <w:r w:rsidRPr="003001CB">
        <w:rPr>
          <w:color w:val="231F20"/>
          <w:w w:val="105"/>
          <w:sz w:val="20"/>
        </w:rPr>
        <w:t>Commons,</w:t>
      </w:r>
      <w:r w:rsidRPr="003001CB">
        <w:rPr>
          <w:color w:val="231F20"/>
          <w:spacing w:val="-24"/>
          <w:w w:val="105"/>
          <w:sz w:val="20"/>
        </w:rPr>
        <w:t xml:space="preserve"> </w:t>
      </w:r>
      <w:r w:rsidRPr="003001CB">
        <w:rPr>
          <w:color w:val="231F20"/>
          <w:w w:val="105"/>
          <w:sz w:val="20"/>
        </w:rPr>
        <w:t>171</w:t>
      </w:r>
      <w:r w:rsidRPr="003001CB">
        <w:rPr>
          <w:color w:val="231F20"/>
          <w:spacing w:val="-24"/>
          <w:w w:val="105"/>
          <w:sz w:val="20"/>
        </w:rPr>
        <w:t xml:space="preserve"> </w:t>
      </w:r>
      <w:r w:rsidRPr="003001CB">
        <w:rPr>
          <w:color w:val="231F20"/>
          <w:w w:val="105"/>
          <w:sz w:val="20"/>
        </w:rPr>
        <w:t>Second</w:t>
      </w:r>
      <w:r w:rsidRPr="003001CB">
        <w:rPr>
          <w:color w:val="231F20"/>
          <w:spacing w:val="-24"/>
          <w:w w:val="105"/>
          <w:sz w:val="20"/>
        </w:rPr>
        <w:t xml:space="preserve"> </w:t>
      </w:r>
      <w:r w:rsidRPr="003001CB">
        <w:rPr>
          <w:color w:val="231F20"/>
          <w:w w:val="105"/>
          <w:sz w:val="20"/>
        </w:rPr>
        <w:t>Street,</w:t>
      </w:r>
      <w:r w:rsidRPr="003001CB">
        <w:rPr>
          <w:color w:val="231F20"/>
          <w:spacing w:val="-24"/>
          <w:w w:val="105"/>
          <w:sz w:val="20"/>
        </w:rPr>
        <w:t xml:space="preserve"> </w:t>
      </w:r>
      <w:r w:rsidRPr="003001CB">
        <w:rPr>
          <w:color w:val="231F20"/>
          <w:w w:val="105"/>
          <w:sz w:val="20"/>
        </w:rPr>
        <w:t>Suite 300,</w:t>
      </w:r>
      <w:r w:rsidRPr="003001CB">
        <w:rPr>
          <w:color w:val="231F20"/>
          <w:spacing w:val="-20"/>
          <w:w w:val="105"/>
          <w:sz w:val="20"/>
        </w:rPr>
        <w:t xml:space="preserve"> </w:t>
      </w:r>
      <w:r w:rsidRPr="003001CB">
        <w:rPr>
          <w:color w:val="231F20"/>
          <w:w w:val="105"/>
          <w:sz w:val="20"/>
        </w:rPr>
        <w:t>San</w:t>
      </w:r>
      <w:r w:rsidRPr="003001CB">
        <w:rPr>
          <w:color w:val="231F20"/>
          <w:spacing w:val="-20"/>
          <w:w w:val="105"/>
          <w:sz w:val="20"/>
        </w:rPr>
        <w:t xml:space="preserve"> </w:t>
      </w:r>
      <w:r w:rsidRPr="003001CB">
        <w:rPr>
          <w:color w:val="231F20"/>
          <w:w w:val="105"/>
          <w:sz w:val="20"/>
        </w:rPr>
        <w:t>Francisco,</w:t>
      </w:r>
      <w:r w:rsidRPr="003001CB">
        <w:rPr>
          <w:color w:val="231F20"/>
          <w:spacing w:val="-20"/>
          <w:w w:val="105"/>
          <w:sz w:val="20"/>
        </w:rPr>
        <w:t xml:space="preserve"> </w:t>
      </w:r>
      <w:r w:rsidRPr="003001CB">
        <w:rPr>
          <w:color w:val="231F20"/>
          <w:w w:val="105"/>
          <w:sz w:val="20"/>
        </w:rPr>
        <w:t>California,</w:t>
      </w:r>
      <w:r w:rsidRPr="003001CB">
        <w:rPr>
          <w:color w:val="231F20"/>
          <w:spacing w:val="-20"/>
          <w:w w:val="105"/>
          <w:sz w:val="20"/>
        </w:rPr>
        <w:t xml:space="preserve"> </w:t>
      </w:r>
      <w:r w:rsidRPr="003001CB">
        <w:rPr>
          <w:color w:val="231F20"/>
          <w:w w:val="105"/>
          <w:sz w:val="20"/>
        </w:rPr>
        <w:t>94105,</w:t>
      </w:r>
      <w:r w:rsidRPr="003001CB">
        <w:rPr>
          <w:color w:val="231F20"/>
          <w:spacing w:val="-20"/>
          <w:w w:val="105"/>
          <w:sz w:val="20"/>
        </w:rPr>
        <w:t xml:space="preserve"> </w:t>
      </w:r>
      <w:r w:rsidRPr="003001CB">
        <w:rPr>
          <w:color w:val="231F20"/>
          <w:w w:val="105"/>
          <w:sz w:val="20"/>
        </w:rPr>
        <w:t>USA.</w:t>
      </w:r>
    </w:p>
    <w:p w14:paraId="40BDBF5A" w14:textId="77777777" w:rsidR="00391B48" w:rsidRPr="00B931DA" w:rsidRDefault="00391B48" w:rsidP="00391B48">
      <w:pPr>
        <w:spacing w:before="115" w:line="256" w:lineRule="auto"/>
        <w:ind w:left="439" w:right="493"/>
        <w:rPr>
          <w:rFonts w:eastAsia="Arial" w:cs="Arial"/>
          <w:sz w:val="20"/>
          <w:szCs w:val="20"/>
        </w:rPr>
      </w:pPr>
      <w:r w:rsidRPr="00B931DA">
        <w:rPr>
          <w:color w:val="231F20"/>
          <w:sz w:val="20"/>
        </w:rPr>
        <w:t xml:space="preserve">Copies of this report and more information are available to download at: </w:t>
      </w:r>
      <w:proofErr w:type="spellStart"/>
      <w:r w:rsidRPr="00A400AE">
        <w:rPr>
          <w:rStyle w:val="Hyperlink"/>
          <w:sz w:val="20"/>
          <w:szCs w:val="20"/>
        </w:rPr>
        <w:t>www.humanrights</w:t>
      </w:r>
      <w:proofErr w:type="spellEnd"/>
      <w:r w:rsidRPr="00A400AE">
        <w:rPr>
          <w:rStyle w:val="Hyperlink"/>
          <w:sz w:val="20"/>
          <w:szCs w:val="20"/>
        </w:rPr>
        <w:t xml:space="preserve">. </w:t>
      </w:r>
      <w:proofErr w:type="spellStart"/>
      <w:r w:rsidRPr="00A400AE">
        <w:rPr>
          <w:rStyle w:val="Hyperlink"/>
          <w:sz w:val="20"/>
          <w:szCs w:val="20"/>
        </w:rPr>
        <w:t>gov.au</w:t>
      </w:r>
      <w:proofErr w:type="spellEnd"/>
      <w:r w:rsidRPr="00A400AE">
        <w:rPr>
          <w:rStyle w:val="Hyperlink"/>
          <w:sz w:val="20"/>
          <w:szCs w:val="20"/>
        </w:rPr>
        <w:t>/</w:t>
      </w:r>
      <w:proofErr w:type="spellStart"/>
      <w:r w:rsidRPr="00A400AE">
        <w:rPr>
          <w:rStyle w:val="Hyperlink"/>
          <w:sz w:val="20"/>
          <w:szCs w:val="20"/>
        </w:rPr>
        <w:t>social_justice</w:t>
      </w:r>
      <w:proofErr w:type="spellEnd"/>
      <w:r w:rsidRPr="00A400AE">
        <w:rPr>
          <w:rStyle w:val="Hyperlink"/>
          <w:sz w:val="20"/>
          <w:szCs w:val="20"/>
        </w:rPr>
        <w:t>/health/</w:t>
      </w:r>
      <w:proofErr w:type="spellStart"/>
      <w:r w:rsidRPr="00A400AE">
        <w:rPr>
          <w:rStyle w:val="Hyperlink"/>
          <w:sz w:val="20"/>
          <w:szCs w:val="20"/>
        </w:rPr>
        <w:t>index.html</w:t>
      </w:r>
      <w:proofErr w:type="spellEnd"/>
      <w:r w:rsidRPr="00B931DA">
        <w:rPr>
          <w:b/>
          <w:color w:val="0080A6"/>
          <w:sz w:val="20"/>
        </w:rPr>
        <w:t xml:space="preserve"> </w:t>
      </w:r>
      <w:r w:rsidRPr="00B931DA">
        <w:rPr>
          <w:color w:val="231F20"/>
          <w:sz w:val="20"/>
        </w:rPr>
        <w:t>and</w:t>
      </w:r>
      <w:r w:rsidRPr="00B931DA">
        <w:rPr>
          <w:color w:val="231F20"/>
          <w:spacing w:val="18"/>
          <w:sz w:val="20"/>
        </w:rPr>
        <w:t xml:space="preserve"> </w:t>
      </w:r>
      <w:hyperlink r:id="rId11">
        <w:r w:rsidRPr="00A400AE">
          <w:rPr>
            <w:rStyle w:val="Hyperlink"/>
            <w:sz w:val="20"/>
            <w:szCs w:val="20"/>
          </w:rPr>
          <w:t>http://</w:t>
        </w:r>
        <w:proofErr w:type="spellStart"/>
        <w:r w:rsidRPr="00A400AE">
          <w:rPr>
            <w:rStyle w:val="Hyperlink"/>
            <w:sz w:val="20"/>
            <w:szCs w:val="20"/>
          </w:rPr>
          <w:t>www.oxfam.org.au</w:t>
        </w:r>
        <w:proofErr w:type="spellEnd"/>
        <w:r w:rsidRPr="00A400AE">
          <w:rPr>
            <w:rStyle w:val="Hyperlink"/>
            <w:sz w:val="20"/>
            <w:szCs w:val="20"/>
          </w:rPr>
          <w:t>/</w:t>
        </w:r>
        <w:proofErr w:type="spellStart"/>
        <w:r w:rsidRPr="00A400AE">
          <w:rPr>
            <w:rStyle w:val="Hyperlink"/>
            <w:sz w:val="20"/>
            <w:szCs w:val="20"/>
          </w:rPr>
          <w:t>closethegap</w:t>
        </w:r>
        <w:proofErr w:type="spellEnd"/>
      </w:hyperlink>
    </w:p>
    <w:p w14:paraId="4A62A42E" w14:textId="77777777" w:rsidR="00391B48" w:rsidRDefault="00391B48" w:rsidP="00391B48">
      <w:pPr>
        <w:spacing w:before="114" w:line="256" w:lineRule="auto"/>
        <w:ind w:left="439" w:right="537"/>
        <w:rPr>
          <w:color w:val="231F20"/>
          <w:w w:val="105"/>
          <w:sz w:val="20"/>
        </w:rPr>
      </w:pPr>
      <w:r w:rsidRPr="00B931DA">
        <w:rPr>
          <w:b/>
          <w:color w:val="0080A6"/>
          <w:w w:val="105"/>
          <w:sz w:val="20"/>
        </w:rPr>
        <w:t>Cover</w:t>
      </w:r>
      <w:r w:rsidRPr="00B931DA">
        <w:rPr>
          <w:b/>
          <w:color w:val="0080A6"/>
          <w:spacing w:val="-23"/>
          <w:w w:val="105"/>
          <w:sz w:val="20"/>
        </w:rPr>
        <w:t xml:space="preserve"> </w:t>
      </w:r>
      <w:r w:rsidRPr="00B931DA">
        <w:rPr>
          <w:b/>
          <w:color w:val="0080A6"/>
          <w:w w:val="105"/>
          <w:sz w:val="20"/>
        </w:rPr>
        <w:t>photograph:</w:t>
      </w:r>
      <w:r w:rsidRPr="00B931DA">
        <w:rPr>
          <w:b/>
          <w:color w:val="0080A6"/>
          <w:spacing w:val="-23"/>
          <w:w w:val="105"/>
          <w:sz w:val="20"/>
        </w:rPr>
        <w:t xml:space="preserve"> </w:t>
      </w:r>
      <w:r w:rsidRPr="00B931DA">
        <w:rPr>
          <w:color w:val="231F20"/>
          <w:w w:val="105"/>
          <w:sz w:val="20"/>
        </w:rPr>
        <w:t>Kelly</w:t>
      </w:r>
      <w:r w:rsidRPr="00B931DA">
        <w:rPr>
          <w:color w:val="231F20"/>
          <w:spacing w:val="-30"/>
          <w:w w:val="105"/>
          <w:sz w:val="20"/>
        </w:rPr>
        <w:t xml:space="preserve"> </w:t>
      </w:r>
      <w:proofErr w:type="spellStart"/>
      <w:r w:rsidRPr="00B931DA">
        <w:rPr>
          <w:color w:val="231F20"/>
          <w:w w:val="105"/>
          <w:sz w:val="20"/>
        </w:rPr>
        <w:t>Bamblett</w:t>
      </w:r>
      <w:proofErr w:type="spellEnd"/>
      <w:r w:rsidRPr="00B931DA">
        <w:rPr>
          <w:color w:val="231F20"/>
          <w:w w:val="105"/>
          <w:sz w:val="20"/>
        </w:rPr>
        <w:t>,</w:t>
      </w:r>
      <w:r w:rsidRPr="00B931DA">
        <w:rPr>
          <w:color w:val="231F20"/>
          <w:spacing w:val="-30"/>
          <w:w w:val="105"/>
          <w:sz w:val="20"/>
        </w:rPr>
        <w:t xml:space="preserve"> </w:t>
      </w:r>
      <w:r w:rsidRPr="00B931DA">
        <w:rPr>
          <w:color w:val="231F20"/>
          <w:w w:val="105"/>
          <w:sz w:val="20"/>
        </w:rPr>
        <w:t>a</w:t>
      </w:r>
      <w:r w:rsidRPr="00B931DA">
        <w:rPr>
          <w:color w:val="231F20"/>
          <w:spacing w:val="-30"/>
          <w:w w:val="105"/>
          <w:sz w:val="20"/>
        </w:rPr>
        <w:t xml:space="preserve"> </w:t>
      </w:r>
      <w:r w:rsidRPr="00B931DA">
        <w:rPr>
          <w:color w:val="231F20"/>
          <w:w w:val="105"/>
          <w:sz w:val="20"/>
        </w:rPr>
        <w:t>member</w:t>
      </w:r>
      <w:r w:rsidRPr="00B931DA">
        <w:rPr>
          <w:color w:val="231F20"/>
          <w:spacing w:val="-30"/>
          <w:w w:val="105"/>
          <w:sz w:val="20"/>
        </w:rPr>
        <w:t xml:space="preserve"> </w:t>
      </w:r>
      <w:r w:rsidRPr="00B931DA">
        <w:rPr>
          <w:color w:val="231F20"/>
          <w:w w:val="105"/>
          <w:sz w:val="20"/>
        </w:rPr>
        <w:t>of</w:t>
      </w:r>
      <w:r w:rsidRPr="00B931DA">
        <w:rPr>
          <w:color w:val="231F20"/>
          <w:spacing w:val="-30"/>
          <w:w w:val="105"/>
          <w:sz w:val="20"/>
        </w:rPr>
        <w:t xml:space="preserve"> </w:t>
      </w:r>
      <w:r w:rsidRPr="00B931DA">
        <w:rPr>
          <w:color w:val="231F20"/>
          <w:w w:val="105"/>
          <w:sz w:val="20"/>
        </w:rPr>
        <w:t>staff</w:t>
      </w:r>
      <w:r w:rsidRPr="00B931DA">
        <w:rPr>
          <w:color w:val="231F20"/>
          <w:spacing w:val="-30"/>
          <w:w w:val="105"/>
          <w:sz w:val="20"/>
        </w:rPr>
        <w:t xml:space="preserve"> </w:t>
      </w:r>
      <w:r w:rsidRPr="00B931DA">
        <w:rPr>
          <w:color w:val="231F20"/>
          <w:w w:val="105"/>
          <w:sz w:val="20"/>
        </w:rPr>
        <w:t>at</w:t>
      </w:r>
      <w:r w:rsidRPr="00B931DA">
        <w:rPr>
          <w:color w:val="231F20"/>
          <w:spacing w:val="-30"/>
          <w:w w:val="105"/>
          <w:sz w:val="20"/>
        </w:rPr>
        <w:t xml:space="preserve"> </w:t>
      </w:r>
      <w:r w:rsidRPr="00B931DA">
        <w:rPr>
          <w:color w:val="231F20"/>
          <w:w w:val="105"/>
          <w:sz w:val="20"/>
        </w:rPr>
        <w:t>the</w:t>
      </w:r>
      <w:r w:rsidRPr="00B931DA">
        <w:rPr>
          <w:color w:val="231F20"/>
          <w:spacing w:val="-30"/>
          <w:w w:val="105"/>
          <w:sz w:val="20"/>
        </w:rPr>
        <w:t xml:space="preserve"> </w:t>
      </w:r>
      <w:r w:rsidRPr="00B931DA">
        <w:rPr>
          <w:color w:val="231F20"/>
          <w:w w:val="105"/>
          <w:sz w:val="20"/>
        </w:rPr>
        <w:t>Palm</w:t>
      </w:r>
      <w:r w:rsidRPr="00B931DA">
        <w:rPr>
          <w:color w:val="231F20"/>
          <w:spacing w:val="-30"/>
          <w:w w:val="105"/>
          <w:sz w:val="20"/>
        </w:rPr>
        <w:t xml:space="preserve"> </w:t>
      </w:r>
      <w:r w:rsidRPr="00B931DA">
        <w:rPr>
          <w:color w:val="231F20"/>
          <w:w w:val="105"/>
          <w:sz w:val="20"/>
        </w:rPr>
        <w:t>Island</w:t>
      </w:r>
      <w:r w:rsidRPr="00B931DA">
        <w:rPr>
          <w:color w:val="231F20"/>
          <w:spacing w:val="-30"/>
          <w:w w:val="105"/>
          <w:sz w:val="20"/>
        </w:rPr>
        <w:t xml:space="preserve"> </w:t>
      </w:r>
      <w:r w:rsidRPr="00B931DA">
        <w:rPr>
          <w:color w:val="231F20"/>
          <w:w w:val="105"/>
          <w:sz w:val="20"/>
        </w:rPr>
        <w:t>Children</w:t>
      </w:r>
      <w:r w:rsidRPr="00B931DA">
        <w:rPr>
          <w:color w:val="231F20"/>
          <w:spacing w:val="-30"/>
          <w:w w:val="105"/>
          <w:sz w:val="20"/>
        </w:rPr>
        <w:t xml:space="preserve"> </w:t>
      </w:r>
      <w:r w:rsidRPr="00B931DA">
        <w:rPr>
          <w:color w:val="231F20"/>
          <w:w w:val="105"/>
          <w:sz w:val="20"/>
        </w:rPr>
        <w:t>and</w:t>
      </w:r>
      <w:r w:rsidRPr="00B931DA">
        <w:rPr>
          <w:color w:val="231F20"/>
          <w:spacing w:val="-30"/>
          <w:w w:val="105"/>
          <w:sz w:val="20"/>
        </w:rPr>
        <w:t xml:space="preserve"> </w:t>
      </w:r>
      <w:r w:rsidRPr="00B931DA">
        <w:rPr>
          <w:color w:val="231F20"/>
          <w:w w:val="105"/>
          <w:sz w:val="20"/>
        </w:rPr>
        <w:t>Family Centre.</w:t>
      </w:r>
      <w:r w:rsidRPr="00B931DA">
        <w:rPr>
          <w:color w:val="231F20"/>
          <w:spacing w:val="-31"/>
          <w:w w:val="105"/>
          <w:sz w:val="20"/>
        </w:rPr>
        <w:t xml:space="preserve"> </w:t>
      </w:r>
      <w:r w:rsidRPr="00B931DA">
        <w:rPr>
          <w:color w:val="231F20"/>
          <w:w w:val="105"/>
          <w:sz w:val="20"/>
        </w:rPr>
        <w:t>Photograph:</w:t>
      </w:r>
      <w:r w:rsidRPr="00B931DA">
        <w:rPr>
          <w:color w:val="231F20"/>
          <w:spacing w:val="-31"/>
          <w:w w:val="105"/>
          <w:sz w:val="20"/>
        </w:rPr>
        <w:t xml:space="preserve"> </w:t>
      </w:r>
      <w:r w:rsidRPr="00B931DA">
        <w:rPr>
          <w:color w:val="231F20"/>
          <w:w w:val="105"/>
          <w:sz w:val="20"/>
        </w:rPr>
        <w:t>Jason</w:t>
      </w:r>
      <w:r w:rsidRPr="00B931DA">
        <w:rPr>
          <w:color w:val="231F20"/>
          <w:spacing w:val="-31"/>
          <w:w w:val="105"/>
          <w:sz w:val="20"/>
        </w:rPr>
        <w:t xml:space="preserve"> </w:t>
      </w:r>
      <w:proofErr w:type="spellStart"/>
      <w:r w:rsidRPr="00B931DA">
        <w:rPr>
          <w:color w:val="231F20"/>
          <w:w w:val="105"/>
          <w:sz w:val="20"/>
        </w:rPr>
        <w:t>Malouin</w:t>
      </w:r>
      <w:proofErr w:type="spellEnd"/>
      <w:r w:rsidRPr="00B931DA">
        <w:rPr>
          <w:color w:val="231F20"/>
          <w:w w:val="105"/>
          <w:sz w:val="20"/>
        </w:rPr>
        <w:t>/</w:t>
      </w:r>
      <w:proofErr w:type="spellStart"/>
      <w:r w:rsidRPr="00B931DA">
        <w:rPr>
          <w:color w:val="231F20"/>
          <w:w w:val="105"/>
          <w:sz w:val="20"/>
        </w:rPr>
        <w:t>OxfamAUS</w:t>
      </w:r>
      <w:proofErr w:type="spellEnd"/>
      <w:r w:rsidRPr="00B931DA">
        <w:rPr>
          <w:color w:val="231F20"/>
          <w:w w:val="105"/>
          <w:sz w:val="20"/>
        </w:rPr>
        <w:t>.</w:t>
      </w:r>
    </w:p>
    <w:p w14:paraId="6A18D94A" w14:textId="77777777" w:rsidR="00F01AA5" w:rsidRPr="00F659F8" w:rsidRDefault="00F01AA5" w:rsidP="00FD3F1D"/>
    <w:tbl>
      <w:tblPr>
        <w:tblStyle w:val="TableGrid"/>
        <w:tblW w:w="0" w:type="auto"/>
        <w:tblBorders>
          <w:top w:val="single" w:sz="8" w:space="0" w:color="007DA7"/>
          <w:left w:val="single" w:sz="8" w:space="0" w:color="007DA7"/>
          <w:bottom w:val="single" w:sz="8" w:space="0" w:color="007DA7"/>
          <w:right w:val="single" w:sz="8" w:space="0" w:color="007DA7"/>
          <w:insideH w:val="none" w:sz="0" w:space="0" w:color="auto"/>
          <w:insideV w:val="none" w:sz="0" w:space="0" w:color="auto"/>
        </w:tblBorders>
        <w:tblCellMar>
          <w:top w:w="227" w:type="dxa"/>
          <w:left w:w="227" w:type="dxa"/>
          <w:bottom w:w="227" w:type="dxa"/>
          <w:right w:w="227" w:type="dxa"/>
        </w:tblCellMar>
        <w:tblLook w:val="04A0" w:firstRow="1" w:lastRow="0" w:firstColumn="1" w:lastColumn="0" w:noHBand="0" w:noVBand="1"/>
      </w:tblPr>
      <w:tblGrid>
        <w:gridCol w:w="9286"/>
      </w:tblGrid>
      <w:tr w:rsidR="00391B48" w14:paraId="00242276" w14:textId="77777777" w:rsidTr="0025143E">
        <w:tc>
          <w:tcPr>
            <w:tcW w:w="9286" w:type="dxa"/>
            <w:shd w:val="clear" w:color="auto" w:fill="F2F2F2" w:themeFill="background1" w:themeFillShade="F2"/>
          </w:tcPr>
          <w:p w14:paraId="1703997E" w14:textId="3BF4ED25" w:rsidR="00391B48" w:rsidRPr="004A1E8F" w:rsidRDefault="004A1E8F" w:rsidP="004A1E8F">
            <w:pPr>
              <w:spacing w:after="0"/>
              <w:rPr>
                <w:sz w:val="20"/>
                <w:szCs w:val="20"/>
              </w:rPr>
            </w:pPr>
            <w:r w:rsidRPr="004A1E8F">
              <w:rPr>
                <w:sz w:val="20"/>
                <w:szCs w:val="20"/>
              </w:rPr>
              <w:t>Aboriginal and Torres Strait Islander people should be aware that this document may contain images or names of people who have since passed away.</w:t>
            </w:r>
          </w:p>
        </w:tc>
      </w:tr>
    </w:tbl>
    <w:p w14:paraId="5654CF50" w14:textId="77777777" w:rsidR="00F01AA5" w:rsidRPr="00F659F8" w:rsidRDefault="00F01AA5" w:rsidP="00FD3F1D"/>
    <w:p w14:paraId="6B38F60A" w14:textId="77777777" w:rsidR="00387E8D" w:rsidRPr="00561499" w:rsidRDefault="00387E8D">
      <w:pPr>
        <w:rPr>
          <w:rFonts w:cs="Calibri"/>
          <w:b/>
          <w:spacing w:val="-4"/>
          <w:lang w:val="en-AU"/>
        </w:rPr>
      </w:pPr>
      <w:r w:rsidRPr="00561499">
        <w:rPr>
          <w:rFonts w:cs="Calibri"/>
          <w:b/>
          <w:spacing w:val="-4"/>
          <w:lang w:val="en-AU"/>
        </w:rPr>
        <w:br w:type="page"/>
      </w:r>
    </w:p>
    <w:sdt>
      <w:sdtPr>
        <w:rPr>
          <w:rFonts w:eastAsia="Calibri" w:cs="Times New Roman"/>
          <w:noProof w:val="0"/>
          <w:sz w:val="22"/>
        </w:rPr>
        <w:id w:val="-1800150158"/>
        <w:docPartObj>
          <w:docPartGallery w:val="Table of Contents"/>
          <w:docPartUnique/>
        </w:docPartObj>
      </w:sdtPr>
      <w:sdtEndPr>
        <w:rPr>
          <w:bCs/>
          <w:sz w:val="24"/>
        </w:rPr>
      </w:sdtEndPr>
      <w:sdtContent>
        <w:p w14:paraId="0343BF91" w14:textId="77777777" w:rsidR="006B25C9" w:rsidRPr="00F82562" w:rsidRDefault="006B25C9" w:rsidP="00F82562">
          <w:pPr>
            <w:pStyle w:val="TOC3"/>
            <w:ind w:left="0"/>
            <w:rPr>
              <w:color w:val="007DA7"/>
              <w:sz w:val="36"/>
              <w:szCs w:val="36"/>
            </w:rPr>
          </w:pPr>
          <w:r w:rsidRPr="00F82562">
            <w:rPr>
              <w:color w:val="007DA7"/>
              <w:sz w:val="36"/>
              <w:szCs w:val="36"/>
            </w:rPr>
            <w:t>Contents</w:t>
          </w:r>
        </w:p>
        <w:p w14:paraId="2BDE032D" w14:textId="77777777" w:rsidR="002E2D37" w:rsidRDefault="00050FD5">
          <w:pPr>
            <w:pStyle w:val="TOC1"/>
            <w:rPr>
              <w:rFonts w:asciiTheme="minorHAnsi" w:eastAsiaTheme="minorEastAsia" w:hAnsiTheme="minorHAnsi" w:cstheme="minorBidi"/>
              <w:b w:val="0"/>
              <w:noProof/>
              <w:szCs w:val="24"/>
              <w:lang w:val="en-AU" w:eastAsia="ja-JP"/>
            </w:rPr>
          </w:pPr>
          <w:r>
            <w:fldChar w:fldCharType="begin"/>
          </w:r>
          <w:r>
            <w:instrText xml:space="preserve"> TOC \o "1-3" </w:instrText>
          </w:r>
          <w:r>
            <w:fldChar w:fldCharType="separate"/>
          </w:r>
          <w:r w:rsidR="002E2D37" w:rsidRPr="00AE4995">
            <w:rPr>
              <w:noProof/>
              <w:lang w:val="en-AU"/>
            </w:rPr>
            <w:t>Executive summary</w:t>
          </w:r>
          <w:r w:rsidR="002E2D37">
            <w:rPr>
              <w:noProof/>
            </w:rPr>
            <w:tab/>
          </w:r>
          <w:r w:rsidR="002E2D37">
            <w:rPr>
              <w:noProof/>
            </w:rPr>
            <w:fldChar w:fldCharType="begin"/>
          </w:r>
          <w:r w:rsidR="002E2D37">
            <w:rPr>
              <w:noProof/>
            </w:rPr>
            <w:instrText xml:space="preserve"> PAGEREF _Toc315703396 \h </w:instrText>
          </w:r>
          <w:r w:rsidR="002E2D37">
            <w:rPr>
              <w:noProof/>
            </w:rPr>
          </w:r>
          <w:r w:rsidR="002E2D37">
            <w:rPr>
              <w:noProof/>
            </w:rPr>
            <w:fldChar w:fldCharType="separate"/>
          </w:r>
          <w:r w:rsidR="00891864">
            <w:rPr>
              <w:noProof/>
            </w:rPr>
            <w:t>4</w:t>
          </w:r>
          <w:r w:rsidR="002E2D37">
            <w:rPr>
              <w:noProof/>
            </w:rPr>
            <w:fldChar w:fldCharType="end"/>
          </w:r>
        </w:p>
        <w:p w14:paraId="7F2C9C00" w14:textId="77777777" w:rsidR="002E2D37" w:rsidRDefault="002E2D37">
          <w:pPr>
            <w:pStyle w:val="TOC1"/>
            <w:rPr>
              <w:rFonts w:asciiTheme="minorHAnsi" w:eastAsiaTheme="minorEastAsia" w:hAnsiTheme="minorHAnsi" w:cstheme="minorBidi"/>
              <w:b w:val="0"/>
              <w:noProof/>
              <w:szCs w:val="24"/>
              <w:lang w:val="en-AU" w:eastAsia="ja-JP"/>
            </w:rPr>
          </w:pPr>
          <w:r>
            <w:rPr>
              <w:noProof/>
            </w:rPr>
            <w:t>Recommendations</w:t>
          </w:r>
          <w:r>
            <w:rPr>
              <w:noProof/>
            </w:rPr>
            <w:tab/>
          </w:r>
          <w:r>
            <w:rPr>
              <w:noProof/>
            </w:rPr>
            <w:fldChar w:fldCharType="begin"/>
          </w:r>
          <w:r>
            <w:rPr>
              <w:noProof/>
            </w:rPr>
            <w:instrText xml:space="preserve"> PAGEREF _Toc315703397 \h </w:instrText>
          </w:r>
          <w:r>
            <w:rPr>
              <w:noProof/>
            </w:rPr>
          </w:r>
          <w:r>
            <w:rPr>
              <w:noProof/>
            </w:rPr>
            <w:fldChar w:fldCharType="separate"/>
          </w:r>
          <w:r w:rsidR="00891864">
            <w:rPr>
              <w:noProof/>
            </w:rPr>
            <w:t>7</w:t>
          </w:r>
          <w:r>
            <w:rPr>
              <w:noProof/>
            </w:rPr>
            <w:fldChar w:fldCharType="end"/>
          </w:r>
        </w:p>
        <w:p w14:paraId="6D69B737" w14:textId="77777777" w:rsidR="002E2D37" w:rsidRDefault="002E2D37">
          <w:pPr>
            <w:pStyle w:val="TOC1"/>
            <w:rPr>
              <w:rFonts w:asciiTheme="minorHAnsi" w:eastAsiaTheme="minorEastAsia" w:hAnsiTheme="minorHAnsi" w:cstheme="minorBidi"/>
              <w:b w:val="0"/>
              <w:noProof/>
              <w:szCs w:val="24"/>
              <w:lang w:val="en-AU" w:eastAsia="ja-JP"/>
            </w:rPr>
          </w:pPr>
          <w:r>
            <w:rPr>
              <w:noProof/>
            </w:rPr>
            <w:t>Introduction: Taking stock of a decade of hope and the challenges ahead</w:t>
          </w:r>
          <w:r>
            <w:rPr>
              <w:noProof/>
            </w:rPr>
            <w:tab/>
          </w:r>
          <w:r>
            <w:rPr>
              <w:noProof/>
            </w:rPr>
            <w:fldChar w:fldCharType="begin"/>
          </w:r>
          <w:r>
            <w:rPr>
              <w:noProof/>
            </w:rPr>
            <w:instrText xml:space="preserve"> PAGEREF _Toc315703398 \h </w:instrText>
          </w:r>
          <w:r>
            <w:rPr>
              <w:noProof/>
            </w:rPr>
          </w:r>
          <w:r>
            <w:rPr>
              <w:noProof/>
            </w:rPr>
            <w:fldChar w:fldCharType="separate"/>
          </w:r>
          <w:r w:rsidR="00891864">
            <w:rPr>
              <w:noProof/>
            </w:rPr>
            <w:t>9</w:t>
          </w:r>
          <w:r>
            <w:rPr>
              <w:noProof/>
            </w:rPr>
            <w:fldChar w:fldCharType="end"/>
          </w:r>
        </w:p>
        <w:p w14:paraId="0BA6A5B4" w14:textId="77777777" w:rsidR="002E2D37" w:rsidRDefault="002E2D37">
          <w:pPr>
            <w:pStyle w:val="TOC3"/>
            <w:tabs>
              <w:tab w:val="right" w:leader="dot" w:pos="9060"/>
            </w:tabs>
            <w:rPr>
              <w:rFonts w:asciiTheme="minorHAnsi" w:eastAsiaTheme="minorEastAsia" w:hAnsiTheme="minorHAnsi" w:cstheme="minorBidi"/>
              <w:szCs w:val="24"/>
              <w:lang w:val="en-AU" w:eastAsia="ja-JP"/>
            </w:rPr>
          </w:pPr>
          <w:r w:rsidRPr="00AE4995">
            <w:rPr>
              <w:lang w:val="en-AU"/>
            </w:rPr>
            <w:t>Close the Gap Statement of Intent</w:t>
          </w:r>
          <w:r>
            <w:tab/>
          </w:r>
          <w:r>
            <w:fldChar w:fldCharType="begin"/>
          </w:r>
          <w:r>
            <w:instrText xml:space="preserve"> PAGEREF _Toc315703399 \h </w:instrText>
          </w:r>
          <w:r>
            <w:fldChar w:fldCharType="separate"/>
          </w:r>
          <w:r w:rsidR="00891864">
            <w:t>12</w:t>
          </w:r>
          <w:r>
            <w:fldChar w:fldCharType="end"/>
          </w:r>
        </w:p>
        <w:p w14:paraId="132FB373" w14:textId="77777777" w:rsidR="002E2D37" w:rsidRDefault="002E2D37">
          <w:pPr>
            <w:pStyle w:val="TOC1"/>
            <w:rPr>
              <w:rFonts w:asciiTheme="minorHAnsi" w:eastAsiaTheme="minorEastAsia" w:hAnsiTheme="minorHAnsi" w:cstheme="minorBidi"/>
              <w:b w:val="0"/>
              <w:noProof/>
              <w:szCs w:val="24"/>
              <w:lang w:val="en-AU" w:eastAsia="ja-JP"/>
            </w:rPr>
          </w:pPr>
          <w:r>
            <w:rPr>
              <w:noProof/>
            </w:rPr>
            <w:t>Part 1: Progress over the life of the Closing the Gap Strategy</w:t>
          </w:r>
          <w:r>
            <w:rPr>
              <w:noProof/>
            </w:rPr>
            <w:tab/>
          </w:r>
          <w:r>
            <w:rPr>
              <w:noProof/>
            </w:rPr>
            <w:fldChar w:fldCharType="begin"/>
          </w:r>
          <w:r>
            <w:rPr>
              <w:noProof/>
            </w:rPr>
            <w:instrText xml:space="preserve"> PAGEREF _Toc315703400 \h </w:instrText>
          </w:r>
          <w:r>
            <w:rPr>
              <w:noProof/>
            </w:rPr>
          </w:r>
          <w:r>
            <w:rPr>
              <w:noProof/>
            </w:rPr>
            <w:fldChar w:fldCharType="separate"/>
          </w:r>
          <w:r w:rsidR="00891864">
            <w:rPr>
              <w:noProof/>
            </w:rPr>
            <w:t>15</w:t>
          </w:r>
          <w:r>
            <w:rPr>
              <w:noProof/>
            </w:rPr>
            <w:fldChar w:fldCharType="end"/>
          </w:r>
        </w:p>
        <w:p w14:paraId="2803FA14" w14:textId="77777777" w:rsidR="002E2D37" w:rsidRDefault="002E2D37">
          <w:pPr>
            <w:pStyle w:val="TOC3"/>
            <w:tabs>
              <w:tab w:val="right" w:leader="dot" w:pos="9060"/>
            </w:tabs>
            <w:rPr>
              <w:rFonts w:asciiTheme="minorHAnsi" w:eastAsiaTheme="minorEastAsia" w:hAnsiTheme="minorHAnsi" w:cstheme="minorBidi"/>
              <w:szCs w:val="24"/>
              <w:lang w:val="en-AU" w:eastAsia="ja-JP"/>
            </w:rPr>
          </w:pPr>
          <w:r>
            <w:t>1.1 Assessing progress against the life expectancy target</w:t>
          </w:r>
          <w:r>
            <w:tab/>
          </w:r>
          <w:r>
            <w:fldChar w:fldCharType="begin"/>
          </w:r>
          <w:r>
            <w:instrText xml:space="preserve"> PAGEREF _Toc315703401 \h </w:instrText>
          </w:r>
          <w:r>
            <w:fldChar w:fldCharType="separate"/>
          </w:r>
          <w:r w:rsidR="00891864">
            <w:t>16</w:t>
          </w:r>
          <w:r>
            <w:fldChar w:fldCharType="end"/>
          </w:r>
        </w:p>
        <w:p w14:paraId="3B9D86B1" w14:textId="77777777" w:rsidR="002E2D37" w:rsidRDefault="002E2D37">
          <w:pPr>
            <w:pStyle w:val="TOC3"/>
            <w:tabs>
              <w:tab w:val="right" w:leader="dot" w:pos="9060"/>
            </w:tabs>
            <w:rPr>
              <w:rFonts w:asciiTheme="minorHAnsi" w:eastAsiaTheme="minorEastAsia" w:hAnsiTheme="minorHAnsi" w:cstheme="minorBidi"/>
              <w:szCs w:val="24"/>
              <w:lang w:val="en-AU" w:eastAsia="ja-JP"/>
            </w:rPr>
          </w:pPr>
          <w:r>
            <w:t>1.2 Assessing progress against the child mortality target</w:t>
          </w:r>
          <w:r>
            <w:tab/>
          </w:r>
          <w:r>
            <w:fldChar w:fldCharType="begin"/>
          </w:r>
          <w:r>
            <w:instrText xml:space="preserve"> PAGEREF _Toc315703402 \h </w:instrText>
          </w:r>
          <w:r>
            <w:fldChar w:fldCharType="separate"/>
          </w:r>
          <w:r w:rsidR="00891864">
            <w:t>22</w:t>
          </w:r>
          <w:r>
            <w:fldChar w:fldCharType="end"/>
          </w:r>
        </w:p>
        <w:p w14:paraId="2544FB56" w14:textId="77777777" w:rsidR="002E2D37" w:rsidRDefault="002E2D37">
          <w:pPr>
            <w:pStyle w:val="TOC3"/>
            <w:tabs>
              <w:tab w:val="right" w:leader="dot" w:pos="9060"/>
            </w:tabs>
            <w:rPr>
              <w:rFonts w:asciiTheme="minorHAnsi" w:eastAsiaTheme="minorEastAsia" w:hAnsiTheme="minorHAnsi" w:cstheme="minorBidi"/>
              <w:szCs w:val="24"/>
              <w:lang w:val="en-AU" w:eastAsia="ja-JP"/>
            </w:rPr>
          </w:pPr>
          <w:r>
            <w:t>1.3 Understanding a generational health equality trajectory</w:t>
          </w:r>
          <w:r>
            <w:tab/>
          </w:r>
          <w:r>
            <w:fldChar w:fldCharType="begin"/>
          </w:r>
          <w:r>
            <w:instrText xml:space="preserve"> PAGEREF _Toc315703403 \h </w:instrText>
          </w:r>
          <w:r>
            <w:fldChar w:fldCharType="separate"/>
          </w:r>
          <w:r w:rsidR="00891864">
            <w:t>24</w:t>
          </w:r>
          <w:r>
            <w:fldChar w:fldCharType="end"/>
          </w:r>
        </w:p>
        <w:p w14:paraId="626ACD35" w14:textId="77777777" w:rsidR="002E2D37" w:rsidRDefault="002E2D37">
          <w:pPr>
            <w:pStyle w:val="TOC1"/>
            <w:rPr>
              <w:rFonts w:asciiTheme="minorHAnsi" w:eastAsiaTheme="minorEastAsia" w:hAnsiTheme="minorHAnsi" w:cstheme="minorBidi"/>
              <w:b w:val="0"/>
              <w:noProof/>
              <w:szCs w:val="24"/>
              <w:lang w:val="en-AU" w:eastAsia="ja-JP"/>
            </w:rPr>
          </w:pPr>
          <w:r>
            <w:rPr>
              <w:noProof/>
            </w:rPr>
            <w:t>Part 2: New insights into health service use by Aboriginal and Torres Strait Islander people and the contribution of improved access to health services to closing the health gap</w:t>
          </w:r>
          <w:r>
            <w:rPr>
              <w:noProof/>
            </w:rPr>
            <w:tab/>
          </w:r>
          <w:r>
            <w:rPr>
              <w:noProof/>
            </w:rPr>
            <w:fldChar w:fldCharType="begin"/>
          </w:r>
          <w:r>
            <w:rPr>
              <w:noProof/>
            </w:rPr>
            <w:instrText xml:space="preserve"> PAGEREF _Toc315703404 \h </w:instrText>
          </w:r>
          <w:r>
            <w:rPr>
              <w:noProof/>
            </w:rPr>
          </w:r>
          <w:r>
            <w:rPr>
              <w:noProof/>
            </w:rPr>
            <w:fldChar w:fldCharType="separate"/>
          </w:r>
          <w:r w:rsidR="00891864">
            <w:rPr>
              <w:noProof/>
            </w:rPr>
            <w:t>29</w:t>
          </w:r>
          <w:r>
            <w:rPr>
              <w:noProof/>
            </w:rPr>
            <w:fldChar w:fldCharType="end"/>
          </w:r>
        </w:p>
        <w:p w14:paraId="364F6895" w14:textId="77777777" w:rsidR="002E2D37" w:rsidRDefault="002E2D37">
          <w:pPr>
            <w:pStyle w:val="TOC3"/>
            <w:tabs>
              <w:tab w:val="right" w:leader="dot" w:pos="9060"/>
            </w:tabs>
            <w:rPr>
              <w:rFonts w:asciiTheme="minorHAnsi" w:eastAsiaTheme="minorEastAsia" w:hAnsiTheme="minorHAnsi" w:cstheme="minorBidi"/>
              <w:szCs w:val="24"/>
              <w:lang w:val="en-AU" w:eastAsia="ja-JP"/>
            </w:rPr>
          </w:pPr>
          <w:r>
            <w:t>2.1 Usual service use and preferred service use</w:t>
          </w:r>
          <w:r>
            <w:tab/>
          </w:r>
          <w:r>
            <w:fldChar w:fldCharType="begin"/>
          </w:r>
          <w:r>
            <w:instrText xml:space="preserve"> PAGEREF _Toc315703405 \h </w:instrText>
          </w:r>
          <w:r>
            <w:fldChar w:fldCharType="separate"/>
          </w:r>
          <w:r w:rsidR="00891864">
            <w:t>31</w:t>
          </w:r>
          <w:r>
            <w:fldChar w:fldCharType="end"/>
          </w:r>
        </w:p>
        <w:p w14:paraId="1F6BFF69" w14:textId="77777777" w:rsidR="002E2D37" w:rsidRDefault="002E2D37">
          <w:pPr>
            <w:pStyle w:val="TOC3"/>
            <w:tabs>
              <w:tab w:val="right" w:leader="dot" w:pos="9060"/>
            </w:tabs>
            <w:rPr>
              <w:rFonts w:asciiTheme="minorHAnsi" w:eastAsiaTheme="minorEastAsia" w:hAnsiTheme="minorHAnsi" w:cstheme="minorBidi"/>
              <w:szCs w:val="24"/>
              <w:lang w:val="en-AU" w:eastAsia="ja-JP"/>
            </w:rPr>
          </w:pPr>
          <w:r>
            <w:t>2.2 Blocks to service use, including racism and institutional racism in services</w:t>
          </w:r>
          <w:r>
            <w:tab/>
          </w:r>
          <w:r>
            <w:fldChar w:fldCharType="begin"/>
          </w:r>
          <w:r>
            <w:instrText xml:space="preserve"> PAGEREF _Toc315703406 \h </w:instrText>
          </w:r>
          <w:r>
            <w:fldChar w:fldCharType="separate"/>
          </w:r>
          <w:r w:rsidR="00891864">
            <w:t>34</w:t>
          </w:r>
          <w:r>
            <w:fldChar w:fldCharType="end"/>
          </w:r>
        </w:p>
        <w:p w14:paraId="0D322C79" w14:textId="77777777" w:rsidR="002E2D37" w:rsidRDefault="002E2D37">
          <w:pPr>
            <w:pStyle w:val="TOC3"/>
            <w:tabs>
              <w:tab w:val="right" w:leader="dot" w:pos="9060"/>
            </w:tabs>
            <w:rPr>
              <w:rFonts w:asciiTheme="minorHAnsi" w:eastAsiaTheme="minorEastAsia" w:hAnsiTheme="minorHAnsi" w:cstheme="minorBidi"/>
              <w:szCs w:val="24"/>
              <w:lang w:val="en-AU" w:eastAsia="ja-JP"/>
            </w:rPr>
          </w:pPr>
          <w:r>
            <w:t>2.3 Cultural competence/respect of services</w:t>
          </w:r>
          <w:r>
            <w:tab/>
          </w:r>
          <w:r>
            <w:fldChar w:fldCharType="begin"/>
          </w:r>
          <w:r>
            <w:instrText xml:space="preserve"> PAGEREF _Toc315703407 \h </w:instrText>
          </w:r>
          <w:r>
            <w:fldChar w:fldCharType="separate"/>
          </w:r>
          <w:r w:rsidR="00891864">
            <w:t>36</w:t>
          </w:r>
          <w:r>
            <w:fldChar w:fldCharType="end"/>
          </w:r>
        </w:p>
        <w:p w14:paraId="58E0E2D1" w14:textId="77777777" w:rsidR="002E2D37" w:rsidRDefault="002E2D37">
          <w:pPr>
            <w:pStyle w:val="TOC3"/>
            <w:tabs>
              <w:tab w:val="right" w:leader="dot" w:pos="9060"/>
            </w:tabs>
            <w:rPr>
              <w:rFonts w:asciiTheme="minorHAnsi" w:eastAsiaTheme="minorEastAsia" w:hAnsiTheme="minorHAnsi" w:cstheme="minorBidi"/>
              <w:szCs w:val="24"/>
              <w:lang w:val="en-AU" w:eastAsia="ja-JP"/>
            </w:rPr>
          </w:pPr>
          <w:r>
            <w:t>2.4 Targeting the right mix of health services for closing the gap</w:t>
          </w:r>
          <w:r>
            <w:tab/>
          </w:r>
          <w:r>
            <w:fldChar w:fldCharType="begin"/>
          </w:r>
          <w:r>
            <w:instrText xml:space="preserve"> PAGEREF _Toc315703408 \h </w:instrText>
          </w:r>
          <w:r>
            <w:fldChar w:fldCharType="separate"/>
          </w:r>
          <w:r w:rsidR="00891864">
            <w:t>38</w:t>
          </w:r>
          <w:r>
            <w:fldChar w:fldCharType="end"/>
          </w:r>
        </w:p>
        <w:p w14:paraId="466A42FE" w14:textId="77777777" w:rsidR="002E2D37" w:rsidRDefault="002E2D37">
          <w:pPr>
            <w:pStyle w:val="TOC1"/>
            <w:rPr>
              <w:rFonts w:asciiTheme="minorHAnsi" w:eastAsiaTheme="minorEastAsia" w:hAnsiTheme="minorHAnsi" w:cstheme="minorBidi"/>
              <w:b w:val="0"/>
              <w:noProof/>
              <w:szCs w:val="24"/>
              <w:lang w:val="en-AU" w:eastAsia="ja-JP"/>
            </w:rPr>
          </w:pPr>
          <w:r>
            <w:rPr>
              <w:noProof/>
            </w:rPr>
            <w:t>Part 3: Priorities for 2016 and the next term of Parliament</w:t>
          </w:r>
          <w:r>
            <w:rPr>
              <w:noProof/>
            </w:rPr>
            <w:tab/>
          </w:r>
          <w:r>
            <w:rPr>
              <w:noProof/>
            </w:rPr>
            <w:fldChar w:fldCharType="begin"/>
          </w:r>
          <w:r>
            <w:rPr>
              <w:noProof/>
            </w:rPr>
            <w:instrText xml:space="preserve"> PAGEREF _Toc315703409 \h </w:instrText>
          </w:r>
          <w:r>
            <w:rPr>
              <w:noProof/>
            </w:rPr>
          </w:r>
          <w:r>
            <w:rPr>
              <w:noProof/>
            </w:rPr>
            <w:fldChar w:fldCharType="separate"/>
          </w:r>
          <w:r w:rsidR="00891864">
            <w:rPr>
              <w:noProof/>
            </w:rPr>
            <w:t>42</w:t>
          </w:r>
          <w:r>
            <w:rPr>
              <w:noProof/>
            </w:rPr>
            <w:fldChar w:fldCharType="end"/>
          </w:r>
        </w:p>
        <w:p w14:paraId="7598E6A8" w14:textId="77777777" w:rsidR="002E2D37" w:rsidRDefault="002E2D37">
          <w:pPr>
            <w:pStyle w:val="TOC3"/>
            <w:tabs>
              <w:tab w:val="right" w:leader="dot" w:pos="9060"/>
            </w:tabs>
            <w:rPr>
              <w:rFonts w:asciiTheme="minorHAnsi" w:eastAsiaTheme="minorEastAsia" w:hAnsiTheme="minorHAnsi" w:cstheme="minorBidi"/>
              <w:szCs w:val="24"/>
              <w:lang w:val="en-AU" w:eastAsia="ja-JP"/>
            </w:rPr>
          </w:pPr>
          <w:r>
            <w:t xml:space="preserve">3.1 Staying on track for the longer term, and reinvigorating the </w:t>
          </w:r>
          <w:r w:rsidRPr="00AE4995">
            <w:rPr>
              <w:i/>
              <w:iCs/>
            </w:rPr>
            <w:t>Closing the Gap Strategy</w:t>
          </w:r>
          <w:r>
            <w:tab/>
          </w:r>
          <w:r>
            <w:fldChar w:fldCharType="begin"/>
          </w:r>
          <w:r>
            <w:instrText xml:space="preserve"> PAGEREF _Toc315703410 \h </w:instrText>
          </w:r>
          <w:r>
            <w:fldChar w:fldCharType="separate"/>
          </w:r>
          <w:r w:rsidR="00891864">
            <w:t>43</w:t>
          </w:r>
          <w:r>
            <w:fldChar w:fldCharType="end"/>
          </w:r>
        </w:p>
        <w:p w14:paraId="05D5B9D0" w14:textId="77777777" w:rsidR="002E2D37" w:rsidRDefault="002E2D37">
          <w:pPr>
            <w:pStyle w:val="TOC3"/>
            <w:tabs>
              <w:tab w:val="right" w:leader="dot" w:pos="9060"/>
            </w:tabs>
            <w:rPr>
              <w:rFonts w:asciiTheme="minorHAnsi" w:eastAsiaTheme="minorEastAsia" w:hAnsiTheme="minorHAnsi" w:cstheme="minorBidi"/>
              <w:szCs w:val="24"/>
              <w:lang w:val="en-AU" w:eastAsia="ja-JP"/>
            </w:rPr>
          </w:pPr>
          <w:r>
            <w:t>3.2 Implementation Plan for the National Aboriginal and Torres Strait Islander Health Plan</w:t>
          </w:r>
          <w:r>
            <w:tab/>
          </w:r>
          <w:r>
            <w:fldChar w:fldCharType="begin"/>
          </w:r>
          <w:r>
            <w:instrText xml:space="preserve"> PAGEREF _Toc315703411 \h </w:instrText>
          </w:r>
          <w:r>
            <w:fldChar w:fldCharType="separate"/>
          </w:r>
          <w:r w:rsidR="00891864">
            <w:t>53</w:t>
          </w:r>
          <w:r>
            <w:fldChar w:fldCharType="end"/>
          </w:r>
        </w:p>
        <w:p w14:paraId="734620EC" w14:textId="77777777" w:rsidR="002E2D37" w:rsidRDefault="002E2D37">
          <w:pPr>
            <w:pStyle w:val="TOC3"/>
            <w:tabs>
              <w:tab w:val="right" w:leader="dot" w:pos="9060"/>
            </w:tabs>
            <w:rPr>
              <w:rFonts w:asciiTheme="minorHAnsi" w:eastAsiaTheme="minorEastAsia" w:hAnsiTheme="minorHAnsi" w:cstheme="minorBidi"/>
              <w:szCs w:val="24"/>
              <w:lang w:val="en-AU" w:eastAsia="ja-JP"/>
            </w:rPr>
          </w:pPr>
          <w:r>
            <w:t>3.3 Primary Health Networks that support Community Controlled health</w:t>
          </w:r>
          <w:r>
            <w:tab/>
          </w:r>
          <w:r>
            <w:fldChar w:fldCharType="begin"/>
          </w:r>
          <w:r>
            <w:instrText xml:space="preserve"> PAGEREF _Toc315703412 \h </w:instrText>
          </w:r>
          <w:r>
            <w:fldChar w:fldCharType="separate"/>
          </w:r>
          <w:r w:rsidR="00891864">
            <w:t>55</w:t>
          </w:r>
          <w:r>
            <w:fldChar w:fldCharType="end"/>
          </w:r>
        </w:p>
        <w:p w14:paraId="6469FF0F" w14:textId="77777777" w:rsidR="002E2D37" w:rsidRDefault="002E2D37">
          <w:pPr>
            <w:pStyle w:val="TOC3"/>
            <w:tabs>
              <w:tab w:val="right" w:leader="dot" w:pos="9060"/>
            </w:tabs>
            <w:rPr>
              <w:rFonts w:asciiTheme="minorHAnsi" w:eastAsiaTheme="minorEastAsia" w:hAnsiTheme="minorHAnsi" w:cstheme="minorBidi"/>
              <w:szCs w:val="24"/>
              <w:lang w:val="en-AU" w:eastAsia="ja-JP"/>
            </w:rPr>
          </w:pPr>
          <w:r w:rsidRPr="00AE4995">
            <w:t xml:space="preserve">3.4 Reform the </w:t>
          </w:r>
          <w:r w:rsidRPr="00AE4995">
            <w:rPr>
              <w:i/>
              <w:iCs/>
            </w:rPr>
            <w:t>Indigenous Advancement Strategy</w:t>
          </w:r>
          <w:r>
            <w:tab/>
          </w:r>
          <w:r>
            <w:fldChar w:fldCharType="begin"/>
          </w:r>
          <w:r>
            <w:instrText xml:space="preserve"> PAGEREF _Toc315703413 \h </w:instrText>
          </w:r>
          <w:r>
            <w:fldChar w:fldCharType="separate"/>
          </w:r>
          <w:r w:rsidR="00891864">
            <w:t>59</w:t>
          </w:r>
          <w:r>
            <w:fldChar w:fldCharType="end"/>
          </w:r>
        </w:p>
        <w:p w14:paraId="516AD012" w14:textId="77777777" w:rsidR="002E2D37" w:rsidRDefault="002E2D37">
          <w:pPr>
            <w:pStyle w:val="TOC1"/>
            <w:rPr>
              <w:rFonts w:asciiTheme="minorHAnsi" w:eastAsiaTheme="minorEastAsia" w:hAnsiTheme="minorHAnsi" w:cstheme="minorBidi"/>
              <w:b w:val="0"/>
              <w:noProof/>
              <w:szCs w:val="24"/>
              <w:lang w:val="en-AU" w:eastAsia="ja-JP"/>
            </w:rPr>
          </w:pPr>
          <w:r>
            <w:rPr>
              <w:noProof/>
            </w:rPr>
            <w:t>Conclusion</w:t>
          </w:r>
          <w:r>
            <w:rPr>
              <w:noProof/>
            </w:rPr>
            <w:tab/>
          </w:r>
          <w:r>
            <w:rPr>
              <w:noProof/>
            </w:rPr>
            <w:fldChar w:fldCharType="begin"/>
          </w:r>
          <w:r>
            <w:rPr>
              <w:noProof/>
            </w:rPr>
            <w:instrText xml:space="preserve"> PAGEREF _Toc315703414 \h </w:instrText>
          </w:r>
          <w:r>
            <w:rPr>
              <w:noProof/>
            </w:rPr>
          </w:r>
          <w:r>
            <w:rPr>
              <w:noProof/>
            </w:rPr>
            <w:fldChar w:fldCharType="separate"/>
          </w:r>
          <w:r w:rsidR="00891864">
            <w:rPr>
              <w:noProof/>
            </w:rPr>
            <w:t>62</w:t>
          </w:r>
          <w:r>
            <w:rPr>
              <w:noProof/>
            </w:rPr>
            <w:fldChar w:fldCharType="end"/>
          </w:r>
        </w:p>
        <w:p w14:paraId="09BD126B" w14:textId="77777777" w:rsidR="002E2D37" w:rsidRDefault="002E2D37">
          <w:pPr>
            <w:pStyle w:val="TOC1"/>
            <w:rPr>
              <w:rFonts w:asciiTheme="minorHAnsi" w:eastAsiaTheme="minorEastAsia" w:hAnsiTheme="minorHAnsi" w:cstheme="minorBidi"/>
              <w:b w:val="0"/>
              <w:noProof/>
              <w:szCs w:val="24"/>
              <w:lang w:val="en-AU" w:eastAsia="ja-JP"/>
            </w:rPr>
          </w:pPr>
          <w:r w:rsidRPr="00AE4995">
            <w:rPr>
              <w:noProof/>
              <w:lang w:val="en-AU"/>
            </w:rPr>
            <w:t>Who we are</w:t>
          </w:r>
          <w:r>
            <w:rPr>
              <w:noProof/>
            </w:rPr>
            <w:tab/>
          </w:r>
          <w:r>
            <w:rPr>
              <w:noProof/>
            </w:rPr>
            <w:fldChar w:fldCharType="begin"/>
          </w:r>
          <w:r>
            <w:rPr>
              <w:noProof/>
            </w:rPr>
            <w:instrText xml:space="preserve"> PAGEREF _Toc315703415 \h </w:instrText>
          </w:r>
          <w:r>
            <w:rPr>
              <w:noProof/>
            </w:rPr>
          </w:r>
          <w:r>
            <w:rPr>
              <w:noProof/>
            </w:rPr>
            <w:fldChar w:fldCharType="separate"/>
          </w:r>
          <w:r w:rsidR="00891864">
            <w:rPr>
              <w:noProof/>
            </w:rPr>
            <w:t>63</w:t>
          </w:r>
          <w:r>
            <w:rPr>
              <w:noProof/>
            </w:rPr>
            <w:fldChar w:fldCharType="end"/>
          </w:r>
        </w:p>
        <w:p w14:paraId="3578381D" w14:textId="77777777" w:rsidR="002E2D37" w:rsidRDefault="002E2D37">
          <w:pPr>
            <w:pStyle w:val="TOC1"/>
            <w:rPr>
              <w:rFonts w:asciiTheme="minorHAnsi" w:eastAsiaTheme="minorEastAsia" w:hAnsiTheme="minorHAnsi" w:cstheme="minorBidi"/>
              <w:b w:val="0"/>
              <w:noProof/>
              <w:szCs w:val="24"/>
              <w:lang w:val="en-AU" w:eastAsia="ja-JP"/>
            </w:rPr>
          </w:pPr>
          <w:r>
            <w:rPr>
              <w:noProof/>
            </w:rPr>
            <w:t>Appendix 1</w:t>
          </w:r>
          <w:r>
            <w:rPr>
              <w:noProof/>
            </w:rPr>
            <w:tab/>
          </w:r>
          <w:r>
            <w:rPr>
              <w:noProof/>
            </w:rPr>
            <w:fldChar w:fldCharType="begin"/>
          </w:r>
          <w:r>
            <w:rPr>
              <w:noProof/>
            </w:rPr>
            <w:instrText xml:space="preserve"> PAGEREF _Toc315703416 \h </w:instrText>
          </w:r>
          <w:r>
            <w:rPr>
              <w:noProof/>
            </w:rPr>
          </w:r>
          <w:r>
            <w:rPr>
              <w:noProof/>
            </w:rPr>
            <w:fldChar w:fldCharType="separate"/>
          </w:r>
          <w:r w:rsidR="00891864">
            <w:rPr>
              <w:noProof/>
            </w:rPr>
            <w:t>66</w:t>
          </w:r>
          <w:r>
            <w:rPr>
              <w:noProof/>
            </w:rPr>
            <w:fldChar w:fldCharType="end"/>
          </w:r>
        </w:p>
        <w:p w14:paraId="600D6E93" w14:textId="77777777" w:rsidR="002E2D37" w:rsidRDefault="002E2D37">
          <w:pPr>
            <w:pStyle w:val="TOC1"/>
            <w:rPr>
              <w:rFonts w:asciiTheme="minorHAnsi" w:eastAsiaTheme="minorEastAsia" w:hAnsiTheme="minorHAnsi" w:cstheme="minorBidi"/>
              <w:b w:val="0"/>
              <w:noProof/>
              <w:szCs w:val="24"/>
              <w:lang w:val="en-AU" w:eastAsia="ja-JP"/>
            </w:rPr>
          </w:pPr>
          <w:r>
            <w:rPr>
              <w:noProof/>
            </w:rPr>
            <w:t>Appendix 2</w:t>
          </w:r>
          <w:r>
            <w:rPr>
              <w:noProof/>
            </w:rPr>
            <w:tab/>
          </w:r>
          <w:r>
            <w:rPr>
              <w:noProof/>
            </w:rPr>
            <w:fldChar w:fldCharType="begin"/>
          </w:r>
          <w:r>
            <w:rPr>
              <w:noProof/>
            </w:rPr>
            <w:instrText xml:space="preserve"> PAGEREF _Toc315703417 \h </w:instrText>
          </w:r>
          <w:r>
            <w:rPr>
              <w:noProof/>
            </w:rPr>
          </w:r>
          <w:r>
            <w:rPr>
              <w:noProof/>
            </w:rPr>
            <w:fldChar w:fldCharType="separate"/>
          </w:r>
          <w:r w:rsidR="00891864">
            <w:rPr>
              <w:noProof/>
            </w:rPr>
            <w:t>68</w:t>
          </w:r>
          <w:r>
            <w:rPr>
              <w:noProof/>
            </w:rPr>
            <w:fldChar w:fldCharType="end"/>
          </w:r>
        </w:p>
        <w:p w14:paraId="08948C07" w14:textId="14E0AA54" w:rsidR="00D77F3E" w:rsidRPr="00050FD5" w:rsidRDefault="00050FD5" w:rsidP="00050FD5">
          <w:r>
            <w:fldChar w:fldCharType="end"/>
          </w:r>
        </w:p>
      </w:sdtContent>
    </w:sdt>
    <w:p w14:paraId="586A1C61" w14:textId="77777777" w:rsidR="00DB0833" w:rsidRPr="00561499" w:rsidRDefault="00F01AA5" w:rsidP="00617A9F">
      <w:pPr>
        <w:pStyle w:val="Heading1"/>
        <w:ind w:left="851" w:hanging="851"/>
        <w:rPr>
          <w:lang w:val="en-AU"/>
        </w:rPr>
      </w:pPr>
      <w:bookmarkStart w:id="1" w:name="_Toc409788705"/>
      <w:bookmarkStart w:id="2" w:name="_Toc315703396"/>
      <w:r w:rsidRPr="00561499">
        <w:rPr>
          <w:lang w:val="en-AU"/>
        </w:rPr>
        <w:lastRenderedPageBreak/>
        <w:t>Executive summary</w:t>
      </w:r>
      <w:bookmarkEnd w:id="1"/>
      <w:bookmarkEnd w:id="2"/>
    </w:p>
    <w:p w14:paraId="352C417E" w14:textId="1A7C6CDF" w:rsidR="004267E7" w:rsidRPr="004267E7" w:rsidRDefault="00AF7424" w:rsidP="004267E7">
      <w:pPr>
        <w:spacing w:after="400"/>
        <w:rPr>
          <w:szCs w:val="24"/>
        </w:rPr>
      </w:pPr>
      <w:r w:rsidRPr="004267E7">
        <w:rPr>
          <w:szCs w:val="24"/>
        </w:rPr>
        <w:t xml:space="preserve">In his 2005 </w:t>
      </w:r>
      <w:r w:rsidRPr="004267E7">
        <w:rPr>
          <w:i/>
          <w:szCs w:val="24"/>
        </w:rPr>
        <w:t>Social Justice Report</w:t>
      </w:r>
      <w:r w:rsidRPr="004267E7">
        <w:rPr>
          <w:szCs w:val="24"/>
        </w:rPr>
        <w:t xml:space="preserve">, then Aboriginal and Torres Strait Islander Social Justice Commissioner Professor Tom </w:t>
      </w:r>
      <w:proofErr w:type="spellStart"/>
      <w:r w:rsidRPr="004267E7">
        <w:rPr>
          <w:szCs w:val="24"/>
        </w:rPr>
        <w:t>Calma</w:t>
      </w:r>
      <w:proofErr w:type="spellEnd"/>
      <w:r w:rsidRPr="004267E7">
        <w:rPr>
          <w:szCs w:val="24"/>
        </w:rPr>
        <w:t xml:space="preserve"> AO described the</w:t>
      </w:r>
      <w:r w:rsidR="00FE3EF9" w:rsidRPr="004267E7">
        <w:rPr>
          <w:szCs w:val="24"/>
        </w:rPr>
        <w:t xml:space="preserve"> unacceptably</w:t>
      </w:r>
      <w:r w:rsidRPr="004267E7">
        <w:rPr>
          <w:szCs w:val="24"/>
        </w:rPr>
        <w:t xml:space="preserve"> </w:t>
      </w:r>
      <w:r w:rsidR="00FE3EF9" w:rsidRPr="004267E7">
        <w:rPr>
          <w:szCs w:val="24"/>
        </w:rPr>
        <w:t>wide</w:t>
      </w:r>
      <w:r w:rsidRPr="004267E7">
        <w:rPr>
          <w:szCs w:val="24"/>
        </w:rPr>
        <w:t xml:space="preserve"> health</w:t>
      </w:r>
      <w:r w:rsidR="00BE69CE" w:rsidRPr="004267E7">
        <w:rPr>
          <w:szCs w:val="24"/>
        </w:rPr>
        <w:t xml:space="preserve"> and life expectancy</w:t>
      </w:r>
      <w:r w:rsidRPr="004267E7">
        <w:rPr>
          <w:szCs w:val="24"/>
        </w:rPr>
        <w:t xml:space="preserve"> </w:t>
      </w:r>
      <w:r w:rsidR="00203440" w:rsidRPr="004267E7">
        <w:rPr>
          <w:szCs w:val="24"/>
        </w:rPr>
        <w:t>gap between</w:t>
      </w:r>
      <w:r w:rsidRPr="004267E7">
        <w:rPr>
          <w:szCs w:val="24"/>
        </w:rPr>
        <w:t xml:space="preserve"> Aboriginal and Torres Strait Islander peoples and </w:t>
      </w:r>
      <w:r w:rsidR="00203440" w:rsidRPr="004267E7">
        <w:rPr>
          <w:szCs w:val="24"/>
        </w:rPr>
        <w:t xml:space="preserve">non-Indigenous people </w:t>
      </w:r>
      <w:r w:rsidR="003A7BF0" w:rsidRPr="004267E7">
        <w:rPr>
          <w:szCs w:val="24"/>
        </w:rPr>
        <w:t xml:space="preserve">in Australia </w:t>
      </w:r>
      <w:r w:rsidR="00203440" w:rsidRPr="004267E7">
        <w:rPr>
          <w:szCs w:val="24"/>
        </w:rPr>
        <w:t xml:space="preserve">and </w:t>
      </w:r>
      <w:r w:rsidRPr="004267E7">
        <w:rPr>
          <w:szCs w:val="24"/>
        </w:rPr>
        <w:t>observed: ‘It is not credible to suggest that one of the wealthiest nations in the world cannot solve a heal</w:t>
      </w:r>
      <w:r w:rsidR="006B66D5" w:rsidRPr="004267E7">
        <w:rPr>
          <w:szCs w:val="24"/>
        </w:rPr>
        <w:t xml:space="preserve">th crisis affecting less than </w:t>
      </w:r>
      <w:r w:rsidR="00FE3EF9" w:rsidRPr="004267E7">
        <w:rPr>
          <w:szCs w:val="24"/>
        </w:rPr>
        <w:t>3</w:t>
      </w:r>
      <w:r w:rsidR="005D43F4" w:rsidRPr="004267E7">
        <w:rPr>
          <w:szCs w:val="24"/>
        </w:rPr>
        <w:t>%</w:t>
      </w:r>
      <w:r w:rsidRPr="004267E7">
        <w:rPr>
          <w:szCs w:val="24"/>
        </w:rPr>
        <w:t xml:space="preserve"> of its citizens.’</w:t>
      </w:r>
      <w:r w:rsidR="00221769" w:rsidRPr="004267E7">
        <w:rPr>
          <w:rStyle w:val="EndnoteReference"/>
          <w:szCs w:val="24"/>
        </w:rPr>
        <w:endnoteReference w:id="1"/>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227" w:type="dxa"/>
          <w:bottom w:w="227" w:type="dxa"/>
          <w:right w:w="227" w:type="dxa"/>
        </w:tblCellMar>
        <w:tblLook w:val="04A0" w:firstRow="1" w:lastRow="0" w:firstColumn="1" w:lastColumn="0" w:noHBand="0" w:noVBand="1"/>
      </w:tblPr>
      <w:tblGrid>
        <w:gridCol w:w="9286"/>
      </w:tblGrid>
      <w:tr w:rsidR="00A25155" w:rsidRPr="00F82562" w14:paraId="4253FDC7" w14:textId="77777777" w:rsidTr="0025143E">
        <w:tc>
          <w:tcPr>
            <w:tcW w:w="9286" w:type="dxa"/>
            <w:shd w:val="clear" w:color="auto" w:fill="F2F2F2" w:themeFill="background1" w:themeFillShade="F2"/>
          </w:tcPr>
          <w:p w14:paraId="6353EBED" w14:textId="78EAF82A" w:rsidR="00A25155" w:rsidRPr="00A25155" w:rsidRDefault="00A25155" w:rsidP="00A25155">
            <w:pPr>
              <w:pStyle w:val="PullQuote"/>
            </w:pPr>
            <w:r w:rsidRPr="00A25155">
              <w:t>‘It is not credible to suggest that one of the wealthiest nations in the world cannot solve a health crisis affecting</w:t>
            </w:r>
            <w:r w:rsidR="003D07C5">
              <w:t xml:space="preserve"> less than 3% of its citizens.’</w:t>
            </w:r>
          </w:p>
          <w:p w14:paraId="1820EDEB" w14:textId="66A7A315" w:rsidR="00A25155" w:rsidRPr="00A25155" w:rsidRDefault="00A25155" w:rsidP="00A25155">
            <w:pPr>
              <w:pStyle w:val="PullQuoteCredit"/>
              <w:rPr>
                <w:rStyle w:val="Strong"/>
                <w:b/>
                <w:bCs w:val="0"/>
              </w:rPr>
            </w:pPr>
            <w:r w:rsidRPr="00A25155">
              <w:t xml:space="preserve">Dr Tom </w:t>
            </w:r>
            <w:proofErr w:type="spellStart"/>
            <w:r w:rsidRPr="00A25155">
              <w:t>Calma</w:t>
            </w:r>
            <w:proofErr w:type="spellEnd"/>
            <w:r w:rsidRPr="00A25155">
              <w:t>, AO, Close the Gap Campaign founder and former Aboriginal</w:t>
            </w:r>
            <w:r>
              <w:t xml:space="preserve"> </w:t>
            </w:r>
            <w:r w:rsidRPr="00A25155">
              <w:t>and Torres Strait Islander Social Justice Commissioner</w:t>
            </w:r>
          </w:p>
        </w:tc>
      </w:tr>
    </w:tbl>
    <w:p w14:paraId="693F675B" w14:textId="77777777" w:rsidR="003D07C5" w:rsidRDefault="003D07C5" w:rsidP="004267E7"/>
    <w:p w14:paraId="2D7F639C" w14:textId="28CA2D36" w:rsidR="00221769" w:rsidRPr="00561499" w:rsidRDefault="00221769" w:rsidP="00BF16F7">
      <w:pPr>
        <w:spacing w:before="240" w:after="240"/>
        <w:ind w:right="74"/>
      </w:pPr>
      <w:r w:rsidRPr="00561499">
        <w:t>The Commission</w:t>
      </w:r>
      <w:r w:rsidR="00177569" w:rsidRPr="00561499">
        <w:t>er then proposed a human rights-</w:t>
      </w:r>
      <w:r w:rsidRPr="00561499">
        <w:t>based approach to achieving Aboriginal and Torres Strait Islander health equality featuring equality-based planning and targets developed in partnerships between Aboriginal and Torres Strait Islander peop</w:t>
      </w:r>
      <w:r w:rsidR="004A1E8F">
        <w:t>les and Australian governments.</w:t>
      </w:r>
    </w:p>
    <w:p w14:paraId="406CF0E4" w14:textId="1FD9DEB3" w:rsidR="003D07C5" w:rsidRDefault="00221769" w:rsidP="003D07C5">
      <w:r w:rsidRPr="00561499">
        <w:t>The Commissioner’s rallying cry led to the 2006 establishment of the Close the Gap Campaign under Aboriginal and Torres Strait Islander leadership. The aim of the Campaign is to achieve Aboriginal and Torres Strait Islander</w:t>
      </w:r>
      <w:r w:rsidRPr="00561499" w:rsidDel="00ED5998">
        <w:t xml:space="preserve"> </w:t>
      </w:r>
      <w:r w:rsidRPr="00561499">
        <w:t xml:space="preserve">health equality (as measured by life expectancy equality) by 2030. For the past decade, almost every national Aboriginal and Torres Strait Islander health and health professional peak body, and general population health and health professional peak body has participated as members of Campaign Steering Committee (see page </w:t>
      </w:r>
      <w:r w:rsidR="000730D7">
        <w:t>42</w:t>
      </w:r>
      <w:r w:rsidR="000D1192">
        <w:t>).</w:t>
      </w:r>
    </w:p>
    <w:p w14:paraId="1F91C751" w14:textId="3698201B" w:rsidR="008C4FB0" w:rsidRDefault="008C4FB0">
      <w:pPr>
        <w:keepLines w:val="0"/>
        <w:widowControl/>
        <w:spacing w:after="0" w:line="240" w:lineRule="auto"/>
      </w:pPr>
      <w:r>
        <w:br w:type="page"/>
      </w:r>
    </w:p>
    <w:p w14:paraId="05146FB3" w14:textId="77777777" w:rsidR="008C4FB0" w:rsidRPr="003D07C5" w:rsidRDefault="008C4FB0" w:rsidP="003D07C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27" w:type="dxa"/>
          <w:left w:w="227" w:type="dxa"/>
          <w:bottom w:w="227" w:type="dxa"/>
          <w:right w:w="227" w:type="dxa"/>
        </w:tblCellMar>
        <w:tblLook w:val="04A0" w:firstRow="1" w:lastRow="0" w:firstColumn="1" w:lastColumn="0" w:noHBand="0" w:noVBand="1"/>
      </w:tblPr>
      <w:tblGrid>
        <w:gridCol w:w="9286"/>
      </w:tblGrid>
      <w:tr w:rsidR="00D954AF" w:rsidRPr="00F82562" w14:paraId="7C3B02D3" w14:textId="77777777" w:rsidTr="0025143E">
        <w:tc>
          <w:tcPr>
            <w:tcW w:w="9286" w:type="dxa"/>
            <w:shd w:val="clear" w:color="auto" w:fill="F2F2F2" w:themeFill="background1" w:themeFillShade="F2"/>
          </w:tcPr>
          <w:p w14:paraId="5E376A3B" w14:textId="77777777" w:rsidR="00D954AF" w:rsidRDefault="00D954AF" w:rsidP="00D954AF">
            <w:pPr>
              <w:pStyle w:val="PullQuote"/>
            </w:pPr>
            <w:r>
              <w:t>‘The usual lag that occurs after the implementation of any major program or policy means that we should expect to see some meaningful changes to the health outcomes of our people after a few more years of sustained effort and investment.’</w:t>
            </w:r>
          </w:p>
          <w:p w14:paraId="19195768" w14:textId="383EF4DF" w:rsidR="00D954AF" w:rsidRPr="003D07C5" w:rsidRDefault="00D954AF" w:rsidP="003D07C5">
            <w:pPr>
              <w:pStyle w:val="PullQuoteCredit"/>
              <w:rPr>
                <w:rStyle w:val="Strong"/>
                <w:b/>
              </w:rPr>
            </w:pPr>
            <w:r w:rsidRPr="003D07C5">
              <w:rPr>
                <w:rStyle w:val="Strong"/>
                <w:b/>
              </w:rPr>
              <w:t>Dr Jackie Huggins, Close the Gap Campaign Co-Chair and National Congress of Australia’s First Peoples Co-Chair</w:t>
            </w:r>
          </w:p>
        </w:tc>
      </w:tr>
    </w:tbl>
    <w:p w14:paraId="7C0DC8DE" w14:textId="77777777" w:rsidR="008C4FB0" w:rsidRDefault="008C4FB0" w:rsidP="004267E7"/>
    <w:p w14:paraId="170B7135" w14:textId="209374F0" w:rsidR="00221769" w:rsidRPr="00561499" w:rsidRDefault="00221769" w:rsidP="001116C1">
      <w:pPr>
        <w:ind w:right="74"/>
      </w:pPr>
      <w:r w:rsidRPr="00561499">
        <w:t xml:space="preserve">Further, the Close the Gap Campaign has enjoyed bipartisan government support at </w:t>
      </w:r>
      <w:r w:rsidR="006C74D3" w:rsidRPr="00561499">
        <w:t>Commonwealth, state and t</w:t>
      </w:r>
      <w:r w:rsidRPr="00561499">
        <w:t xml:space="preserve">erritory levels. First by the 2008 </w:t>
      </w:r>
      <w:r w:rsidR="00194022" w:rsidRPr="00561499">
        <w:t xml:space="preserve">commitment </w:t>
      </w:r>
      <w:r w:rsidRPr="00561499">
        <w:t xml:space="preserve">by a majority of jurisdictions of the </w:t>
      </w:r>
      <w:r w:rsidRPr="000D1192">
        <w:rPr>
          <w:rStyle w:val="Emphasis"/>
        </w:rPr>
        <w:t>Close the Gap Statement of Intent</w:t>
      </w:r>
      <w:r w:rsidRPr="00561499">
        <w:t xml:space="preserve">; and second by the ensuing national commitment </w:t>
      </w:r>
      <w:r w:rsidR="00194022" w:rsidRPr="00561499">
        <w:t xml:space="preserve">by all Australian Governments through </w:t>
      </w:r>
      <w:proofErr w:type="spellStart"/>
      <w:r w:rsidR="00194022" w:rsidRPr="00561499">
        <w:t>COAG</w:t>
      </w:r>
      <w:proofErr w:type="spellEnd"/>
      <w:r w:rsidR="00194022" w:rsidRPr="00561499">
        <w:t xml:space="preserve"> </w:t>
      </w:r>
      <w:r w:rsidRPr="00561499">
        <w:t>to achieving Aboriginal and Torres Strait Islander</w:t>
      </w:r>
      <w:r w:rsidRPr="00561499" w:rsidDel="00ED5998">
        <w:t xml:space="preserve"> </w:t>
      </w:r>
      <w:r w:rsidRPr="00561499">
        <w:t xml:space="preserve">life expectancy equality by 2030 in the </w:t>
      </w:r>
      <w:proofErr w:type="spellStart"/>
      <w:r w:rsidRPr="00561499">
        <w:t>COAG</w:t>
      </w:r>
      <w:proofErr w:type="spellEnd"/>
      <w:r w:rsidRPr="00561499">
        <w:t xml:space="preserve"> </w:t>
      </w:r>
      <w:r w:rsidRPr="00561499">
        <w:rPr>
          <w:i/>
        </w:rPr>
        <w:t>Closing the Gap Strategy</w:t>
      </w:r>
      <w:r w:rsidRPr="00561499">
        <w:t xml:space="preserve"> that became operational in July 2009</w:t>
      </w:r>
      <w:r w:rsidRPr="00561499">
        <w:rPr>
          <w:i/>
        </w:rPr>
        <w:t>.</w:t>
      </w:r>
    </w:p>
    <w:p w14:paraId="5EB35EB6" w14:textId="35D56F41" w:rsidR="00221769" w:rsidRPr="00561499" w:rsidRDefault="00221769" w:rsidP="00F659F8">
      <w:pPr>
        <w:ind w:right="74"/>
      </w:pPr>
      <w:r w:rsidRPr="00561499">
        <w:t xml:space="preserve">As reported in the 2015 </w:t>
      </w:r>
      <w:r w:rsidRPr="000D1192">
        <w:rPr>
          <w:rStyle w:val="Emphasis"/>
        </w:rPr>
        <w:t xml:space="preserve">Progress and </w:t>
      </w:r>
      <w:r w:rsidR="006C74D3" w:rsidRPr="000D1192">
        <w:rPr>
          <w:rStyle w:val="Emphasis"/>
        </w:rPr>
        <w:t>P</w:t>
      </w:r>
      <w:r w:rsidRPr="000D1192">
        <w:rPr>
          <w:rStyle w:val="Emphasis"/>
        </w:rPr>
        <w:t>riorities Report</w:t>
      </w:r>
      <w:r w:rsidRPr="00561499">
        <w:t>, there is still tremendous effort and resources needed if Aboriginal and Torres Strait Islander</w:t>
      </w:r>
      <w:r w:rsidRPr="00561499" w:rsidDel="00ED5998">
        <w:t xml:space="preserve"> </w:t>
      </w:r>
      <w:r w:rsidRPr="00561499">
        <w:t>life expectancy equality is to be achieved by 2030. As this and previous reports detail, progress against this headline indicator of population health has been</w:t>
      </w:r>
      <w:r w:rsidR="004E60BD" w:rsidRPr="00561499">
        <w:t xml:space="preserve"> difficult to measure but appears to have been</w:t>
      </w:r>
      <w:r w:rsidRPr="00561499">
        <w:t xml:space="preserve"> </w:t>
      </w:r>
      <w:r w:rsidR="005359D3" w:rsidRPr="00561499">
        <w:t>minimal</w:t>
      </w:r>
      <w:r w:rsidRPr="00561499">
        <w:t>. While there</w:t>
      </w:r>
      <w:r w:rsidR="006C74D3" w:rsidRPr="00561499">
        <w:t xml:space="preserve"> is</w:t>
      </w:r>
      <w:r w:rsidRPr="00561499">
        <w:t xml:space="preserve"> </w:t>
      </w:r>
      <w:r w:rsidR="003C3D2C" w:rsidRPr="00561499">
        <w:t xml:space="preserve">some </w:t>
      </w:r>
      <w:r w:rsidRPr="00561499">
        <w:t>good news to report, improvements are yet to be reported at this high level. Both absolute and relative gains are needed in future years.</w:t>
      </w:r>
    </w:p>
    <w:p w14:paraId="598D97A9" w14:textId="4BC42928" w:rsidR="00221769" w:rsidRPr="00561499" w:rsidRDefault="00221769" w:rsidP="00781F46">
      <w:pPr>
        <w:pStyle w:val="BodyText"/>
        <w:spacing w:after="0"/>
      </w:pPr>
      <w:r w:rsidRPr="00561499">
        <w:t xml:space="preserve">For those who are troubled by the slow pace of change, the Close the Gap Campaign counsels against the </w:t>
      </w:r>
      <w:r w:rsidR="00C50EAB">
        <w:t>perception</w:t>
      </w:r>
      <w:r w:rsidRPr="00561499">
        <w:t xml:space="preserve"> that the C</w:t>
      </w:r>
      <w:r w:rsidRPr="00561499">
        <w:rPr>
          <w:i/>
        </w:rPr>
        <w:t>losing the Gap Strategy</w:t>
      </w:r>
      <w:r w:rsidRPr="00561499">
        <w:t xml:space="preserve"> is </w:t>
      </w:r>
      <w:r w:rsidR="003F6141">
        <w:t>ineffective</w:t>
      </w:r>
      <w:r w:rsidR="003C3D2C" w:rsidRPr="00561499">
        <w:t>.</w:t>
      </w:r>
      <w:r w:rsidRPr="00561499">
        <w:t xml:space="preserve"> In fact, the 2010–2012 life expectancy estimate should be considered </w:t>
      </w:r>
      <w:r w:rsidR="00194022" w:rsidRPr="00561499">
        <w:t xml:space="preserve">as </w:t>
      </w:r>
      <w:r w:rsidRPr="00561499">
        <w:t>the July 2009 Aboriginal and Torres Strait Islander</w:t>
      </w:r>
      <w:r w:rsidRPr="00561499" w:rsidDel="00ED5998">
        <w:t xml:space="preserve"> </w:t>
      </w:r>
      <w:r w:rsidRPr="00561499">
        <w:t>life expectancy baseline</w:t>
      </w:r>
      <w:r w:rsidR="001F72B7" w:rsidRPr="00561499">
        <w:t>—</w:t>
      </w:r>
      <w:r w:rsidRPr="00561499">
        <w:t xml:space="preserve">the situation </w:t>
      </w:r>
      <w:r w:rsidRPr="00FC33A6">
        <w:rPr>
          <w:rStyle w:val="Emphasis"/>
        </w:rPr>
        <w:t>before</w:t>
      </w:r>
      <w:r w:rsidRPr="00561499">
        <w:rPr>
          <w:i/>
        </w:rPr>
        <w:t xml:space="preserve"> </w:t>
      </w:r>
      <w:r w:rsidRPr="00561499">
        <w:t xml:space="preserve">the July 2009 commencement of the </w:t>
      </w:r>
      <w:r w:rsidRPr="009A3ED3">
        <w:rPr>
          <w:rStyle w:val="Emphasis"/>
        </w:rPr>
        <w:t>Closing the Gap Strategy</w:t>
      </w:r>
      <w:r w:rsidR="001F72B7" w:rsidRPr="00561499">
        <w:t>—</w:t>
      </w:r>
      <w:r w:rsidRPr="00561499">
        <w:t>against which f</w:t>
      </w:r>
      <w:r w:rsidR="00FC33A6">
        <w:t>uture progress can be measured.</w:t>
      </w:r>
    </w:p>
    <w:p w14:paraId="288466B7" w14:textId="21B1A9AE" w:rsidR="00221769" w:rsidRPr="00561499" w:rsidRDefault="00221769" w:rsidP="00F659F8">
      <w:r w:rsidRPr="00561499">
        <w:t xml:space="preserve">Because of the lead times between the design and roll out of programs, and for improvements to be measured, </w:t>
      </w:r>
      <w:proofErr w:type="spellStart"/>
      <w:r w:rsidRPr="00561499">
        <w:t>analysed</w:t>
      </w:r>
      <w:proofErr w:type="spellEnd"/>
      <w:r w:rsidRPr="00561499">
        <w:t xml:space="preserve"> and reported, the Campaign </w:t>
      </w:r>
      <w:r w:rsidR="00505FB9" w:rsidRPr="00561499">
        <w:t xml:space="preserve">Steering Committee </w:t>
      </w:r>
      <w:r w:rsidRPr="00561499">
        <w:t>counsels that improvements to Aboriginal and Torres Strait Islander</w:t>
      </w:r>
      <w:r w:rsidRPr="00561499" w:rsidDel="00ED5998">
        <w:t xml:space="preserve"> </w:t>
      </w:r>
      <w:r w:rsidRPr="00561499">
        <w:t xml:space="preserve">life expectancy should not be expected </w:t>
      </w:r>
      <w:r w:rsidR="004E60BD" w:rsidRPr="00561499">
        <w:t xml:space="preserve">to be measurable </w:t>
      </w:r>
      <w:r w:rsidR="00FC33A6">
        <w:t>until at least 2018.</w:t>
      </w:r>
    </w:p>
    <w:p w14:paraId="19726138" w14:textId="714AA397" w:rsidR="00221769" w:rsidRDefault="00221769" w:rsidP="00ED38EA">
      <w:r w:rsidRPr="00561499">
        <w:t>Nonetheless, there are reasons for optimism, particularly in terms of health inputs</w:t>
      </w:r>
      <w:r w:rsidR="004E60BD" w:rsidRPr="00561499">
        <w:t xml:space="preserve"> including</w:t>
      </w:r>
      <w:r w:rsidRPr="00561499">
        <w:t xml:space="preserve"> the significant increases to the number of health checks being reported, and the increased access to </w:t>
      </w:r>
      <w:r w:rsidR="007020EE" w:rsidRPr="00561499">
        <w:t>medicines</w:t>
      </w:r>
      <w:r w:rsidRPr="00561499">
        <w:t>. And there are improvements in infant and child health outcomes that bode well for the health of the future adult population.</w:t>
      </w:r>
    </w:p>
    <w:p w14:paraId="7A53B456" w14:textId="621CFBB1" w:rsidR="003D07C5" w:rsidRPr="003D07C5" w:rsidRDefault="00221769" w:rsidP="004267E7">
      <w:pPr>
        <w:spacing w:after="400"/>
      </w:pPr>
      <w:r w:rsidRPr="00561499">
        <w:lastRenderedPageBreak/>
        <w:t xml:space="preserve">But whatever cautious optimism the Campaign Steering Committee might have, the ten-year anniversary of the Close the Gap Campaign in 2016 is not a time to rest. In particular, the 2015 launch of the </w:t>
      </w:r>
      <w:r w:rsidR="00C670E5" w:rsidRPr="009A3ED3">
        <w:rPr>
          <w:rStyle w:val="Emphasis"/>
        </w:rPr>
        <w:t xml:space="preserve">Implementation Plan </w:t>
      </w:r>
      <w:r w:rsidR="00C670E5">
        <w:rPr>
          <w:rStyle w:val="Emphasis"/>
        </w:rPr>
        <w:t xml:space="preserve">for the </w:t>
      </w:r>
      <w:r w:rsidRPr="009A3ED3">
        <w:rPr>
          <w:rStyle w:val="Emphasis"/>
        </w:rPr>
        <w:t>National Aboriginal and Torres Strait Islander Health Plan (2013–2023)</w:t>
      </w:r>
      <w:r w:rsidR="006C74D3" w:rsidRPr="00561499">
        <w:rPr>
          <w:i/>
        </w:rPr>
        <w:t xml:space="preserve"> </w:t>
      </w:r>
      <w:r w:rsidR="006C74D3" w:rsidRPr="00561499">
        <w:t>(Implementation Plan)</w:t>
      </w:r>
      <w:r w:rsidRPr="00561499">
        <w:t xml:space="preserve"> should reinvigorate and refocus efforts to close the health gap, including through the</w:t>
      </w:r>
      <w:r w:rsidR="006C74D3" w:rsidRPr="00561499">
        <w:t xml:space="preserve"> Implementation</w:t>
      </w:r>
      <w:r w:rsidRPr="00561499">
        <w:t xml:space="preserve"> Plan’s attention on identifying</w:t>
      </w:r>
      <w:r w:rsidR="004E60BD" w:rsidRPr="00561499">
        <w:t xml:space="preserve"> core</w:t>
      </w:r>
      <w:r w:rsidRPr="00561499">
        <w:t xml:space="preserve"> service</w:t>
      </w:r>
      <w:r w:rsidR="004E60BD" w:rsidRPr="00561499">
        <w:t xml:space="preserve"> models and service</w:t>
      </w:r>
      <w:r w:rsidRPr="00561499">
        <w:t xml:space="preserve"> gaps, </w:t>
      </w:r>
      <w:r w:rsidR="004E60BD" w:rsidRPr="00561499">
        <w:t>workforce requirements and funding mechanisms</w:t>
      </w:r>
      <w:r w:rsidR="00A91A09" w:rsidRPr="00561499">
        <w:t>,</w:t>
      </w:r>
      <w:r w:rsidR="004E60BD" w:rsidRPr="00561499">
        <w:t xml:space="preserve"> </w:t>
      </w:r>
      <w:r w:rsidRPr="00561499">
        <w:t>reducing racism and on the importance of cultu</w:t>
      </w:r>
      <w:r w:rsidR="008B4300">
        <w:t>re to improved health outcomes.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227" w:type="dxa"/>
          <w:bottom w:w="227" w:type="dxa"/>
          <w:right w:w="227" w:type="dxa"/>
        </w:tblCellMar>
        <w:tblLook w:val="04A0" w:firstRow="1" w:lastRow="0" w:firstColumn="1" w:lastColumn="0" w:noHBand="0" w:noVBand="1"/>
      </w:tblPr>
      <w:tblGrid>
        <w:gridCol w:w="9286"/>
      </w:tblGrid>
      <w:tr w:rsidR="003D07C5" w:rsidRPr="00F82562" w14:paraId="58D1D19B" w14:textId="77777777" w:rsidTr="0025143E">
        <w:tc>
          <w:tcPr>
            <w:tcW w:w="9286" w:type="dxa"/>
            <w:shd w:val="clear" w:color="auto" w:fill="F2F2F2" w:themeFill="background1" w:themeFillShade="F2"/>
          </w:tcPr>
          <w:p w14:paraId="6B167D4D" w14:textId="4F90E2F3" w:rsidR="003D07C5" w:rsidRPr="00A25155" w:rsidRDefault="003D07C5" w:rsidP="003D07C5">
            <w:pPr>
              <w:pStyle w:val="PullQuote"/>
              <w:spacing w:before="200"/>
              <w:rPr>
                <w:rStyle w:val="Strong"/>
                <w:b w:val="0"/>
                <w:bCs w:val="0"/>
              </w:rPr>
            </w:pPr>
            <w:r w:rsidRPr="003D07C5">
              <w:t>We can and want to be the generation that closes the gap but we must stay the course and keep our attention and resources focused on this goal. The health gap has rightfully been described as a stain on our nation, and this generation has the opportunity and responsibility to remove it.</w:t>
            </w:r>
          </w:p>
        </w:tc>
      </w:tr>
    </w:tbl>
    <w:p w14:paraId="1F3CCB65" w14:textId="77777777" w:rsidR="003D07C5" w:rsidRDefault="003D07C5" w:rsidP="004267E7"/>
    <w:p w14:paraId="5ED30C26" w14:textId="1DB01CB1" w:rsidR="00221769" w:rsidRPr="00561499" w:rsidRDefault="00A91A09" w:rsidP="00FA20B4">
      <w:pPr>
        <w:spacing w:before="240" w:after="240"/>
        <w:ind w:right="74"/>
      </w:pPr>
      <w:r w:rsidRPr="00561499">
        <w:t xml:space="preserve">This year, </w:t>
      </w:r>
      <w:r w:rsidR="00221769" w:rsidRPr="00561499">
        <w:t>the Australian Government</w:t>
      </w:r>
      <w:r w:rsidRPr="00561499">
        <w:t xml:space="preserve"> must</w:t>
      </w:r>
      <w:r w:rsidR="00221769" w:rsidRPr="00561499">
        <w:t xml:space="preserve"> </w:t>
      </w:r>
      <w:r w:rsidR="00AD77FC" w:rsidRPr="00561499">
        <w:t>provide appropriate funding for</w:t>
      </w:r>
      <w:r w:rsidR="00E34D5F" w:rsidRPr="00561499">
        <w:t xml:space="preserve"> the</w:t>
      </w:r>
      <w:r w:rsidR="00221769" w:rsidRPr="00561499">
        <w:t xml:space="preserve"> Implementation Plan in the 2016 Federal Budget</w:t>
      </w:r>
      <w:r w:rsidR="00E34D5F" w:rsidRPr="00561499">
        <w:t xml:space="preserve">. </w:t>
      </w:r>
      <w:r w:rsidR="00C670E5">
        <w:t>Specifically, t</w:t>
      </w:r>
      <w:r w:rsidR="00E34D5F" w:rsidRPr="00561499">
        <w:t>here needs to be</w:t>
      </w:r>
      <w:r w:rsidR="00221769" w:rsidRPr="00561499">
        <w:t xml:space="preserve"> an overall increase in resources directed towards Aboriginal and </w:t>
      </w:r>
      <w:r w:rsidR="001F72B7" w:rsidRPr="00561499">
        <w:t>Torres Strait Islander health—</w:t>
      </w:r>
      <w:r w:rsidR="00221769" w:rsidRPr="00561499">
        <w:t>in proportion to population size</w:t>
      </w:r>
      <w:r w:rsidR="0028720C" w:rsidRPr="00561499">
        <w:t>, service</w:t>
      </w:r>
      <w:r w:rsidR="00221769" w:rsidRPr="00561499">
        <w:t xml:space="preserve"> need</w:t>
      </w:r>
      <w:r w:rsidR="0028720C" w:rsidRPr="00561499">
        <w:t xml:space="preserve"> and demand</w:t>
      </w:r>
      <w:r w:rsidR="00221769" w:rsidRPr="00561499">
        <w:t xml:space="preserve">. This is critical given the </w:t>
      </w:r>
      <w:r w:rsidR="00221769" w:rsidRPr="009A3ED3">
        <w:rPr>
          <w:rStyle w:val="Emphasis"/>
        </w:rPr>
        <w:t>National Partnership Agreement on Closing the Gap in Indigenous Health Outcomes</w:t>
      </w:r>
      <w:r w:rsidR="00221769" w:rsidRPr="00561499">
        <w:t xml:space="preserve"> expired in 2014 and funding under that agreement discontinued.</w:t>
      </w:r>
    </w:p>
    <w:p w14:paraId="6185FA39" w14:textId="48653D12" w:rsidR="00221769" w:rsidRPr="00561499" w:rsidRDefault="00221769" w:rsidP="00040CF1">
      <w:pPr>
        <w:spacing w:before="240" w:after="240"/>
        <w:ind w:right="74"/>
      </w:pPr>
      <w:r w:rsidRPr="00561499">
        <w:t xml:space="preserve">The Campaign </w:t>
      </w:r>
      <w:r w:rsidR="00907575" w:rsidRPr="00561499">
        <w:t xml:space="preserve">Steering Committee </w:t>
      </w:r>
      <w:r w:rsidRPr="00561499">
        <w:t xml:space="preserve">also believes it is critical that there is clear nationally coordinated action that is agreed </w:t>
      </w:r>
      <w:r w:rsidR="00A91A09" w:rsidRPr="00561499">
        <w:t xml:space="preserve">to </w:t>
      </w:r>
      <w:r w:rsidR="00A55729" w:rsidRPr="00561499">
        <w:t>by all</w:t>
      </w:r>
      <w:r w:rsidRPr="00561499">
        <w:t xml:space="preserve"> levels of </w:t>
      </w:r>
      <w:r w:rsidR="004D10E4">
        <w:t>government to drive efforts to close</w:t>
      </w:r>
      <w:r w:rsidRPr="00561499">
        <w:t xml:space="preserve"> the health gap. This should include </w:t>
      </w:r>
      <w:r w:rsidR="00DD523B">
        <w:t>actions</w:t>
      </w:r>
      <w:r w:rsidRPr="00561499">
        <w:t xml:space="preserve"> taken under the </w:t>
      </w:r>
      <w:r w:rsidR="00A8646A" w:rsidRPr="008B4300">
        <w:rPr>
          <w:rStyle w:val="Emphasis"/>
          <w:i w:val="0"/>
        </w:rPr>
        <w:t>Implementation Plan</w:t>
      </w:r>
      <w:r w:rsidRPr="00561499">
        <w:t xml:space="preserve"> and the planning efforts of the Primary Health Networks (</w:t>
      </w:r>
      <w:proofErr w:type="spellStart"/>
      <w:r w:rsidRPr="00561499">
        <w:t>PHNs</w:t>
      </w:r>
      <w:proofErr w:type="spellEnd"/>
      <w:r w:rsidRPr="00561499">
        <w:t>) that began operation in July 2015.</w:t>
      </w:r>
      <w:r w:rsidR="00684000" w:rsidRPr="00561499">
        <w:t xml:space="preserve"> Both the </w:t>
      </w:r>
      <w:proofErr w:type="spellStart"/>
      <w:r w:rsidR="00684000" w:rsidRPr="00561499">
        <w:t>PHNs</w:t>
      </w:r>
      <w:proofErr w:type="spellEnd"/>
      <w:r w:rsidR="00684000" w:rsidRPr="00561499">
        <w:t xml:space="preserve"> and the </w:t>
      </w:r>
      <w:r w:rsidR="00684000" w:rsidRPr="00A8646A">
        <w:rPr>
          <w:rStyle w:val="Emphasis"/>
          <w:i w:val="0"/>
        </w:rPr>
        <w:t>Implementation Plan</w:t>
      </w:r>
      <w:r w:rsidR="00684000" w:rsidRPr="00561499">
        <w:t xml:space="preserve"> should support the Campaign’s prefer</w:t>
      </w:r>
      <w:r w:rsidR="001F72B7" w:rsidRPr="00561499">
        <w:t>red model for health services—</w:t>
      </w:r>
      <w:r w:rsidR="00684000" w:rsidRPr="00561499">
        <w:t>Aboriginal Community Controlled Health</w:t>
      </w:r>
      <w:r w:rsidR="00651E23" w:rsidRPr="00561499">
        <w:t xml:space="preserve"> </w:t>
      </w:r>
      <w:proofErr w:type="spellStart"/>
      <w:r w:rsidR="00651E23" w:rsidRPr="00561499">
        <w:t>Organisations</w:t>
      </w:r>
      <w:proofErr w:type="spellEnd"/>
      <w:r w:rsidR="00651E23" w:rsidRPr="00561499">
        <w:t>.</w:t>
      </w:r>
      <w:r w:rsidR="00684000" w:rsidRPr="00561499">
        <w:t xml:space="preserve"> </w:t>
      </w:r>
      <w:r w:rsidRPr="00561499">
        <w:t xml:space="preserve">The Campaign </w:t>
      </w:r>
      <w:r w:rsidR="00843FAD" w:rsidRPr="00561499">
        <w:t xml:space="preserve">Steering Committee </w:t>
      </w:r>
      <w:r w:rsidRPr="00561499">
        <w:t xml:space="preserve">will monitor the effectiveness of </w:t>
      </w:r>
      <w:proofErr w:type="spellStart"/>
      <w:r w:rsidRPr="00561499">
        <w:t>PHNs</w:t>
      </w:r>
      <w:proofErr w:type="spellEnd"/>
      <w:r w:rsidR="00651E23" w:rsidRPr="00561499">
        <w:t>, and the progress of work under the</w:t>
      </w:r>
      <w:r w:rsidR="00651E23" w:rsidRPr="00561499">
        <w:rPr>
          <w:i/>
        </w:rPr>
        <w:t xml:space="preserve"> </w:t>
      </w:r>
      <w:r w:rsidR="00651E23" w:rsidRPr="00561499">
        <w:t>Implementation Plan</w:t>
      </w:r>
      <w:r w:rsidRPr="00561499">
        <w:t xml:space="preserve"> in these areas in 2016</w:t>
      </w:r>
      <w:r w:rsidR="00E96105">
        <w:t>.</w:t>
      </w:r>
    </w:p>
    <w:p w14:paraId="6BDD568A" w14:textId="7F54E38F" w:rsidR="001A29C4" w:rsidRPr="00561499" w:rsidRDefault="00E34D5F" w:rsidP="00040CF1">
      <w:pPr>
        <w:spacing w:before="240" w:after="240"/>
        <w:ind w:right="74"/>
      </w:pPr>
      <w:r w:rsidRPr="00561499">
        <w:t xml:space="preserve">Another area of concern for the Campaign Steering Committee is the impact of the </w:t>
      </w:r>
      <w:r w:rsidRPr="00561499">
        <w:rPr>
          <w:i/>
        </w:rPr>
        <w:t>Indigenous Advancement Strategy</w:t>
      </w:r>
      <w:r w:rsidRPr="00561499">
        <w:t xml:space="preserve"> (</w:t>
      </w:r>
      <w:proofErr w:type="spellStart"/>
      <w:r w:rsidRPr="00561499">
        <w:t>IAS</w:t>
      </w:r>
      <w:proofErr w:type="spellEnd"/>
      <w:r w:rsidRPr="00561499">
        <w:t xml:space="preserve">) on the </w:t>
      </w:r>
      <w:r w:rsidR="00050FD5">
        <w:t xml:space="preserve">social determinants of health. </w:t>
      </w:r>
      <w:r w:rsidRPr="00561499">
        <w:t xml:space="preserve">The Campaign Steering Committee believes that the </w:t>
      </w:r>
      <w:proofErr w:type="spellStart"/>
      <w:r w:rsidRPr="00561499">
        <w:t>IAS</w:t>
      </w:r>
      <w:proofErr w:type="spellEnd"/>
      <w:r w:rsidRPr="00561499">
        <w:t xml:space="preserve"> </w:t>
      </w:r>
      <w:r w:rsidR="001A29C4" w:rsidRPr="00561499">
        <w:t>should be nationally coordinated along with state and territor</w:t>
      </w:r>
      <w:r w:rsidR="002B10F4" w:rsidRPr="00561499">
        <w:t>y governments</w:t>
      </w:r>
      <w:r w:rsidR="001A29C4" w:rsidRPr="00561499">
        <w:t xml:space="preserve">, and demonstrate how it will contribute to </w:t>
      </w:r>
      <w:r w:rsidR="00651E23" w:rsidRPr="00561499">
        <w:t>achieving the</w:t>
      </w:r>
      <w:r w:rsidR="001A29C4" w:rsidRPr="00561499">
        <w:t xml:space="preserve"> close the gap targets</w:t>
      </w:r>
      <w:r w:rsidR="00651E23" w:rsidRPr="00561499">
        <w:t>.</w:t>
      </w:r>
    </w:p>
    <w:p w14:paraId="35B05C2F" w14:textId="4473CECA" w:rsidR="00221769" w:rsidRPr="00561499" w:rsidRDefault="00221769" w:rsidP="00BF16F7">
      <w:r w:rsidRPr="00561499">
        <w:lastRenderedPageBreak/>
        <w:t>As the Campaign readies to mark its tenth anniversary in 2016, Australians are</w:t>
      </w:r>
      <w:r w:rsidR="008D4079" w:rsidRPr="00561499">
        <w:t>,</w:t>
      </w:r>
      <w:r w:rsidRPr="00561499">
        <w:t xml:space="preserve"> in ever increasing numbers</w:t>
      </w:r>
      <w:r w:rsidR="008D4079" w:rsidRPr="00561499">
        <w:t>,</w:t>
      </w:r>
      <w:r w:rsidRPr="00561499">
        <w:t xml:space="preserve"> demanding decisive action to support achieving Aboriginal and Torres Strait Islander health equality by 2030. In 2015, the </w:t>
      </w:r>
      <w:proofErr w:type="spellStart"/>
      <w:r w:rsidRPr="00561499">
        <w:t>200,000th</w:t>
      </w:r>
      <w:proofErr w:type="spellEnd"/>
      <w:r w:rsidRPr="00561499">
        <w:t xml:space="preserve"> Australian signed the ‘Close the Gap’ pledge. In</w:t>
      </w:r>
      <w:r w:rsidR="007C5447" w:rsidRPr="00561499">
        <w:t> </w:t>
      </w:r>
      <w:r w:rsidRPr="00561499">
        <w:t>2015, nearly 1600 community events across the country involving over 150,000 Australians marked</w:t>
      </w:r>
      <w:r w:rsidR="008B4300">
        <w:t xml:space="preserve"> the National Close the Gap Day.</w:t>
      </w:r>
      <w:r w:rsidRPr="00561499">
        <w:t xml:space="preserve"> </w:t>
      </w:r>
      <w:r w:rsidR="008B4300">
        <w:t>I</w:t>
      </w:r>
      <w:r w:rsidRPr="00561499">
        <w:t>t’s clear that this generation of Australians want to see their government</w:t>
      </w:r>
      <w:r w:rsidR="00907575" w:rsidRPr="00561499">
        <w:t>s make good</w:t>
      </w:r>
      <w:r w:rsidRPr="00561499">
        <w:t xml:space="preserve"> on the commitments made in 2008.</w:t>
      </w:r>
    </w:p>
    <w:p w14:paraId="72E43E4C" w14:textId="4724CC91" w:rsidR="00221769" w:rsidRDefault="00221769">
      <w:pPr>
        <w:rPr>
          <w:rFonts w:cs="Arial"/>
        </w:rPr>
      </w:pPr>
      <w:r w:rsidRPr="00561499">
        <w:rPr>
          <w:rFonts w:cs="Arial"/>
        </w:rPr>
        <w:t>The message from the Close the Gap Campaign is clear. Aboriginal and Torres Strait Islander health inequality is an issue of growing national concern. We can and want to be the generation that closes the gap but we must stay the course and keep our attention and resources focused on this goal. The health gap has rightfully been described as a stain on our nation, and this generation has the opportunity and responsibility to remove it.</w:t>
      </w:r>
    </w:p>
    <w:p w14:paraId="69C8B29C" w14:textId="77777777" w:rsidR="008C4FB0" w:rsidRPr="00561499" w:rsidRDefault="008C4FB0">
      <w:pPr>
        <w:rPr>
          <w:rFonts w:cs="Arial"/>
        </w:rPr>
      </w:pPr>
    </w:p>
    <w:tbl>
      <w:tblPr>
        <w:tblW w:w="9450" w:type="dxa"/>
        <w:tblInd w:w="-72" w:type="dxa"/>
        <w:tblBorders>
          <w:top w:val="single" w:sz="8" w:space="0" w:color="007DA7"/>
          <w:left w:val="single" w:sz="8" w:space="0" w:color="007DA7"/>
          <w:bottom w:val="single" w:sz="8" w:space="0" w:color="007DA7"/>
          <w:right w:val="single" w:sz="8" w:space="0" w:color="007DA7"/>
        </w:tblBorders>
        <w:tblCellMar>
          <w:top w:w="227" w:type="dxa"/>
          <w:left w:w="227" w:type="dxa"/>
          <w:bottom w:w="227" w:type="dxa"/>
          <w:right w:w="227" w:type="dxa"/>
        </w:tblCellMar>
        <w:tblLook w:val="04A0" w:firstRow="1" w:lastRow="0" w:firstColumn="1" w:lastColumn="0" w:noHBand="0" w:noVBand="1"/>
      </w:tblPr>
      <w:tblGrid>
        <w:gridCol w:w="9450"/>
      </w:tblGrid>
      <w:tr w:rsidR="00221769" w:rsidRPr="00561499" w14:paraId="4723E080" w14:textId="77777777" w:rsidTr="00F34FAD">
        <w:tc>
          <w:tcPr>
            <w:tcW w:w="9450" w:type="dxa"/>
            <w:shd w:val="clear" w:color="auto" w:fill="auto"/>
          </w:tcPr>
          <w:p w14:paraId="3936D2F6" w14:textId="77777777" w:rsidR="00221769" w:rsidRPr="00F34FAD" w:rsidRDefault="00221769" w:rsidP="008C4FB0">
            <w:pPr>
              <w:pStyle w:val="Heading1"/>
              <w:pageBreakBefore w:val="0"/>
              <w:spacing w:after="400"/>
            </w:pPr>
            <w:bookmarkStart w:id="3" w:name="_Toc315703397"/>
            <w:r w:rsidRPr="00F34FAD">
              <w:t>Recommendations</w:t>
            </w:r>
            <w:bookmarkEnd w:id="3"/>
          </w:p>
          <w:p w14:paraId="6CE24846" w14:textId="77777777" w:rsidR="00221769" w:rsidRPr="00F34FAD" w:rsidRDefault="00221769" w:rsidP="00155CF7">
            <w:pPr>
              <w:rPr>
                <w:b/>
                <w:color w:val="007DA7"/>
              </w:rPr>
            </w:pPr>
            <w:r w:rsidRPr="00F34FAD">
              <w:rPr>
                <w:b/>
                <w:color w:val="007DA7"/>
              </w:rPr>
              <w:t xml:space="preserve">2016 </w:t>
            </w:r>
            <w:r w:rsidR="00843FAD" w:rsidRPr="00F34FAD">
              <w:rPr>
                <w:b/>
                <w:color w:val="007DA7"/>
              </w:rPr>
              <w:t>F</w:t>
            </w:r>
            <w:r w:rsidRPr="00F34FAD">
              <w:rPr>
                <w:b/>
                <w:color w:val="007DA7"/>
              </w:rPr>
              <w:t xml:space="preserve">ederal </w:t>
            </w:r>
            <w:r w:rsidR="00843FAD" w:rsidRPr="00F34FAD">
              <w:rPr>
                <w:b/>
                <w:color w:val="007DA7"/>
              </w:rPr>
              <w:t>E</w:t>
            </w:r>
            <w:r w:rsidRPr="00F34FAD">
              <w:rPr>
                <w:b/>
                <w:color w:val="007DA7"/>
              </w:rPr>
              <w:t>lection</w:t>
            </w:r>
          </w:p>
          <w:p w14:paraId="3FFB929A" w14:textId="77777777" w:rsidR="00221769" w:rsidRPr="00561499" w:rsidRDefault="00221769" w:rsidP="00155CF7">
            <w:pPr>
              <w:spacing w:before="120"/>
              <w:rPr>
                <w:lang w:val="en-AU"/>
              </w:rPr>
            </w:pPr>
            <w:r w:rsidRPr="00561499">
              <w:rPr>
                <w:lang w:val="en-AU"/>
              </w:rPr>
              <w:t>That each political party prior to the 2016 Federal Election, commit to:</w:t>
            </w:r>
          </w:p>
          <w:p w14:paraId="3133EA73" w14:textId="50E0976E" w:rsidR="00221769" w:rsidRPr="00561499" w:rsidRDefault="00221769" w:rsidP="00155CF7">
            <w:pPr>
              <w:numPr>
                <w:ilvl w:val="0"/>
                <w:numId w:val="73"/>
              </w:numPr>
              <w:spacing w:before="120"/>
              <w:rPr>
                <w:lang w:val="en-AU"/>
              </w:rPr>
            </w:pPr>
            <w:r w:rsidRPr="00561499">
              <w:rPr>
                <w:lang w:val="en-AU"/>
              </w:rPr>
              <w:t xml:space="preserve">Make </w:t>
            </w:r>
            <w:r w:rsidRPr="00561499">
              <w:t>Aboriginal and Torres Strait Islander</w:t>
            </w:r>
            <w:r w:rsidRPr="00561499">
              <w:rPr>
                <w:lang w:val="en-AU"/>
              </w:rPr>
              <w:t xml:space="preserve"> health and wellbeing a major priority for their election policy platforms, and fund the </w:t>
            </w:r>
            <w:r w:rsidR="008B4300" w:rsidRPr="009A3ED3">
              <w:rPr>
                <w:rStyle w:val="Emphasis"/>
              </w:rPr>
              <w:t xml:space="preserve">Implementation Plan </w:t>
            </w:r>
            <w:r w:rsidR="008B4300">
              <w:rPr>
                <w:rStyle w:val="Emphasis"/>
              </w:rPr>
              <w:t xml:space="preserve">for the </w:t>
            </w:r>
            <w:r w:rsidRPr="00561499">
              <w:rPr>
                <w:i/>
              </w:rPr>
              <w:t>National Aboriginal and Torres</w:t>
            </w:r>
            <w:r w:rsidR="00D0466B" w:rsidRPr="00561499">
              <w:rPr>
                <w:i/>
              </w:rPr>
              <w:t xml:space="preserve"> Strait Islander</w:t>
            </w:r>
            <w:r w:rsidRPr="00561499">
              <w:rPr>
                <w:i/>
              </w:rPr>
              <w:t xml:space="preserve"> Health Plan </w:t>
            </w:r>
            <w:r w:rsidR="001C4966" w:rsidRPr="00561499">
              <w:rPr>
                <w:i/>
              </w:rPr>
              <w:t>(2013–</w:t>
            </w:r>
            <w:r w:rsidR="006C74D3" w:rsidRPr="00561499">
              <w:rPr>
                <w:i/>
              </w:rPr>
              <w:t>2023)</w:t>
            </w:r>
            <w:r w:rsidRPr="00561499">
              <w:t xml:space="preserve"> </w:t>
            </w:r>
            <w:r w:rsidRPr="00561499">
              <w:rPr>
                <w:lang w:val="en-AU"/>
              </w:rPr>
              <w:t>until it expires in 2023.</w:t>
            </w:r>
          </w:p>
          <w:p w14:paraId="2FB602B6" w14:textId="77777777" w:rsidR="00221769" w:rsidRPr="00561499" w:rsidRDefault="00221769" w:rsidP="00155CF7">
            <w:pPr>
              <w:numPr>
                <w:ilvl w:val="0"/>
                <w:numId w:val="73"/>
              </w:numPr>
              <w:spacing w:before="120"/>
              <w:rPr>
                <w:lang w:val="en-AU"/>
              </w:rPr>
            </w:pPr>
            <w:r w:rsidRPr="00561499">
              <w:t xml:space="preserve">An additional </w:t>
            </w:r>
            <w:proofErr w:type="spellStart"/>
            <w:r w:rsidRPr="00561499">
              <w:t>COAG</w:t>
            </w:r>
            <w:proofErr w:type="spellEnd"/>
            <w:r w:rsidRPr="00561499">
              <w:t xml:space="preserve"> Closing the Gap Target to reduce imprisonment rates and increase community safety.</w:t>
            </w:r>
          </w:p>
          <w:p w14:paraId="0E329FA9" w14:textId="26927604" w:rsidR="00EA2444" w:rsidRPr="00596C22" w:rsidRDefault="00EA2444" w:rsidP="0002062F">
            <w:pPr>
              <w:numPr>
                <w:ilvl w:val="0"/>
                <w:numId w:val="73"/>
              </w:numPr>
              <w:spacing w:before="120"/>
              <w:rPr>
                <w:lang w:val="en-AU"/>
              </w:rPr>
            </w:pPr>
            <w:r w:rsidRPr="00561499">
              <w:rPr>
                <w:lang w:val="en-AU"/>
              </w:rPr>
              <w:t xml:space="preserve">Working with </w:t>
            </w:r>
            <w:proofErr w:type="spellStart"/>
            <w:r w:rsidRPr="00561499">
              <w:rPr>
                <w:lang w:val="en-AU"/>
              </w:rPr>
              <w:t>COAG</w:t>
            </w:r>
            <w:proofErr w:type="spellEnd"/>
            <w:r w:rsidRPr="00561499">
              <w:rPr>
                <w:lang w:val="en-AU"/>
              </w:rPr>
              <w:t xml:space="preserve"> to introduce</w:t>
            </w:r>
            <w:r w:rsidR="002B10F4" w:rsidRPr="00561499">
              <w:rPr>
                <w:lang w:val="en-AU"/>
              </w:rPr>
              <w:t xml:space="preserve"> a target for Aboriginal and Torres Strait Islander people with disability as part of the Closing the Gap framework. The Australian Government should introduce this target in conjunction with the Disability Recommendations 11, 12, 14, 15 and 16 of the Aboriginal and Torres Strait Islander Soc</w:t>
            </w:r>
            <w:r w:rsidR="00E556E2">
              <w:rPr>
                <w:lang w:val="en-AU"/>
              </w:rPr>
              <w:t xml:space="preserve">ial Justice Commissioner’s </w:t>
            </w:r>
            <w:r w:rsidR="002B10F4" w:rsidRPr="00561499">
              <w:rPr>
                <w:i/>
                <w:lang w:val="en-AU"/>
              </w:rPr>
              <w:t>Social Justice and Native Title Report</w:t>
            </w:r>
            <w:r w:rsidR="00E556E2">
              <w:rPr>
                <w:i/>
                <w:lang w:val="en-AU"/>
              </w:rPr>
              <w:t xml:space="preserve"> 2015</w:t>
            </w:r>
            <w:r w:rsidR="002B10F4" w:rsidRPr="00561499">
              <w:rPr>
                <w:lang w:val="en-AU"/>
              </w:rPr>
              <w:t>.</w:t>
            </w:r>
          </w:p>
        </w:tc>
      </w:tr>
    </w:tbl>
    <w:p w14:paraId="5B59D4A1" w14:textId="77777777" w:rsidR="004267E7" w:rsidRDefault="004267E7" w:rsidP="004267E7"/>
    <w:p w14:paraId="3B536FEE" w14:textId="77777777" w:rsidR="00596C22" w:rsidRDefault="00596C22" w:rsidP="00596C22">
      <w:pPr>
        <w:rPr>
          <w:rFonts w:cs="Arial"/>
        </w:rPr>
      </w:pPr>
    </w:p>
    <w:p w14:paraId="7DAA00BC" w14:textId="77777777" w:rsidR="00596C22" w:rsidRPr="00561499" w:rsidRDefault="00596C22" w:rsidP="00596C22">
      <w:pPr>
        <w:rPr>
          <w:rFonts w:cs="Arial"/>
        </w:rPr>
      </w:pPr>
    </w:p>
    <w:tbl>
      <w:tblPr>
        <w:tblW w:w="9450" w:type="dxa"/>
        <w:tblInd w:w="-72" w:type="dxa"/>
        <w:tblBorders>
          <w:top w:val="single" w:sz="8" w:space="0" w:color="007DA7"/>
          <w:left w:val="single" w:sz="8" w:space="0" w:color="007DA7"/>
          <w:bottom w:val="single" w:sz="8" w:space="0" w:color="007DA7"/>
          <w:right w:val="single" w:sz="8" w:space="0" w:color="007DA7"/>
        </w:tblBorders>
        <w:tblCellMar>
          <w:top w:w="227" w:type="dxa"/>
          <w:left w:w="227" w:type="dxa"/>
          <w:bottom w:w="227" w:type="dxa"/>
          <w:right w:w="227" w:type="dxa"/>
        </w:tblCellMar>
        <w:tblLook w:val="04A0" w:firstRow="1" w:lastRow="0" w:firstColumn="1" w:lastColumn="0" w:noHBand="0" w:noVBand="1"/>
      </w:tblPr>
      <w:tblGrid>
        <w:gridCol w:w="9450"/>
      </w:tblGrid>
      <w:tr w:rsidR="00596C22" w:rsidRPr="00561499" w14:paraId="3983EE7B" w14:textId="77777777" w:rsidTr="00C8247F">
        <w:tc>
          <w:tcPr>
            <w:tcW w:w="9450" w:type="dxa"/>
            <w:shd w:val="clear" w:color="auto" w:fill="auto"/>
          </w:tcPr>
          <w:p w14:paraId="7DEB26F3" w14:textId="414245D1" w:rsidR="00596C22" w:rsidRPr="00596C22" w:rsidRDefault="00596C22" w:rsidP="00596C22">
            <w:pPr>
              <w:spacing w:after="600"/>
              <w:rPr>
                <w:rStyle w:val="Heading5Char"/>
                <w:b w:val="0"/>
                <w:color w:val="7F7F7F" w:themeColor="text1" w:themeTint="80"/>
              </w:rPr>
            </w:pPr>
            <w:r w:rsidRPr="00596C22">
              <w:rPr>
                <w:rStyle w:val="Heading5Char"/>
                <w:color w:val="7F7F7F" w:themeColor="text1" w:themeTint="80"/>
              </w:rPr>
              <w:lastRenderedPageBreak/>
              <w:t>Recommendations</w:t>
            </w:r>
            <w:r w:rsidRPr="00596C22">
              <w:rPr>
                <w:rStyle w:val="Heading5Char"/>
                <w:b w:val="0"/>
                <w:color w:val="7F7F7F" w:themeColor="text1" w:themeTint="80"/>
              </w:rPr>
              <w:t xml:space="preserve"> (continued)</w:t>
            </w:r>
          </w:p>
          <w:p w14:paraId="61A541DD" w14:textId="77777777" w:rsidR="00596C22" w:rsidRPr="00F34FAD" w:rsidRDefault="00596C22" w:rsidP="00596C22">
            <w:pPr>
              <w:rPr>
                <w:b/>
                <w:color w:val="007DA7"/>
              </w:rPr>
            </w:pPr>
            <w:r w:rsidRPr="0020077A">
              <w:rPr>
                <w:rStyle w:val="Heading5Char"/>
              </w:rPr>
              <w:t>Implementation Plan for the</w:t>
            </w:r>
            <w:r>
              <w:rPr>
                <w:rStyle w:val="Emphasis"/>
              </w:rPr>
              <w:t xml:space="preserve"> </w:t>
            </w:r>
            <w:r w:rsidRPr="00F34FAD">
              <w:rPr>
                <w:b/>
                <w:color w:val="007DA7"/>
              </w:rPr>
              <w:t>National Aboriginal and Torres Health Plan</w:t>
            </w:r>
          </w:p>
          <w:p w14:paraId="5BC64DD8" w14:textId="1BDCB8CB" w:rsidR="00596C22" w:rsidRDefault="00596C22" w:rsidP="00596C22">
            <w:pPr>
              <w:rPr>
                <w:lang w:val="en-AU"/>
              </w:rPr>
            </w:pPr>
            <w:r w:rsidRPr="00561499">
              <w:t xml:space="preserve">That through the </w:t>
            </w:r>
            <w:r w:rsidRPr="009A3ED3">
              <w:rPr>
                <w:rStyle w:val="Emphasis"/>
              </w:rPr>
              <w:t xml:space="preserve">Implementation Plan </w:t>
            </w:r>
            <w:r>
              <w:rPr>
                <w:rStyle w:val="Emphasis"/>
              </w:rPr>
              <w:t xml:space="preserve">for the </w:t>
            </w:r>
            <w:r w:rsidRPr="00561499">
              <w:rPr>
                <w:i/>
              </w:rPr>
              <w:t>National Aboriginal and Torres</w:t>
            </w:r>
            <w:r>
              <w:rPr>
                <w:i/>
              </w:rPr>
              <w:t xml:space="preserve"> Health Plan</w:t>
            </w:r>
            <w:r w:rsidRPr="0020077A">
              <w:t>,</w:t>
            </w:r>
            <w:r w:rsidRPr="00561499">
              <w:t xml:space="preserve"> appropriate core health service models and associated workforce and funding arrangements are urgently</w:t>
            </w:r>
            <w:r w:rsidRPr="00561499" w:rsidDel="00041205">
              <w:t xml:space="preserve"> </w:t>
            </w:r>
            <w:r w:rsidRPr="00561499">
              <w:t>developed to meet Aboriginal and Torres Strait Islander health needs on a national, regional and community level, and immediate priority be directed towards regions with relatively poor health and inadequate levels of service.</w:t>
            </w:r>
          </w:p>
          <w:p w14:paraId="4E0E1502" w14:textId="0D48D641" w:rsidR="00596C22" w:rsidRDefault="00596C22" w:rsidP="00C8247F">
            <w:pPr>
              <w:rPr>
                <w:rFonts w:cs="Calibri"/>
                <w:b/>
                <w:color w:val="007DA7"/>
                <w:lang w:val="en-AU"/>
              </w:rPr>
            </w:pPr>
            <w:r w:rsidRPr="00561499">
              <w:rPr>
                <w:lang w:val="en-AU"/>
              </w:rPr>
              <w:t xml:space="preserve">That </w:t>
            </w:r>
            <w:r w:rsidRPr="00561499">
              <w:t>Aboriginal Community Controlled Health Services (</w:t>
            </w:r>
            <w:proofErr w:type="spellStart"/>
            <w:r w:rsidRPr="00561499">
              <w:t>ACCHOs</w:t>
            </w:r>
            <w:proofErr w:type="spellEnd"/>
            <w:r w:rsidRPr="00561499">
              <w:t>) should be the preferred model for investment in primary health care services fo</w:t>
            </w:r>
            <w:r>
              <w:t>r Aboriginal and Torres Strait I</w:t>
            </w:r>
            <w:r w:rsidRPr="00561499">
              <w:t xml:space="preserve">slander communities and that the planning activities of the Primary Health Networks include partnership and service delivery arrangements through and by the </w:t>
            </w:r>
            <w:proofErr w:type="spellStart"/>
            <w:r w:rsidRPr="00561499">
              <w:t>ACCHOs</w:t>
            </w:r>
            <w:proofErr w:type="spellEnd"/>
            <w:r w:rsidRPr="00561499">
              <w:t>.</w:t>
            </w:r>
          </w:p>
          <w:p w14:paraId="368F640B" w14:textId="77777777" w:rsidR="00596C22" w:rsidRPr="00F34FAD" w:rsidRDefault="00596C22" w:rsidP="00C8247F">
            <w:pPr>
              <w:rPr>
                <w:rFonts w:cs="Calibri"/>
                <w:b/>
                <w:color w:val="007DA7"/>
                <w:lang w:val="en-AU"/>
              </w:rPr>
            </w:pPr>
            <w:r w:rsidRPr="00F34FAD">
              <w:rPr>
                <w:rFonts w:cs="Calibri"/>
                <w:b/>
                <w:color w:val="007DA7"/>
                <w:lang w:val="en-AU"/>
              </w:rPr>
              <w:t>Previous Report</w:t>
            </w:r>
          </w:p>
          <w:p w14:paraId="75DF5887" w14:textId="1857AC50" w:rsidR="00596C22" w:rsidRPr="00561499" w:rsidRDefault="00596C22" w:rsidP="00C8247F">
            <w:r w:rsidRPr="00561499">
              <w:t>That the Australian Government address the Campaign’s 2015</w:t>
            </w:r>
            <w:r w:rsidRPr="00561499">
              <w:rPr>
                <w:i/>
              </w:rPr>
              <w:t xml:space="preserve"> Progress and Priorities Report</w:t>
            </w:r>
            <w:r>
              <w:t xml:space="preserve"> Recommendations</w:t>
            </w:r>
            <w:r w:rsidRPr="00561499">
              <w:t xml:space="preserve"> (</w:t>
            </w:r>
            <w:r>
              <w:t>s</w:t>
            </w:r>
            <w:r w:rsidRPr="00561499">
              <w:t>ee Appendix 1)</w:t>
            </w:r>
            <w:r>
              <w:t>.</w:t>
            </w:r>
          </w:p>
          <w:p w14:paraId="14543246" w14:textId="77777777" w:rsidR="00596C22" w:rsidRPr="00F34FAD" w:rsidRDefault="00596C22" w:rsidP="00C8247F">
            <w:pPr>
              <w:rPr>
                <w:b/>
                <w:color w:val="007DA7"/>
              </w:rPr>
            </w:pPr>
            <w:r w:rsidRPr="00F34FAD">
              <w:rPr>
                <w:b/>
                <w:color w:val="007DA7"/>
              </w:rPr>
              <w:t>Institutional racism in the health system</w:t>
            </w:r>
          </w:p>
          <w:p w14:paraId="7D196B63" w14:textId="77777777" w:rsidR="00596C22" w:rsidRPr="00561499" w:rsidRDefault="00596C22" w:rsidP="00C8247F">
            <w:r w:rsidRPr="00561499">
              <w:t>That a national inquiry into racism and institutional racism in health care settings, and hospitals in particular, and its contribution to Aboriginal and Torres Strait Islander health inequality, is undertaken by the Sen</w:t>
            </w:r>
            <w:r>
              <w:t>ate Select Committee on Health.</w:t>
            </w:r>
          </w:p>
          <w:p w14:paraId="5339AB80" w14:textId="77777777" w:rsidR="00596C22" w:rsidRPr="00F34FAD" w:rsidRDefault="00596C22" w:rsidP="00C8247F">
            <w:pPr>
              <w:rPr>
                <w:rFonts w:cs="Arial"/>
                <w:b/>
                <w:color w:val="007DA7"/>
              </w:rPr>
            </w:pPr>
            <w:r w:rsidRPr="00F34FAD">
              <w:rPr>
                <w:rFonts w:cs="Arial"/>
                <w:b/>
                <w:color w:val="007DA7"/>
              </w:rPr>
              <w:t>Indigenous Advancement Strategy</w:t>
            </w:r>
          </w:p>
          <w:p w14:paraId="66753520" w14:textId="77777777" w:rsidR="00596C22" w:rsidRPr="00E96105" w:rsidRDefault="00596C22" w:rsidP="00C8247F">
            <w:pPr>
              <w:rPr>
                <w:rFonts w:cs="Arial"/>
              </w:rPr>
            </w:pPr>
            <w:r w:rsidRPr="00561499">
              <w:rPr>
                <w:rFonts w:cs="Arial"/>
              </w:rPr>
              <w:t xml:space="preserve">That the Recommendations of the Close the Gap Campaign Steering Committee to the 2015 Senate Finance and Public Administration References Committee Inquiry into the impact of the </w:t>
            </w:r>
            <w:proofErr w:type="spellStart"/>
            <w:r w:rsidRPr="00561499">
              <w:rPr>
                <w:rFonts w:cs="Arial"/>
              </w:rPr>
              <w:t>IAS</w:t>
            </w:r>
            <w:proofErr w:type="spellEnd"/>
            <w:r w:rsidRPr="00561499">
              <w:rPr>
                <w:rFonts w:cs="Arial"/>
              </w:rPr>
              <w:t xml:space="preserve"> tendering process</w:t>
            </w:r>
            <w:r w:rsidRPr="00561499" w:rsidDel="006E3467">
              <w:rPr>
                <w:rFonts w:cs="Arial"/>
                <w:i/>
              </w:rPr>
              <w:t xml:space="preserve"> </w:t>
            </w:r>
            <w:r w:rsidRPr="00561499">
              <w:rPr>
                <w:rFonts w:cs="Arial"/>
              </w:rPr>
              <w:t>are implemented as a priority.</w:t>
            </w:r>
          </w:p>
        </w:tc>
      </w:tr>
    </w:tbl>
    <w:p w14:paraId="1560C711" w14:textId="77777777" w:rsidR="00596C22" w:rsidRDefault="00596C22" w:rsidP="00596C22"/>
    <w:p w14:paraId="203F193B" w14:textId="77777777" w:rsidR="004267E7" w:rsidRDefault="004267E7" w:rsidP="004267E7"/>
    <w:p w14:paraId="46685AA1" w14:textId="6DCF2937" w:rsidR="00221769" w:rsidRPr="00561499" w:rsidRDefault="00221769" w:rsidP="00155CF7">
      <w:pPr>
        <w:pStyle w:val="Heading1"/>
      </w:pPr>
      <w:bookmarkStart w:id="4" w:name="_Toc315703398"/>
      <w:r w:rsidRPr="00561499">
        <w:lastRenderedPageBreak/>
        <w:t>Introduction: Taking stock of a decade of hope and the challenges ahead</w:t>
      </w:r>
      <w:bookmarkEnd w:id="4"/>
    </w:p>
    <w:p w14:paraId="7FE2E831" w14:textId="63C05788" w:rsidR="00221769" w:rsidRPr="00561499" w:rsidRDefault="00221769" w:rsidP="009F7220">
      <w:pPr>
        <w:pStyle w:val="NormalWeb"/>
        <w:rPr>
          <w:rFonts w:ascii="Arial" w:hAnsi="Arial" w:cs="Arial"/>
          <w:color w:val="1A1A1A"/>
        </w:rPr>
      </w:pPr>
      <w:r w:rsidRPr="00561499">
        <w:rPr>
          <w:rFonts w:ascii="Arial" w:hAnsi="Arial" w:cs="Arial"/>
          <w:color w:val="1A1A1A"/>
        </w:rPr>
        <w:t xml:space="preserve">In September 2015, the United Nations General Assembly, including Australia, unanimously adopted the </w:t>
      </w:r>
      <w:r w:rsidRPr="00561499">
        <w:rPr>
          <w:rFonts w:ascii="Arial" w:hAnsi="Arial" w:cs="Arial"/>
          <w:i/>
          <w:color w:val="1A1A1A"/>
        </w:rPr>
        <w:t>2030 Agenda for Sustainable Development</w:t>
      </w:r>
      <w:r w:rsidRPr="00561499">
        <w:rPr>
          <w:rFonts w:ascii="Arial" w:hAnsi="Arial" w:cs="Arial"/>
          <w:color w:val="1A1A1A"/>
        </w:rPr>
        <w:t xml:space="preserve"> containing 17 Sustainable Development Goals (</w:t>
      </w:r>
      <w:proofErr w:type="spellStart"/>
      <w:r w:rsidRPr="00561499">
        <w:rPr>
          <w:rFonts w:ascii="Arial" w:hAnsi="Arial" w:cs="Arial"/>
          <w:color w:val="1A1A1A"/>
        </w:rPr>
        <w:t>SDGs</w:t>
      </w:r>
      <w:proofErr w:type="spellEnd"/>
      <w:r w:rsidRPr="00561499">
        <w:rPr>
          <w:rFonts w:ascii="Arial" w:hAnsi="Arial" w:cs="Arial"/>
          <w:color w:val="1A1A1A"/>
        </w:rPr>
        <w:t>).</w:t>
      </w:r>
      <w:r w:rsidRPr="00561499">
        <w:rPr>
          <w:rStyle w:val="EndnoteReference"/>
          <w:rFonts w:cs="Arial"/>
          <w:color w:val="1A1A1A"/>
        </w:rPr>
        <w:endnoteReference w:id="2"/>
      </w:r>
      <w:r w:rsidRPr="00561499">
        <w:rPr>
          <w:rFonts w:ascii="Arial" w:hAnsi="Arial" w:cs="Arial"/>
          <w:color w:val="1A1A1A"/>
        </w:rPr>
        <w:t xml:space="preserve"> These replace and expand on the Millennium Development Goals (</w:t>
      </w:r>
      <w:proofErr w:type="spellStart"/>
      <w:r w:rsidRPr="00561499">
        <w:rPr>
          <w:rFonts w:ascii="Arial" w:hAnsi="Arial" w:cs="Arial"/>
          <w:color w:val="1A1A1A"/>
        </w:rPr>
        <w:t>MDGs</w:t>
      </w:r>
      <w:proofErr w:type="spellEnd"/>
      <w:r w:rsidRPr="00561499">
        <w:rPr>
          <w:rFonts w:ascii="Arial" w:hAnsi="Arial" w:cs="Arial"/>
          <w:color w:val="1A1A1A"/>
        </w:rPr>
        <w:t>) adopted in 2000, and that expired in 2015.</w:t>
      </w:r>
      <w:r w:rsidRPr="00561499">
        <w:rPr>
          <w:rStyle w:val="EndnoteReference"/>
          <w:rFonts w:cs="Arial"/>
          <w:color w:val="1A1A1A"/>
        </w:rPr>
        <w:endnoteReference w:id="3"/>
      </w:r>
      <w:r w:rsidRPr="00561499">
        <w:rPr>
          <w:rFonts w:ascii="Arial" w:hAnsi="Arial" w:cs="Arial"/>
          <w:color w:val="1A1A1A"/>
        </w:rPr>
        <w:t xml:space="preserve"> Over 150 targets were also adopted to advance the </w:t>
      </w:r>
      <w:proofErr w:type="spellStart"/>
      <w:r w:rsidRPr="00561499">
        <w:rPr>
          <w:rFonts w:ascii="Arial" w:hAnsi="Arial" w:cs="Arial"/>
          <w:color w:val="1A1A1A"/>
        </w:rPr>
        <w:t>SDGs</w:t>
      </w:r>
      <w:proofErr w:type="spellEnd"/>
      <w:r w:rsidRPr="00561499">
        <w:rPr>
          <w:rFonts w:ascii="Arial" w:hAnsi="Arial" w:cs="Arial"/>
          <w:color w:val="1A1A1A"/>
        </w:rPr>
        <w:t>.</w:t>
      </w:r>
      <w:r w:rsidRPr="00561499">
        <w:rPr>
          <w:rStyle w:val="EndnoteReference"/>
          <w:rFonts w:cs="Arial"/>
          <w:color w:val="1A1A1A"/>
        </w:rPr>
        <w:endnoteReference w:id="4"/>
      </w:r>
    </w:p>
    <w:p w14:paraId="79AC9DAA" w14:textId="64EAF4D0" w:rsidR="00221769" w:rsidRPr="00561499" w:rsidRDefault="00221769" w:rsidP="00561499">
      <w:pPr>
        <w:pStyle w:val="NormalWeb"/>
        <w:rPr>
          <w:rFonts w:ascii="Arial" w:hAnsi="Arial"/>
        </w:rPr>
      </w:pPr>
      <w:r w:rsidRPr="00561499">
        <w:rPr>
          <w:rFonts w:ascii="Arial" w:hAnsi="Arial" w:cs="Arial"/>
          <w:color w:val="1A1A1A"/>
        </w:rPr>
        <w:t xml:space="preserve">The </w:t>
      </w:r>
      <w:proofErr w:type="spellStart"/>
      <w:r w:rsidRPr="00561499">
        <w:rPr>
          <w:rFonts w:ascii="Arial" w:hAnsi="Arial" w:cs="Arial"/>
          <w:color w:val="1A1A1A"/>
        </w:rPr>
        <w:t>MDGs</w:t>
      </w:r>
      <w:proofErr w:type="spellEnd"/>
      <w:r w:rsidRPr="00561499">
        <w:rPr>
          <w:rFonts w:ascii="Arial" w:hAnsi="Arial" w:cs="Arial"/>
          <w:color w:val="1A1A1A"/>
        </w:rPr>
        <w:t xml:space="preserve"> </w:t>
      </w:r>
      <w:r w:rsidRPr="00561499">
        <w:rPr>
          <w:rFonts w:ascii="Arial" w:hAnsi="Arial"/>
        </w:rPr>
        <w:t>and the associate</w:t>
      </w:r>
      <w:r w:rsidR="00177569" w:rsidRPr="00561499">
        <w:rPr>
          <w:rFonts w:ascii="Arial" w:hAnsi="Arial"/>
        </w:rPr>
        <w:t>d development of a human rights-</w:t>
      </w:r>
      <w:r w:rsidRPr="00561499">
        <w:rPr>
          <w:rFonts w:ascii="Arial" w:hAnsi="Arial"/>
        </w:rPr>
        <w:t xml:space="preserve">based approach to poverty eradication, particularly that stemming from gross socio-economic inequality within and between nations </w:t>
      </w:r>
      <w:r w:rsidRPr="00561499">
        <w:rPr>
          <w:rFonts w:ascii="Arial" w:hAnsi="Arial" w:cs="Arial"/>
          <w:color w:val="1A1A1A"/>
        </w:rPr>
        <w:t>were aimed at developing countries.</w:t>
      </w:r>
      <w:r w:rsidRPr="00561499">
        <w:rPr>
          <w:rStyle w:val="EndnoteReference"/>
          <w:rFonts w:cs="Arial"/>
          <w:color w:val="1A1A1A"/>
        </w:rPr>
        <w:endnoteReference w:id="5"/>
      </w:r>
      <w:r w:rsidRPr="00561499">
        <w:rPr>
          <w:rFonts w:ascii="Arial" w:hAnsi="Arial" w:cs="Arial"/>
          <w:color w:val="1A1A1A"/>
        </w:rPr>
        <w:t xml:space="preserve"> In contrast, the </w:t>
      </w:r>
      <w:proofErr w:type="spellStart"/>
      <w:r w:rsidRPr="00561499">
        <w:rPr>
          <w:rFonts w:ascii="Arial" w:hAnsi="Arial" w:cs="Arial"/>
          <w:color w:val="1A1A1A"/>
        </w:rPr>
        <w:t>SDGs</w:t>
      </w:r>
      <w:proofErr w:type="spellEnd"/>
      <w:r w:rsidRPr="00561499">
        <w:rPr>
          <w:rFonts w:ascii="Arial" w:hAnsi="Arial" w:cs="Arial"/>
          <w:color w:val="1A1A1A"/>
        </w:rPr>
        <w:t xml:space="preserve"> apply to every country with ‘</w:t>
      </w:r>
      <w:r w:rsidRPr="00561499">
        <w:rPr>
          <w:rFonts w:ascii="Arial" w:hAnsi="Arial"/>
        </w:rPr>
        <w:t>practicable ambitious national responses’ required of even wealthy nations like Australia to reduce domestic inequality, including that in relation to access to health services.</w:t>
      </w:r>
      <w:r w:rsidRPr="00561499">
        <w:rPr>
          <w:rStyle w:val="EndnoteReference"/>
        </w:rPr>
        <w:endnoteReference w:id="6"/>
      </w:r>
      <w:r w:rsidRPr="00561499">
        <w:rPr>
          <w:rFonts w:ascii="Arial" w:hAnsi="Arial" w:cs="Arial"/>
          <w:color w:val="1A1A1A"/>
        </w:rPr>
        <w:t xml:space="preserve"> </w:t>
      </w:r>
    </w:p>
    <w:p w14:paraId="4AFEF8C4" w14:textId="24BECBCC" w:rsidR="00221769" w:rsidRPr="00561499" w:rsidRDefault="00221769" w:rsidP="009F7220">
      <w:pPr>
        <w:autoSpaceDE w:val="0"/>
        <w:autoSpaceDN w:val="0"/>
        <w:adjustRightInd w:val="0"/>
      </w:pPr>
      <w:r w:rsidRPr="00561499">
        <w:t xml:space="preserve">The adoption of the </w:t>
      </w:r>
      <w:proofErr w:type="spellStart"/>
      <w:r w:rsidRPr="00561499">
        <w:t>MDGs</w:t>
      </w:r>
      <w:proofErr w:type="spellEnd"/>
      <w:r w:rsidR="00177569" w:rsidRPr="00561499">
        <w:t xml:space="preserve"> and the human rights-</w:t>
      </w:r>
      <w:r w:rsidRPr="00561499">
        <w:t xml:space="preserve">based approach to poverty eradication associated with them had been instrumental in shaping the Close the Gap Campaign. As then Aboriginal and Torres Strait Islander Social Justice Commissioner Professor Tom </w:t>
      </w:r>
      <w:proofErr w:type="spellStart"/>
      <w:r w:rsidRPr="00561499">
        <w:t>Calma</w:t>
      </w:r>
      <w:proofErr w:type="spellEnd"/>
      <w:r w:rsidRPr="00561499">
        <w:t xml:space="preserve"> AO observed:</w:t>
      </w:r>
    </w:p>
    <w:p w14:paraId="329A45F4" w14:textId="77777777" w:rsidR="00221769" w:rsidRPr="00561499" w:rsidRDefault="00221769" w:rsidP="009F7220">
      <w:pPr>
        <w:autoSpaceDE w:val="0"/>
        <w:autoSpaceDN w:val="0"/>
        <w:adjustRightInd w:val="0"/>
        <w:ind w:left="720"/>
        <w:rPr>
          <w:i/>
        </w:rPr>
      </w:pPr>
      <w:r w:rsidRPr="00561499">
        <w:t xml:space="preserve">It is ironic that the Government has committed to contribute to the international campaign to eradicate poverty in third world countries by 2015, but has no similar plans to do so in relation to the extreme </w:t>
      </w:r>
      <w:proofErr w:type="spellStart"/>
      <w:r w:rsidRPr="00561499">
        <w:t>marginalisation</w:t>
      </w:r>
      <w:proofErr w:type="spellEnd"/>
      <w:r w:rsidRPr="00561499">
        <w:t xml:space="preserve"> experienced by Aboriginal and Torres Strait Islander Australians.</w:t>
      </w:r>
      <w:r w:rsidRPr="00561499">
        <w:rPr>
          <w:rStyle w:val="EndnoteReference"/>
        </w:rPr>
        <w:endnoteReference w:id="7"/>
      </w:r>
    </w:p>
    <w:p w14:paraId="24A4AAA2" w14:textId="6AA271F5" w:rsidR="00E17323" w:rsidRPr="00E17323" w:rsidRDefault="008C4FB0" w:rsidP="00E17323">
      <w:r>
        <w:rPr>
          <w:noProof/>
        </w:rPr>
        <w:lastRenderedPageBreak/>
        <w:drawing>
          <wp:inline distT="0" distB="0" distL="0" distR="0" wp14:anchorId="3E8F1F70" wp14:editId="5EAE5A31">
            <wp:extent cx="5759450" cy="3926671"/>
            <wp:effectExtent l="0" t="0" r="6350" b="10795"/>
            <wp:docPr id="1" name="Picture 1" descr="Dr Calma is holding up a blackboard. Printed at the top it reads WHAT DOES CLOSE THE GAP MEAN TO YOU? Underneath in handwritten chalk it reads CELEBRATING SUCCESS." title="Dr Tom Calma 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3926671"/>
                    </a:xfrm>
                    <a:prstGeom prst="rect">
                      <a:avLst/>
                    </a:prstGeom>
                    <a:noFill/>
                    <a:ln>
                      <a:noFill/>
                    </a:ln>
                  </pic:spPr>
                </pic:pic>
              </a:graphicData>
            </a:graphic>
          </wp:inline>
        </w:drawing>
      </w:r>
    </w:p>
    <w:p w14:paraId="11573C36" w14:textId="77777777" w:rsidR="00050FD5" w:rsidRPr="00561499" w:rsidRDefault="00050FD5" w:rsidP="00050FD5">
      <w:pPr>
        <w:rPr>
          <w:sz w:val="20"/>
          <w:szCs w:val="20"/>
        </w:rPr>
      </w:pPr>
      <w:proofErr w:type="spellStart"/>
      <w:r w:rsidRPr="00561499">
        <w:rPr>
          <w:sz w:val="20"/>
          <w:szCs w:val="20"/>
        </w:rPr>
        <w:t>Dr</w:t>
      </w:r>
      <w:proofErr w:type="spellEnd"/>
      <w:r w:rsidRPr="00561499">
        <w:rPr>
          <w:sz w:val="20"/>
          <w:szCs w:val="20"/>
        </w:rPr>
        <w:t xml:space="preserve"> Tom </w:t>
      </w:r>
      <w:proofErr w:type="spellStart"/>
      <w:r w:rsidRPr="00561499">
        <w:rPr>
          <w:sz w:val="20"/>
          <w:szCs w:val="20"/>
        </w:rPr>
        <w:t>Calma</w:t>
      </w:r>
      <w:proofErr w:type="spellEnd"/>
      <w:r w:rsidRPr="00561499">
        <w:rPr>
          <w:sz w:val="20"/>
          <w:szCs w:val="20"/>
        </w:rPr>
        <w:t xml:space="preserve"> AO, Close the Gap Campaign founder and former Aboriginal and Torres Strait Islander Social Justice Commissioner. Photo</w:t>
      </w:r>
      <w:r>
        <w:rPr>
          <w:sz w:val="20"/>
          <w:szCs w:val="20"/>
        </w:rPr>
        <w:t xml:space="preserve">graph: Chloe </w:t>
      </w:r>
      <w:proofErr w:type="spellStart"/>
      <w:r>
        <w:rPr>
          <w:sz w:val="20"/>
          <w:szCs w:val="20"/>
        </w:rPr>
        <w:t>Geraghty</w:t>
      </w:r>
      <w:proofErr w:type="spellEnd"/>
      <w:r>
        <w:rPr>
          <w:sz w:val="20"/>
          <w:szCs w:val="20"/>
        </w:rPr>
        <w:t>/</w:t>
      </w:r>
      <w:proofErr w:type="spellStart"/>
      <w:r>
        <w:rPr>
          <w:sz w:val="20"/>
          <w:szCs w:val="20"/>
        </w:rPr>
        <w:t>OxfamAUS</w:t>
      </w:r>
      <w:proofErr w:type="spellEnd"/>
      <w:r>
        <w:rPr>
          <w:sz w:val="20"/>
          <w:szCs w:val="20"/>
        </w:rPr>
        <w:t>.</w:t>
      </w:r>
    </w:p>
    <w:p w14:paraId="19B666E5" w14:textId="77777777" w:rsidR="00050FD5" w:rsidRDefault="00050FD5" w:rsidP="009F7220">
      <w:pPr>
        <w:ind w:right="74"/>
      </w:pPr>
    </w:p>
    <w:p w14:paraId="4A740ACE" w14:textId="12AB50C3" w:rsidR="00221769" w:rsidRPr="00561499" w:rsidRDefault="00395488" w:rsidP="009F7220">
      <w:pPr>
        <w:ind w:right="74"/>
      </w:pPr>
      <w:r>
        <w:t>Subsequently</w:t>
      </w:r>
      <w:r w:rsidR="006D0670" w:rsidRPr="00561499">
        <w:t>,</w:t>
      </w:r>
      <w:r w:rsidR="00221769" w:rsidRPr="00561499">
        <w:t xml:space="preserve"> in the </w:t>
      </w:r>
      <w:r w:rsidR="00221769" w:rsidRPr="00561499">
        <w:rPr>
          <w:i/>
        </w:rPr>
        <w:t>Social Justice Report 2005</w:t>
      </w:r>
      <w:r w:rsidR="00221769" w:rsidRPr="00561499">
        <w:t>, the Commissioner proposed</w:t>
      </w:r>
      <w:r w:rsidR="00177569" w:rsidRPr="00561499">
        <w:t xml:space="preserve"> the adoption of a human rights-</w:t>
      </w:r>
      <w:r w:rsidR="00221769" w:rsidRPr="00561499">
        <w:t>based approach to closing the Aboriginal and Torres Strait Islander health gap. The founding members of the Close the Gap Campaign coalesced around this approach. The year 2016 marks the tenth anniversary of their first meeting in March 2006.</w:t>
      </w:r>
    </w:p>
    <w:p w14:paraId="60CF6311" w14:textId="0F207046" w:rsidR="00221769" w:rsidRPr="00561499" w:rsidRDefault="00AC4532" w:rsidP="00040CF1">
      <w:pPr>
        <w:ind w:right="74"/>
      </w:pPr>
      <w:r>
        <w:t>Reflecting</w:t>
      </w:r>
      <w:r w:rsidR="00221769" w:rsidRPr="00561499">
        <w:t xml:space="preserve"> on those ten years, the Campaign note</w:t>
      </w:r>
      <w:r w:rsidR="002B7ABE" w:rsidRPr="00561499">
        <w:t>s</w:t>
      </w:r>
      <w:r w:rsidR="00221769" w:rsidRPr="00561499">
        <w:t xml:space="preserve"> significant achievements, but is all too aware of the need to maintain focus in the years ahead. Milestones to celebrate include:</w:t>
      </w:r>
    </w:p>
    <w:p w14:paraId="0F18620A" w14:textId="079BAB3F" w:rsidR="00221769" w:rsidRPr="00561499" w:rsidRDefault="00221769" w:rsidP="00DC5A0E">
      <w:pPr>
        <w:pStyle w:val="ListParagraph"/>
        <w:numPr>
          <w:ilvl w:val="0"/>
          <w:numId w:val="22"/>
        </w:numPr>
        <w:spacing w:before="120"/>
        <w:ind w:left="714" w:hanging="357"/>
        <w:contextualSpacing w:val="0"/>
      </w:pPr>
      <w:r w:rsidRPr="00561499">
        <w:t xml:space="preserve">The March 2008 commitment of the then Australian Government and Opposition to the Close the Gap Statement of Intent signaling the adoption of the Campaign’s </w:t>
      </w:r>
      <w:r w:rsidR="00177569" w:rsidRPr="00561499">
        <w:t>human rights-</w:t>
      </w:r>
      <w:r w:rsidRPr="00561499">
        <w:t xml:space="preserve">based approach as national policy. This followed the February 2008 National Apology to Australia’s Indigenous </w:t>
      </w:r>
      <w:r w:rsidR="001E46C9" w:rsidRPr="00561499">
        <w:t>P</w:t>
      </w:r>
      <w:r w:rsidRPr="00561499">
        <w:t>eople</w:t>
      </w:r>
      <w:r w:rsidR="00EA2444" w:rsidRPr="00561499">
        <w:t>s</w:t>
      </w:r>
      <w:r w:rsidR="00AE3335">
        <w:t xml:space="preserve">, </w:t>
      </w:r>
      <w:r w:rsidRPr="00561499">
        <w:t>and commits signatories to close the health and life expectancy gap by 2030, to adopt equality targets, and undertake equality focused health planning in partnership with Aboriginal and Torres Strait Islander people</w:t>
      </w:r>
      <w:r w:rsidR="00EA2444" w:rsidRPr="00561499">
        <w:t>s</w:t>
      </w:r>
      <w:r w:rsidR="00AC4532">
        <w:t xml:space="preserve"> (s</w:t>
      </w:r>
      <w:r w:rsidRPr="00561499">
        <w:t xml:space="preserve">ee page </w:t>
      </w:r>
      <w:r w:rsidR="006D0670" w:rsidRPr="00561499">
        <w:t>8</w:t>
      </w:r>
      <w:r w:rsidRPr="00561499">
        <w:t>)</w:t>
      </w:r>
      <w:r w:rsidR="00AC4532">
        <w:t>.</w:t>
      </w:r>
    </w:p>
    <w:p w14:paraId="3575CB76" w14:textId="5E3E7909" w:rsidR="00221769" w:rsidRPr="00561499" w:rsidRDefault="00221769" w:rsidP="00DC5A0E">
      <w:pPr>
        <w:pStyle w:val="ListParagraph"/>
        <w:numPr>
          <w:ilvl w:val="0"/>
          <w:numId w:val="22"/>
        </w:numPr>
        <w:spacing w:before="120"/>
        <w:ind w:left="714" w:hanging="357"/>
        <w:contextualSpacing w:val="0"/>
      </w:pPr>
      <w:r w:rsidRPr="00561499">
        <w:lastRenderedPageBreak/>
        <w:t>The July 2009 Council of Australian Governments’ (</w:t>
      </w:r>
      <w:proofErr w:type="spellStart"/>
      <w:r w:rsidRPr="00561499">
        <w:t>COAG</w:t>
      </w:r>
      <w:proofErr w:type="spellEnd"/>
      <w:r w:rsidRPr="00561499">
        <w:t>) National Indigenous Reform Agreement that contains the six Closing the Gap Targets and the National Integrated Strategy for Closing the Gap in Indigenous Disadvantage (hereon ‘Closing the Gap Strategy’). This includes the 2030 life expectancy equality target, and the target to halve child mortality by 2018.</w:t>
      </w:r>
      <w:r w:rsidRPr="00561499">
        <w:rPr>
          <w:rStyle w:val="EndnoteReference"/>
        </w:rPr>
        <w:endnoteReference w:id="8"/>
      </w:r>
      <w:r w:rsidRPr="00561499">
        <w:t xml:space="preserve"> Additionally, associated national partnership agreements that defined funding and other responsibilities between governments commenced in July 2009. </w:t>
      </w:r>
    </w:p>
    <w:p w14:paraId="030B3FB1" w14:textId="77777777" w:rsidR="00221769" w:rsidRPr="00561499" w:rsidRDefault="00221769" w:rsidP="00DC5A0E">
      <w:pPr>
        <w:pStyle w:val="ListParagraph"/>
        <w:numPr>
          <w:ilvl w:val="0"/>
          <w:numId w:val="22"/>
        </w:numPr>
        <w:spacing w:before="120"/>
        <w:ind w:left="714" w:hanging="357"/>
        <w:contextualSpacing w:val="0"/>
      </w:pPr>
      <w:r w:rsidRPr="00561499">
        <w:t>Funding of $4.6 billion, including $1.6 billion for health and significant allocations for housing, education, and employment, through closing the gap na</w:t>
      </w:r>
      <w:r w:rsidR="001F72B7" w:rsidRPr="00561499">
        <w:t>tional partnership agreements—</w:t>
      </w:r>
      <w:r w:rsidRPr="00561499">
        <w:t xml:space="preserve">many of which </w:t>
      </w:r>
      <w:r w:rsidR="00490C3F" w:rsidRPr="00561499">
        <w:t>have now been left to expire</w:t>
      </w:r>
      <w:r w:rsidRPr="00561499">
        <w:t>.</w:t>
      </w:r>
      <w:r w:rsidRPr="00561499">
        <w:rPr>
          <w:rStyle w:val="EndnoteReference"/>
        </w:rPr>
        <w:endnoteReference w:id="9"/>
      </w:r>
    </w:p>
    <w:p w14:paraId="61972A43" w14:textId="77777777" w:rsidR="00221769" w:rsidRPr="00561499" w:rsidRDefault="00221769" w:rsidP="00DC5A0E">
      <w:pPr>
        <w:pStyle w:val="ListParagraph"/>
        <w:numPr>
          <w:ilvl w:val="0"/>
          <w:numId w:val="22"/>
        </w:numPr>
        <w:spacing w:before="120"/>
        <w:ind w:left="714" w:hanging="357"/>
        <w:contextualSpacing w:val="0"/>
      </w:pPr>
      <w:r w:rsidRPr="00561499">
        <w:t>The 2011 establishment of the National Health Leadership Forum (</w:t>
      </w:r>
      <w:proofErr w:type="spellStart"/>
      <w:r w:rsidRPr="00561499">
        <w:t>NHLF</w:t>
      </w:r>
      <w:proofErr w:type="spellEnd"/>
      <w:r w:rsidRPr="00561499">
        <w:t xml:space="preserve">) comprising Aboriginal and Torres Strait Islander peak health bodies on the Close the Gap Campaign Steering Committee. The </w:t>
      </w:r>
      <w:proofErr w:type="spellStart"/>
      <w:r w:rsidRPr="00561499">
        <w:t>NHLF</w:t>
      </w:r>
      <w:proofErr w:type="spellEnd"/>
      <w:r w:rsidRPr="00561499">
        <w:t xml:space="preserve"> has since proved itself as a respected leadership and partnership mechanism for working with the Australian Government in health equality planning.</w:t>
      </w:r>
    </w:p>
    <w:p w14:paraId="7F3D38AF" w14:textId="77777777" w:rsidR="00221769" w:rsidRPr="00561499" w:rsidRDefault="00221769" w:rsidP="00DC5A0E">
      <w:pPr>
        <w:pStyle w:val="ListParagraph"/>
        <w:numPr>
          <w:ilvl w:val="0"/>
          <w:numId w:val="22"/>
        </w:numPr>
        <w:spacing w:before="120"/>
        <w:ind w:left="714" w:hanging="357"/>
        <w:contextualSpacing w:val="0"/>
      </w:pPr>
      <w:r w:rsidRPr="00561499">
        <w:t xml:space="preserve">The 2013 launch of the </w:t>
      </w:r>
      <w:r w:rsidRPr="00561499">
        <w:rPr>
          <w:i/>
        </w:rPr>
        <w:t>National Aboriginal and Torres Strait Islander Health Plan</w:t>
      </w:r>
      <w:r w:rsidRPr="00561499">
        <w:rPr>
          <w:rStyle w:val="EndnoteReference"/>
        </w:rPr>
        <w:endnoteReference w:id="10"/>
      </w:r>
      <w:r w:rsidRPr="00561499">
        <w:t xml:space="preserve"> and the subsequent launch of its Implementation Plan in October 2015.</w:t>
      </w:r>
      <w:r w:rsidRPr="00561499">
        <w:rPr>
          <w:rStyle w:val="EndnoteReference"/>
        </w:rPr>
        <w:endnoteReference w:id="11"/>
      </w:r>
      <w:r w:rsidRPr="00561499">
        <w:t xml:space="preserve"> The </w:t>
      </w:r>
      <w:proofErr w:type="spellStart"/>
      <w:r w:rsidRPr="00561499">
        <w:t>NHLF</w:t>
      </w:r>
      <w:proofErr w:type="spellEnd"/>
      <w:r w:rsidRPr="00561499">
        <w:t xml:space="preserve"> and successive Australian Governments developed both in partnership. This provides a good model for future collaboration.</w:t>
      </w:r>
    </w:p>
    <w:p w14:paraId="6AB49B71" w14:textId="55A245B5" w:rsidR="00221769" w:rsidRPr="00561499" w:rsidRDefault="00221769" w:rsidP="00DC5A0E">
      <w:pPr>
        <w:pStyle w:val="ListParagraph"/>
        <w:numPr>
          <w:ilvl w:val="0"/>
          <w:numId w:val="22"/>
        </w:numPr>
        <w:spacing w:before="120"/>
        <w:ind w:left="714" w:hanging="357"/>
        <w:contextualSpacing w:val="0"/>
      </w:pPr>
      <w:r w:rsidRPr="00561499">
        <w:t xml:space="preserve">The </w:t>
      </w:r>
      <w:proofErr w:type="spellStart"/>
      <w:r w:rsidRPr="00561499">
        <w:t>200,000th</w:t>
      </w:r>
      <w:proofErr w:type="spellEnd"/>
      <w:r w:rsidRPr="00561499">
        <w:t xml:space="preserve"> Australian signing the ‘Close the Gap’ pledge in 2015,</w:t>
      </w:r>
      <w:r w:rsidRPr="00561499">
        <w:rPr>
          <w:rStyle w:val="EndnoteReference"/>
        </w:rPr>
        <w:endnoteReference w:id="12"/>
      </w:r>
      <w:r w:rsidR="00532F9C">
        <w:t xml:space="preserve"> </w:t>
      </w:r>
      <w:r w:rsidR="00872C21">
        <w:t>demonstrat</w:t>
      </w:r>
      <w:r w:rsidR="009542F9">
        <w:t>ing</w:t>
      </w:r>
      <w:r w:rsidRPr="00561499">
        <w:t xml:space="preserve"> that the Campaign has garnered and maintained significant domestic support over the past decade, and can use </w:t>
      </w:r>
      <w:r w:rsidR="002D7687">
        <w:t>that support</w:t>
      </w:r>
      <w:r w:rsidRPr="00561499">
        <w:t xml:space="preserve"> to apply commensurate political pressure. With well over a 1000 events continuing to regularly mark National Close the Gap Day, it’s clear that this generation of Australians want to make a difference, and will hold governments accountable fo</w:t>
      </w:r>
      <w:r w:rsidR="00050FD5">
        <w:t>r the change and reform needed.</w:t>
      </w:r>
    </w:p>
    <w:p w14:paraId="2210F6A5" w14:textId="596120DF" w:rsidR="00221769" w:rsidRPr="00561499" w:rsidRDefault="004620B0" w:rsidP="00561499">
      <w:pPr>
        <w:ind w:right="74"/>
      </w:pPr>
      <w:r w:rsidRPr="00561499">
        <w:t>W</w:t>
      </w:r>
      <w:r w:rsidR="00221769" w:rsidRPr="00561499">
        <w:t>hile</w:t>
      </w:r>
      <w:r w:rsidRPr="00561499">
        <w:t xml:space="preserve"> it is</w:t>
      </w:r>
      <w:r w:rsidR="00221769" w:rsidRPr="00561499">
        <w:t xml:space="preserve"> a time to pause and reflect, </w:t>
      </w:r>
      <w:r w:rsidRPr="00561499">
        <w:t xml:space="preserve">the 10 </w:t>
      </w:r>
      <w:r w:rsidR="00221769" w:rsidRPr="00561499">
        <w:t xml:space="preserve">year anniversary is </w:t>
      </w:r>
      <w:r w:rsidR="00490C3F" w:rsidRPr="00561499">
        <w:t>in no way</w:t>
      </w:r>
      <w:r w:rsidR="00221769" w:rsidRPr="00561499">
        <w:t xml:space="preserve"> a time to rest. There is still tremendous effort and resources needed if life expectancy </w:t>
      </w:r>
      <w:r w:rsidR="00AB634C" w:rsidRPr="00561499">
        <w:t xml:space="preserve">equality </w:t>
      </w:r>
      <w:r w:rsidR="00221769" w:rsidRPr="00561499">
        <w:t>is to be achieved by 2030. As this and previous reports detail, progress against this headline indicator of population health has been slow. While there is a lot of good news to report, it is yet to be reflected at this level.</w:t>
      </w:r>
    </w:p>
    <w:p w14:paraId="595EC52A" w14:textId="4A64ECD6" w:rsidR="00221769" w:rsidRPr="00561499" w:rsidRDefault="00221769" w:rsidP="00F659F8">
      <w:pPr>
        <w:ind w:right="74"/>
      </w:pPr>
      <w:r w:rsidRPr="00561499">
        <w:t>The Sustainable Development Goals also refer to Indigenous people</w:t>
      </w:r>
      <w:r w:rsidR="001E46C9" w:rsidRPr="00561499">
        <w:t>s</w:t>
      </w:r>
      <w:r w:rsidRPr="00561499">
        <w:t xml:space="preserve"> as a vulnerable group who ‘must be empowered’ through the </w:t>
      </w:r>
      <w:proofErr w:type="spellStart"/>
      <w:r w:rsidRPr="00561499">
        <w:t>SDG</w:t>
      </w:r>
      <w:proofErr w:type="spellEnd"/>
      <w:r w:rsidRPr="00561499">
        <w:t>-achievement process.</w:t>
      </w:r>
      <w:r w:rsidRPr="00561499">
        <w:rPr>
          <w:rStyle w:val="EndnoteReference"/>
        </w:rPr>
        <w:endnoteReference w:id="13"/>
      </w:r>
      <w:r w:rsidRPr="00561499">
        <w:t xml:space="preserve"> This includes in the context of national reviews of progress against the </w:t>
      </w:r>
      <w:proofErr w:type="spellStart"/>
      <w:r w:rsidRPr="00561499">
        <w:t>SDGs</w:t>
      </w:r>
      <w:proofErr w:type="spellEnd"/>
      <w:r w:rsidRPr="00561499">
        <w:t xml:space="preserve"> that ‘should draw on contributions from indigenous peoples…</w:t>
      </w:r>
      <w:r w:rsidRPr="00561499">
        <w:rPr>
          <w:rStyle w:val="EndnoteReference"/>
        </w:rPr>
        <w:t xml:space="preserve"> </w:t>
      </w:r>
      <w:r w:rsidRPr="00561499">
        <w:t>National parliaments as well as other institutions can also support these processes.’</w:t>
      </w:r>
      <w:r w:rsidRPr="00561499">
        <w:rPr>
          <w:rStyle w:val="EndnoteReference"/>
        </w:rPr>
        <w:endnoteReference w:id="14"/>
      </w:r>
      <w:r w:rsidRPr="00561499">
        <w:t xml:space="preserve"> </w:t>
      </w:r>
    </w:p>
    <w:p w14:paraId="69258EAE" w14:textId="3698BD59" w:rsidR="00221769" w:rsidRPr="00F659F8" w:rsidRDefault="00221769" w:rsidP="009F7220">
      <w:pPr>
        <w:rPr>
          <w:vertAlign w:val="superscript"/>
        </w:rPr>
      </w:pPr>
      <w:r w:rsidRPr="00561499">
        <w:lastRenderedPageBreak/>
        <w:t xml:space="preserve">In that regard, it is </w:t>
      </w:r>
      <w:r w:rsidR="004620B0" w:rsidRPr="00561499">
        <w:t xml:space="preserve">a </w:t>
      </w:r>
      <w:r w:rsidRPr="00561499">
        <w:t>positive</w:t>
      </w:r>
      <w:r w:rsidR="004620B0" w:rsidRPr="00561499">
        <w:t xml:space="preserve"> achievement</w:t>
      </w:r>
      <w:r w:rsidRPr="00561499">
        <w:t xml:space="preserve"> that since 2009 successive Australian Prime Ministers have </w:t>
      </w:r>
      <w:r w:rsidR="002D7687">
        <w:t xml:space="preserve">annually </w:t>
      </w:r>
      <w:r w:rsidRPr="00561499">
        <w:t xml:space="preserve">presented a national review of achievement against the Closing the Gap Targets in the first sitting week of Parliament. </w:t>
      </w:r>
      <w:r w:rsidRPr="00561499">
        <w:rPr>
          <w:rFonts w:cs="Calibri"/>
        </w:rPr>
        <w:t>I</w:t>
      </w:r>
      <w:r w:rsidRPr="00561499">
        <w:t xml:space="preserve">n parallel, the Close the Gap Campaign has issued its own reports, providing </w:t>
      </w:r>
      <w:r w:rsidR="00A11298" w:rsidRPr="00561499">
        <w:t xml:space="preserve">an </w:t>
      </w:r>
      <w:r w:rsidRPr="00561499">
        <w:t>independent assessme</w:t>
      </w:r>
      <w:r w:rsidR="00CF5900">
        <w:t>nt. This R</w:t>
      </w:r>
      <w:r w:rsidR="00F659F8">
        <w:t xml:space="preserve">eport is the </w:t>
      </w:r>
      <w:r w:rsidR="00CF5900">
        <w:t xml:space="preserve">Campaign Steering Committee's </w:t>
      </w:r>
      <w:r w:rsidR="00F659F8">
        <w:t>seventh.</w:t>
      </w:r>
    </w:p>
    <w:p w14:paraId="09930944" w14:textId="4047CF59" w:rsidR="008C4FB0" w:rsidRDefault="00221769" w:rsidP="00596C22">
      <w:pPr>
        <w:spacing w:after="400"/>
      </w:pPr>
      <w:r w:rsidRPr="00561499">
        <w:t xml:space="preserve">For the Close the Gap Campaign, 2016 marks ten years of hard work and achievement. Such milestones and this report provide us with a reason to celebrate success, and also an opportunity to identify </w:t>
      </w:r>
      <w:r w:rsidR="001F72B7" w:rsidRPr="00561499">
        <w:t>areas of further challenge, and—</w:t>
      </w:r>
      <w:r w:rsidRPr="00561499">
        <w:t xml:space="preserve">in what is also </w:t>
      </w:r>
      <w:r w:rsidR="00177569" w:rsidRPr="00561499">
        <w:t>a Federal E</w:t>
      </w:r>
      <w:r w:rsidR="001F72B7" w:rsidRPr="00561499">
        <w:t>lection year—</w:t>
      </w:r>
      <w:r w:rsidRPr="00561499">
        <w:t>to propose further reform.</w:t>
      </w:r>
    </w:p>
    <w:tbl>
      <w:tblPr>
        <w:tblStyle w:val="TableGrid"/>
        <w:tblW w:w="0" w:type="auto"/>
        <w:tblBorders>
          <w:top w:val="single" w:sz="8" w:space="0" w:color="007DA7"/>
          <w:left w:val="single" w:sz="8" w:space="0" w:color="007DA7"/>
          <w:bottom w:val="single" w:sz="8" w:space="0" w:color="007DA7"/>
          <w:right w:val="single" w:sz="8" w:space="0" w:color="007DA7"/>
          <w:insideH w:val="none" w:sz="0" w:space="0" w:color="auto"/>
          <w:insideV w:val="none" w:sz="0" w:space="0" w:color="auto"/>
        </w:tblBorders>
        <w:tblCellMar>
          <w:top w:w="227" w:type="dxa"/>
          <w:left w:w="227" w:type="dxa"/>
          <w:bottom w:w="227" w:type="dxa"/>
          <w:right w:w="227" w:type="dxa"/>
        </w:tblCellMar>
        <w:tblLook w:val="04A0" w:firstRow="1" w:lastRow="0" w:firstColumn="1" w:lastColumn="0" w:noHBand="0" w:noVBand="1"/>
      </w:tblPr>
      <w:tblGrid>
        <w:gridCol w:w="9286"/>
      </w:tblGrid>
      <w:tr w:rsidR="00155CF7" w14:paraId="7B90F766" w14:textId="77777777" w:rsidTr="00050FD5">
        <w:tc>
          <w:tcPr>
            <w:tcW w:w="9286" w:type="dxa"/>
            <w:shd w:val="clear" w:color="auto" w:fill="auto"/>
          </w:tcPr>
          <w:p w14:paraId="5A10ECB4" w14:textId="77777777" w:rsidR="00155CF7" w:rsidRPr="00561499" w:rsidRDefault="00155CF7" w:rsidP="00155CF7">
            <w:pPr>
              <w:pStyle w:val="ColorfulList-Accent11"/>
              <w:ind w:left="0"/>
              <w:contextualSpacing w:val="0"/>
              <w:rPr>
                <w:rFonts w:cs="Calibri"/>
                <w:lang w:val="en-AU"/>
              </w:rPr>
            </w:pPr>
            <w:r w:rsidRPr="00561499">
              <w:rPr>
                <w:rFonts w:cs="Calibri"/>
                <w:lang w:val="en-AU"/>
              </w:rPr>
              <w:t>This report comprises three parts:</w:t>
            </w:r>
          </w:p>
          <w:p w14:paraId="5655985F" w14:textId="77777777" w:rsidR="00155CF7" w:rsidRPr="00561499" w:rsidRDefault="00155CF7" w:rsidP="00155CF7">
            <w:pPr>
              <w:pStyle w:val="ListParagraph"/>
              <w:numPr>
                <w:ilvl w:val="0"/>
                <w:numId w:val="22"/>
              </w:numPr>
              <w:spacing w:before="120"/>
              <w:ind w:left="714" w:hanging="357"/>
              <w:contextualSpacing w:val="0"/>
            </w:pPr>
            <w:r w:rsidRPr="00F659F8">
              <w:rPr>
                <w:b/>
              </w:rPr>
              <w:t>Part 1:</w:t>
            </w:r>
            <w:r w:rsidRPr="00561499">
              <w:t xml:space="preserve"> Progress over the life of the Closing the Gap Strategy, examining health outcomes as revealed by data in the six years since July 2009. </w:t>
            </w:r>
          </w:p>
          <w:p w14:paraId="2CC34C54" w14:textId="77777777" w:rsidR="00155CF7" w:rsidRPr="00561499" w:rsidRDefault="00155CF7" w:rsidP="00155CF7">
            <w:pPr>
              <w:pStyle w:val="ListParagraph"/>
              <w:numPr>
                <w:ilvl w:val="0"/>
                <w:numId w:val="22"/>
              </w:numPr>
              <w:spacing w:before="120"/>
              <w:ind w:left="714" w:hanging="357"/>
              <w:contextualSpacing w:val="0"/>
            </w:pPr>
            <w:r w:rsidRPr="00F659F8">
              <w:rPr>
                <w:b/>
              </w:rPr>
              <w:t>Part 2:</w:t>
            </w:r>
            <w:r w:rsidRPr="00561499">
              <w:t xml:space="preserve"> New insights into health service usage by Aboriginal and Torres Strait Islander people, examining data on health services use from the 2012–13 National Aboriginal and Torres Strait Islander Health Survey and other sources. </w:t>
            </w:r>
          </w:p>
          <w:p w14:paraId="1641F642" w14:textId="777F03BC" w:rsidR="00155CF7" w:rsidRDefault="00155CF7" w:rsidP="00F659F8">
            <w:pPr>
              <w:pStyle w:val="ListParagraph"/>
              <w:numPr>
                <w:ilvl w:val="0"/>
                <w:numId w:val="22"/>
              </w:numPr>
              <w:spacing w:before="120"/>
              <w:ind w:left="714" w:hanging="357"/>
              <w:contextualSpacing w:val="0"/>
            </w:pPr>
            <w:r w:rsidRPr="00F659F8">
              <w:rPr>
                <w:b/>
              </w:rPr>
              <w:t>Part 3:</w:t>
            </w:r>
            <w:r w:rsidRPr="00561499">
              <w:t xml:space="preserve"> Priorities in the next term of Parliament sets out the Campaign Steering Committee’s ideas for reinvigorating the Closing the Gap Strategy and other action for the next Australian Government.</w:t>
            </w:r>
          </w:p>
        </w:tc>
      </w:tr>
    </w:tbl>
    <w:p w14:paraId="68D72B46" w14:textId="77777777" w:rsidR="008C4FB0" w:rsidRPr="008C4FB0" w:rsidRDefault="008C4FB0" w:rsidP="00596C22">
      <w:bookmarkStart w:id="5" w:name="_Toc409788707"/>
    </w:p>
    <w:p w14:paraId="4CB23285" w14:textId="587E58BC" w:rsidR="00221769" w:rsidRPr="00561499" w:rsidRDefault="00221769" w:rsidP="00050FD5">
      <w:pPr>
        <w:pStyle w:val="Heading3"/>
        <w:rPr>
          <w:rFonts w:cs="Calibri"/>
          <w:b/>
          <w:lang w:val="en-AU"/>
        </w:rPr>
      </w:pPr>
      <w:bookmarkStart w:id="6" w:name="_Toc315703399"/>
      <w:r w:rsidRPr="00561499">
        <w:rPr>
          <w:lang w:val="en-AU"/>
        </w:rPr>
        <w:t>Close the Gap Statement of Intent</w:t>
      </w:r>
      <w:bookmarkEnd w:id="5"/>
      <w:bookmarkEnd w:id="6"/>
    </w:p>
    <w:p w14:paraId="6B48F6CC" w14:textId="1601556B" w:rsidR="00221769" w:rsidRDefault="00221769" w:rsidP="009415A8">
      <w:pPr>
        <w:rPr>
          <w:lang w:val="en-AU"/>
        </w:rPr>
      </w:pPr>
      <w:r w:rsidRPr="00561499">
        <w:rPr>
          <w:lang w:val="en-AU"/>
        </w:rPr>
        <w:t xml:space="preserve">The </w:t>
      </w:r>
      <w:r w:rsidRPr="00561499">
        <w:rPr>
          <w:i/>
          <w:lang w:val="en-AU"/>
        </w:rPr>
        <w:t>Close the Gap Statement of Intent</w:t>
      </w:r>
      <w:r w:rsidRPr="00561499">
        <w:rPr>
          <w:lang w:val="en-AU"/>
        </w:rPr>
        <w:t xml:space="preserve"> was signed on 20 March 2008 by Hon. Kevin Rudd MP (then Prime Minister); Hon. Nicola Roxon MP (then Minister for Health and Ageing); Hon. Jenny Macklin MP (then Minister for Families, Housing, Community Services and Indigenous Affairs); and Dr Brendan Nelson MP (then Opposition Leader).</w:t>
      </w:r>
    </w:p>
    <w:p w14:paraId="6930F22F" w14:textId="62D7AED9" w:rsidR="00221769" w:rsidRPr="00561499" w:rsidRDefault="00221769" w:rsidP="00AB7B40">
      <w:pPr>
        <w:spacing w:before="240" w:after="240"/>
        <w:rPr>
          <w:lang w:val="en-AU"/>
        </w:rPr>
      </w:pPr>
      <w:r w:rsidRPr="00561499">
        <w:rPr>
          <w:lang w:val="en-AU"/>
        </w:rPr>
        <w:t xml:space="preserve">Most state and territory governments and oppositions have also signed the </w:t>
      </w:r>
      <w:r w:rsidRPr="00561499">
        <w:rPr>
          <w:i/>
          <w:lang w:val="en-AU"/>
        </w:rPr>
        <w:t>Close the Gap Statement of Intent</w:t>
      </w:r>
      <w:r w:rsidRPr="00561499">
        <w:rPr>
          <w:lang w:val="en-AU"/>
        </w:rPr>
        <w:t xml:space="preserve">, including Victoria in March 2008; Queensland in April 2008; Western Australia in April 2009; the Australian Capital Territory in April 2010; New South Wales in June 2010; and South Australia in November 2010. A variety of non-government organisations including Close the Gap Campaign members (see page </w:t>
      </w:r>
      <w:r w:rsidR="009415A8">
        <w:rPr>
          <w:lang w:val="en-AU"/>
        </w:rPr>
        <w:t>42</w:t>
      </w:r>
      <w:r w:rsidRPr="00561499">
        <w:rPr>
          <w:lang w:val="en-AU"/>
        </w:rPr>
        <w:t xml:space="preserve">), health bodies, human rights groups and community development organisations have also signed the </w:t>
      </w:r>
      <w:r w:rsidRPr="00561499">
        <w:rPr>
          <w:i/>
          <w:lang w:val="en-AU"/>
        </w:rPr>
        <w:t>Close the Gap Statement of Intent</w:t>
      </w:r>
      <w:r w:rsidRPr="00561499">
        <w:rPr>
          <w:lang w:val="en-AU"/>
        </w:rPr>
        <w:t xml:space="preserve"> at both a national and state/territory level demonstrating broad community support for these principles</w:t>
      </w:r>
      <w:r w:rsidR="003966FF" w:rsidRPr="00561499">
        <w:rPr>
          <w:lang w:val="en-AU"/>
        </w:rPr>
        <w:t>.</w:t>
      </w:r>
    </w:p>
    <w:p w14:paraId="51218171" w14:textId="17C550B4" w:rsidR="00D43670" w:rsidRDefault="00046D78" w:rsidP="00D43670">
      <w:pPr>
        <w:rPr>
          <w:lang w:val="en-AU"/>
        </w:rPr>
      </w:pPr>
      <w:r>
        <w:rPr>
          <w:noProof/>
        </w:rPr>
        <w:lastRenderedPageBreak/>
        <w:drawing>
          <wp:inline distT="0" distB="0" distL="0" distR="0" wp14:anchorId="07B5CBB5" wp14:editId="58B7F635">
            <wp:extent cx="5759450" cy="827405"/>
            <wp:effectExtent l="0" t="0" r="6350" b="10795"/>
            <wp:docPr id="5" name="Picture 5" title="CLOSE THE GA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G-blu-black-blu.jpg"/>
                    <pic:cNvPicPr/>
                  </pic:nvPicPr>
                  <pic:blipFill>
                    <a:blip r:embed="rId13">
                      <a:extLst>
                        <a:ext uri="{28A0092B-C50C-407E-A947-70E740481C1C}">
                          <a14:useLocalDpi xmlns:a14="http://schemas.microsoft.com/office/drawing/2010/main" val="0"/>
                        </a:ext>
                      </a:extLst>
                    </a:blip>
                    <a:stretch>
                      <a:fillRect/>
                    </a:stretch>
                  </pic:blipFill>
                  <pic:spPr>
                    <a:xfrm>
                      <a:off x="0" y="0"/>
                      <a:ext cx="5759450" cy="827405"/>
                    </a:xfrm>
                    <a:prstGeom prst="rect">
                      <a:avLst/>
                    </a:prstGeom>
                  </pic:spPr>
                </pic:pic>
              </a:graphicData>
            </a:graphic>
          </wp:inline>
        </w:drawing>
      </w:r>
    </w:p>
    <w:p w14:paraId="030669D2" w14:textId="28164767" w:rsidR="00CA6B46" w:rsidRPr="002E2D37" w:rsidRDefault="00CA6B46" w:rsidP="00CA6B46">
      <w:pPr>
        <w:jc w:val="center"/>
        <w:rPr>
          <w:rFonts w:cs="Calibri"/>
          <w:sz w:val="32"/>
          <w:szCs w:val="32"/>
          <w:lang w:val="en-AU"/>
        </w:rPr>
      </w:pPr>
      <w:r w:rsidRPr="002E2D37">
        <w:rPr>
          <w:rFonts w:cs="Calibri"/>
          <w:sz w:val="32"/>
          <w:szCs w:val="32"/>
          <w:lang w:val="en-AU"/>
        </w:rPr>
        <w:t>Indigenous Health Equality Summit</w:t>
      </w:r>
    </w:p>
    <w:p w14:paraId="1C40EC65" w14:textId="48098335" w:rsidR="00046D78" w:rsidRDefault="00266878" w:rsidP="00046D78">
      <w:pPr>
        <w:spacing w:after="600"/>
        <w:rPr>
          <w:rFonts w:cs="Calibri"/>
          <w:sz w:val="20"/>
          <w:szCs w:val="20"/>
          <w:lang w:val="en-AU"/>
        </w:rPr>
      </w:pPr>
      <w:r>
        <w:rPr>
          <w:rFonts w:cs="Calibri"/>
          <w:sz w:val="20"/>
          <w:szCs w:val="20"/>
          <w:lang w:val="en-AU"/>
        </w:rPr>
        <w:pict w14:anchorId="486CFF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9pt;height:1.45pt" o:hrpct="0" o:hralign="center" o:hr="t">
            <v:imagedata r:id="rId14" o:title="Default Line"/>
          </v:shape>
        </w:pict>
      </w:r>
    </w:p>
    <w:p w14:paraId="51D7C1E0" w14:textId="2EDD35C2" w:rsidR="00CA6B46" w:rsidRPr="00CA6B46" w:rsidRDefault="00CA6B46" w:rsidP="00F01AA5">
      <w:pPr>
        <w:rPr>
          <w:rFonts w:cs="Calibri"/>
          <w:sz w:val="20"/>
          <w:szCs w:val="20"/>
          <w:lang w:val="en-AU"/>
        </w:rPr>
      </w:pPr>
      <w:r w:rsidRPr="00CA6B46">
        <w:rPr>
          <w:rFonts w:cs="Calibri"/>
          <w:sz w:val="20"/>
          <w:szCs w:val="20"/>
          <w:lang w:val="en-AU"/>
        </w:rPr>
        <w:t>CANBERRA, MARCH 20, 2008</w:t>
      </w:r>
    </w:p>
    <w:p w14:paraId="7884CF1E" w14:textId="77777777" w:rsidR="00CA6B46" w:rsidRPr="00CA6B46" w:rsidRDefault="00CA6B46" w:rsidP="00CA6B46">
      <w:pPr>
        <w:rPr>
          <w:color w:val="007DA7"/>
          <w:sz w:val="20"/>
          <w:szCs w:val="20"/>
        </w:rPr>
      </w:pPr>
      <w:r w:rsidRPr="00CA6B46">
        <w:rPr>
          <w:color w:val="007DA7"/>
          <w:sz w:val="20"/>
          <w:szCs w:val="20"/>
        </w:rPr>
        <w:t>PREAMBLE</w:t>
      </w:r>
    </w:p>
    <w:p w14:paraId="6DC18F38" w14:textId="01ABB337" w:rsidR="00CA6B46" w:rsidRPr="00CA6B46" w:rsidRDefault="00CA6B46" w:rsidP="002E2D37">
      <w:pPr>
        <w:ind w:left="567"/>
        <w:rPr>
          <w:rStyle w:val="Emphasis"/>
          <w:sz w:val="20"/>
          <w:szCs w:val="20"/>
        </w:rPr>
      </w:pPr>
      <w:r w:rsidRPr="00CA6B46">
        <w:rPr>
          <w:rStyle w:val="Emphasis"/>
          <w:sz w:val="20"/>
          <w:szCs w:val="20"/>
        </w:rPr>
        <w:t>Our challenge for the future is to embrace a new partnership between Indigenous and non-Indigenous Australians. The core of this partnership for the future is closing the gap between Indigenous and non-Indigenous Australians on life expectancy, educational achievement and employment opportunities. This new partnership on closing the gap will set concrete targets for the future: within a decade to halve the widening gap in literacy, numeracy and employment outcomes and opportunities for Indigenous children, within a decade to halve the appalling gap in infant mortality rates between indigenous and non-indigenous children and, within a generation, to close the equally appalling 17-year life gap between Indigenous and non-Indigenous when it comes to overall life expectancy.</w:t>
      </w:r>
    </w:p>
    <w:p w14:paraId="35A04FCA" w14:textId="77777777" w:rsidR="00CA6B46" w:rsidRPr="00CA6B46" w:rsidRDefault="00CA6B46" w:rsidP="002E2D37">
      <w:pPr>
        <w:spacing w:after="400"/>
        <w:ind w:left="567"/>
        <w:rPr>
          <w:rStyle w:val="Strong"/>
          <w:sz w:val="20"/>
          <w:szCs w:val="20"/>
        </w:rPr>
      </w:pPr>
      <w:r w:rsidRPr="00CA6B46">
        <w:rPr>
          <w:rStyle w:val="Strong"/>
          <w:sz w:val="20"/>
          <w:szCs w:val="20"/>
        </w:rPr>
        <w:t>Prime Minister Kevin Rudd, Apology to Australia’s Indigenous Peoples, 13 February 2008</w:t>
      </w:r>
    </w:p>
    <w:p w14:paraId="03FF206E" w14:textId="5C141084" w:rsidR="00CA6B46" w:rsidRPr="00CA6B46" w:rsidRDefault="00CA6B46" w:rsidP="00CA6B46">
      <w:pPr>
        <w:rPr>
          <w:color w:val="000000"/>
          <w:sz w:val="20"/>
          <w:szCs w:val="20"/>
        </w:rPr>
      </w:pPr>
      <w:r w:rsidRPr="00CA6B46">
        <w:rPr>
          <w:color w:val="000000"/>
          <w:sz w:val="20"/>
          <w:szCs w:val="20"/>
        </w:rPr>
        <w:t>This is a statement of intent – between the Government of Australia and the Aboriginal and Torres Strait Islander Peoples of Austral</w:t>
      </w:r>
      <w:r>
        <w:rPr>
          <w:color w:val="000000"/>
          <w:sz w:val="20"/>
          <w:szCs w:val="20"/>
        </w:rPr>
        <w:t xml:space="preserve">ia, supported by non-Indigenous </w:t>
      </w:r>
      <w:r w:rsidRPr="00CA6B46">
        <w:rPr>
          <w:color w:val="000000"/>
          <w:sz w:val="20"/>
          <w:szCs w:val="20"/>
        </w:rPr>
        <w:t>Australians and Aboriginal and Torres Strait Islander and non-Indigenous health organizations – to work together to achieve equality in health status and life</w:t>
      </w:r>
      <w:r>
        <w:rPr>
          <w:color w:val="000000"/>
          <w:sz w:val="20"/>
          <w:szCs w:val="20"/>
        </w:rPr>
        <w:t xml:space="preserve"> </w:t>
      </w:r>
      <w:r w:rsidRPr="00CA6B46">
        <w:rPr>
          <w:color w:val="000000"/>
          <w:sz w:val="20"/>
          <w:szCs w:val="20"/>
        </w:rPr>
        <w:t>expectancy between Aboriginal and Torres Strait Islander peoples and non-Indigenous Australians by year 2030.</w:t>
      </w:r>
    </w:p>
    <w:p w14:paraId="2873A3EC" w14:textId="417FA15B" w:rsidR="00CA6B46" w:rsidRPr="00CA6B46" w:rsidRDefault="00CA6B46" w:rsidP="00CA6B46">
      <w:pPr>
        <w:rPr>
          <w:color w:val="000000"/>
          <w:sz w:val="20"/>
          <w:szCs w:val="20"/>
        </w:rPr>
      </w:pPr>
      <w:r w:rsidRPr="00CA6B46">
        <w:rPr>
          <w:color w:val="000000"/>
          <w:sz w:val="20"/>
          <w:szCs w:val="20"/>
        </w:rPr>
        <w:t>We share a determination to close the fundamental divide between the health outcomes and life expectancy of the Aboriginal and To</w:t>
      </w:r>
      <w:r>
        <w:rPr>
          <w:color w:val="000000"/>
          <w:sz w:val="20"/>
          <w:szCs w:val="20"/>
        </w:rPr>
        <w:t xml:space="preserve">rres Strait Islander peoples of </w:t>
      </w:r>
      <w:r w:rsidRPr="00CA6B46">
        <w:rPr>
          <w:color w:val="000000"/>
          <w:sz w:val="20"/>
          <w:szCs w:val="20"/>
        </w:rPr>
        <w:t>Australia and non-Indigenous Australians.</w:t>
      </w:r>
    </w:p>
    <w:p w14:paraId="77644DE7" w14:textId="77777777" w:rsidR="00CA6B46" w:rsidRPr="00CA6B46" w:rsidRDefault="00CA6B46" w:rsidP="00CA6B46">
      <w:pPr>
        <w:rPr>
          <w:color w:val="000000"/>
          <w:sz w:val="20"/>
          <w:szCs w:val="20"/>
        </w:rPr>
      </w:pPr>
      <w:r w:rsidRPr="00CA6B46">
        <w:rPr>
          <w:color w:val="000000"/>
          <w:sz w:val="20"/>
          <w:szCs w:val="20"/>
        </w:rPr>
        <w:t>We are committed to ensuring that Aboriginal and Torres Strait Islander peoples have equal life chances to all other Australians.</w:t>
      </w:r>
    </w:p>
    <w:p w14:paraId="48128D1D" w14:textId="3B53C4E0" w:rsidR="00CA6B46" w:rsidRPr="00CA6B46" w:rsidRDefault="00CA6B46" w:rsidP="00CA6B46">
      <w:pPr>
        <w:rPr>
          <w:color w:val="000000"/>
          <w:sz w:val="20"/>
          <w:szCs w:val="20"/>
        </w:rPr>
      </w:pPr>
      <w:r w:rsidRPr="00CA6B46">
        <w:rPr>
          <w:color w:val="000000"/>
          <w:sz w:val="20"/>
          <w:szCs w:val="20"/>
        </w:rPr>
        <w:t>We are committed to working towards ensuring Aboriginal and Torres Strait Islander peoples have access to health services that</w:t>
      </w:r>
      <w:r>
        <w:rPr>
          <w:color w:val="000000"/>
          <w:sz w:val="20"/>
          <w:szCs w:val="20"/>
        </w:rPr>
        <w:t xml:space="preserve"> are equal in standard to those </w:t>
      </w:r>
      <w:r w:rsidRPr="00CA6B46">
        <w:rPr>
          <w:color w:val="000000"/>
          <w:sz w:val="20"/>
          <w:szCs w:val="20"/>
        </w:rPr>
        <w:t>enjoyed by other Australians and enjoy living conditions that support their social, emotional and cultural well-being.</w:t>
      </w:r>
    </w:p>
    <w:p w14:paraId="784DC09B" w14:textId="7651A31C" w:rsidR="00CA6B46" w:rsidRDefault="00CA6B46" w:rsidP="00CA6B46">
      <w:pPr>
        <w:rPr>
          <w:color w:val="000000"/>
          <w:sz w:val="20"/>
          <w:szCs w:val="20"/>
        </w:rPr>
      </w:pPr>
      <w:r w:rsidRPr="00CA6B46">
        <w:rPr>
          <w:color w:val="000000"/>
          <w:sz w:val="20"/>
          <w:szCs w:val="20"/>
        </w:rPr>
        <w:t xml:space="preserve">We </w:t>
      </w:r>
      <w:proofErr w:type="spellStart"/>
      <w:r w:rsidRPr="00CA6B46">
        <w:rPr>
          <w:color w:val="000000"/>
          <w:sz w:val="20"/>
          <w:szCs w:val="20"/>
        </w:rPr>
        <w:t>recognise</w:t>
      </w:r>
      <w:proofErr w:type="spellEnd"/>
      <w:r w:rsidRPr="00CA6B46">
        <w:rPr>
          <w:color w:val="000000"/>
          <w:sz w:val="20"/>
          <w:szCs w:val="20"/>
        </w:rPr>
        <w:t xml:space="preserve"> that specific measures are needed to improve Aboriginal and Torres Strait Islander peoples’ access to health services. Crucial to ensurin</w:t>
      </w:r>
      <w:r>
        <w:rPr>
          <w:color w:val="000000"/>
          <w:sz w:val="20"/>
          <w:szCs w:val="20"/>
        </w:rPr>
        <w:t xml:space="preserve">g equal </w:t>
      </w:r>
      <w:r w:rsidRPr="00CA6B46">
        <w:rPr>
          <w:color w:val="000000"/>
          <w:sz w:val="20"/>
          <w:szCs w:val="20"/>
        </w:rPr>
        <w:t>access to health services is ensuring that Aboriginal and Torres Strait Islander peoples are actively involved in the design, delivery and control of these services.</w:t>
      </w:r>
    </w:p>
    <w:p w14:paraId="05D76501" w14:textId="334A9601" w:rsidR="00046D78" w:rsidRDefault="00046D78">
      <w:pPr>
        <w:keepLines w:val="0"/>
        <w:widowControl/>
        <w:spacing w:after="0" w:line="240" w:lineRule="auto"/>
        <w:rPr>
          <w:color w:val="000000"/>
          <w:sz w:val="20"/>
          <w:szCs w:val="20"/>
        </w:rPr>
      </w:pPr>
      <w:r>
        <w:rPr>
          <w:color w:val="000000"/>
          <w:sz w:val="20"/>
          <w:szCs w:val="20"/>
        </w:rPr>
        <w:br w:type="page"/>
      </w:r>
    </w:p>
    <w:p w14:paraId="4F697882" w14:textId="77777777" w:rsidR="00046D78" w:rsidRPr="00CA6B46" w:rsidRDefault="00046D78" w:rsidP="00CA6B46">
      <w:pPr>
        <w:rPr>
          <w:color w:val="000000"/>
          <w:sz w:val="20"/>
          <w:szCs w:val="20"/>
        </w:rPr>
      </w:pPr>
    </w:p>
    <w:p w14:paraId="59E2F44A" w14:textId="77777777" w:rsidR="00CA6B46" w:rsidRPr="00CA6B46" w:rsidRDefault="00CA6B46" w:rsidP="00CA6B46">
      <w:pPr>
        <w:rPr>
          <w:color w:val="007DA7"/>
          <w:sz w:val="20"/>
          <w:szCs w:val="20"/>
        </w:rPr>
      </w:pPr>
      <w:r w:rsidRPr="00CA6B46">
        <w:rPr>
          <w:color w:val="007DA7"/>
          <w:sz w:val="20"/>
          <w:szCs w:val="20"/>
        </w:rPr>
        <w:t>ACCORDINGLY WE COMMIT:</w:t>
      </w:r>
    </w:p>
    <w:p w14:paraId="778D777A" w14:textId="535FB63A" w:rsidR="00CA6B46" w:rsidRPr="00CA6B46" w:rsidRDefault="00CA6B46" w:rsidP="00046D78">
      <w:pPr>
        <w:pStyle w:val="ListParagraph"/>
        <w:numPr>
          <w:ilvl w:val="0"/>
          <w:numId w:val="100"/>
        </w:numPr>
        <w:spacing w:after="100"/>
        <w:ind w:left="714" w:hanging="357"/>
        <w:contextualSpacing w:val="0"/>
        <w:rPr>
          <w:color w:val="000000"/>
          <w:sz w:val="20"/>
          <w:szCs w:val="20"/>
        </w:rPr>
      </w:pPr>
      <w:r w:rsidRPr="00CA6B46">
        <w:rPr>
          <w:color w:val="000000"/>
          <w:sz w:val="20"/>
          <w:szCs w:val="20"/>
        </w:rPr>
        <w:t>To developing a comprehensive, long-term plan of action, that is targeted to need, evidence-based and capable of addressing the existing inequities in health services, in order to achieve equality of health status and life expectancy between Aboriginal and Torres Strait Islander peoples and non-indigenous Australians by 2030.</w:t>
      </w:r>
    </w:p>
    <w:p w14:paraId="2FE536FB" w14:textId="19DEAB4F" w:rsidR="00CA6B46" w:rsidRPr="00CA6B46" w:rsidRDefault="00CA6B46" w:rsidP="00046D78">
      <w:pPr>
        <w:pStyle w:val="ListParagraph"/>
        <w:numPr>
          <w:ilvl w:val="0"/>
          <w:numId w:val="100"/>
        </w:numPr>
        <w:spacing w:after="100"/>
        <w:ind w:left="714" w:hanging="357"/>
        <w:contextualSpacing w:val="0"/>
        <w:rPr>
          <w:color w:val="000000"/>
          <w:sz w:val="20"/>
          <w:szCs w:val="20"/>
        </w:rPr>
      </w:pPr>
      <w:r w:rsidRPr="00CA6B46">
        <w:rPr>
          <w:color w:val="000000"/>
          <w:sz w:val="20"/>
          <w:szCs w:val="20"/>
        </w:rPr>
        <w:t>To ensuring primary health care services and health infrastructure for Aboriginal and Torres Strait Islander peoples which are capable of bridging the gaps in health standards by 2018.</w:t>
      </w:r>
    </w:p>
    <w:p w14:paraId="1516990E" w14:textId="0E5EC02E" w:rsidR="00CA6B46" w:rsidRPr="00CA6B46" w:rsidRDefault="00CA6B46" w:rsidP="00046D78">
      <w:pPr>
        <w:pStyle w:val="ListParagraph"/>
        <w:numPr>
          <w:ilvl w:val="0"/>
          <w:numId w:val="100"/>
        </w:numPr>
        <w:spacing w:after="100"/>
        <w:ind w:left="714" w:hanging="357"/>
        <w:contextualSpacing w:val="0"/>
        <w:rPr>
          <w:color w:val="000000"/>
          <w:sz w:val="20"/>
          <w:szCs w:val="20"/>
        </w:rPr>
      </w:pPr>
      <w:r w:rsidRPr="00CA6B46">
        <w:rPr>
          <w:color w:val="000000"/>
          <w:sz w:val="20"/>
          <w:szCs w:val="20"/>
        </w:rPr>
        <w:t>To ensuring the full participation of Aboriginal and Torres Strait Islander peoples and their representative bodies in all aspects of addressing their health needs.</w:t>
      </w:r>
    </w:p>
    <w:p w14:paraId="0AB9523B" w14:textId="63FF6D51" w:rsidR="00CA6B46" w:rsidRPr="00CA6B46" w:rsidRDefault="00CA6B46" w:rsidP="00046D78">
      <w:pPr>
        <w:pStyle w:val="ListParagraph"/>
        <w:numPr>
          <w:ilvl w:val="0"/>
          <w:numId w:val="100"/>
        </w:numPr>
        <w:spacing w:after="100"/>
        <w:ind w:left="714" w:hanging="357"/>
        <w:contextualSpacing w:val="0"/>
        <w:rPr>
          <w:color w:val="000000"/>
          <w:sz w:val="20"/>
          <w:szCs w:val="20"/>
        </w:rPr>
      </w:pPr>
      <w:r w:rsidRPr="00CA6B46">
        <w:rPr>
          <w:color w:val="000000"/>
          <w:sz w:val="20"/>
          <w:szCs w:val="20"/>
        </w:rPr>
        <w:t>To working collectively to systematically address the social determinants that impact on achieving health equality for Aboriginal and Torres Strait Islander peoples.</w:t>
      </w:r>
    </w:p>
    <w:p w14:paraId="029467B8" w14:textId="591196A3" w:rsidR="00CA6B46" w:rsidRPr="00CA6B46" w:rsidRDefault="00CA6B46" w:rsidP="00046D78">
      <w:pPr>
        <w:pStyle w:val="ListParagraph"/>
        <w:numPr>
          <w:ilvl w:val="0"/>
          <w:numId w:val="100"/>
        </w:numPr>
        <w:spacing w:after="100"/>
        <w:ind w:left="714" w:hanging="357"/>
        <w:contextualSpacing w:val="0"/>
        <w:rPr>
          <w:color w:val="000000"/>
          <w:sz w:val="20"/>
          <w:szCs w:val="20"/>
        </w:rPr>
      </w:pPr>
      <w:r w:rsidRPr="00CA6B46">
        <w:rPr>
          <w:color w:val="000000"/>
          <w:sz w:val="20"/>
          <w:szCs w:val="20"/>
        </w:rPr>
        <w:t>To building on the evidence base and supporting what works in Aboriginal and Torres Strait Islander health, and relevant international experience.</w:t>
      </w:r>
    </w:p>
    <w:p w14:paraId="64DC0F5F" w14:textId="12CCDFBB" w:rsidR="00CA6B46" w:rsidRPr="00CA6B46" w:rsidRDefault="00CA6B46" w:rsidP="00046D78">
      <w:pPr>
        <w:pStyle w:val="ListParagraph"/>
        <w:numPr>
          <w:ilvl w:val="0"/>
          <w:numId w:val="100"/>
        </w:numPr>
        <w:spacing w:after="100"/>
        <w:ind w:left="714" w:hanging="357"/>
        <w:contextualSpacing w:val="0"/>
        <w:rPr>
          <w:color w:val="000000"/>
          <w:sz w:val="20"/>
          <w:szCs w:val="20"/>
        </w:rPr>
      </w:pPr>
      <w:r w:rsidRPr="00CA6B46">
        <w:rPr>
          <w:color w:val="000000"/>
          <w:sz w:val="20"/>
          <w:szCs w:val="20"/>
        </w:rPr>
        <w:t>To supporting and developing Aboriginal and Torres Strait Islander community controlled health services in urban, rural and remote areas in order to achieve lasting improvements in Aboriginal and Torres Strait Islander health and wellbeing.</w:t>
      </w:r>
    </w:p>
    <w:p w14:paraId="6946A60C" w14:textId="58AFCDB7" w:rsidR="00CA6B46" w:rsidRPr="00CA6B46" w:rsidRDefault="00CA6B46" w:rsidP="00046D78">
      <w:pPr>
        <w:pStyle w:val="ListParagraph"/>
        <w:numPr>
          <w:ilvl w:val="0"/>
          <w:numId w:val="100"/>
        </w:numPr>
        <w:spacing w:after="100"/>
        <w:ind w:left="714" w:hanging="357"/>
        <w:contextualSpacing w:val="0"/>
        <w:rPr>
          <w:color w:val="000000"/>
          <w:sz w:val="20"/>
          <w:szCs w:val="20"/>
        </w:rPr>
      </w:pPr>
      <w:r w:rsidRPr="00CA6B46">
        <w:rPr>
          <w:color w:val="000000"/>
          <w:sz w:val="20"/>
          <w:szCs w:val="20"/>
        </w:rPr>
        <w:t>To achieving improved access to, and outcomes from, mainstream services for Aboriginal and Torres Strait Islander peoples.</w:t>
      </w:r>
    </w:p>
    <w:p w14:paraId="491C42A9" w14:textId="3C58222E" w:rsidR="00CA6B46" w:rsidRPr="00CA6B46" w:rsidRDefault="00CA6B46" w:rsidP="00046D78">
      <w:pPr>
        <w:pStyle w:val="ListParagraph"/>
        <w:numPr>
          <w:ilvl w:val="0"/>
          <w:numId w:val="100"/>
        </w:numPr>
        <w:spacing w:after="100"/>
        <w:ind w:left="714" w:hanging="357"/>
        <w:contextualSpacing w:val="0"/>
        <w:rPr>
          <w:color w:val="000000"/>
          <w:sz w:val="20"/>
          <w:szCs w:val="20"/>
        </w:rPr>
      </w:pPr>
      <w:r w:rsidRPr="00CA6B46">
        <w:rPr>
          <w:color w:val="000000"/>
          <w:sz w:val="20"/>
          <w:szCs w:val="20"/>
        </w:rPr>
        <w:t>To</w:t>
      </w:r>
      <w:r>
        <w:rPr>
          <w:color w:val="000000"/>
          <w:sz w:val="20"/>
          <w:szCs w:val="20"/>
        </w:rPr>
        <w:t xml:space="preserve"> </w:t>
      </w:r>
      <w:r w:rsidRPr="00CA6B46">
        <w:rPr>
          <w:color w:val="000000"/>
          <w:sz w:val="20"/>
          <w:szCs w:val="20"/>
        </w:rPr>
        <w:t>respect and promote the rights of Aboriginal and Torres Strait Islander peoples, including by ensuring that health services are available, appropriate, accessible, affordable and good quality.</w:t>
      </w:r>
    </w:p>
    <w:p w14:paraId="5D358F41" w14:textId="1C241242" w:rsidR="00CA6B46" w:rsidRDefault="00CA6B46" w:rsidP="00046D78">
      <w:pPr>
        <w:pStyle w:val="ListParagraph"/>
        <w:numPr>
          <w:ilvl w:val="0"/>
          <w:numId w:val="100"/>
        </w:numPr>
        <w:spacing w:after="400"/>
        <w:ind w:left="714" w:hanging="357"/>
        <w:contextualSpacing w:val="0"/>
        <w:rPr>
          <w:color w:val="000000"/>
          <w:sz w:val="20"/>
          <w:szCs w:val="20"/>
        </w:rPr>
      </w:pPr>
      <w:r w:rsidRPr="00CA6B46">
        <w:rPr>
          <w:color w:val="000000"/>
          <w:sz w:val="20"/>
          <w:szCs w:val="20"/>
        </w:rPr>
        <w:t xml:space="preserve">To measure, monitor, and report on our joint efforts, in accordance with benchmarks and targets, to ensure that we are progressively </w:t>
      </w:r>
      <w:proofErr w:type="spellStart"/>
      <w:r w:rsidRPr="00CA6B46">
        <w:rPr>
          <w:color w:val="000000"/>
          <w:sz w:val="20"/>
          <w:szCs w:val="20"/>
        </w:rPr>
        <w:t>realising</w:t>
      </w:r>
      <w:proofErr w:type="spellEnd"/>
      <w:r w:rsidRPr="00CA6B46">
        <w:rPr>
          <w:color w:val="000000"/>
          <w:sz w:val="20"/>
          <w:szCs w:val="20"/>
        </w:rPr>
        <w:t xml:space="preserve"> our shared ambitions.</w:t>
      </w:r>
    </w:p>
    <w:p w14:paraId="70FC0703" w14:textId="6DBD5921" w:rsidR="00D43670" w:rsidRDefault="00D43670" w:rsidP="00D43670">
      <w:pPr>
        <w:rPr>
          <w:color w:val="007DA7"/>
          <w:sz w:val="20"/>
          <w:szCs w:val="20"/>
        </w:rPr>
      </w:pPr>
      <w:r>
        <w:rPr>
          <w:color w:val="007DA7"/>
          <w:sz w:val="20"/>
          <w:szCs w:val="20"/>
        </w:rPr>
        <w:t>WE ARE</w:t>
      </w:r>
      <w:r w:rsidRPr="00CA6B46">
        <w:rPr>
          <w:color w:val="007DA7"/>
          <w:sz w:val="20"/>
          <w:szCs w:val="20"/>
        </w:rPr>
        <w:t>:</w:t>
      </w:r>
    </w:p>
    <w:p w14:paraId="14113822" w14:textId="73A32E9D" w:rsidR="00D43670" w:rsidRPr="00CA6B46" w:rsidRDefault="00D43670" w:rsidP="00D43670">
      <w:pPr>
        <w:rPr>
          <w:color w:val="007DA7"/>
          <w:sz w:val="20"/>
          <w:szCs w:val="20"/>
        </w:rPr>
      </w:pPr>
      <w:r>
        <w:rPr>
          <w:color w:val="007DA7"/>
          <w:sz w:val="20"/>
          <w:szCs w:val="20"/>
        </w:rPr>
        <w:t>SIGNATURES</w:t>
      </w:r>
    </w:p>
    <w:p w14:paraId="1F6DCD93" w14:textId="5251DFD4" w:rsidR="00D43670" w:rsidRDefault="00D43670" w:rsidP="00D43670">
      <w:pPr>
        <w:spacing w:after="0"/>
        <w:rPr>
          <w:rFonts w:cs="Arial"/>
          <w:sz w:val="16"/>
          <w:szCs w:val="16"/>
        </w:rPr>
      </w:pPr>
      <w:r>
        <w:rPr>
          <w:rFonts w:cs="Arial"/>
          <w:sz w:val="16"/>
          <w:szCs w:val="16"/>
        </w:rPr>
        <w:t>..........................................................................................</w:t>
      </w:r>
      <w:r>
        <w:rPr>
          <w:rFonts w:cs="Arial"/>
          <w:sz w:val="16"/>
          <w:szCs w:val="16"/>
        </w:rPr>
        <w:tab/>
        <w:t>..........................................................................................................</w:t>
      </w:r>
    </w:p>
    <w:p w14:paraId="5F096BAE" w14:textId="7C0D0E22" w:rsidR="00D43670" w:rsidRPr="00D43670" w:rsidRDefault="00D43670" w:rsidP="00D43670">
      <w:pPr>
        <w:rPr>
          <w:rFonts w:cs="Arial"/>
          <w:sz w:val="16"/>
          <w:szCs w:val="16"/>
        </w:rPr>
      </w:pPr>
      <w:r w:rsidRPr="00D43670">
        <w:rPr>
          <w:rFonts w:cs="Arial"/>
          <w:sz w:val="16"/>
          <w:szCs w:val="16"/>
        </w:rPr>
        <w:t>Representative of the Australian Government</w:t>
      </w:r>
      <w:r>
        <w:rPr>
          <w:rFonts w:cs="Arial"/>
          <w:sz w:val="16"/>
          <w:szCs w:val="16"/>
        </w:rPr>
        <w:tab/>
      </w:r>
      <w:r>
        <w:rPr>
          <w:rFonts w:cs="Arial"/>
          <w:sz w:val="16"/>
          <w:szCs w:val="16"/>
        </w:rPr>
        <w:tab/>
      </w:r>
      <w:r w:rsidRPr="00D43670">
        <w:rPr>
          <w:rFonts w:eastAsia="Times New Roman" w:cs="Arial"/>
          <w:sz w:val="16"/>
          <w:szCs w:val="16"/>
        </w:rPr>
        <w:t xml:space="preserve">National Aboriginal Community Controlled Health </w:t>
      </w:r>
      <w:proofErr w:type="spellStart"/>
      <w:r w:rsidRPr="00D43670">
        <w:rPr>
          <w:rFonts w:eastAsia="Times New Roman" w:cs="Arial"/>
          <w:sz w:val="16"/>
          <w:szCs w:val="16"/>
        </w:rPr>
        <w:t>Organisation</w:t>
      </w:r>
      <w:proofErr w:type="spellEnd"/>
    </w:p>
    <w:p w14:paraId="51DDC524" w14:textId="2532FDE9" w:rsidR="00D43670" w:rsidRDefault="00D43670" w:rsidP="00D43670">
      <w:pPr>
        <w:spacing w:after="0"/>
        <w:rPr>
          <w:rFonts w:cs="Arial"/>
          <w:sz w:val="16"/>
          <w:szCs w:val="16"/>
        </w:rPr>
      </w:pPr>
      <w:r>
        <w:rPr>
          <w:rFonts w:cs="Arial"/>
          <w:sz w:val="16"/>
          <w:szCs w:val="16"/>
        </w:rPr>
        <w:t>..........................................................................................</w:t>
      </w:r>
      <w:r>
        <w:rPr>
          <w:rFonts w:cs="Arial"/>
          <w:sz w:val="16"/>
          <w:szCs w:val="16"/>
        </w:rPr>
        <w:tab/>
        <w:t>..........................................................................................................</w:t>
      </w:r>
    </w:p>
    <w:p w14:paraId="2B349595" w14:textId="19050007" w:rsidR="00D43670" w:rsidRDefault="00D43670" w:rsidP="00D43670">
      <w:pPr>
        <w:rPr>
          <w:rFonts w:eastAsia="Times New Roman" w:cs="Arial"/>
          <w:sz w:val="16"/>
          <w:szCs w:val="16"/>
        </w:rPr>
      </w:pPr>
      <w:r w:rsidRPr="00D43670">
        <w:rPr>
          <w:rFonts w:cs="Arial"/>
          <w:sz w:val="16"/>
          <w:szCs w:val="16"/>
        </w:rPr>
        <w:t>Congress of Aboriginal and Torres Strait Islander Nurses</w:t>
      </w:r>
      <w:r>
        <w:rPr>
          <w:rFonts w:cs="Arial"/>
          <w:sz w:val="16"/>
          <w:szCs w:val="16"/>
        </w:rPr>
        <w:tab/>
      </w:r>
      <w:r w:rsidRPr="00D43670">
        <w:rPr>
          <w:rFonts w:eastAsia="Times New Roman" w:cs="Arial"/>
          <w:sz w:val="16"/>
          <w:szCs w:val="16"/>
        </w:rPr>
        <w:t>Australian Indigenous Doctors Association</w:t>
      </w:r>
    </w:p>
    <w:p w14:paraId="3043ABE9" w14:textId="01C99F89" w:rsidR="00D43670" w:rsidRPr="00D43670" w:rsidRDefault="00D43670" w:rsidP="00D43670">
      <w:pPr>
        <w:spacing w:after="0"/>
        <w:rPr>
          <w:rFonts w:cs="Arial"/>
          <w:sz w:val="16"/>
          <w:szCs w:val="16"/>
        </w:rPr>
      </w:pPr>
      <w:r>
        <w:rPr>
          <w:rFonts w:cs="Arial"/>
          <w:sz w:val="16"/>
          <w:szCs w:val="16"/>
        </w:rPr>
        <w:t>..........................................................................................</w:t>
      </w:r>
      <w:r>
        <w:rPr>
          <w:rFonts w:cs="Arial"/>
          <w:sz w:val="16"/>
          <w:szCs w:val="16"/>
        </w:rPr>
        <w:tab/>
        <w:t>..........................................................................................................</w:t>
      </w:r>
    </w:p>
    <w:p w14:paraId="4AA5E22D" w14:textId="51AF9803" w:rsidR="00D43670" w:rsidRPr="00D43670" w:rsidRDefault="00D43670" w:rsidP="00D43670">
      <w:pPr>
        <w:spacing w:after="0"/>
        <w:rPr>
          <w:rFonts w:eastAsia="Times New Roman" w:cs="Arial"/>
          <w:sz w:val="16"/>
          <w:szCs w:val="16"/>
        </w:rPr>
      </w:pPr>
      <w:r w:rsidRPr="00D43670">
        <w:rPr>
          <w:rFonts w:eastAsia="Times New Roman" w:cs="Arial"/>
          <w:sz w:val="16"/>
          <w:szCs w:val="16"/>
        </w:rPr>
        <w:t>Indigenous Dentists Association of Australia</w:t>
      </w:r>
      <w:r>
        <w:rPr>
          <w:rFonts w:eastAsia="Times New Roman" w:cs="Arial"/>
          <w:sz w:val="16"/>
          <w:szCs w:val="16"/>
        </w:rPr>
        <w:tab/>
      </w:r>
      <w:r>
        <w:rPr>
          <w:rFonts w:eastAsia="Times New Roman" w:cs="Arial"/>
          <w:sz w:val="16"/>
          <w:szCs w:val="16"/>
        </w:rPr>
        <w:tab/>
      </w:r>
      <w:r w:rsidRPr="00D43670">
        <w:rPr>
          <w:rFonts w:eastAsia="Times New Roman" w:cs="Arial"/>
          <w:sz w:val="16"/>
          <w:szCs w:val="16"/>
        </w:rPr>
        <w:t>Aboriginal and Torres Strait Islander Social Justice Commissioner,</w:t>
      </w:r>
    </w:p>
    <w:p w14:paraId="4149A053" w14:textId="58677E56" w:rsidR="00D43670" w:rsidRPr="00D43670" w:rsidRDefault="00D43670" w:rsidP="00D43670">
      <w:pPr>
        <w:rPr>
          <w:rFonts w:cs="Arial"/>
          <w:sz w:val="16"/>
          <w:szCs w:val="16"/>
        </w:rPr>
      </w:pPr>
      <w:r>
        <w:rPr>
          <w:rFonts w:eastAsia="Times New Roman" w:cs="Arial"/>
          <w:sz w:val="16"/>
          <w:szCs w:val="16"/>
        </w:rPr>
        <w:tab/>
      </w:r>
      <w:r>
        <w:rPr>
          <w:rFonts w:eastAsia="Times New Roman" w:cs="Arial"/>
          <w:sz w:val="16"/>
          <w:szCs w:val="16"/>
        </w:rPr>
        <w:tab/>
      </w:r>
      <w:r>
        <w:rPr>
          <w:rFonts w:eastAsia="Times New Roman" w:cs="Arial"/>
          <w:sz w:val="16"/>
          <w:szCs w:val="16"/>
        </w:rPr>
        <w:tab/>
      </w:r>
      <w:r>
        <w:rPr>
          <w:rFonts w:eastAsia="Times New Roman" w:cs="Arial"/>
          <w:sz w:val="16"/>
          <w:szCs w:val="16"/>
        </w:rPr>
        <w:tab/>
      </w:r>
      <w:r>
        <w:rPr>
          <w:rFonts w:eastAsia="Times New Roman" w:cs="Arial"/>
          <w:sz w:val="16"/>
          <w:szCs w:val="16"/>
        </w:rPr>
        <w:tab/>
      </w:r>
      <w:r>
        <w:rPr>
          <w:rFonts w:eastAsia="Times New Roman" w:cs="Arial"/>
          <w:sz w:val="16"/>
          <w:szCs w:val="16"/>
        </w:rPr>
        <w:tab/>
      </w:r>
      <w:r w:rsidRPr="00D43670">
        <w:rPr>
          <w:rFonts w:eastAsia="Times New Roman" w:cs="Arial"/>
          <w:sz w:val="16"/>
          <w:szCs w:val="16"/>
        </w:rPr>
        <w:t>Human Rights and Equal Opportunity Commission</w:t>
      </w:r>
    </w:p>
    <w:p w14:paraId="45FA878F" w14:textId="77777777" w:rsidR="00046D78" w:rsidRDefault="00046D78" w:rsidP="00D43670">
      <w:pPr>
        <w:rPr>
          <w:rFonts w:cs="Calibri"/>
          <w:szCs w:val="24"/>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DA7"/>
        <w:tblLook w:val="04A0" w:firstRow="1" w:lastRow="0" w:firstColumn="1" w:lastColumn="0" w:noHBand="0" w:noVBand="1"/>
      </w:tblPr>
      <w:tblGrid>
        <w:gridCol w:w="9286"/>
      </w:tblGrid>
      <w:tr w:rsidR="00046D78" w14:paraId="5E320281" w14:textId="77777777" w:rsidTr="00046D78">
        <w:trPr>
          <w:trHeight w:val="316"/>
        </w:trPr>
        <w:tc>
          <w:tcPr>
            <w:tcW w:w="9286" w:type="dxa"/>
            <w:shd w:val="clear" w:color="auto" w:fill="007DA7"/>
          </w:tcPr>
          <w:p w14:paraId="2526D7D0" w14:textId="77777777" w:rsidR="00046D78" w:rsidRDefault="00046D78" w:rsidP="00D43670">
            <w:pPr>
              <w:rPr>
                <w:rFonts w:cs="Calibri"/>
                <w:szCs w:val="24"/>
                <w:lang w:val="en-AU"/>
              </w:rPr>
            </w:pPr>
          </w:p>
        </w:tc>
      </w:tr>
    </w:tbl>
    <w:p w14:paraId="4877D6BE" w14:textId="77777777" w:rsidR="00046D78" w:rsidRDefault="00046D78" w:rsidP="00D43670">
      <w:pPr>
        <w:rPr>
          <w:rFonts w:cs="Calibri"/>
          <w:szCs w:val="24"/>
          <w:lang w:val="en-AU"/>
        </w:rPr>
      </w:pPr>
    </w:p>
    <w:p w14:paraId="2F3CA2F4" w14:textId="77777777" w:rsidR="00221769" w:rsidRPr="00D43670" w:rsidRDefault="00221769" w:rsidP="00D43670">
      <w:pPr>
        <w:rPr>
          <w:rFonts w:cs="Calibri"/>
          <w:szCs w:val="24"/>
          <w:lang w:val="en-AU"/>
        </w:rPr>
      </w:pPr>
      <w:r w:rsidRPr="00D43670">
        <w:rPr>
          <w:rFonts w:cs="Calibri"/>
          <w:szCs w:val="24"/>
          <w:lang w:val="en-AU"/>
        </w:rPr>
        <w:br w:type="page"/>
      </w:r>
    </w:p>
    <w:p w14:paraId="48C0C0B5" w14:textId="416C8A20" w:rsidR="00DD6F11" w:rsidRPr="00561499" w:rsidRDefault="00046A5E" w:rsidP="00DD6F11">
      <w:pPr>
        <w:pStyle w:val="Heading1"/>
      </w:pPr>
      <w:bookmarkStart w:id="7" w:name="_Toc315703400"/>
      <w:r>
        <w:lastRenderedPageBreak/>
        <w:t>Part 1: Progress over the l</w:t>
      </w:r>
      <w:r w:rsidR="00221769" w:rsidRPr="00561499">
        <w:t>ife of the Closing the Gap Strategy</w:t>
      </w:r>
      <w:bookmarkEnd w:id="7"/>
    </w:p>
    <w:p w14:paraId="00D08496" w14:textId="455ED5FC" w:rsidR="00E17323" w:rsidRPr="00E17323" w:rsidRDefault="008C4FB0" w:rsidP="00E17323">
      <w:r>
        <w:rPr>
          <w:noProof/>
        </w:rPr>
        <w:drawing>
          <wp:inline distT="0" distB="0" distL="0" distR="0" wp14:anchorId="053E2E0D" wp14:editId="0ABA304D">
            <wp:extent cx="5759450" cy="5827800"/>
            <wp:effectExtent l="0" t="0" r="6350" b="0"/>
            <wp:docPr id="3" name="Picture 2" descr="Winston holding up a sign which reads: CLOSE THE GAP Demand Indigenous health equity." title="Palm Island community member, Win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5827800"/>
                    </a:xfrm>
                    <a:prstGeom prst="rect">
                      <a:avLst/>
                    </a:prstGeom>
                    <a:noFill/>
                    <a:ln>
                      <a:noFill/>
                    </a:ln>
                  </pic:spPr>
                </pic:pic>
              </a:graphicData>
            </a:graphic>
          </wp:inline>
        </w:drawing>
      </w:r>
    </w:p>
    <w:p w14:paraId="79B5A67B" w14:textId="3535745C" w:rsidR="00DD6F11" w:rsidRDefault="00DD6F11" w:rsidP="00596C22">
      <w:pPr>
        <w:pStyle w:val="Photocaption"/>
      </w:pPr>
      <w:r w:rsidRPr="00561499">
        <w:t xml:space="preserve">Palm Island community member, Winston, is a supervisor in the Campbell Page employment services multimedia </w:t>
      </w:r>
      <w:proofErr w:type="spellStart"/>
      <w:r w:rsidRPr="00561499">
        <w:t>jobskills</w:t>
      </w:r>
      <w:proofErr w:type="spellEnd"/>
      <w:r w:rsidRPr="00561499">
        <w:t xml:space="preserve"> program. Photograph: Jason </w:t>
      </w:r>
      <w:proofErr w:type="spellStart"/>
      <w:r w:rsidRPr="00561499">
        <w:t>Malouin</w:t>
      </w:r>
      <w:proofErr w:type="spellEnd"/>
      <w:r w:rsidRPr="00561499">
        <w:t>/</w:t>
      </w:r>
      <w:proofErr w:type="spellStart"/>
      <w:r w:rsidRPr="00561499">
        <w:t>OxfamAUS</w:t>
      </w:r>
      <w:proofErr w:type="spellEnd"/>
      <w:r w:rsidRPr="00561499">
        <w:t>.</w:t>
      </w:r>
    </w:p>
    <w:p w14:paraId="04C06FD1" w14:textId="77777777" w:rsidR="002C7D13" w:rsidRDefault="002C7D13">
      <w:pPr>
        <w:keepLines w:val="0"/>
        <w:widowControl/>
        <w:spacing w:after="0" w:line="240" w:lineRule="auto"/>
      </w:pPr>
      <w:r>
        <w:br w:type="page"/>
      </w:r>
    </w:p>
    <w:p w14:paraId="6881B7BA" w14:textId="10862184" w:rsidR="00221769" w:rsidRPr="00561499" w:rsidRDefault="00221769" w:rsidP="00111F92">
      <w:pPr>
        <w:spacing w:before="120"/>
      </w:pPr>
      <w:r w:rsidRPr="00561499">
        <w:lastRenderedPageBreak/>
        <w:t xml:space="preserve">This part of the report considers progress towards meeting the </w:t>
      </w:r>
      <w:proofErr w:type="spellStart"/>
      <w:r w:rsidRPr="00561499">
        <w:t>COAG</w:t>
      </w:r>
      <w:proofErr w:type="spellEnd"/>
      <w:r w:rsidRPr="00561499">
        <w:t xml:space="preserve"> Closing the Gap health targets:</w:t>
      </w:r>
    </w:p>
    <w:p w14:paraId="537243EB" w14:textId="77777777" w:rsidR="00221769" w:rsidRPr="00561499" w:rsidRDefault="00221769" w:rsidP="00111F92">
      <w:pPr>
        <w:pStyle w:val="ListParagraph"/>
        <w:numPr>
          <w:ilvl w:val="0"/>
          <w:numId w:val="22"/>
        </w:numPr>
        <w:spacing w:before="120"/>
        <w:ind w:left="714" w:hanging="357"/>
        <w:contextualSpacing w:val="0"/>
      </w:pPr>
      <w:r w:rsidRPr="00561499">
        <w:t xml:space="preserve">to achieve life expectancy equality between Aboriginal and Torres Strait Islander people and non-Indigenous people by 2030; and </w:t>
      </w:r>
    </w:p>
    <w:p w14:paraId="61A4770B" w14:textId="77777777" w:rsidR="00221769" w:rsidRPr="00561499" w:rsidRDefault="00221769" w:rsidP="00111F92">
      <w:pPr>
        <w:pStyle w:val="ListParagraph"/>
        <w:numPr>
          <w:ilvl w:val="0"/>
          <w:numId w:val="22"/>
        </w:numPr>
        <w:spacing w:before="120"/>
        <w:ind w:left="714" w:hanging="357"/>
        <w:contextualSpacing w:val="0"/>
      </w:pPr>
      <w:r w:rsidRPr="00561499">
        <w:t>to halve the deaths of Aboriginal and Torr</w:t>
      </w:r>
      <w:r w:rsidR="0029209E" w:rsidRPr="00561499">
        <w:t>es Strait Islander children aged</w:t>
      </w:r>
      <w:r w:rsidRPr="00561499">
        <w:t xml:space="preserve"> 0–4 years by 2018.</w:t>
      </w:r>
      <w:r w:rsidRPr="00561499">
        <w:rPr>
          <w:vertAlign w:val="superscript"/>
        </w:rPr>
        <w:endnoteReference w:id="15"/>
      </w:r>
    </w:p>
    <w:p w14:paraId="29557CE1" w14:textId="068EFCBB" w:rsidR="00221769" w:rsidRPr="00561499" w:rsidRDefault="00221769" w:rsidP="00F659F8">
      <w:r w:rsidRPr="00561499">
        <w:t xml:space="preserve">Because there is little new data in relation to both targets, proxy indicators are also considered. </w:t>
      </w:r>
      <w:r w:rsidR="0095668A" w:rsidRPr="00561499">
        <w:t>Proxy indicators ga</w:t>
      </w:r>
      <w:r w:rsidR="00177569" w:rsidRPr="00561499">
        <w:t>u</w:t>
      </w:r>
      <w:r w:rsidR="0095668A" w:rsidRPr="00561499">
        <w:t xml:space="preserve">ge progress against a range of risk factors to supplement life expectancy data. For example, </w:t>
      </w:r>
      <w:r w:rsidRPr="00561499">
        <w:t>risk factors for chronic disease (mental health, smoking, poor nutrition, physical inactivity, alcohol use, obesity)</w:t>
      </w:r>
      <w:r w:rsidR="0095668A" w:rsidRPr="00561499">
        <w:t xml:space="preserve"> were considered in the 2015</w:t>
      </w:r>
      <w:r w:rsidR="0095668A" w:rsidRPr="00561499">
        <w:rPr>
          <w:i/>
        </w:rPr>
        <w:t xml:space="preserve"> Progress and Priorities Report.</w:t>
      </w:r>
      <w:r w:rsidR="0095668A" w:rsidRPr="00561499">
        <w:t xml:space="preserve"> The report</w:t>
      </w:r>
      <w:r w:rsidRPr="00561499">
        <w:t xml:space="preserve"> noted the declining rates of daily smoking in absolute terms as</w:t>
      </w:r>
      <w:r w:rsidR="008C14C0" w:rsidRPr="00561499">
        <w:t xml:space="preserve"> an</w:t>
      </w:r>
      <w:r w:rsidRPr="00561499">
        <w:t xml:space="preserve"> </w:t>
      </w:r>
      <w:r w:rsidR="0095668A" w:rsidRPr="00561499">
        <w:t xml:space="preserve">indicator </w:t>
      </w:r>
      <w:r w:rsidRPr="00561499">
        <w:t xml:space="preserve">that life expectancy would increase over time, </w:t>
      </w:r>
      <w:r w:rsidR="0095668A" w:rsidRPr="00561499">
        <w:t>in turn</w:t>
      </w:r>
      <w:r w:rsidR="00A11298" w:rsidRPr="00561499">
        <w:t>,</w:t>
      </w:r>
      <w:r w:rsidR="0095668A" w:rsidRPr="00561499">
        <w:t xml:space="preserve"> </w:t>
      </w:r>
      <w:r w:rsidRPr="00561499">
        <w:t>suggesting the positive impact of the Closing the Gap ‘Tacking Indigenous Smoking’ program.</w:t>
      </w:r>
      <w:r w:rsidRPr="00561499">
        <w:rPr>
          <w:vertAlign w:val="superscript"/>
        </w:rPr>
        <w:endnoteReference w:id="16"/>
      </w:r>
      <w:r w:rsidRPr="00561499">
        <w:t xml:space="preserve"> </w:t>
      </w:r>
    </w:p>
    <w:p w14:paraId="4FA48FCA" w14:textId="4FC4BB06" w:rsidR="00221769" w:rsidRPr="00561499" w:rsidRDefault="00221769" w:rsidP="007E71A4">
      <w:pPr>
        <w:autoSpaceDE w:val="0"/>
        <w:autoSpaceDN w:val="0"/>
        <w:adjustRightInd w:val="0"/>
      </w:pPr>
      <w:r w:rsidRPr="00561499">
        <w:t xml:space="preserve">Primary references in previous years’ reports included the now defunct </w:t>
      </w:r>
      <w:proofErr w:type="spellStart"/>
      <w:r w:rsidRPr="00561499">
        <w:t>COAG</w:t>
      </w:r>
      <w:proofErr w:type="spellEnd"/>
      <w:r w:rsidRPr="00561499">
        <w:t xml:space="preserve"> Reform Council reports of progress against the </w:t>
      </w:r>
      <w:proofErr w:type="spellStart"/>
      <w:r w:rsidRPr="00561499">
        <w:t>COAG</w:t>
      </w:r>
      <w:proofErr w:type="spellEnd"/>
      <w:r w:rsidRPr="00561499">
        <w:t xml:space="preserve"> Closing the Gap Targets.</w:t>
      </w:r>
      <w:r w:rsidRPr="00561499">
        <w:rPr>
          <w:rStyle w:val="EndnoteReference"/>
        </w:rPr>
        <w:endnoteReference w:id="17"/>
      </w:r>
      <w:r w:rsidRPr="00561499">
        <w:t xml:space="preserve"> </w:t>
      </w:r>
      <w:r w:rsidR="001E46C9" w:rsidRPr="00561499">
        <w:t>For</w:t>
      </w:r>
      <w:r w:rsidRPr="00561499">
        <w:t xml:space="preserve"> this report, the Australian Health Ministers Advisory Council’s 2015 </w:t>
      </w:r>
      <w:r w:rsidRPr="00561499">
        <w:rPr>
          <w:i/>
        </w:rPr>
        <w:t>Aboriginal and Torres Strait Islander Health Performance Framework 2014 Report</w:t>
      </w:r>
      <w:r w:rsidRPr="00561499">
        <w:t>,</w:t>
      </w:r>
      <w:r w:rsidRPr="00561499">
        <w:rPr>
          <w:vertAlign w:val="superscript"/>
        </w:rPr>
        <w:t xml:space="preserve"> </w:t>
      </w:r>
      <w:r w:rsidRPr="00561499">
        <w:t>(hereon ‘</w:t>
      </w:r>
      <w:proofErr w:type="spellStart"/>
      <w:r w:rsidRPr="00561499">
        <w:t>AHMAC</w:t>
      </w:r>
      <w:proofErr w:type="spellEnd"/>
      <w:r w:rsidRPr="00561499">
        <w:t>’) is used as the primary, most current data source for health information.</w:t>
      </w:r>
      <w:r w:rsidRPr="00561499">
        <w:rPr>
          <w:vertAlign w:val="superscript"/>
        </w:rPr>
        <w:endnoteReference w:id="18"/>
      </w:r>
    </w:p>
    <w:p w14:paraId="193A6E33" w14:textId="63293011" w:rsidR="00221769" w:rsidRPr="00561499" w:rsidRDefault="00F34FAD" w:rsidP="00F34FAD">
      <w:pPr>
        <w:pStyle w:val="Heading3"/>
      </w:pPr>
      <w:bookmarkStart w:id="8" w:name="_Toc315703401"/>
      <w:r>
        <w:t xml:space="preserve">1.1 </w:t>
      </w:r>
      <w:r w:rsidR="00221769" w:rsidRPr="00561499">
        <w:t>Assessing progress against the life expectancy target</w:t>
      </w:r>
      <w:bookmarkEnd w:id="8"/>
    </w:p>
    <w:p w14:paraId="0FD8DA21" w14:textId="3E25E1A1" w:rsidR="00221769" w:rsidRPr="00561499" w:rsidRDefault="00221769" w:rsidP="007E71A4">
      <w:pPr>
        <w:pStyle w:val="NormalWeb"/>
        <w:rPr>
          <w:rFonts w:ascii="Arial" w:hAnsi="Arial"/>
        </w:rPr>
      </w:pPr>
      <w:r w:rsidRPr="00561499">
        <w:rPr>
          <w:rFonts w:ascii="Arial" w:hAnsi="Arial"/>
        </w:rPr>
        <w:t>An estimated 17-year gap between the life expectancy of Aboriginal and Torres S</w:t>
      </w:r>
      <w:r w:rsidR="0029209E" w:rsidRPr="00561499">
        <w:rPr>
          <w:rFonts w:ascii="Arial" w:hAnsi="Arial"/>
        </w:rPr>
        <w:t>trait Islander people and non-I</w:t>
      </w:r>
      <w:r w:rsidRPr="00561499">
        <w:rPr>
          <w:rFonts w:ascii="Arial" w:hAnsi="Arial"/>
        </w:rPr>
        <w:t>ndigenous people existed at the 2006 commencement of the Close the Gap Campaign. For 1996–2001, the Australian Bureau of Statistics (ABS) had estimated Aboriginal and Torres Strait Islander life expectancy to be 59.4 years for males and 64.8 years for females. That compared with 76.6 years for all males and 82 years for all females over 1998–2000.</w:t>
      </w:r>
      <w:r w:rsidRPr="00561499">
        <w:rPr>
          <w:rStyle w:val="EndnoteReference"/>
        </w:rPr>
        <w:endnoteReference w:id="19"/>
      </w:r>
    </w:p>
    <w:p w14:paraId="407133EF" w14:textId="4B007813" w:rsidR="00221769" w:rsidRPr="00561499" w:rsidRDefault="00221769" w:rsidP="007E71A4">
      <w:pPr>
        <w:pStyle w:val="NormalWeb"/>
        <w:rPr>
          <w:rFonts w:ascii="Arial" w:hAnsi="Arial"/>
        </w:rPr>
      </w:pPr>
      <w:r w:rsidRPr="00561499">
        <w:rPr>
          <w:rFonts w:ascii="Arial" w:hAnsi="Arial"/>
        </w:rPr>
        <w:t xml:space="preserve">Just prior to the July 2009 commencement of the </w:t>
      </w:r>
      <w:r w:rsidRPr="00561499">
        <w:rPr>
          <w:rFonts w:ascii="Arial" w:hAnsi="Arial"/>
          <w:i/>
        </w:rPr>
        <w:t>Closing the Gap Strategy</w:t>
      </w:r>
      <w:r w:rsidRPr="00561499">
        <w:rPr>
          <w:rFonts w:ascii="Arial" w:hAnsi="Arial"/>
        </w:rPr>
        <w:t xml:space="preserve">, the ABS adopted a new and totally different methodology for calculating Aboriginal and Torres Strait Islander life expectancy. This combined deaths data for </w:t>
      </w:r>
      <w:r w:rsidR="00177569" w:rsidRPr="00561499">
        <w:rPr>
          <w:rFonts w:ascii="Arial" w:hAnsi="Arial"/>
        </w:rPr>
        <w:t>three-</w:t>
      </w:r>
      <w:r w:rsidRPr="00561499">
        <w:rPr>
          <w:rFonts w:ascii="Arial" w:hAnsi="Arial"/>
        </w:rPr>
        <w:t>year periods linked to the Census of Population and Housing (Census) held every five years.</w:t>
      </w:r>
      <w:r w:rsidRPr="00561499">
        <w:rPr>
          <w:rStyle w:val="EndnoteReference"/>
        </w:rPr>
        <w:endnoteReference w:id="20"/>
      </w:r>
    </w:p>
    <w:p w14:paraId="6FD13ED2" w14:textId="4E4DB514" w:rsidR="00221769" w:rsidRPr="00561499" w:rsidRDefault="00221769" w:rsidP="007E71A4">
      <w:pPr>
        <w:pStyle w:val="NormalWeb"/>
        <w:rPr>
          <w:rFonts w:ascii="Arial" w:hAnsi="Arial" w:cs="Arial"/>
        </w:rPr>
      </w:pPr>
      <w:r w:rsidRPr="00561499">
        <w:rPr>
          <w:rFonts w:ascii="Arial" w:hAnsi="Arial"/>
        </w:rPr>
        <w:lastRenderedPageBreak/>
        <w:t xml:space="preserve">The 2009 methodology was first applied to 2005–2007 data, linked to the 2006 Census, to produce an Aboriginal and Torres Strait Islander male life expectancy estimate of </w:t>
      </w:r>
      <w:r w:rsidRPr="00561499">
        <w:rPr>
          <w:rFonts w:ascii="Arial" w:hAnsi="Arial" w:cs="Arial"/>
        </w:rPr>
        <w:t xml:space="preserve">67.2 years </w:t>
      </w:r>
      <w:r w:rsidRPr="00561499">
        <w:rPr>
          <w:rFonts w:ascii="Arial" w:hAnsi="Arial"/>
        </w:rPr>
        <w:t xml:space="preserve">and for females </w:t>
      </w:r>
      <w:r w:rsidRPr="00561499">
        <w:rPr>
          <w:rFonts w:ascii="Arial" w:hAnsi="Arial" w:cs="Arial"/>
        </w:rPr>
        <w:t>72.9 years.</w:t>
      </w:r>
      <w:r w:rsidRPr="00561499">
        <w:rPr>
          <w:rStyle w:val="EndnoteReference"/>
          <w:rFonts w:cs="Arial"/>
        </w:rPr>
        <w:t xml:space="preserve"> </w:t>
      </w:r>
      <w:r w:rsidRPr="00561499">
        <w:rPr>
          <w:rFonts w:ascii="Arial" w:hAnsi="Arial" w:cs="Arial"/>
        </w:rPr>
        <w:t xml:space="preserve">This </w:t>
      </w:r>
      <w:r w:rsidRPr="00561499">
        <w:rPr>
          <w:rFonts w:ascii="Arial" w:hAnsi="Arial"/>
        </w:rPr>
        <w:t xml:space="preserve">compared with </w:t>
      </w:r>
      <w:r w:rsidRPr="00561499">
        <w:rPr>
          <w:rFonts w:ascii="Arial" w:hAnsi="Arial" w:cs="Arial"/>
        </w:rPr>
        <w:t>78.7 years</w:t>
      </w:r>
      <w:r w:rsidRPr="00561499">
        <w:rPr>
          <w:rFonts w:ascii="Arial" w:hAnsi="Arial"/>
        </w:rPr>
        <w:t xml:space="preserve"> for non-Indigenous males and </w:t>
      </w:r>
      <w:r w:rsidRPr="00561499">
        <w:rPr>
          <w:rFonts w:ascii="Arial" w:hAnsi="Arial" w:cs="Arial"/>
        </w:rPr>
        <w:t>82.6 years</w:t>
      </w:r>
      <w:r w:rsidR="00943306" w:rsidRPr="00561499">
        <w:rPr>
          <w:rFonts w:ascii="Arial" w:hAnsi="Arial" w:cs="Arial"/>
        </w:rPr>
        <w:t xml:space="preserve"> for</w:t>
      </w:r>
      <w:r w:rsidRPr="00561499">
        <w:rPr>
          <w:rFonts w:ascii="Arial" w:hAnsi="Arial"/>
        </w:rPr>
        <w:t xml:space="preserve"> females: a gap of </w:t>
      </w:r>
      <w:r w:rsidRPr="00561499">
        <w:rPr>
          <w:rFonts w:ascii="Arial" w:hAnsi="Arial" w:cs="Arial"/>
        </w:rPr>
        <w:t>11.5 years for males, and 9.7 years for females.</w:t>
      </w:r>
      <w:r w:rsidRPr="00561499">
        <w:rPr>
          <w:rStyle w:val="EndnoteReference"/>
          <w:rFonts w:cs="Arial"/>
        </w:rPr>
        <w:endnoteReference w:id="21"/>
      </w:r>
      <w:r w:rsidRPr="00561499">
        <w:rPr>
          <w:rFonts w:ascii="Arial" w:hAnsi="Arial" w:cs="Arial"/>
        </w:rPr>
        <w:t xml:space="preserve"> This does not </w:t>
      </w:r>
      <w:r w:rsidR="00323DC8" w:rsidRPr="00561499">
        <w:rPr>
          <w:rFonts w:ascii="Arial" w:hAnsi="Arial" w:cs="Arial"/>
        </w:rPr>
        <w:t xml:space="preserve">of itself </w:t>
      </w:r>
      <w:r w:rsidRPr="00561499">
        <w:rPr>
          <w:rFonts w:ascii="Arial" w:hAnsi="Arial" w:cs="Arial"/>
        </w:rPr>
        <w:t>indicate a reduction in the size of the gap from the previous estimates, but rather a fundamental change in the method of estimation.</w:t>
      </w:r>
    </w:p>
    <w:p w14:paraId="418D6F4A" w14:textId="245ACC2E" w:rsidR="00684798" w:rsidRPr="00F34FAD" w:rsidRDefault="00221769" w:rsidP="00EF5E20">
      <w:pPr>
        <w:pStyle w:val="NormalWeb"/>
        <w:rPr>
          <w:rFonts w:ascii="Arial" w:hAnsi="Arial"/>
        </w:rPr>
      </w:pPr>
      <w:r w:rsidRPr="00561499">
        <w:rPr>
          <w:rFonts w:ascii="Arial" w:hAnsi="Arial" w:cs="Arial"/>
        </w:rPr>
        <w:t>The 2009 methodology continues in use, but concerns about some aspects of the methodology and the accuracy of the estimates should be noted.</w:t>
      </w:r>
      <w:r w:rsidRPr="00561499">
        <w:rPr>
          <w:rStyle w:val="EndnoteReference"/>
          <w:rFonts w:cs="Arial"/>
        </w:rPr>
        <w:endnoteReference w:id="22"/>
      </w:r>
      <w:r w:rsidRPr="00561499">
        <w:rPr>
          <w:rFonts w:ascii="Arial" w:hAnsi="Arial" w:cs="Arial"/>
        </w:rPr>
        <w:t xml:space="preserve"> Because of their reliance on the Censuses, </w:t>
      </w:r>
      <w:r w:rsidRPr="00561499">
        <w:rPr>
          <w:rFonts w:ascii="Arial" w:hAnsi="Arial"/>
        </w:rPr>
        <w:t>Aboriginal and Torres Strait Islander</w:t>
      </w:r>
      <w:r w:rsidRPr="00561499">
        <w:rPr>
          <w:rFonts w:ascii="Arial" w:hAnsi="Arial" w:cs="Arial"/>
        </w:rPr>
        <w:t xml:space="preserve"> life expectancy estimates are published at five-year intervals: so far for 2005–2007 and 2010–2012. </w:t>
      </w:r>
      <w:r w:rsidRPr="00561499">
        <w:rPr>
          <w:rFonts w:ascii="Arial" w:hAnsi="Arial"/>
        </w:rPr>
        <w:t>Going on past practice, the next estimate (for 2015–2017) should be published in 2018 or 2019.</w:t>
      </w:r>
    </w:p>
    <w:p w14:paraId="358B0C99" w14:textId="4A57C0D9" w:rsidR="00221769" w:rsidRPr="00561499" w:rsidRDefault="00F34FAD" w:rsidP="00F34FAD">
      <w:pPr>
        <w:pStyle w:val="Heading4"/>
      </w:pPr>
      <w:r>
        <w:t>(</w:t>
      </w:r>
      <w:r w:rsidR="00ED44CF" w:rsidRPr="00F34FAD">
        <w:t>a</w:t>
      </w:r>
      <w:r>
        <w:t>)</w:t>
      </w:r>
      <w:r w:rsidR="00ED44CF" w:rsidRPr="00F34FAD">
        <w:t xml:space="preserve"> </w:t>
      </w:r>
      <w:r w:rsidR="00221769" w:rsidRPr="00F34FAD">
        <w:t>Life expectancy</w:t>
      </w:r>
    </w:p>
    <w:p w14:paraId="6A13D5E8" w14:textId="3F9A32CE" w:rsidR="00221769" w:rsidRPr="00561499" w:rsidRDefault="00221769" w:rsidP="007E71A4">
      <w:r w:rsidRPr="00561499">
        <w:t>The ABS 2010–2012 life expectancy estimate</w:t>
      </w:r>
      <w:r w:rsidR="00943306" w:rsidRPr="00561499">
        <w:t>s</w:t>
      </w:r>
      <w:r w:rsidRPr="00561499">
        <w:t xml:space="preserve"> for Aboriginal and Torres Strait Islander people published in the 2015 </w:t>
      </w:r>
      <w:r w:rsidRPr="00561499">
        <w:rPr>
          <w:i/>
        </w:rPr>
        <w:t>Progress and Priorities Report</w:t>
      </w:r>
      <w:r w:rsidRPr="00561499">
        <w:t xml:space="preserve"> are still current: 69.1 years for men and 73.7 years for women. Table 1 </w:t>
      </w:r>
      <w:proofErr w:type="spellStart"/>
      <w:r w:rsidRPr="00561499">
        <w:t>summarises</w:t>
      </w:r>
      <w:proofErr w:type="spellEnd"/>
      <w:r w:rsidRPr="00561499">
        <w:t xml:space="preserve"> the estimates of absolute gains in life expectancy from 2005–2007 and 2010–2012 for both Aboriginal and Torres Strait Islander people and non-Indigenous p</w:t>
      </w:r>
      <w:r w:rsidR="00F34FAD">
        <w:t>eople, disaggregated by gender.</w:t>
      </w:r>
    </w:p>
    <w:p w14:paraId="6AE09DAA" w14:textId="20DCEAE6" w:rsidR="00221769" w:rsidRPr="00561499" w:rsidRDefault="00221769" w:rsidP="000A7CE8">
      <w:pPr>
        <w:pStyle w:val="Heading5"/>
      </w:pPr>
      <w:r w:rsidRPr="00561499">
        <w:t>Table 1: Absolute increases in Aboriginal and Torres Strait Islander and non-Indigenous life expectancy over 2005–</w:t>
      </w:r>
      <w:r w:rsidR="0029209E" w:rsidRPr="00561499">
        <w:t>20</w:t>
      </w:r>
      <w:r w:rsidRPr="00561499">
        <w:t>07 and 2010–</w:t>
      </w:r>
      <w:r w:rsidR="0029209E" w:rsidRPr="00561499">
        <w:t>20</w:t>
      </w:r>
      <w:r w:rsidRPr="00561499">
        <w:t>12, disaggregated by gender</w:t>
      </w:r>
      <w:r w:rsidRPr="002E2D37">
        <w:rPr>
          <w:b w:val="0"/>
          <w:vertAlign w:val="superscript"/>
        </w:rPr>
        <w:endnoteReference w:id="23"/>
      </w:r>
    </w:p>
    <w:tbl>
      <w:tblPr>
        <w:tblW w:w="8931" w:type="dxa"/>
        <w:tblInd w:w="-132" w:type="dxa"/>
        <w:tblBorders>
          <w:top w:val="single" w:sz="8" w:space="0" w:color="007DA7"/>
          <w:left w:val="single" w:sz="8" w:space="0" w:color="007DA7"/>
          <w:bottom w:val="single" w:sz="8" w:space="0" w:color="007DA7"/>
          <w:right w:val="single" w:sz="8" w:space="0" w:color="007DA7"/>
          <w:insideH w:val="single" w:sz="8" w:space="0" w:color="007DA7"/>
          <w:insideV w:val="single" w:sz="8" w:space="0" w:color="007DA7"/>
        </w:tblBorders>
        <w:tblLayout w:type="fixed"/>
        <w:tblCellMar>
          <w:top w:w="113" w:type="dxa"/>
          <w:left w:w="113" w:type="dxa"/>
          <w:bottom w:w="113" w:type="dxa"/>
          <w:right w:w="113" w:type="dxa"/>
        </w:tblCellMar>
        <w:tblLook w:val="0000" w:firstRow="0" w:lastRow="0" w:firstColumn="0" w:lastColumn="0" w:noHBand="0" w:noVBand="0"/>
      </w:tblPr>
      <w:tblGrid>
        <w:gridCol w:w="2302"/>
        <w:gridCol w:w="1101"/>
        <w:gridCol w:w="1559"/>
        <w:gridCol w:w="1559"/>
        <w:gridCol w:w="2410"/>
      </w:tblGrid>
      <w:tr w:rsidR="00221769" w:rsidRPr="000A7CE8" w14:paraId="330E1CFF" w14:textId="77777777" w:rsidTr="00DD6F11">
        <w:tc>
          <w:tcPr>
            <w:tcW w:w="3403" w:type="dxa"/>
            <w:gridSpan w:val="2"/>
            <w:vMerge w:val="restart"/>
            <w:shd w:val="clear" w:color="auto" w:fill="007DA7"/>
            <w:vAlign w:val="center"/>
          </w:tcPr>
          <w:p w14:paraId="460D8043" w14:textId="77777777" w:rsidR="00221769" w:rsidRPr="000A7CE8" w:rsidRDefault="00221769" w:rsidP="000A7CE8">
            <w:pPr>
              <w:jc w:val="center"/>
              <w:rPr>
                <w:b/>
                <w:sz w:val="22"/>
              </w:rPr>
            </w:pPr>
          </w:p>
        </w:tc>
        <w:tc>
          <w:tcPr>
            <w:tcW w:w="3118" w:type="dxa"/>
            <w:gridSpan w:val="2"/>
            <w:shd w:val="clear" w:color="auto" w:fill="007DA7"/>
            <w:vAlign w:val="center"/>
          </w:tcPr>
          <w:p w14:paraId="0EFE6DC6" w14:textId="77777777" w:rsidR="00221769" w:rsidRPr="00DD6F11" w:rsidRDefault="00221769" w:rsidP="000A7CE8">
            <w:pPr>
              <w:jc w:val="center"/>
              <w:rPr>
                <w:b/>
                <w:color w:val="FFFFFF" w:themeColor="background1"/>
                <w:sz w:val="22"/>
              </w:rPr>
            </w:pPr>
            <w:r w:rsidRPr="00DD6F11">
              <w:rPr>
                <w:b/>
                <w:color w:val="FFFFFF" w:themeColor="background1"/>
                <w:sz w:val="22"/>
              </w:rPr>
              <w:t xml:space="preserve">Life expectancy </w:t>
            </w:r>
            <w:r w:rsidRPr="00DD6F11">
              <w:rPr>
                <w:color w:val="FFFFFF" w:themeColor="background1"/>
                <w:sz w:val="22"/>
              </w:rPr>
              <w:t>(years)</w:t>
            </w:r>
          </w:p>
        </w:tc>
        <w:tc>
          <w:tcPr>
            <w:tcW w:w="2410" w:type="dxa"/>
            <w:vMerge w:val="restart"/>
            <w:shd w:val="clear" w:color="auto" w:fill="007DA7"/>
            <w:vAlign w:val="center"/>
          </w:tcPr>
          <w:p w14:paraId="51C5F9D4" w14:textId="02D2AC6B" w:rsidR="00221769" w:rsidRPr="00DD6F11" w:rsidRDefault="00221769" w:rsidP="009C54DE">
            <w:pPr>
              <w:rPr>
                <w:b/>
                <w:color w:val="FFFFFF" w:themeColor="background1"/>
                <w:sz w:val="22"/>
              </w:rPr>
            </w:pPr>
            <w:r w:rsidRPr="00DD6F11">
              <w:rPr>
                <w:b/>
                <w:color w:val="FFFFFF" w:themeColor="background1"/>
                <w:sz w:val="22"/>
              </w:rPr>
              <w:t>Absolute i</w:t>
            </w:r>
            <w:r w:rsidR="00DD6F11">
              <w:rPr>
                <w:b/>
                <w:color w:val="FFFFFF" w:themeColor="background1"/>
                <w:sz w:val="22"/>
              </w:rPr>
              <w:t xml:space="preserve">ncrease in life expectancy from </w:t>
            </w:r>
            <w:r w:rsidRPr="00DD6F11">
              <w:rPr>
                <w:b/>
                <w:color w:val="FFFFFF" w:themeColor="background1"/>
                <w:sz w:val="22"/>
              </w:rPr>
              <w:t>2005–07 to 2010–12</w:t>
            </w:r>
          </w:p>
        </w:tc>
      </w:tr>
      <w:tr w:rsidR="00221769" w:rsidRPr="000A7CE8" w14:paraId="1294CD15" w14:textId="77777777" w:rsidTr="00DD6F11">
        <w:tc>
          <w:tcPr>
            <w:tcW w:w="3403" w:type="dxa"/>
            <w:gridSpan w:val="2"/>
            <w:vMerge/>
            <w:shd w:val="clear" w:color="auto" w:fill="DBE5F1" w:themeFill="accent1" w:themeFillTint="33"/>
            <w:vAlign w:val="center"/>
          </w:tcPr>
          <w:p w14:paraId="3F7B3A74" w14:textId="77777777" w:rsidR="00221769" w:rsidRPr="000A7CE8" w:rsidRDefault="00221769" w:rsidP="000A7CE8">
            <w:pPr>
              <w:jc w:val="center"/>
              <w:rPr>
                <w:b/>
                <w:sz w:val="22"/>
              </w:rPr>
            </w:pPr>
          </w:p>
        </w:tc>
        <w:tc>
          <w:tcPr>
            <w:tcW w:w="1559" w:type="dxa"/>
            <w:shd w:val="clear" w:color="auto" w:fill="DAEEF3" w:themeFill="accent5" w:themeFillTint="33"/>
            <w:vAlign w:val="center"/>
          </w:tcPr>
          <w:p w14:paraId="757E497B" w14:textId="77777777" w:rsidR="00221769" w:rsidRPr="000A7CE8" w:rsidRDefault="00221769" w:rsidP="000A7CE8">
            <w:pPr>
              <w:jc w:val="center"/>
              <w:rPr>
                <w:b/>
                <w:sz w:val="22"/>
              </w:rPr>
            </w:pPr>
            <w:r w:rsidRPr="000A7CE8">
              <w:rPr>
                <w:b/>
                <w:sz w:val="22"/>
              </w:rPr>
              <w:t>2005–07</w:t>
            </w:r>
          </w:p>
        </w:tc>
        <w:tc>
          <w:tcPr>
            <w:tcW w:w="1559" w:type="dxa"/>
            <w:shd w:val="clear" w:color="auto" w:fill="DAEEF3" w:themeFill="accent5" w:themeFillTint="33"/>
            <w:vAlign w:val="center"/>
          </w:tcPr>
          <w:p w14:paraId="08D5EF9E" w14:textId="77777777" w:rsidR="00221769" w:rsidRPr="000A7CE8" w:rsidRDefault="00221769" w:rsidP="000A7CE8">
            <w:pPr>
              <w:jc w:val="center"/>
              <w:rPr>
                <w:b/>
                <w:sz w:val="22"/>
              </w:rPr>
            </w:pPr>
            <w:r w:rsidRPr="000A7CE8">
              <w:rPr>
                <w:b/>
                <w:sz w:val="22"/>
              </w:rPr>
              <w:t>2010–12</w:t>
            </w:r>
          </w:p>
        </w:tc>
        <w:tc>
          <w:tcPr>
            <w:tcW w:w="2410" w:type="dxa"/>
            <w:vMerge/>
            <w:shd w:val="clear" w:color="auto" w:fill="DBE5F1" w:themeFill="accent1" w:themeFillTint="33"/>
            <w:vAlign w:val="center"/>
          </w:tcPr>
          <w:p w14:paraId="125644A9" w14:textId="77777777" w:rsidR="00221769" w:rsidRPr="000A7CE8" w:rsidRDefault="00221769" w:rsidP="000A7CE8">
            <w:pPr>
              <w:jc w:val="center"/>
              <w:rPr>
                <w:b/>
                <w:sz w:val="22"/>
              </w:rPr>
            </w:pPr>
          </w:p>
        </w:tc>
      </w:tr>
      <w:tr w:rsidR="00221769" w:rsidRPr="000A7CE8" w14:paraId="72BBEBF0" w14:textId="77777777" w:rsidTr="00DD6F11">
        <w:tc>
          <w:tcPr>
            <w:tcW w:w="2302" w:type="dxa"/>
            <w:vMerge w:val="restart"/>
            <w:shd w:val="clear" w:color="auto" w:fill="DAEEF3" w:themeFill="accent5" w:themeFillTint="33"/>
            <w:vAlign w:val="center"/>
          </w:tcPr>
          <w:p w14:paraId="718C4F41" w14:textId="77777777" w:rsidR="00221769" w:rsidRPr="000A7CE8" w:rsidRDefault="00221769" w:rsidP="00DD6F11">
            <w:pPr>
              <w:rPr>
                <w:b/>
                <w:sz w:val="22"/>
              </w:rPr>
            </w:pPr>
            <w:r w:rsidRPr="000A7CE8">
              <w:rPr>
                <w:b/>
                <w:sz w:val="22"/>
              </w:rPr>
              <w:t>Aboriginal and Torres Strait Islander</w:t>
            </w:r>
          </w:p>
        </w:tc>
        <w:tc>
          <w:tcPr>
            <w:tcW w:w="1101" w:type="dxa"/>
            <w:shd w:val="clear" w:color="auto" w:fill="auto"/>
            <w:vAlign w:val="center"/>
          </w:tcPr>
          <w:p w14:paraId="2EC96C65" w14:textId="77777777" w:rsidR="00221769" w:rsidRPr="000A7CE8" w:rsidRDefault="00221769" w:rsidP="000A7CE8">
            <w:pPr>
              <w:jc w:val="center"/>
              <w:rPr>
                <w:b/>
                <w:sz w:val="22"/>
              </w:rPr>
            </w:pPr>
            <w:r w:rsidRPr="000A7CE8">
              <w:rPr>
                <w:b/>
                <w:sz w:val="22"/>
              </w:rPr>
              <w:t>Men</w:t>
            </w:r>
          </w:p>
        </w:tc>
        <w:tc>
          <w:tcPr>
            <w:tcW w:w="1559" w:type="dxa"/>
            <w:vAlign w:val="center"/>
          </w:tcPr>
          <w:p w14:paraId="00503B3B" w14:textId="77777777" w:rsidR="00221769" w:rsidRPr="000A7CE8" w:rsidRDefault="00221769" w:rsidP="000A7CE8">
            <w:pPr>
              <w:jc w:val="center"/>
              <w:rPr>
                <w:sz w:val="22"/>
              </w:rPr>
            </w:pPr>
            <w:r w:rsidRPr="000A7CE8">
              <w:rPr>
                <w:sz w:val="22"/>
              </w:rPr>
              <w:t>67.5</w:t>
            </w:r>
          </w:p>
        </w:tc>
        <w:tc>
          <w:tcPr>
            <w:tcW w:w="1559" w:type="dxa"/>
            <w:vAlign w:val="center"/>
          </w:tcPr>
          <w:p w14:paraId="20FD066D" w14:textId="77777777" w:rsidR="00221769" w:rsidRPr="000A7CE8" w:rsidRDefault="00221769" w:rsidP="000A7CE8">
            <w:pPr>
              <w:jc w:val="center"/>
              <w:rPr>
                <w:sz w:val="22"/>
              </w:rPr>
            </w:pPr>
            <w:r w:rsidRPr="000A7CE8">
              <w:rPr>
                <w:sz w:val="22"/>
              </w:rPr>
              <w:t>69.1</w:t>
            </w:r>
          </w:p>
        </w:tc>
        <w:tc>
          <w:tcPr>
            <w:tcW w:w="2410" w:type="dxa"/>
            <w:vAlign w:val="center"/>
          </w:tcPr>
          <w:p w14:paraId="25EC3BB9" w14:textId="77777777" w:rsidR="00221769" w:rsidRPr="000A7CE8" w:rsidRDefault="00221769" w:rsidP="000A7CE8">
            <w:pPr>
              <w:jc w:val="center"/>
              <w:rPr>
                <w:sz w:val="22"/>
              </w:rPr>
            </w:pPr>
            <w:r w:rsidRPr="000A7CE8">
              <w:rPr>
                <w:sz w:val="22"/>
              </w:rPr>
              <w:t>+1.6 years</w:t>
            </w:r>
          </w:p>
        </w:tc>
      </w:tr>
      <w:tr w:rsidR="00221769" w:rsidRPr="000A7CE8" w14:paraId="73CC6538" w14:textId="77777777" w:rsidTr="00DD6F11">
        <w:tc>
          <w:tcPr>
            <w:tcW w:w="2302" w:type="dxa"/>
            <w:vMerge/>
            <w:shd w:val="clear" w:color="auto" w:fill="DAEEF3" w:themeFill="accent5" w:themeFillTint="33"/>
            <w:vAlign w:val="center"/>
          </w:tcPr>
          <w:p w14:paraId="2E575E2F" w14:textId="77777777" w:rsidR="00221769" w:rsidRPr="000A7CE8" w:rsidRDefault="00221769" w:rsidP="00DD6F11">
            <w:pPr>
              <w:rPr>
                <w:b/>
                <w:sz w:val="22"/>
              </w:rPr>
            </w:pPr>
          </w:p>
        </w:tc>
        <w:tc>
          <w:tcPr>
            <w:tcW w:w="1101" w:type="dxa"/>
            <w:shd w:val="clear" w:color="auto" w:fill="auto"/>
            <w:vAlign w:val="center"/>
          </w:tcPr>
          <w:p w14:paraId="68C4FE9F" w14:textId="77777777" w:rsidR="00221769" w:rsidRPr="000A7CE8" w:rsidRDefault="00221769" w:rsidP="000A7CE8">
            <w:pPr>
              <w:jc w:val="center"/>
              <w:rPr>
                <w:b/>
                <w:sz w:val="22"/>
              </w:rPr>
            </w:pPr>
            <w:r w:rsidRPr="000A7CE8">
              <w:rPr>
                <w:b/>
                <w:sz w:val="22"/>
              </w:rPr>
              <w:t>Women</w:t>
            </w:r>
          </w:p>
        </w:tc>
        <w:tc>
          <w:tcPr>
            <w:tcW w:w="1559" w:type="dxa"/>
            <w:vAlign w:val="center"/>
          </w:tcPr>
          <w:p w14:paraId="686919E3" w14:textId="77777777" w:rsidR="00221769" w:rsidRPr="000A7CE8" w:rsidRDefault="00221769" w:rsidP="000A7CE8">
            <w:pPr>
              <w:jc w:val="center"/>
              <w:rPr>
                <w:sz w:val="22"/>
              </w:rPr>
            </w:pPr>
            <w:r w:rsidRPr="000A7CE8">
              <w:rPr>
                <w:sz w:val="22"/>
              </w:rPr>
              <w:t>73.1</w:t>
            </w:r>
          </w:p>
        </w:tc>
        <w:tc>
          <w:tcPr>
            <w:tcW w:w="1559" w:type="dxa"/>
            <w:vAlign w:val="center"/>
          </w:tcPr>
          <w:p w14:paraId="23130A89" w14:textId="77777777" w:rsidR="00221769" w:rsidRPr="000A7CE8" w:rsidRDefault="00221769" w:rsidP="000A7CE8">
            <w:pPr>
              <w:jc w:val="center"/>
              <w:rPr>
                <w:sz w:val="22"/>
              </w:rPr>
            </w:pPr>
            <w:r w:rsidRPr="000A7CE8">
              <w:rPr>
                <w:sz w:val="22"/>
              </w:rPr>
              <w:t>73.7</w:t>
            </w:r>
          </w:p>
        </w:tc>
        <w:tc>
          <w:tcPr>
            <w:tcW w:w="2410" w:type="dxa"/>
            <w:vAlign w:val="center"/>
          </w:tcPr>
          <w:p w14:paraId="2C87E0EB" w14:textId="77777777" w:rsidR="00221769" w:rsidRPr="000A7CE8" w:rsidRDefault="00221769" w:rsidP="000A7CE8">
            <w:pPr>
              <w:jc w:val="center"/>
              <w:rPr>
                <w:sz w:val="22"/>
              </w:rPr>
            </w:pPr>
            <w:r w:rsidRPr="000A7CE8">
              <w:rPr>
                <w:sz w:val="22"/>
              </w:rPr>
              <w:t>+0.6 year</w:t>
            </w:r>
          </w:p>
        </w:tc>
      </w:tr>
      <w:tr w:rsidR="00221769" w:rsidRPr="000A7CE8" w14:paraId="4E8E890D" w14:textId="77777777" w:rsidTr="00DD6F11">
        <w:tc>
          <w:tcPr>
            <w:tcW w:w="2302" w:type="dxa"/>
            <w:vMerge w:val="restart"/>
            <w:shd w:val="clear" w:color="auto" w:fill="DAEEF3" w:themeFill="accent5" w:themeFillTint="33"/>
            <w:vAlign w:val="center"/>
          </w:tcPr>
          <w:p w14:paraId="03540AFC" w14:textId="77777777" w:rsidR="00221769" w:rsidRPr="000A7CE8" w:rsidRDefault="00221769" w:rsidP="00DD6F11">
            <w:pPr>
              <w:rPr>
                <w:b/>
                <w:sz w:val="22"/>
              </w:rPr>
            </w:pPr>
            <w:r w:rsidRPr="000A7CE8">
              <w:rPr>
                <w:b/>
                <w:sz w:val="22"/>
              </w:rPr>
              <w:t>Non-Indigenous</w:t>
            </w:r>
          </w:p>
        </w:tc>
        <w:tc>
          <w:tcPr>
            <w:tcW w:w="1101" w:type="dxa"/>
            <w:shd w:val="clear" w:color="auto" w:fill="auto"/>
            <w:vAlign w:val="center"/>
          </w:tcPr>
          <w:p w14:paraId="4A361FEA" w14:textId="77777777" w:rsidR="00221769" w:rsidRPr="000A7CE8" w:rsidRDefault="00221769" w:rsidP="000A7CE8">
            <w:pPr>
              <w:jc w:val="center"/>
              <w:rPr>
                <w:b/>
                <w:sz w:val="22"/>
              </w:rPr>
            </w:pPr>
            <w:r w:rsidRPr="000A7CE8">
              <w:rPr>
                <w:b/>
                <w:sz w:val="22"/>
              </w:rPr>
              <w:t>Men</w:t>
            </w:r>
          </w:p>
        </w:tc>
        <w:tc>
          <w:tcPr>
            <w:tcW w:w="1559" w:type="dxa"/>
            <w:vAlign w:val="center"/>
          </w:tcPr>
          <w:p w14:paraId="197340F5" w14:textId="77777777" w:rsidR="00221769" w:rsidRPr="000A7CE8" w:rsidRDefault="00221769" w:rsidP="000A7CE8">
            <w:pPr>
              <w:jc w:val="center"/>
              <w:rPr>
                <w:sz w:val="22"/>
              </w:rPr>
            </w:pPr>
            <w:r w:rsidRPr="000A7CE8">
              <w:rPr>
                <w:sz w:val="22"/>
              </w:rPr>
              <w:t>78.9</w:t>
            </w:r>
          </w:p>
        </w:tc>
        <w:tc>
          <w:tcPr>
            <w:tcW w:w="1559" w:type="dxa"/>
            <w:vAlign w:val="center"/>
          </w:tcPr>
          <w:p w14:paraId="758FC587" w14:textId="77777777" w:rsidR="00221769" w:rsidRPr="000A7CE8" w:rsidRDefault="00221769" w:rsidP="000A7CE8">
            <w:pPr>
              <w:jc w:val="center"/>
              <w:rPr>
                <w:sz w:val="22"/>
              </w:rPr>
            </w:pPr>
            <w:r w:rsidRPr="000A7CE8">
              <w:rPr>
                <w:sz w:val="22"/>
              </w:rPr>
              <w:t>79.7</w:t>
            </w:r>
          </w:p>
        </w:tc>
        <w:tc>
          <w:tcPr>
            <w:tcW w:w="2410" w:type="dxa"/>
            <w:vAlign w:val="center"/>
          </w:tcPr>
          <w:p w14:paraId="2799B3AC" w14:textId="77777777" w:rsidR="00221769" w:rsidRPr="000A7CE8" w:rsidRDefault="00221769" w:rsidP="000A7CE8">
            <w:pPr>
              <w:jc w:val="center"/>
              <w:rPr>
                <w:sz w:val="22"/>
              </w:rPr>
            </w:pPr>
            <w:r w:rsidRPr="000A7CE8">
              <w:rPr>
                <w:sz w:val="22"/>
              </w:rPr>
              <w:t>+0.8 year</w:t>
            </w:r>
          </w:p>
        </w:tc>
      </w:tr>
      <w:tr w:rsidR="00221769" w:rsidRPr="000A7CE8" w14:paraId="151490F4" w14:textId="77777777" w:rsidTr="00DD6F11">
        <w:tc>
          <w:tcPr>
            <w:tcW w:w="2302" w:type="dxa"/>
            <w:vMerge/>
            <w:shd w:val="clear" w:color="auto" w:fill="DAEEF3" w:themeFill="accent5" w:themeFillTint="33"/>
            <w:vAlign w:val="center"/>
          </w:tcPr>
          <w:p w14:paraId="4D2CA112" w14:textId="77777777" w:rsidR="00221769" w:rsidRPr="000A7CE8" w:rsidRDefault="00221769" w:rsidP="000A7CE8">
            <w:pPr>
              <w:jc w:val="center"/>
              <w:rPr>
                <w:b/>
                <w:sz w:val="22"/>
              </w:rPr>
            </w:pPr>
          </w:p>
        </w:tc>
        <w:tc>
          <w:tcPr>
            <w:tcW w:w="1101" w:type="dxa"/>
            <w:shd w:val="clear" w:color="auto" w:fill="auto"/>
            <w:vAlign w:val="center"/>
          </w:tcPr>
          <w:p w14:paraId="442C1837" w14:textId="77777777" w:rsidR="00221769" w:rsidRPr="000A7CE8" w:rsidRDefault="00221769" w:rsidP="000A7CE8">
            <w:pPr>
              <w:jc w:val="center"/>
              <w:rPr>
                <w:b/>
                <w:sz w:val="22"/>
              </w:rPr>
            </w:pPr>
            <w:r w:rsidRPr="000A7CE8">
              <w:rPr>
                <w:b/>
                <w:sz w:val="22"/>
              </w:rPr>
              <w:t>Women</w:t>
            </w:r>
          </w:p>
        </w:tc>
        <w:tc>
          <w:tcPr>
            <w:tcW w:w="1559" w:type="dxa"/>
            <w:vAlign w:val="center"/>
          </w:tcPr>
          <w:p w14:paraId="6AA9C64D" w14:textId="77777777" w:rsidR="00221769" w:rsidRPr="000A7CE8" w:rsidRDefault="00221769" w:rsidP="000A7CE8">
            <w:pPr>
              <w:jc w:val="center"/>
              <w:rPr>
                <w:sz w:val="22"/>
              </w:rPr>
            </w:pPr>
            <w:r w:rsidRPr="000A7CE8">
              <w:rPr>
                <w:sz w:val="22"/>
              </w:rPr>
              <w:t>82.6</w:t>
            </w:r>
          </w:p>
        </w:tc>
        <w:tc>
          <w:tcPr>
            <w:tcW w:w="1559" w:type="dxa"/>
            <w:vAlign w:val="center"/>
          </w:tcPr>
          <w:p w14:paraId="0E296D63" w14:textId="77777777" w:rsidR="00221769" w:rsidRPr="000A7CE8" w:rsidRDefault="00221769" w:rsidP="000A7CE8">
            <w:pPr>
              <w:jc w:val="center"/>
              <w:rPr>
                <w:sz w:val="22"/>
              </w:rPr>
            </w:pPr>
            <w:r w:rsidRPr="000A7CE8">
              <w:rPr>
                <w:sz w:val="22"/>
              </w:rPr>
              <w:t>83.1</w:t>
            </w:r>
          </w:p>
        </w:tc>
        <w:tc>
          <w:tcPr>
            <w:tcW w:w="2410" w:type="dxa"/>
            <w:vAlign w:val="center"/>
          </w:tcPr>
          <w:p w14:paraId="66563AA4" w14:textId="77777777" w:rsidR="00221769" w:rsidRPr="000A7CE8" w:rsidRDefault="00221769" w:rsidP="000A7CE8">
            <w:pPr>
              <w:jc w:val="center"/>
              <w:rPr>
                <w:sz w:val="22"/>
              </w:rPr>
            </w:pPr>
            <w:r w:rsidRPr="000A7CE8">
              <w:rPr>
                <w:sz w:val="22"/>
              </w:rPr>
              <w:t>+0.5 year</w:t>
            </w:r>
          </w:p>
        </w:tc>
      </w:tr>
    </w:tbl>
    <w:p w14:paraId="51099F48" w14:textId="77777777" w:rsidR="00221769" w:rsidRPr="00561499" w:rsidRDefault="00221769" w:rsidP="007E71A4"/>
    <w:p w14:paraId="5011A023" w14:textId="562C2DEE" w:rsidR="00221769" w:rsidRPr="00561499" w:rsidRDefault="00221769" w:rsidP="007E71A4">
      <w:pPr>
        <w:rPr>
          <w:vertAlign w:val="superscript"/>
        </w:rPr>
      </w:pPr>
      <w:r w:rsidRPr="00561499">
        <w:lastRenderedPageBreak/>
        <w:t>Between 2005–2007 and 2010–2012, the life expectancy gap for Aboriginal and Torres Strait Islander men closed by 0.8 years, and for women by only 0.1 years. But such small relative gains are within the margin for error and could in fact be non-existent.</w:t>
      </w:r>
      <w:r w:rsidRPr="00561499">
        <w:rPr>
          <w:vertAlign w:val="superscript"/>
        </w:rPr>
        <w:endnoteReference w:id="24"/>
      </w:r>
      <w:r w:rsidRPr="00561499">
        <w:rPr>
          <w:vertAlign w:val="superscript"/>
        </w:rPr>
        <w:t xml:space="preserve"> </w:t>
      </w:r>
    </w:p>
    <w:p w14:paraId="622166E9" w14:textId="64D52961" w:rsidR="00221769" w:rsidRPr="00561499" w:rsidRDefault="00221769" w:rsidP="007E71A4">
      <w:r w:rsidRPr="00561499">
        <w:t xml:space="preserve">In its final 2014 report on progress against the life expectancy target, the </w:t>
      </w:r>
      <w:proofErr w:type="spellStart"/>
      <w:r w:rsidRPr="00561499">
        <w:t>COAG</w:t>
      </w:r>
      <w:proofErr w:type="spellEnd"/>
      <w:r w:rsidRPr="00561499">
        <w:t xml:space="preserve"> Reform Council concluded that the nation was not on track to meet it, and that larger absolute and relative gains are needed in future years.</w:t>
      </w:r>
      <w:r w:rsidRPr="00561499">
        <w:rPr>
          <w:vertAlign w:val="superscript"/>
        </w:rPr>
        <w:endnoteReference w:id="25"/>
      </w:r>
    </w:p>
    <w:p w14:paraId="635D5698" w14:textId="5C5A1688" w:rsidR="00221769" w:rsidRPr="000A7CE8" w:rsidRDefault="00221769" w:rsidP="000A7CE8">
      <w:r w:rsidRPr="00561499">
        <w:t>The Campaign</w:t>
      </w:r>
      <w:r w:rsidR="00ED44CF" w:rsidRPr="00561499">
        <w:t xml:space="preserve"> Steering Committee</w:t>
      </w:r>
      <w:r w:rsidRPr="00561499">
        <w:t xml:space="preserve"> reiterates</w:t>
      </w:r>
      <w:r w:rsidR="00943306" w:rsidRPr="00561499">
        <w:t xml:space="preserve"> the</w:t>
      </w:r>
      <w:r w:rsidRPr="00561499">
        <w:t xml:space="preserve"> 2015 </w:t>
      </w:r>
      <w:r w:rsidRPr="00561499">
        <w:rPr>
          <w:i/>
        </w:rPr>
        <w:t xml:space="preserve">Progress and Priorities Report </w:t>
      </w:r>
      <w:r w:rsidRPr="00561499">
        <w:t xml:space="preserve">position that the 2010–2012 life expectancy estimate should be considered the July 2009 life expectancy baseline (i.e. before the </w:t>
      </w:r>
      <w:r w:rsidRPr="00561499">
        <w:rPr>
          <w:i/>
        </w:rPr>
        <w:t>Closing the Gap Strategy</w:t>
      </w:r>
      <w:r w:rsidRPr="00561499">
        <w:t xml:space="preserve"> commenced) against which future progress can be measured</w:t>
      </w:r>
      <w:r w:rsidR="009415A8">
        <w:t>.</w:t>
      </w:r>
    </w:p>
    <w:p w14:paraId="595680FB" w14:textId="2673B7A5" w:rsidR="00221769" w:rsidRPr="00561499" w:rsidRDefault="00221769" w:rsidP="000A7CE8">
      <w:r w:rsidRPr="00561499">
        <w:t>Over the last 125 years, life expectancy at birth for the Australian population has increased by more than 30 years, indicating that dramatic increases in life expectancy are possible but take time.</w:t>
      </w:r>
      <w:r w:rsidRPr="00561499">
        <w:rPr>
          <w:vertAlign w:val="superscript"/>
        </w:rPr>
        <w:endnoteReference w:id="26"/>
      </w:r>
      <w:r w:rsidRPr="00561499">
        <w:t xml:space="preserve"> Life expectancy estimates generally move slowly, currently at around 0.25 years of life per year for the total Australian population, although more rapid gains in health of the Aboriginal and Torres Strait Islander populations are</w:t>
      </w:r>
      <w:r w:rsidR="00323DC8" w:rsidRPr="00561499">
        <w:t xml:space="preserve"> both necessary and</w:t>
      </w:r>
      <w:r w:rsidRPr="00561499">
        <w:t xml:space="preserve"> possible.</w:t>
      </w:r>
      <w:r w:rsidRPr="00561499">
        <w:rPr>
          <w:rStyle w:val="EndnoteReference"/>
        </w:rPr>
        <w:endnoteReference w:id="27"/>
      </w:r>
    </w:p>
    <w:p w14:paraId="669EFA78" w14:textId="4CE8BF3B" w:rsidR="00221769" w:rsidRPr="0025143E" w:rsidRDefault="00221769" w:rsidP="000A7CE8">
      <w:pPr>
        <w:rPr>
          <w:szCs w:val="24"/>
        </w:rPr>
      </w:pPr>
      <w:proofErr w:type="spellStart"/>
      <w:r w:rsidRPr="0025143E">
        <w:rPr>
          <w:szCs w:val="24"/>
        </w:rPr>
        <w:t>AHMAC</w:t>
      </w:r>
      <w:proofErr w:type="spellEnd"/>
      <w:r w:rsidRPr="0025143E">
        <w:rPr>
          <w:szCs w:val="24"/>
        </w:rPr>
        <w:t xml:space="preserve"> estimates that life expectancy for Aboriginal and Torres Strait Islander males has increased by 0.32 years per year since 2005–07, and by 0.12 years per year for </w:t>
      </w:r>
      <w:r w:rsidR="00C44BEA" w:rsidRPr="0025143E">
        <w:rPr>
          <w:szCs w:val="24"/>
        </w:rPr>
        <w:t xml:space="preserve">Aboriginal and Torres Strait Islander </w:t>
      </w:r>
      <w:r w:rsidRPr="0025143E">
        <w:rPr>
          <w:szCs w:val="24"/>
        </w:rPr>
        <w:t>females.</w:t>
      </w:r>
      <w:r w:rsidRPr="0025143E">
        <w:rPr>
          <w:rStyle w:val="EndnoteReference"/>
          <w:szCs w:val="24"/>
        </w:rPr>
        <w:endnoteReference w:id="28"/>
      </w:r>
      <w:r w:rsidRPr="0025143E">
        <w:rPr>
          <w:szCs w:val="24"/>
        </w:rPr>
        <w:t xml:space="preserve"> </w:t>
      </w:r>
      <w:r w:rsidR="00323DC8" w:rsidRPr="0025143E">
        <w:rPr>
          <w:szCs w:val="24"/>
        </w:rPr>
        <w:t>However</w:t>
      </w:r>
      <w:r w:rsidRPr="0025143E">
        <w:rPr>
          <w:szCs w:val="24"/>
        </w:rPr>
        <w:t>, to meet the life expectancy target by 2030, gains of 0.6 to 0.8 years per year are needed,</w:t>
      </w:r>
      <w:r w:rsidRPr="0025143E">
        <w:rPr>
          <w:rStyle w:val="EndnoteReference"/>
          <w:szCs w:val="24"/>
        </w:rPr>
        <w:endnoteReference w:id="29"/>
      </w:r>
      <w:r w:rsidRPr="0025143E">
        <w:rPr>
          <w:szCs w:val="24"/>
        </w:rPr>
        <w:t xml:space="preserve"> but that momentum will take time to build. It will need to </w:t>
      </w:r>
      <w:r w:rsidR="00144CEB" w:rsidRPr="0025143E">
        <w:rPr>
          <w:szCs w:val="24"/>
        </w:rPr>
        <w:t xml:space="preserve">be coordinated at a national level, and </w:t>
      </w:r>
      <w:r w:rsidRPr="0025143E">
        <w:rPr>
          <w:szCs w:val="24"/>
        </w:rPr>
        <w:t>draw on inputs from all areas of government activity including increased expenditure, better access to primary and other health care, and improvements in areas of social determinants including employment, education, housin</w:t>
      </w:r>
      <w:r w:rsidR="00DD6F11" w:rsidRPr="0025143E">
        <w:rPr>
          <w:szCs w:val="24"/>
        </w:rPr>
        <w:t>g and access to infrastructure.</w:t>
      </w:r>
    </w:p>
    <w:p w14:paraId="5EBDCDA1" w14:textId="32867C05" w:rsidR="00596C22" w:rsidRDefault="00596C22">
      <w:pPr>
        <w:keepLines w:val="0"/>
        <w:widowControl/>
        <w:spacing w:after="0" w:line="240" w:lineRule="auto"/>
      </w:pPr>
      <w:r>
        <w:br w:type="page"/>
      </w:r>
    </w:p>
    <w:p w14:paraId="6C50A02F" w14:textId="77777777" w:rsidR="00596C22" w:rsidRPr="00561499" w:rsidRDefault="00596C22" w:rsidP="000A7CE8">
      <w:pPr>
        <w:rPr>
          <w:rFonts w:cstheme="minorBidi"/>
        </w:rPr>
      </w:pPr>
    </w:p>
    <w:p w14:paraId="0124F58F" w14:textId="36DEF2FB" w:rsidR="00221769" w:rsidRPr="00561499" w:rsidRDefault="000A7CE8" w:rsidP="000A7CE8">
      <w:pPr>
        <w:pStyle w:val="Heading4"/>
      </w:pPr>
      <w:r>
        <w:t>(</w:t>
      </w:r>
      <w:r w:rsidR="00ED44CF" w:rsidRPr="00561499">
        <w:t>b</w:t>
      </w:r>
      <w:r>
        <w:t>)</w:t>
      </w:r>
      <w:r w:rsidR="00221769" w:rsidRPr="00561499">
        <w:t xml:space="preserve"> Mortality as a proxy measure for life expectancy</w:t>
      </w:r>
    </w:p>
    <w:p w14:paraId="0228F772" w14:textId="58EE2EE6" w:rsidR="00221769" w:rsidRPr="00596C22" w:rsidRDefault="00221769" w:rsidP="000A7CE8">
      <w:pPr>
        <w:rPr>
          <w:szCs w:val="24"/>
        </w:rPr>
      </w:pPr>
      <w:r w:rsidRPr="00596C22">
        <w:rPr>
          <w:szCs w:val="24"/>
        </w:rPr>
        <w:t xml:space="preserve">Mortality (or ‘all causes </w:t>
      </w:r>
      <w:proofErr w:type="spellStart"/>
      <w:r w:rsidRPr="00596C22">
        <w:rPr>
          <w:szCs w:val="24"/>
        </w:rPr>
        <w:t>standardised</w:t>
      </w:r>
      <w:proofErr w:type="spellEnd"/>
      <w:r w:rsidRPr="00596C22">
        <w:rPr>
          <w:szCs w:val="24"/>
        </w:rPr>
        <w:t xml:space="preserve"> death rates’), like life expectancy, is a proxy indicator of population health but is measurable at shorter intervals.</w:t>
      </w:r>
      <w:r w:rsidRPr="00596C22">
        <w:rPr>
          <w:rStyle w:val="EndnoteReference"/>
          <w:rFonts w:cstheme="minorBidi"/>
          <w:szCs w:val="24"/>
        </w:rPr>
        <w:endnoteReference w:id="30"/>
      </w:r>
      <w:r w:rsidR="00596C22">
        <w:rPr>
          <w:szCs w:val="24"/>
        </w:rPr>
        <w:t xml:space="preserve"> </w:t>
      </w:r>
      <w:r w:rsidRPr="00596C22">
        <w:rPr>
          <w:szCs w:val="24"/>
        </w:rPr>
        <w:t>Assessing the declining gap in mortality rates, and particularly the avoidable mortality rate, suggests that long-term progress towards</w:t>
      </w:r>
      <w:r w:rsidR="00596C22" w:rsidRPr="00596C22">
        <w:rPr>
          <w:szCs w:val="24"/>
        </w:rPr>
        <w:t xml:space="preserve"> closing the gap is being made.</w:t>
      </w:r>
    </w:p>
    <w:p w14:paraId="6B6D96C6" w14:textId="279611F3" w:rsidR="00221769" w:rsidRPr="00561499" w:rsidRDefault="00221769" w:rsidP="000514A1">
      <w:pPr>
        <w:autoSpaceDE w:val="0"/>
        <w:autoSpaceDN w:val="0"/>
        <w:adjustRightInd w:val="0"/>
        <w:rPr>
          <w:rFonts w:cs="Calibri Light"/>
          <w:color w:val="000000"/>
        </w:rPr>
      </w:pPr>
      <w:r w:rsidRPr="00561499">
        <w:t xml:space="preserve">Over 2009–2013, the first four years of the </w:t>
      </w:r>
      <w:r w:rsidRPr="00561499">
        <w:rPr>
          <w:i/>
        </w:rPr>
        <w:t>Closing the Gap Strategy</w:t>
      </w:r>
      <w:r w:rsidRPr="00561499">
        <w:t>, the</w:t>
      </w:r>
      <w:r w:rsidR="00C44BEA" w:rsidRPr="00561499">
        <w:t xml:space="preserve"> mortality rate for </w:t>
      </w:r>
      <w:r w:rsidRPr="00561499">
        <w:t xml:space="preserve"> </w:t>
      </w:r>
      <w:r w:rsidRPr="00561499">
        <w:rPr>
          <w:rFonts w:cs="Calibri Light"/>
          <w:color w:val="000000"/>
        </w:rPr>
        <w:t xml:space="preserve">Aboriginal and Torres Strait Islander </w:t>
      </w:r>
      <w:r w:rsidR="00C44BEA" w:rsidRPr="00561499">
        <w:rPr>
          <w:rFonts w:cs="Calibri Light"/>
          <w:color w:val="000000"/>
        </w:rPr>
        <w:t xml:space="preserve">people </w:t>
      </w:r>
      <w:r w:rsidRPr="00561499">
        <w:rPr>
          <w:rFonts w:cs="Calibri Light"/>
          <w:color w:val="000000"/>
        </w:rPr>
        <w:t xml:space="preserve">was 1.7 times </w:t>
      </w:r>
      <w:r w:rsidRPr="00561499">
        <w:t>higher than that</w:t>
      </w:r>
      <w:r w:rsidRPr="00561499">
        <w:rPr>
          <w:rFonts w:cs="Calibri Light"/>
          <w:color w:val="000000"/>
        </w:rPr>
        <w:t xml:space="preserve"> for </w:t>
      </w:r>
      <w:r w:rsidRPr="00561499">
        <w:t>non-Indigenous people.</w:t>
      </w:r>
      <w:r w:rsidRPr="00561499">
        <w:rPr>
          <w:rStyle w:val="EndnoteReference"/>
        </w:rPr>
        <w:endnoteReference w:id="31"/>
      </w:r>
      <w:r w:rsidR="00596C22">
        <w:t xml:space="preserve"> </w:t>
      </w:r>
      <w:r w:rsidRPr="00561499">
        <w:t xml:space="preserve">Over the 15 years from 1998 to 2013, </w:t>
      </w:r>
      <w:proofErr w:type="spellStart"/>
      <w:r w:rsidRPr="00561499">
        <w:t>AHMAC</w:t>
      </w:r>
      <w:proofErr w:type="spellEnd"/>
      <w:r w:rsidRPr="00561499">
        <w:t xml:space="preserve"> report there was an absolute 16% reduction in all-cause mortality rates for Aboriginal and Torres Strait Islander people in NSW, </w:t>
      </w:r>
      <w:proofErr w:type="spellStart"/>
      <w:r w:rsidRPr="00561499">
        <w:t>Qld</w:t>
      </w:r>
      <w:proofErr w:type="spellEnd"/>
      <w:r w:rsidRPr="00561499">
        <w:t>, WA, SA, and the NT where data is deemed reliable.</w:t>
      </w:r>
      <w:r w:rsidRPr="00561499">
        <w:rPr>
          <w:rStyle w:val="EndnoteReference"/>
        </w:rPr>
        <w:endnoteReference w:id="32"/>
      </w:r>
      <w:r w:rsidR="00596C22">
        <w:t xml:space="preserve"> </w:t>
      </w:r>
      <w:r w:rsidRPr="00561499">
        <w:t>T</w:t>
      </w:r>
      <w:r w:rsidRPr="00561499">
        <w:rPr>
          <w:rFonts w:cs="Calibri Light"/>
          <w:color w:val="000000"/>
        </w:rPr>
        <w:t>here was also a significant 15% narrowing of the gap in mortality rates.</w:t>
      </w:r>
      <w:r w:rsidRPr="00561499">
        <w:rPr>
          <w:rStyle w:val="EndnoteReference"/>
          <w:rFonts w:cs="Calibri Light"/>
          <w:color w:val="000000"/>
        </w:rPr>
        <w:endnoteReference w:id="33"/>
      </w:r>
      <w:r w:rsidRPr="00561499">
        <w:rPr>
          <w:rFonts w:cs="Calibri Light"/>
          <w:color w:val="000000"/>
        </w:rPr>
        <w:t xml:space="preserve"> </w:t>
      </w:r>
      <w:r w:rsidR="00323DC8" w:rsidRPr="00561499">
        <w:rPr>
          <w:rFonts w:cs="Calibri Light"/>
          <w:color w:val="000000"/>
        </w:rPr>
        <w:t xml:space="preserve">However, the rate of improvement in </w:t>
      </w:r>
      <w:r w:rsidR="00C44BEA" w:rsidRPr="00561499">
        <w:rPr>
          <w:rFonts w:cs="Calibri Light"/>
          <w:color w:val="000000"/>
        </w:rPr>
        <w:t>Aboriginal and Torres Strait Islander</w:t>
      </w:r>
      <w:r w:rsidR="00323DC8" w:rsidRPr="00561499">
        <w:rPr>
          <w:rFonts w:cs="Calibri Light"/>
          <w:color w:val="000000"/>
        </w:rPr>
        <w:t xml:space="preserve"> and non-</w:t>
      </w:r>
      <w:r w:rsidR="00C44BEA" w:rsidRPr="00561499">
        <w:rPr>
          <w:rFonts w:cs="Calibri Light"/>
          <w:color w:val="000000"/>
        </w:rPr>
        <w:t>Indigenous rates</w:t>
      </w:r>
      <w:r w:rsidR="00323DC8" w:rsidRPr="00561499">
        <w:rPr>
          <w:rFonts w:cs="Calibri Light"/>
          <w:color w:val="000000"/>
        </w:rPr>
        <w:t xml:space="preserve"> had been approximately the same so that the Aboriginal and Torres Strait Islander morta</w:t>
      </w:r>
      <w:r w:rsidR="0020382A" w:rsidRPr="00561499">
        <w:rPr>
          <w:rFonts w:cs="Calibri Light"/>
          <w:color w:val="000000"/>
        </w:rPr>
        <w:t>lity rate remains approximately</w:t>
      </w:r>
      <w:r w:rsidR="00323DC8" w:rsidRPr="00561499">
        <w:rPr>
          <w:rFonts w:cs="Calibri Light"/>
          <w:color w:val="000000"/>
        </w:rPr>
        <w:t xml:space="preserve"> 1.7 times higher than t</w:t>
      </w:r>
      <w:r w:rsidR="000A7CE8">
        <w:rPr>
          <w:rFonts w:cs="Calibri Light"/>
          <w:color w:val="000000"/>
        </w:rPr>
        <w:t>hat for non-Indigenous people.</w:t>
      </w:r>
    </w:p>
    <w:p w14:paraId="74D8863D" w14:textId="4C1EE699" w:rsidR="00221769" w:rsidRPr="00561499" w:rsidRDefault="00221769" w:rsidP="000514A1">
      <w:pPr>
        <w:autoSpaceDE w:val="0"/>
        <w:autoSpaceDN w:val="0"/>
        <w:adjustRightInd w:val="0"/>
        <w:rPr>
          <w:rFonts w:cs="Calibri Light"/>
          <w:color w:val="000000"/>
        </w:rPr>
      </w:pPr>
      <w:r w:rsidRPr="00561499">
        <w:rPr>
          <w:rFonts w:cs="Calibri Light"/>
          <w:color w:val="000000"/>
        </w:rPr>
        <w:t>From 1998 to 2012 there was a significant absolute decline of 40% in death rates due to circulatory diseases,</w:t>
      </w:r>
      <w:r w:rsidRPr="00561499">
        <w:rPr>
          <w:rStyle w:val="EndnoteReference"/>
          <w:rFonts w:cs="Calibri Light"/>
          <w:color w:val="000000"/>
        </w:rPr>
        <w:endnoteReference w:id="34"/>
      </w:r>
      <w:r w:rsidRPr="00561499">
        <w:rPr>
          <w:rFonts w:cs="Calibri Light"/>
          <w:color w:val="000000"/>
        </w:rPr>
        <w:t xml:space="preserve"> and of 27% for respiratory diseases.</w:t>
      </w:r>
      <w:r w:rsidRPr="00561499">
        <w:rPr>
          <w:rStyle w:val="EndnoteReference"/>
          <w:rFonts w:cs="Calibri Light"/>
          <w:color w:val="000000"/>
        </w:rPr>
        <w:endnoteReference w:id="35"/>
      </w:r>
      <w:r w:rsidRPr="00561499">
        <w:rPr>
          <w:rFonts w:cs="Calibri Light"/>
          <w:color w:val="000000"/>
        </w:rPr>
        <w:t xml:space="preserve"> Further, there was a significant narrowing of the</w:t>
      </w:r>
      <w:r w:rsidR="00323DC8" w:rsidRPr="00561499">
        <w:rPr>
          <w:rFonts w:cs="Calibri Light"/>
          <w:color w:val="000000"/>
        </w:rPr>
        <w:t xml:space="preserve"> </w:t>
      </w:r>
      <w:r w:rsidRPr="00561499">
        <w:rPr>
          <w:rFonts w:cs="Calibri Light"/>
          <w:color w:val="000000"/>
        </w:rPr>
        <w:t>gap.</w:t>
      </w:r>
      <w:r w:rsidRPr="00561499">
        <w:rPr>
          <w:rStyle w:val="EndnoteReference"/>
          <w:rFonts w:cs="Calibri Light"/>
          <w:color w:val="000000"/>
        </w:rPr>
        <w:endnoteReference w:id="36"/>
      </w:r>
      <w:r w:rsidRPr="00561499">
        <w:rPr>
          <w:rFonts w:cs="Calibri Light"/>
          <w:color w:val="000000"/>
        </w:rPr>
        <w:t xml:space="preserve"> </w:t>
      </w:r>
      <w:r w:rsidR="00323DC8" w:rsidRPr="00561499">
        <w:rPr>
          <w:rFonts w:cs="Calibri Light"/>
          <w:color w:val="000000"/>
        </w:rPr>
        <w:t xml:space="preserve">For these conditions though, </w:t>
      </w:r>
      <w:r w:rsidR="00B90816" w:rsidRPr="00561499">
        <w:rPr>
          <w:rFonts w:cs="Calibri Light"/>
          <w:color w:val="000000"/>
        </w:rPr>
        <w:t>cardiovascular disease (</w:t>
      </w:r>
      <w:proofErr w:type="spellStart"/>
      <w:r w:rsidR="00323DC8" w:rsidRPr="00561499">
        <w:rPr>
          <w:rFonts w:cs="Calibri Light"/>
          <w:color w:val="000000"/>
        </w:rPr>
        <w:t>CVD</w:t>
      </w:r>
      <w:proofErr w:type="spellEnd"/>
      <w:r w:rsidR="00B90816" w:rsidRPr="00561499">
        <w:rPr>
          <w:rFonts w:cs="Calibri Light"/>
          <w:color w:val="000000"/>
        </w:rPr>
        <w:t>)</w:t>
      </w:r>
      <w:r w:rsidR="00323DC8" w:rsidRPr="00561499">
        <w:rPr>
          <w:rFonts w:cs="Calibri Light"/>
          <w:color w:val="000000"/>
        </w:rPr>
        <w:t xml:space="preserve"> mortality rates have remained approximately 1.6 times higher for Aboriginal and Torres Strait Islander people. </w:t>
      </w:r>
      <w:r w:rsidRPr="00561499">
        <w:rPr>
          <w:rFonts w:cs="Calibri Light"/>
          <w:color w:val="000000"/>
        </w:rPr>
        <w:t xml:space="preserve"> Similar gains for kidney disease mortality were made over 2006 to 2012.</w:t>
      </w:r>
      <w:r w:rsidRPr="00561499">
        <w:rPr>
          <w:rStyle w:val="EndnoteReference"/>
          <w:rFonts w:cs="Calibri Light"/>
          <w:color w:val="000000"/>
        </w:rPr>
        <w:endnoteReference w:id="37"/>
      </w:r>
    </w:p>
    <w:p w14:paraId="4C08C727" w14:textId="748BC3D8" w:rsidR="00221769" w:rsidRPr="00561499" w:rsidRDefault="00221769" w:rsidP="000514A1">
      <w:pPr>
        <w:autoSpaceDE w:val="0"/>
        <w:autoSpaceDN w:val="0"/>
        <w:adjustRightInd w:val="0"/>
      </w:pPr>
      <w:r w:rsidRPr="00561499">
        <w:t>Avoidable and preventable mortality refers to deaths from conditions that are considered avoidable given timely and effective health care (including disease prevention and population health initiatives).</w:t>
      </w:r>
      <w:r w:rsidRPr="00561499">
        <w:rPr>
          <w:rStyle w:val="EndnoteReference"/>
        </w:rPr>
        <w:endnoteReference w:id="38"/>
      </w:r>
    </w:p>
    <w:p w14:paraId="5F691802" w14:textId="61FB93D1" w:rsidR="00221769" w:rsidRDefault="00221769" w:rsidP="007E71A4">
      <w:pPr>
        <w:autoSpaceDE w:val="0"/>
        <w:autoSpaceDN w:val="0"/>
        <w:adjustRightInd w:val="0"/>
      </w:pPr>
      <w:r w:rsidRPr="00561499">
        <w:t>Over 2008–2012, Aboriginal and Torres Strait Islander people died from all avoidable causes at three times the rate of non-Indigenous people.</w:t>
      </w:r>
      <w:r w:rsidRPr="00561499">
        <w:rPr>
          <w:rStyle w:val="EndnoteReference"/>
        </w:rPr>
        <w:endnoteReference w:id="39"/>
      </w:r>
      <w:r w:rsidRPr="00561499">
        <w:t xml:space="preserve"> However, between 1998 and 2012 there was a significant 27% decline in Aboriginal and Torres Strait Islander deaths due to avoidable causes</w:t>
      </w:r>
      <w:r w:rsidR="00177569" w:rsidRPr="00561499">
        <w:t xml:space="preserve"> reported</w:t>
      </w:r>
      <w:r w:rsidRPr="00561499">
        <w:t xml:space="preserve"> and a narrowing of the avoidable mortality gap.</w:t>
      </w:r>
      <w:r w:rsidRPr="00561499">
        <w:rPr>
          <w:rStyle w:val="EndnoteReference"/>
        </w:rPr>
        <w:endnoteReference w:id="40"/>
      </w:r>
    </w:p>
    <w:p w14:paraId="4A3EDF41" w14:textId="6907A28B" w:rsidR="00ED5D51" w:rsidRDefault="00ED5D51">
      <w:pPr>
        <w:keepLines w:val="0"/>
        <w:widowControl/>
        <w:spacing w:after="0" w:line="240" w:lineRule="auto"/>
      </w:pPr>
      <w:r>
        <w:br w:type="page"/>
      </w:r>
    </w:p>
    <w:p w14:paraId="64F397D8" w14:textId="77777777" w:rsidR="00ED5D51" w:rsidRPr="000A7CE8" w:rsidRDefault="00ED5D51" w:rsidP="007E71A4">
      <w:pPr>
        <w:autoSpaceDE w:val="0"/>
        <w:autoSpaceDN w:val="0"/>
        <w:adjustRightInd w:val="0"/>
      </w:pPr>
    </w:p>
    <w:p w14:paraId="5DCAE66E" w14:textId="27597DE2" w:rsidR="00221769" w:rsidRPr="00561499" w:rsidRDefault="000A7CE8" w:rsidP="000A7CE8">
      <w:pPr>
        <w:pStyle w:val="Heading4"/>
      </w:pPr>
      <w:r>
        <w:t>(</w:t>
      </w:r>
      <w:r w:rsidR="00ED44CF" w:rsidRPr="00561499">
        <w:t>c</w:t>
      </w:r>
      <w:r>
        <w:t>)</w:t>
      </w:r>
      <w:r w:rsidR="00221769" w:rsidRPr="00561499">
        <w:t xml:space="preserve"> Causes of death</w:t>
      </w:r>
    </w:p>
    <w:p w14:paraId="5E7EC83D" w14:textId="77777777" w:rsidR="00221769" w:rsidRPr="00561499" w:rsidRDefault="00221769" w:rsidP="007E71A4">
      <w:pPr>
        <w:autoSpaceDE w:val="0"/>
        <w:autoSpaceDN w:val="0"/>
        <w:adjustRightInd w:val="0"/>
        <w:rPr>
          <w:rFonts w:cs="Calibri Light"/>
          <w:color w:val="000000"/>
        </w:rPr>
      </w:pPr>
      <w:r w:rsidRPr="00561499">
        <w:rPr>
          <w:rFonts w:cs="Calibri Light"/>
          <w:color w:val="000000"/>
        </w:rPr>
        <w:t>Over 2008–2012, in the five jurisdictions where data is deemed reliable the most common causes of death for Aboriginal and Torres Strait Islander people were:</w:t>
      </w:r>
    </w:p>
    <w:p w14:paraId="40D4C1B9" w14:textId="77777777" w:rsidR="00221769" w:rsidRPr="00561499" w:rsidRDefault="001F72B7" w:rsidP="00DC5A0E">
      <w:pPr>
        <w:pStyle w:val="ListParagraph"/>
        <w:numPr>
          <w:ilvl w:val="0"/>
          <w:numId w:val="22"/>
        </w:numPr>
        <w:spacing w:before="120"/>
        <w:ind w:left="714" w:hanging="357"/>
        <w:contextualSpacing w:val="0"/>
      </w:pPr>
      <w:r w:rsidRPr="00561499">
        <w:t>25% —</w:t>
      </w:r>
      <w:r w:rsidR="00221769" w:rsidRPr="00561499">
        <w:t>circulatory diseases;</w:t>
      </w:r>
    </w:p>
    <w:p w14:paraId="3D18AFD2" w14:textId="77777777" w:rsidR="00221769" w:rsidRPr="00561499" w:rsidRDefault="001F72B7" w:rsidP="00DC5A0E">
      <w:pPr>
        <w:pStyle w:val="ListParagraph"/>
        <w:numPr>
          <w:ilvl w:val="0"/>
          <w:numId w:val="22"/>
        </w:numPr>
        <w:spacing w:before="120"/>
        <w:ind w:left="714" w:hanging="357"/>
        <w:contextualSpacing w:val="0"/>
      </w:pPr>
      <w:r w:rsidRPr="00561499">
        <w:t>20% —</w:t>
      </w:r>
      <w:r w:rsidR="00221769" w:rsidRPr="00561499">
        <w:t>neoplasms (including cancer); and</w:t>
      </w:r>
    </w:p>
    <w:p w14:paraId="5250649F" w14:textId="0ACDED56" w:rsidR="00221769" w:rsidRPr="00561499" w:rsidRDefault="001F72B7" w:rsidP="000A7CE8">
      <w:pPr>
        <w:pStyle w:val="ListParagraph"/>
        <w:numPr>
          <w:ilvl w:val="0"/>
          <w:numId w:val="22"/>
        </w:numPr>
        <w:spacing w:before="120"/>
        <w:ind w:left="714" w:hanging="357"/>
        <w:contextualSpacing w:val="0"/>
      </w:pPr>
      <w:r w:rsidRPr="00561499">
        <w:t>15% —</w:t>
      </w:r>
      <w:r w:rsidR="00221769" w:rsidRPr="00561499">
        <w:t>external causes.</w:t>
      </w:r>
      <w:r w:rsidR="00221769" w:rsidRPr="00561499">
        <w:rPr>
          <w:rStyle w:val="EndnoteReference"/>
        </w:rPr>
        <w:endnoteReference w:id="41"/>
      </w:r>
    </w:p>
    <w:p w14:paraId="03F41622" w14:textId="1916B125" w:rsidR="00221769" w:rsidRPr="00561499" w:rsidRDefault="00221769" w:rsidP="007E71A4">
      <w:pPr>
        <w:autoSpaceDE w:val="0"/>
        <w:autoSpaceDN w:val="0"/>
        <w:adjustRightInd w:val="0"/>
        <w:rPr>
          <w:rFonts w:cs="Calibri Light"/>
          <w:color w:val="000000"/>
        </w:rPr>
      </w:pPr>
      <w:r w:rsidRPr="00561499">
        <w:rPr>
          <w:rFonts w:cs="Calibri Light"/>
          <w:color w:val="000000"/>
        </w:rPr>
        <w:t>Suicide was the leading cause of death due to external causes for Aboriginal and Torres Strait Islander</w:t>
      </w:r>
      <w:r w:rsidR="001F72B7" w:rsidRPr="00561499">
        <w:rPr>
          <w:rFonts w:cs="Calibri Light"/>
          <w:color w:val="000000"/>
        </w:rPr>
        <w:t xml:space="preserve"> people—</w:t>
      </w:r>
      <w:r w:rsidRPr="00561499">
        <w:rPr>
          <w:rFonts w:cs="Calibri Light"/>
          <w:color w:val="000000"/>
        </w:rPr>
        <w:t>accounting for 32</w:t>
      </w:r>
      <w:r w:rsidR="00080771" w:rsidRPr="00561499">
        <w:rPr>
          <w:rFonts w:cs="Calibri Light"/>
          <w:color w:val="000000"/>
        </w:rPr>
        <w:t>%</w:t>
      </w:r>
      <w:r w:rsidRPr="00561499">
        <w:rPr>
          <w:rFonts w:cs="Calibri Light"/>
          <w:color w:val="000000"/>
        </w:rPr>
        <w:t xml:space="preserve"> of such deaths, compared with 27</w:t>
      </w:r>
      <w:r w:rsidR="00080771" w:rsidRPr="00561499">
        <w:rPr>
          <w:rFonts w:cs="Calibri Light"/>
          <w:color w:val="000000"/>
        </w:rPr>
        <w:t>%</w:t>
      </w:r>
      <w:r w:rsidRPr="00561499">
        <w:rPr>
          <w:rFonts w:cs="Calibri Light"/>
          <w:color w:val="000000"/>
        </w:rPr>
        <w:t xml:space="preserve"> </w:t>
      </w:r>
      <w:r w:rsidR="00684798" w:rsidRPr="00561499">
        <w:rPr>
          <w:rFonts w:cs="Calibri Light"/>
          <w:color w:val="000000"/>
        </w:rPr>
        <w:t>of</w:t>
      </w:r>
      <w:r w:rsidRPr="00561499">
        <w:rPr>
          <w:rFonts w:cs="Calibri Light"/>
          <w:color w:val="000000"/>
        </w:rPr>
        <w:t xml:space="preserve"> all Australians.</w:t>
      </w:r>
      <w:r w:rsidRPr="00561499">
        <w:rPr>
          <w:rStyle w:val="EndnoteReference"/>
          <w:rFonts w:cs="Calibri Light"/>
          <w:color w:val="000000"/>
        </w:rPr>
        <w:endnoteReference w:id="42"/>
      </w:r>
    </w:p>
    <w:p w14:paraId="4601CB53" w14:textId="204CBFD1" w:rsidR="00221769" w:rsidRPr="00561499" w:rsidRDefault="00221769" w:rsidP="007E71A4">
      <w:pPr>
        <w:autoSpaceDE w:val="0"/>
        <w:autoSpaceDN w:val="0"/>
        <w:adjustRightInd w:val="0"/>
        <w:rPr>
          <w:rFonts w:cs="Calibri Light"/>
          <w:color w:val="000000"/>
        </w:rPr>
      </w:pPr>
      <w:r w:rsidRPr="00561499">
        <w:rPr>
          <w:rFonts w:cs="Calibri Light"/>
          <w:color w:val="000000"/>
        </w:rPr>
        <w:t xml:space="preserve">In attributing relative contributions to the mortality gap over 2009–2013, </w:t>
      </w:r>
      <w:proofErr w:type="spellStart"/>
      <w:r w:rsidRPr="00561499">
        <w:rPr>
          <w:rFonts w:cs="Calibri Light"/>
          <w:color w:val="000000"/>
        </w:rPr>
        <w:t>AHMAC</w:t>
      </w:r>
      <w:proofErr w:type="spellEnd"/>
      <w:r w:rsidRPr="00561499">
        <w:rPr>
          <w:rFonts w:cs="Calibri Light"/>
          <w:color w:val="000000"/>
        </w:rPr>
        <w:t xml:space="preserve"> estimate:</w:t>
      </w:r>
    </w:p>
    <w:p w14:paraId="4DE2191A" w14:textId="77777777" w:rsidR="00221769" w:rsidRPr="00561499" w:rsidRDefault="00221769" w:rsidP="00DC5A0E">
      <w:pPr>
        <w:pStyle w:val="ListParagraph"/>
        <w:numPr>
          <w:ilvl w:val="0"/>
          <w:numId w:val="22"/>
        </w:numPr>
        <w:spacing w:before="120"/>
        <w:ind w:left="714" w:hanging="357"/>
        <w:contextualSpacing w:val="0"/>
      </w:pPr>
      <w:r w:rsidRPr="00561499">
        <w:t>24% of the gap is attributed to circulatory disease;</w:t>
      </w:r>
    </w:p>
    <w:p w14:paraId="75E9CE23" w14:textId="77777777" w:rsidR="00221769" w:rsidRPr="00561499" w:rsidRDefault="001F72B7" w:rsidP="00DC5A0E">
      <w:pPr>
        <w:pStyle w:val="ListParagraph"/>
        <w:numPr>
          <w:ilvl w:val="0"/>
          <w:numId w:val="22"/>
        </w:numPr>
        <w:spacing w:before="120"/>
        <w:ind w:left="714" w:hanging="357"/>
        <w:contextualSpacing w:val="0"/>
      </w:pPr>
      <w:r w:rsidRPr="00561499">
        <w:t>21% —</w:t>
      </w:r>
      <w:r w:rsidR="00221769" w:rsidRPr="00561499">
        <w:t>endocrine, metabolic and nutritional disorders (including diabetes);</w:t>
      </w:r>
    </w:p>
    <w:p w14:paraId="259610CC" w14:textId="77777777" w:rsidR="00221769" w:rsidRPr="00561499" w:rsidRDefault="001F72B7" w:rsidP="00DC5A0E">
      <w:pPr>
        <w:pStyle w:val="ListParagraph"/>
        <w:numPr>
          <w:ilvl w:val="0"/>
          <w:numId w:val="22"/>
        </w:numPr>
        <w:spacing w:before="120"/>
        <w:ind w:left="714" w:hanging="357"/>
        <w:contextualSpacing w:val="0"/>
      </w:pPr>
      <w:r w:rsidRPr="00561499">
        <w:t>12% —</w:t>
      </w:r>
      <w:r w:rsidR="00221769" w:rsidRPr="00561499">
        <w:t>neoplasms (including cancer); and</w:t>
      </w:r>
    </w:p>
    <w:p w14:paraId="2750B867" w14:textId="1AF1F427" w:rsidR="00221769" w:rsidRPr="000A7CE8" w:rsidRDefault="00221769" w:rsidP="000A7CE8">
      <w:pPr>
        <w:pStyle w:val="ListParagraph"/>
        <w:numPr>
          <w:ilvl w:val="0"/>
          <w:numId w:val="22"/>
        </w:numPr>
        <w:spacing w:before="120"/>
        <w:ind w:left="714" w:hanging="357"/>
        <w:contextualSpacing w:val="0"/>
      </w:pPr>
      <w:r w:rsidRPr="00561499">
        <w:t xml:space="preserve">12% </w:t>
      </w:r>
      <w:r w:rsidR="001F72B7" w:rsidRPr="00561499">
        <w:t>—</w:t>
      </w:r>
      <w:r w:rsidRPr="00561499">
        <w:t>respiratory diseases.</w:t>
      </w:r>
      <w:r w:rsidRPr="00561499">
        <w:rPr>
          <w:rStyle w:val="EndnoteReference"/>
        </w:rPr>
        <w:endnoteReference w:id="43"/>
      </w:r>
    </w:p>
    <w:p w14:paraId="6097AA42" w14:textId="076F954E" w:rsidR="00221769" w:rsidRPr="000A7CE8" w:rsidRDefault="00221769" w:rsidP="000A7CE8">
      <w:pPr>
        <w:rPr>
          <w:rFonts w:eastAsia="Times New Roman"/>
        </w:rPr>
      </w:pPr>
      <w:r w:rsidRPr="00561499">
        <w:rPr>
          <w:rFonts w:cs="Calibri Light"/>
          <w:color w:val="000000"/>
        </w:rPr>
        <w:t>The Australian Institute of Health and Welfare</w:t>
      </w:r>
      <w:r w:rsidR="00177569" w:rsidRPr="00561499">
        <w:rPr>
          <w:rFonts w:cs="Calibri Light"/>
          <w:color w:val="000000"/>
        </w:rPr>
        <w:t xml:space="preserve"> (</w:t>
      </w:r>
      <w:proofErr w:type="spellStart"/>
      <w:r w:rsidR="00177569" w:rsidRPr="00561499">
        <w:rPr>
          <w:rFonts w:cs="Calibri Light"/>
          <w:color w:val="000000"/>
        </w:rPr>
        <w:t>AIHW</w:t>
      </w:r>
      <w:proofErr w:type="spellEnd"/>
      <w:r w:rsidR="00177569" w:rsidRPr="00561499">
        <w:rPr>
          <w:rFonts w:cs="Calibri Light"/>
          <w:color w:val="000000"/>
        </w:rPr>
        <w:t>)</w:t>
      </w:r>
      <w:r w:rsidRPr="00561499">
        <w:rPr>
          <w:rFonts w:cs="Calibri Light"/>
          <w:color w:val="000000"/>
        </w:rPr>
        <w:t xml:space="preserve"> identified cardiovascular disease as the largest contributor to the gap in fatal burden in 2010, accounting for 29% and 25% of the gap for males and females respectively.</w:t>
      </w:r>
      <w:r w:rsidRPr="00561499">
        <w:rPr>
          <w:rFonts w:cs="Calibri Light"/>
          <w:color w:val="000000"/>
          <w:vertAlign w:val="superscript"/>
        </w:rPr>
        <w:endnoteReference w:id="44"/>
      </w:r>
      <w:r w:rsidRPr="00561499">
        <w:rPr>
          <w:rFonts w:cs="Calibri Light"/>
          <w:color w:val="000000"/>
          <w:vertAlign w:val="superscript"/>
        </w:rPr>
        <w:t xml:space="preserve"> </w:t>
      </w:r>
      <w:r w:rsidRPr="00561499">
        <w:rPr>
          <w:rFonts w:cs="Calibri Light"/>
          <w:color w:val="000000"/>
        </w:rPr>
        <w:t xml:space="preserve">Aboriginal and Torres Strait Islander </w:t>
      </w:r>
      <w:r w:rsidR="00B20185" w:rsidRPr="00561499">
        <w:rPr>
          <w:rFonts w:cs="Calibri Light"/>
          <w:color w:val="000000"/>
        </w:rPr>
        <w:t>people</w:t>
      </w:r>
      <w:r w:rsidRPr="00561499">
        <w:rPr>
          <w:rFonts w:cs="Calibri Light"/>
          <w:color w:val="000000"/>
        </w:rPr>
        <w:t xml:space="preserve"> experienced a rate of fatal burden from this disease group of around three times the rate of their non-Indigenous peers.</w:t>
      </w:r>
      <w:r w:rsidRPr="00561499">
        <w:rPr>
          <w:rFonts w:cs="Calibri Light"/>
          <w:color w:val="000000"/>
          <w:vertAlign w:val="superscript"/>
        </w:rPr>
        <w:endnoteReference w:id="45"/>
      </w:r>
      <w:r w:rsidRPr="00561499">
        <w:rPr>
          <w:rFonts w:cs="Calibri Light"/>
          <w:color w:val="000000"/>
          <w:vertAlign w:val="superscript"/>
        </w:rPr>
        <w:t xml:space="preserve"> </w:t>
      </w:r>
      <w:r w:rsidRPr="00561499">
        <w:rPr>
          <w:rFonts w:eastAsia="Times New Roman"/>
          <w:vertAlign w:val="superscript"/>
        </w:rPr>
        <w:t xml:space="preserve"> </w:t>
      </w:r>
      <w:r w:rsidR="008C14C0" w:rsidRPr="000A7CE8">
        <w:rPr>
          <w:rStyle w:val="FootnoteReference"/>
          <w:rFonts w:eastAsia="Times New Roman"/>
          <w:sz w:val="24"/>
          <w:szCs w:val="24"/>
        </w:rPr>
        <w:footnoteReference w:id="1"/>
      </w:r>
    </w:p>
    <w:p w14:paraId="791BBAB2" w14:textId="5EBF8E8D" w:rsidR="00221769" w:rsidRPr="00561499" w:rsidRDefault="00007CD9" w:rsidP="000A7CE8">
      <w:pPr>
        <w:autoSpaceDE w:val="0"/>
        <w:autoSpaceDN w:val="0"/>
        <w:adjustRightInd w:val="0"/>
        <w:rPr>
          <w:rFonts w:cs="Calibri Light"/>
          <w:color w:val="000000"/>
        </w:rPr>
      </w:pPr>
      <w:r w:rsidRPr="00561499">
        <w:rPr>
          <w:rFonts w:cs="Calibri Light"/>
          <w:color w:val="000000"/>
        </w:rPr>
        <w:t>D</w:t>
      </w:r>
      <w:r w:rsidR="00221769" w:rsidRPr="00561499">
        <w:rPr>
          <w:rFonts w:cs="Calibri Light"/>
          <w:color w:val="000000"/>
        </w:rPr>
        <w:t>eaths due to diabetes over 2008–2012 were six times higher for Aboriginal and Torres Strait Islander people than non-Indigenous people, and the leading cause of the gap for females.</w:t>
      </w:r>
      <w:r w:rsidR="00221769" w:rsidRPr="00561499">
        <w:rPr>
          <w:rStyle w:val="EndnoteReference"/>
          <w:rFonts w:cs="Calibri Light"/>
          <w:color w:val="000000"/>
          <w:sz w:val="22"/>
        </w:rPr>
        <w:endnoteReference w:id="46"/>
      </w:r>
      <w:r w:rsidR="00221769" w:rsidRPr="00561499">
        <w:rPr>
          <w:rFonts w:cs="Calibri Light"/>
          <w:color w:val="000000"/>
        </w:rPr>
        <w:t xml:space="preserve"> No significant absolute or relative changes were detected over those four years.</w:t>
      </w:r>
      <w:r w:rsidR="00221769" w:rsidRPr="00561499">
        <w:rPr>
          <w:rStyle w:val="EndnoteReference"/>
          <w:rFonts w:cs="Calibri Light"/>
          <w:color w:val="000000"/>
          <w:sz w:val="22"/>
        </w:rPr>
        <w:endnoteReference w:id="47"/>
      </w:r>
    </w:p>
    <w:p w14:paraId="31D1D56A" w14:textId="75CCA06B" w:rsidR="00221769" w:rsidRPr="00561499" w:rsidRDefault="00221769" w:rsidP="007E71A4">
      <w:pPr>
        <w:autoSpaceDE w:val="0"/>
        <w:autoSpaceDN w:val="0"/>
        <w:adjustRightInd w:val="0"/>
        <w:rPr>
          <w:rFonts w:cs="Helvetica Neue"/>
        </w:rPr>
      </w:pPr>
      <w:r w:rsidRPr="00561499">
        <w:rPr>
          <w:rFonts w:cs="Calibri Light"/>
          <w:color w:val="000000"/>
        </w:rPr>
        <w:lastRenderedPageBreak/>
        <w:t>Also, since 2006 a growing ‘cancer gap’ is evident as rates of cancer among Aboriginal and Torres Strait Islander people increase in both absolute and relative terms.</w:t>
      </w:r>
      <w:r w:rsidRPr="00561499">
        <w:rPr>
          <w:rStyle w:val="EndnoteReference"/>
          <w:rFonts w:cs="Calibri Light"/>
          <w:color w:val="000000"/>
        </w:rPr>
        <w:endnoteReference w:id="48"/>
      </w:r>
      <w:r w:rsidRPr="00561499">
        <w:rPr>
          <w:rFonts w:cs="Calibri Light"/>
          <w:color w:val="000000"/>
        </w:rPr>
        <w:t xml:space="preserve"> As such, the Campaign </w:t>
      </w:r>
      <w:r w:rsidR="00B53D91" w:rsidRPr="00561499">
        <w:rPr>
          <w:rFonts w:cs="Calibri Light"/>
          <w:color w:val="000000"/>
        </w:rPr>
        <w:t xml:space="preserve">Steering Committee </w:t>
      </w:r>
      <w:r w:rsidRPr="00561499">
        <w:rPr>
          <w:rFonts w:cs="Calibri Light"/>
          <w:color w:val="000000"/>
        </w:rPr>
        <w:t xml:space="preserve">welcomes the 2015 release of </w:t>
      </w:r>
      <w:r w:rsidRPr="00561499">
        <w:rPr>
          <w:rFonts w:cs="Calibri Light"/>
        </w:rPr>
        <w:t xml:space="preserve">Cancer Australia’s </w:t>
      </w:r>
      <w:r w:rsidRPr="00561499">
        <w:rPr>
          <w:rFonts w:cs="Helvetica Neue"/>
          <w:i/>
          <w:iCs/>
        </w:rPr>
        <w:t>National Aboriginal and Torres Strait Islander Cancer Framework</w:t>
      </w:r>
      <w:r w:rsidRPr="00561499">
        <w:rPr>
          <w:rFonts w:cs="Helvetica Neue"/>
        </w:rPr>
        <w:t xml:space="preserve"> to improve Aboriginal and Torres Strait Islander cancer outcomes. The framework covers the full range of cancer control, including cancer prevention, screening and early detection, diagnosis and treatment, palliative care and survivorship; and the policy, systems, research and infrastructure that surround these service areas.</w:t>
      </w:r>
      <w:r w:rsidRPr="00561499">
        <w:rPr>
          <w:rStyle w:val="EndnoteReference"/>
          <w:rFonts w:cs="Helvetica Neue"/>
        </w:rPr>
        <w:endnoteReference w:id="49"/>
      </w:r>
    </w:p>
    <w:p w14:paraId="59F50525" w14:textId="6B9D0256" w:rsidR="00221769" w:rsidRDefault="00221769" w:rsidP="007E71A4">
      <w:pPr>
        <w:autoSpaceDE w:val="0"/>
        <w:autoSpaceDN w:val="0"/>
        <w:adjustRightInd w:val="0"/>
        <w:rPr>
          <w:rFonts w:cs="Calibri"/>
        </w:rPr>
      </w:pPr>
      <w:r w:rsidRPr="00561499">
        <w:rPr>
          <w:rFonts w:cs="Helvetica Neue"/>
        </w:rPr>
        <w:t>As noted in the</w:t>
      </w:r>
      <w:r w:rsidR="00B20185" w:rsidRPr="00561499">
        <w:rPr>
          <w:rFonts w:cs="Helvetica Neue"/>
        </w:rPr>
        <w:t xml:space="preserve"> </w:t>
      </w:r>
      <w:r w:rsidRPr="00561499">
        <w:rPr>
          <w:rFonts w:cs="Helvetica Neue"/>
        </w:rPr>
        <w:t xml:space="preserve">2015 </w:t>
      </w:r>
      <w:r w:rsidRPr="00561499">
        <w:rPr>
          <w:rFonts w:cs="Helvetica Neue"/>
          <w:i/>
        </w:rPr>
        <w:t xml:space="preserve">Progress and Priorities Report, </w:t>
      </w:r>
      <w:r w:rsidRPr="00561499">
        <w:rPr>
          <w:rFonts w:cs="Calibri"/>
        </w:rPr>
        <w:t xml:space="preserve">the </w:t>
      </w:r>
      <w:proofErr w:type="spellStart"/>
      <w:r w:rsidRPr="00561499">
        <w:rPr>
          <w:rFonts w:cs="Calibri"/>
        </w:rPr>
        <w:t>COAG</w:t>
      </w:r>
      <w:proofErr w:type="spellEnd"/>
      <w:r w:rsidRPr="00561499">
        <w:rPr>
          <w:rFonts w:cs="Calibri"/>
        </w:rPr>
        <w:t xml:space="preserve"> Reform Council</w:t>
      </w:r>
      <w:r w:rsidR="00B20185" w:rsidRPr="00561499">
        <w:rPr>
          <w:rFonts w:cs="Calibri"/>
        </w:rPr>
        <w:t>’s</w:t>
      </w:r>
      <w:r w:rsidR="0020382A" w:rsidRPr="00561499">
        <w:rPr>
          <w:rFonts w:cs="Calibri"/>
        </w:rPr>
        <w:t xml:space="preserve"> </w:t>
      </w:r>
      <w:r w:rsidRPr="00561499">
        <w:rPr>
          <w:rFonts w:cs="Calibri"/>
        </w:rPr>
        <w:t>final report highlighted the difference in Aboriginal and Torres Strait Islander and non-Indigenous survival rates from cancer in 1999</w:t>
      </w:r>
      <w:r w:rsidR="001C4966" w:rsidRPr="00561499">
        <w:rPr>
          <w:rFonts w:cs="Calibri"/>
        </w:rPr>
        <w:t>–</w:t>
      </w:r>
      <w:r w:rsidRPr="00561499">
        <w:rPr>
          <w:rFonts w:cs="Calibri"/>
        </w:rPr>
        <w:t xml:space="preserve">2007 in </w:t>
      </w:r>
      <w:r w:rsidR="009415A8">
        <w:rPr>
          <w:rFonts w:cs="Calibri"/>
        </w:rPr>
        <w:t xml:space="preserve">NSW, </w:t>
      </w:r>
      <w:proofErr w:type="spellStart"/>
      <w:r w:rsidR="009415A8">
        <w:rPr>
          <w:rFonts w:cs="Calibri"/>
        </w:rPr>
        <w:t>Qld</w:t>
      </w:r>
      <w:proofErr w:type="spellEnd"/>
      <w:r w:rsidRPr="00561499">
        <w:rPr>
          <w:rFonts w:cs="Calibri"/>
        </w:rPr>
        <w:t>, WA, and the NT</w:t>
      </w:r>
      <w:r w:rsidR="001F72B7" w:rsidRPr="00561499">
        <w:rPr>
          <w:rFonts w:cs="Calibri"/>
        </w:rPr>
        <w:t>—</w:t>
      </w:r>
      <w:r w:rsidRPr="00561499">
        <w:rPr>
          <w:rFonts w:cs="Calibri"/>
        </w:rPr>
        <w:t>as s</w:t>
      </w:r>
      <w:r w:rsidR="000A7CE8">
        <w:rPr>
          <w:rFonts w:cs="Calibri"/>
        </w:rPr>
        <w:t>et out again in Table 2 below.</w:t>
      </w:r>
    </w:p>
    <w:p w14:paraId="27D33AC7" w14:textId="303A6422" w:rsidR="00221769" w:rsidRPr="00561499" w:rsidRDefault="00221769" w:rsidP="000A7CE8">
      <w:pPr>
        <w:pStyle w:val="Heading5"/>
      </w:pPr>
      <w:r w:rsidRPr="00561499">
        <w:t>Table 2: The difference in Aboriginal and Torres Strait Islander and non-Indigenous sur</w:t>
      </w:r>
      <w:r w:rsidR="001C4966" w:rsidRPr="00561499">
        <w:t>vival rates from cancer in 1999–</w:t>
      </w:r>
      <w:r w:rsidRPr="00561499">
        <w:t xml:space="preserve">2007 in </w:t>
      </w:r>
      <w:r w:rsidR="00684798" w:rsidRPr="00561499">
        <w:t>NSW, Q</w:t>
      </w:r>
      <w:r w:rsidR="009415A8">
        <w:t>ld</w:t>
      </w:r>
      <w:r w:rsidRPr="00561499">
        <w:t>, WA, and the NT, all levels of remoteness</w:t>
      </w:r>
      <w:r w:rsidRPr="00561499">
        <w:rPr>
          <w:rStyle w:val="EndnoteReference"/>
          <w:rFonts w:cs="Calibri"/>
          <w:b w:val="0"/>
        </w:rPr>
        <w:endnoteReference w:id="50"/>
      </w:r>
    </w:p>
    <w:tbl>
      <w:tblPr>
        <w:tblStyle w:val="TableGrid"/>
        <w:tblW w:w="0" w:type="auto"/>
        <w:tblBorders>
          <w:top w:val="single" w:sz="8" w:space="0" w:color="007DA7"/>
          <w:left w:val="single" w:sz="8" w:space="0" w:color="007DA7"/>
          <w:bottom w:val="single" w:sz="8" w:space="0" w:color="007DA7"/>
          <w:right w:val="single" w:sz="8" w:space="0" w:color="007DA7"/>
          <w:insideH w:val="single" w:sz="8" w:space="0" w:color="007DA7"/>
          <w:insideV w:val="single" w:sz="8" w:space="0" w:color="007DA7"/>
        </w:tblBorders>
        <w:tblCellMar>
          <w:top w:w="113" w:type="dxa"/>
          <w:bottom w:w="113" w:type="dxa"/>
        </w:tblCellMar>
        <w:tblLook w:val="04A0" w:firstRow="1" w:lastRow="0" w:firstColumn="1" w:lastColumn="0" w:noHBand="0" w:noVBand="1"/>
      </w:tblPr>
      <w:tblGrid>
        <w:gridCol w:w="3095"/>
        <w:gridCol w:w="3403"/>
        <w:gridCol w:w="2788"/>
      </w:tblGrid>
      <w:tr w:rsidR="00221769" w:rsidRPr="000A7CE8" w14:paraId="594FF17D" w14:textId="77777777" w:rsidTr="00DD6F11">
        <w:trPr>
          <w:trHeight w:val="748"/>
        </w:trPr>
        <w:tc>
          <w:tcPr>
            <w:tcW w:w="3095" w:type="dxa"/>
            <w:shd w:val="clear" w:color="auto" w:fill="007DA7"/>
          </w:tcPr>
          <w:p w14:paraId="6D82B211" w14:textId="77777777" w:rsidR="00221769" w:rsidRPr="00050FD5" w:rsidRDefault="00221769" w:rsidP="00050FD5">
            <w:pPr>
              <w:autoSpaceDE w:val="0"/>
              <w:autoSpaceDN w:val="0"/>
              <w:adjustRightInd w:val="0"/>
              <w:rPr>
                <w:rFonts w:eastAsia="Times New Roman" w:cs="Arial"/>
                <w:b/>
                <w:color w:val="FFFFFF" w:themeColor="background1"/>
              </w:rPr>
            </w:pPr>
            <w:r w:rsidRPr="00050FD5">
              <w:rPr>
                <w:rFonts w:eastAsia="Times New Roman" w:cs="Arial"/>
                <w:b/>
                <w:color w:val="FFFFFF" w:themeColor="background1"/>
              </w:rPr>
              <w:t>Cancer</w:t>
            </w:r>
          </w:p>
        </w:tc>
        <w:tc>
          <w:tcPr>
            <w:tcW w:w="3403" w:type="dxa"/>
            <w:shd w:val="clear" w:color="auto" w:fill="007DA7"/>
          </w:tcPr>
          <w:p w14:paraId="49F624D8" w14:textId="77777777" w:rsidR="00221769" w:rsidRPr="00050FD5" w:rsidRDefault="00221769" w:rsidP="00050FD5">
            <w:pPr>
              <w:autoSpaceDE w:val="0"/>
              <w:autoSpaceDN w:val="0"/>
              <w:adjustRightInd w:val="0"/>
              <w:jc w:val="center"/>
              <w:rPr>
                <w:rFonts w:eastAsia="Times New Roman" w:cs="Arial"/>
                <w:b/>
                <w:color w:val="FFFFFF" w:themeColor="background1"/>
              </w:rPr>
            </w:pPr>
            <w:r w:rsidRPr="00050FD5">
              <w:rPr>
                <w:rFonts w:eastAsia="Times New Roman" w:cs="Arial"/>
                <w:b/>
                <w:color w:val="FFFFFF" w:themeColor="background1"/>
              </w:rPr>
              <w:t>Aboriginal and Torres Strait Islander survival rate</w:t>
            </w:r>
          </w:p>
        </w:tc>
        <w:tc>
          <w:tcPr>
            <w:tcW w:w="2788" w:type="dxa"/>
            <w:shd w:val="clear" w:color="auto" w:fill="007DA7"/>
          </w:tcPr>
          <w:p w14:paraId="02F05740" w14:textId="77777777" w:rsidR="00221769" w:rsidRPr="00050FD5" w:rsidRDefault="00221769" w:rsidP="00050FD5">
            <w:pPr>
              <w:autoSpaceDE w:val="0"/>
              <w:autoSpaceDN w:val="0"/>
              <w:adjustRightInd w:val="0"/>
              <w:jc w:val="center"/>
              <w:rPr>
                <w:rFonts w:eastAsia="Times New Roman" w:cs="Arial"/>
                <w:b/>
                <w:color w:val="FFFFFF" w:themeColor="background1"/>
              </w:rPr>
            </w:pPr>
            <w:r w:rsidRPr="00050FD5">
              <w:rPr>
                <w:rFonts w:eastAsia="Times New Roman" w:cs="Arial"/>
                <w:b/>
                <w:color w:val="FFFFFF" w:themeColor="background1"/>
              </w:rPr>
              <w:t>Non-Indigenous survival rate</w:t>
            </w:r>
          </w:p>
        </w:tc>
      </w:tr>
      <w:tr w:rsidR="00221769" w:rsidRPr="00561499" w14:paraId="0354A2CA" w14:textId="77777777" w:rsidTr="00DD6F11">
        <w:trPr>
          <w:trHeight w:val="357"/>
        </w:trPr>
        <w:tc>
          <w:tcPr>
            <w:tcW w:w="3095" w:type="dxa"/>
            <w:shd w:val="clear" w:color="auto" w:fill="auto"/>
          </w:tcPr>
          <w:p w14:paraId="6AF02DF0" w14:textId="77777777" w:rsidR="00221769" w:rsidRPr="00561499" w:rsidRDefault="00221769" w:rsidP="00050FD5">
            <w:pPr>
              <w:autoSpaceDE w:val="0"/>
              <w:autoSpaceDN w:val="0"/>
              <w:adjustRightInd w:val="0"/>
              <w:rPr>
                <w:rFonts w:eastAsia="Times New Roman" w:cs="Arial"/>
                <w:color w:val="000000"/>
              </w:rPr>
            </w:pPr>
            <w:r w:rsidRPr="00561499">
              <w:rPr>
                <w:rFonts w:eastAsia="Times New Roman" w:cs="Arial"/>
                <w:color w:val="000000"/>
              </w:rPr>
              <w:t>All cancers</w:t>
            </w:r>
          </w:p>
        </w:tc>
        <w:tc>
          <w:tcPr>
            <w:tcW w:w="3403" w:type="dxa"/>
            <w:shd w:val="clear" w:color="auto" w:fill="auto"/>
          </w:tcPr>
          <w:p w14:paraId="1B1F45C1" w14:textId="77777777" w:rsidR="00221769" w:rsidRPr="00561499" w:rsidRDefault="00221769" w:rsidP="00050FD5">
            <w:pPr>
              <w:autoSpaceDE w:val="0"/>
              <w:autoSpaceDN w:val="0"/>
              <w:adjustRightInd w:val="0"/>
              <w:jc w:val="center"/>
              <w:rPr>
                <w:rFonts w:eastAsia="Times New Roman" w:cs="Arial"/>
                <w:color w:val="000000"/>
              </w:rPr>
            </w:pPr>
            <w:r w:rsidRPr="00561499">
              <w:rPr>
                <w:rFonts w:eastAsia="Times New Roman" w:cs="Arial"/>
                <w:color w:val="000000"/>
              </w:rPr>
              <w:t>40%</w:t>
            </w:r>
          </w:p>
        </w:tc>
        <w:tc>
          <w:tcPr>
            <w:tcW w:w="2788" w:type="dxa"/>
            <w:shd w:val="clear" w:color="auto" w:fill="auto"/>
          </w:tcPr>
          <w:p w14:paraId="19C3B071" w14:textId="77777777" w:rsidR="00221769" w:rsidRPr="00561499" w:rsidRDefault="00221769" w:rsidP="00050FD5">
            <w:pPr>
              <w:autoSpaceDE w:val="0"/>
              <w:autoSpaceDN w:val="0"/>
              <w:adjustRightInd w:val="0"/>
              <w:jc w:val="center"/>
              <w:rPr>
                <w:rFonts w:eastAsia="Times New Roman" w:cs="Arial"/>
                <w:color w:val="000000"/>
              </w:rPr>
            </w:pPr>
            <w:r w:rsidRPr="00561499">
              <w:rPr>
                <w:rFonts w:eastAsia="Times New Roman" w:cs="Arial"/>
                <w:color w:val="000000"/>
              </w:rPr>
              <w:t>52%</w:t>
            </w:r>
          </w:p>
        </w:tc>
      </w:tr>
      <w:tr w:rsidR="00221769" w:rsidRPr="00561499" w14:paraId="3D7D4748" w14:textId="77777777" w:rsidTr="00DD6F11">
        <w:tc>
          <w:tcPr>
            <w:tcW w:w="3095" w:type="dxa"/>
            <w:shd w:val="clear" w:color="auto" w:fill="auto"/>
          </w:tcPr>
          <w:p w14:paraId="60F5DAA6" w14:textId="77777777" w:rsidR="00221769" w:rsidRPr="00561499" w:rsidRDefault="00221769" w:rsidP="00050FD5">
            <w:pPr>
              <w:autoSpaceDE w:val="0"/>
              <w:autoSpaceDN w:val="0"/>
              <w:adjustRightInd w:val="0"/>
              <w:rPr>
                <w:rFonts w:eastAsia="Times New Roman" w:cs="Arial"/>
                <w:color w:val="000000"/>
              </w:rPr>
            </w:pPr>
            <w:r w:rsidRPr="00561499">
              <w:rPr>
                <w:rFonts w:eastAsia="Times New Roman" w:cs="Arial"/>
                <w:color w:val="000000"/>
              </w:rPr>
              <w:t>Lung cancer</w:t>
            </w:r>
          </w:p>
        </w:tc>
        <w:tc>
          <w:tcPr>
            <w:tcW w:w="3403" w:type="dxa"/>
            <w:shd w:val="clear" w:color="auto" w:fill="auto"/>
          </w:tcPr>
          <w:p w14:paraId="52D20625" w14:textId="77777777" w:rsidR="00221769" w:rsidRPr="00561499" w:rsidRDefault="00221769" w:rsidP="00050FD5">
            <w:pPr>
              <w:autoSpaceDE w:val="0"/>
              <w:autoSpaceDN w:val="0"/>
              <w:adjustRightInd w:val="0"/>
              <w:jc w:val="center"/>
              <w:rPr>
                <w:rFonts w:eastAsia="Times New Roman" w:cs="Arial"/>
                <w:color w:val="000000"/>
              </w:rPr>
            </w:pPr>
            <w:r w:rsidRPr="00561499">
              <w:rPr>
                <w:rFonts w:eastAsia="Times New Roman" w:cs="Arial"/>
                <w:color w:val="000000"/>
              </w:rPr>
              <w:t>7%</w:t>
            </w:r>
          </w:p>
        </w:tc>
        <w:tc>
          <w:tcPr>
            <w:tcW w:w="2788" w:type="dxa"/>
            <w:shd w:val="clear" w:color="auto" w:fill="auto"/>
          </w:tcPr>
          <w:p w14:paraId="5E42A33D" w14:textId="77777777" w:rsidR="00221769" w:rsidRPr="00561499" w:rsidRDefault="00221769" w:rsidP="00050FD5">
            <w:pPr>
              <w:autoSpaceDE w:val="0"/>
              <w:autoSpaceDN w:val="0"/>
              <w:adjustRightInd w:val="0"/>
              <w:jc w:val="center"/>
              <w:rPr>
                <w:rFonts w:eastAsia="Times New Roman" w:cs="Arial"/>
                <w:color w:val="000000"/>
              </w:rPr>
            </w:pPr>
            <w:r w:rsidRPr="00561499">
              <w:rPr>
                <w:rFonts w:eastAsia="Times New Roman" w:cs="Arial"/>
                <w:color w:val="000000"/>
              </w:rPr>
              <w:t>11%</w:t>
            </w:r>
          </w:p>
        </w:tc>
      </w:tr>
      <w:tr w:rsidR="00221769" w:rsidRPr="00561499" w14:paraId="252CD9BC" w14:textId="77777777" w:rsidTr="00DD6F11">
        <w:tc>
          <w:tcPr>
            <w:tcW w:w="3095" w:type="dxa"/>
            <w:shd w:val="clear" w:color="auto" w:fill="auto"/>
          </w:tcPr>
          <w:p w14:paraId="0A24731F" w14:textId="77777777" w:rsidR="00221769" w:rsidRPr="00561499" w:rsidRDefault="00221769" w:rsidP="00050FD5">
            <w:pPr>
              <w:autoSpaceDE w:val="0"/>
              <w:autoSpaceDN w:val="0"/>
              <w:adjustRightInd w:val="0"/>
              <w:rPr>
                <w:rFonts w:eastAsia="Times New Roman" w:cs="Arial"/>
                <w:color w:val="000000"/>
              </w:rPr>
            </w:pPr>
            <w:r w:rsidRPr="00561499">
              <w:rPr>
                <w:rFonts w:eastAsia="Times New Roman" w:cs="Arial"/>
                <w:color w:val="000000"/>
              </w:rPr>
              <w:t>Breast cancer in women</w:t>
            </w:r>
          </w:p>
        </w:tc>
        <w:tc>
          <w:tcPr>
            <w:tcW w:w="3403" w:type="dxa"/>
            <w:shd w:val="clear" w:color="auto" w:fill="auto"/>
          </w:tcPr>
          <w:p w14:paraId="33611732" w14:textId="77777777" w:rsidR="00221769" w:rsidRPr="00561499" w:rsidRDefault="00221769" w:rsidP="00050FD5">
            <w:pPr>
              <w:autoSpaceDE w:val="0"/>
              <w:autoSpaceDN w:val="0"/>
              <w:adjustRightInd w:val="0"/>
              <w:jc w:val="center"/>
              <w:rPr>
                <w:rFonts w:eastAsia="Times New Roman" w:cs="Arial"/>
                <w:color w:val="000000"/>
              </w:rPr>
            </w:pPr>
            <w:r w:rsidRPr="00561499">
              <w:rPr>
                <w:rFonts w:eastAsia="Times New Roman" w:cs="Arial"/>
                <w:color w:val="000000"/>
              </w:rPr>
              <w:t>70%</w:t>
            </w:r>
          </w:p>
        </w:tc>
        <w:tc>
          <w:tcPr>
            <w:tcW w:w="2788" w:type="dxa"/>
            <w:shd w:val="clear" w:color="auto" w:fill="auto"/>
          </w:tcPr>
          <w:p w14:paraId="2EC3B614" w14:textId="77777777" w:rsidR="00221769" w:rsidRPr="00561499" w:rsidRDefault="00221769" w:rsidP="00050FD5">
            <w:pPr>
              <w:autoSpaceDE w:val="0"/>
              <w:autoSpaceDN w:val="0"/>
              <w:adjustRightInd w:val="0"/>
              <w:jc w:val="center"/>
              <w:rPr>
                <w:rFonts w:eastAsia="Times New Roman" w:cs="Arial"/>
                <w:color w:val="000000"/>
              </w:rPr>
            </w:pPr>
            <w:r w:rsidRPr="00561499">
              <w:rPr>
                <w:rFonts w:eastAsia="Times New Roman" w:cs="Arial"/>
                <w:color w:val="000000"/>
              </w:rPr>
              <w:t>81%</w:t>
            </w:r>
          </w:p>
        </w:tc>
      </w:tr>
      <w:tr w:rsidR="00221769" w:rsidRPr="00561499" w14:paraId="640C2018" w14:textId="77777777" w:rsidTr="00DD6F11">
        <w:tc>
          <w:tcPr>
            <w:tcW w:w="3095" w:type="dxa"/>
            <w:shd w:val="clear" w:color="auto" w:fill="auto"/>
          </w:tcPr>
          <w:p w14:paraId="44A9CB2D" w14:textId="77777777" w:rsidR="00221769" w:rsidRPr="00561499" w:rsidRDefault="00221769" w:rsidP="00050FD5">
            <w:pPr>
              <w:autoSpaceDE w:val="0"/>
              <w:autoSpaceDN w:val="0"/>
              <w:adjustRightInd w:val="0"/>
              <w:rPr>
                <w:rFonts w:eastAsia="Times New Roman" w:cs="Arial"/>
                <w:color w:val="000000"/>
              </w:rPr>
            </w:pPr>
            <w:r w:rsidRPr="00561499">
              <w:rPr>
                <w:rFonts w:eastAsia="Times New Roman" w:cs="Arial"/>
                <w:color w:val="000000"/>
              </w:rPr>
              <w:t>Bowel cancer</w:t>
            </w:r>
          </w:p>
        </w:tc>
        <w:tc>
          <w:tcPr>
            <w:tcW w:w="3403" w:type="dxa"/>
            <w:shd w:val="clear" w:color="auto" w:fill="auto"/>
          </w:tcPr>
          <w:p w14:paraId="40E45AEF" w14:textId="77777777" w:rsidR="00221769" w:rsidRPr="00561499" w:rsidRDefault="00221769" w:rsidP="00050FD5">
            <w:pPr>
              <w:autoSpaceDE w:val="0"/>
              <w:autoSpaceDN w:val="0"/>
              <w:adjustRightInd w:val="0"/>
              <w:jc w:val="center"/>
              <w:rPr>
                <w:rFonts w:eastAsia="Times New Roman" w:cs="Arial"/>
                <w:color w:val="000000"/>
              </w:rPr>
            </w:pPr>
            <w:r w:rsidRPr="00561499">
              <w:rPr>
                <w:rFonts w:eastAsia="Times New Roman" w:cs="Arial"/>
                <w:color w:val="000000"/>
              </w:rPr>
              <w:t>47%</w:t>
            </w:r>
          </w:p>
        </w:tc>
        <w:tc>
          <w:tcPr>
            <w:tcW w:w="2788" w:type="dxa"/>
            <w:shd w:val="clear" w:color="auto" w:fill="auto"/>
          </w:tcPr>
          <w:p w14:paraId="138157A5" w14:textId="77777777" w:rsidR="00221769" w:rsidRPr="00561499" w:rsidRDefault="00221769" w:rsidP="00050FD5">
            <w:pPr>
              <w:autoSpaceDE w:val="0"/>
              <w:autoSpaceDN w:val="0"/>
              <w:adjustRightInd w:val="0"/>
              <w:jc w:val="center"/>
              <w:rPr>
                <w:rFonts w:eastAsia="Times New Roman" w:cs="Arial"/>
                <w:color w:val="000000"/>
              </w:rPr>
            </w:pPr>
            <w:r w:rsidRPr="00561499">
              <w:rPr>
                <w:rFonts w:eastAsia="Times New Roman" w:cs="Arial"/>
                <w:color w:val="000000"/>
              </w:rPr>
              <w:t>53%</w:t>
            </w:r>
          </w:p>
        </w:tc>
      </w:tr>
      <w:tr w:rsidR="00221769" w:rsidRPr="00561499" w14:paraId="1EF413A9" w14:textId="77777777" w:rsidTr="00DD6F11">
        <w:tc>
          <w:tcPr>
            <w:tcW w:w="3095" w:type="dxa"/>
            <w:shd w:val="clear" w:color="auto" w:fill="auto"/>
          </w:tcPr>
          <w:p w14:paraId="403819AD" w14:textId="77777777" w:rsidR="00221769" w:rsidRPr="00561499" w:rsidRDefault="00221769" w:rsidP="00050FD5">
            <w:pPr>
              <w:autoSpaceDE w:val="0"/>
              <w:autoSpaceDN w:val="0"/>
              <w:adjustRightInd w:val="0"/>
              <w:rPr>
                <w:rFonts w:eastAsia="Times New Roman" w:cs="Arial"/>
                <w:color w:val="000000"/>
              </w:rPr>
            </w:pPr>
            <w:r w:rsidRPr="00561499">
              <w:rPr>
                <w:rFonts w:eastAsia="Times New Roman" w:cs="Arial"/>
                <w:color w:val="000000"/>
              </w:rPr>
              <w:t>Prostate cancer</w:t>
            </w:r>
          </w:p>
        </w:tc>
        <w:tc>
          <w:tcPr>
            <w:tcW w:w="3403" w:type="dxa"/>
            <w:shd w:val="clear" w:color="auto" w:fill="auto"/>
          </w:tcPr>
          <w:p w14:paraId="433DDD56" w14:textId="77777777" w:rsidR="00221769" w:rsidRPr="00561499" w:rsidRDefault="00221769" w:rsidP="00050FD5">
            <w:pPr>
              <w:autoSpaceDE w:val="0"/>
              <w:autoSpaceDN w:val="0"/>
              <w:adjustRightInd w:val="0"/>
              <w:jc w:val="center"/>
              <w:rPr>
                <w:rFonts w:eastAsia="Times New Roman" w:cs="Arial"/>
                <w:color w:val="000000"/>
              </w:rPr>
            </w:pPr>
            <w:r w:rsidRPr="00561499">
              <w:rPr>
                <w:rFonts w:eastAsia="Times New Roman" w:cs="Arial"/>
                <w:color w:val="000000"/>
              </w:rPr>
              <w:t>63%</w:t>
            </w:r>
          </w:p>
        </w:tc>
        <w:tc>
          <w:tcPr>
            <w:tcW w:w="2788" w:type="dxa"/>
            <w:shd w:val="clear" w:color="auto" w:fill="auto"/>
          </w:tcPr>
          <w:p w14:paraId="3760FDC4" w14:textId="77777777" w:rsidR="00221769" w:rsidRPr="00561499" w:rsidRDefault="00221769" w:rsidP="00050FD5">
            <w:pPr>
              <w:autoSpaceDE w:val="0"/>
              <w:autoSpaceDN w:val="0"/>
              <w:adjustRightInd w:val="0"/>
              <w:jc w:val="center"/>
              <w:rPr>
                <w:rFonts w:eastAsia="Times New Roman" w:cs="Arial"/>
                <w:color w:val="000000"/>
              </w:rPr>
            </w:pPr>
            <w:r w:rsidRPr="00561499">
              <w:rPr>
                <w:rFonts w:eastAsia="Times New Roman" w:cs="Arial"/>
                <w:color w:val="000000"/>
              </w:rPr>
              <w:t>72%</w:t>
            </w:r>
          </w:p>
        </w:tc>
      </w:tr>
      <w:tr w:rsidR="00221769" w:rsidRPr="00561499" w14:paraId="7594FFD4" w14:textId="77777777" w:rsidTr="00DD6F11">
        <w:tc>
          <w:tcPr>
            <w:tcW w:w="3095" w:type="dxa"/>
          </w:tcPr>
          <w:p w14:paraId="14A2EA80" w14:textId="77777777" w:rsidR="00221769" w:rsidRPr="00561499" w:rsidRDefault="00221769" w:rsidP="00050FD5">
            <w:pPr>
              <w:autoSpaceDE w:val="0"/>
              <w:autoSpaceDN w:val="0"/>
              <w:adjustRightInd w:val="0"/>
              <w:rPr>
                <w:rFonts w:eastAsia="Times New Roman" w:cs="Arial"/>
                <w:color w:val="000000"/>
              </w:rPr>
            </w:pPr>
            <w:r w:rsidRPr="00561499">
              <w:rPr>
                <w:rFonts w:eastAsia="Times New Roman" w:cs="Arial"/>
                <w:color w:val="000000"/>
              </w:rPr>
              <w:t>Cervical cancer</w:t>
            </w:r>
          </w:p>
        </w:tc>
        <w:tc>
          <w:tcPr>
            <w:tcW w:w="3403" w:type="dxa"/>
          </w:tcPr>
          <w:p w14:paraId="490AFB81" w14:textId="77777777" w:rsidR="00221769" w:rsidRPr="00561499" w:rsidRDefault="00221769" w:rsidP="00BD413E">
            <w:pPr>
              <w:autoSpaceDE w:val="0"/>
              <w:autoSpaceDN w:val="0"/>
              <w:adjustRightInd w:val="0"/>
              <w:jc w:val="center"/>
              <w:rPr>
                <w:rFonts w:eastAsia="Times New Roman" w:cs="Arial"/>
                <w:color w:val="000000"/>
              </w:rPr>
            </w:pPr>
            <w:r w:rsidRPr="00561499">
              <w:rPr>
                <w:rFonts w:eastAsia="Times New Roman" w:cs="Arial"/>
                <w:color w:val="000000"/>
              </w:rPr>
              <w:t>51%</w:t>
            </w:r>
          </w:p>
        </w:tc>
        <w:tc>
          <w:tcPr>
            <w:tcW w:w="2788" w:type="dxa"/>
          </w:tcPr>
          <w:p w14:paraId="455F56E2" w14:textId="77777777" w:rsidR="00221769" w:rsidRPr="00561499" w:rsidRDefault="00221769" w:rsidP="00BD413E">
            <w:pPr>
              <w:autoSpaceDE w:val="0"/>
              <w:autoSpaceDN w:val="0"/>
              <w:adjustRightInd w:val="0"/>
              <w:jc w:val="center"/>
              <w:rPr>
                <w:rFonts w:eastAsia="Times New Roman" w:cs="Arial"/>
                <w:color w:val="000000"/>
              </w:rPr>
            </w:pPr>
            <w:r w:rsidRPr="00561499">
              <w:rPr>
                <w:rFonts w:eastAsia="Times New Roman" w:cs="Arial"/>
                <w:color w:val="000000"/>
              </w:rPr>
              <w:t>67%</w:t>
            </w:r>
          </w:p>
        </w:tc>
      </w:tr>
    </w:tbl>
    <w:p w14:paraId="70275F26" w14:textId="77777777" w:rsidR="00221769" w:rsidRPr="00561499" w:rsidRDefault="00221769" w:rsidP="007E71A4">
      <w:pPr>
        <w:pStyle w:val="CommentText"/>
        <w:rPr>
          <w:rFonts w:cs="Calibri"/>
        </w:rPr>
      </w:pPr>
    </w:p>
    <w:p w14:paraId="373C6BE4" w14:textId="4C55E4D7" w:rsidR="00221769" w:rsidRPr="002E2D37" w:rsidRDefault="00221769" w:rsidP="00DD6F11">
      <w:pPr>
        <w:rPr>
          <w:rFonts w:cs="Helvetica Neue"/>
          <w:szCs w:val="24"/>
        </w:rPr>
      </w:pPr>
      <w:r w:rsidRPr="002E2D37">
        <w:rPr>
          <w:rFonts w:cs="Calibri"/>
          <w:szCs w:val="24"/>
        </w:rPr>
        <w:t xml:space="preserve">In terms of specific reasons for these gaps, the </w:t>
      </w:r>
      <w:proofErr w:type="spellStart"/>
      <w:r w:rsidRPr="002E2D37">
        <w:rPr>
          <w:rFonts w:cs="Calibri"/>
          <w:szCs w:val="24"/>
        </w:rPr>
        <w:t>COAG</w:t>
      </w:r>
      <w:proofErr w:type="spellEnd"/>
      <w:r w:rsidRPr="002E2D37">
        <w:rPr>
          <w:rFonts w:cs="Calibri"/>
          <w:szCs w:val="24"/>
        </w:rPr>
        <w:t xml:space="preserve"> Reform Council pointed to factors such as </w:t>
      </w:r>
      <w:r w:rsidRPr="002E2D37">
        <w:rPr>
          <w:szCs w:val="24"/>
        </w:rPr>
        <w:t>advanced cancer at diagnosis, reduced access to and uptake of treatment, higher rates of comorbidities, and language barriers.</w:t>
      </w:r>
      <w:r w:rsidRPr="002E2D37">
        <w:rPr>
          <w:rStyle w:val="EndnoteReference"/>
          <w:szCs w:val="24"/>
        </w:rPr>
        <w:endnoteReference w:id="51"/>
      </w:r>
      <w:r w:rsidRPr="002E2D37">
        <w:rPr>
          <w:szCs w:val="24"/>
        </w:rPr>
        <w:t xml:space="preserve"> Further, below in this report, the Campaign </w:t>
      </w:r>
      <w:r w:rsidR="00B53D91" w:rsidRPr="002E2D37">
        <w:rPr>
          <w:szCs w:val="24"/>
        </w:rPr>
        <w:t xml:space="preserve">Steering Committee </w:t>
      </w:r>
      <w:r w:rsidRPr="002E2D37">
        <w:rPr>
          <w:szCs w:val="24"/>
        </w:rPr>
        <w:t>consider this and similar inequality in health outcome</w:t>
      </w:r>
      <w:r w:rsidRPr="002E2D37">
        <w:rPr>
          <w:rFonts w:cs="Helvetica Neue"/>
          <w:szCs w:val="24"/>
        </w:rPr>
        <w:t>s as due, at least in part, to institu</w:t>
      </w:r>
      <w:r w:rsidR="000A7CE8" w:rsidRPr="002E2D37">
        <w:rPr>
          <w:rFonts w:cs="Helvetica Neue"/>
          <w:szCs w:val="24"/>
        </w:rPr>
        <w:t>tional racism.</w:t>
      </w:r>
    </w:p>
    <w:p w14:paraId="41482B11" w14:textId="220FD68B" w:rsidR="00221769" w:rsidRPr="000A7CE8" w:rsidRDefault="000A7CE8" w:rsidP="000A7CE8">
      <w:pPr>
        <w:pStyle w:val="Heading3"/>
      </w:pPr>
      <w:bookmarkStart w:id="9" w:name="_Toc315703402"/>
      <w:r>
        <w:lastRenderedPageBreak/>
        <w:t xml:space="preserve">1.2 </w:t>
      </w:r>
      <w:r w:rsidR="00221769" w:rsidRPr="00561499">
        <w:t>Assessing progress against the child mortality target</w:t>
      </w:r>
      <w:bookmarkEnd w:id="9"/>
    </w:p>
    <w:p w14:paraId="08A8F01D" w14:textId="3B730CE8" w:rsidR="00221769" w:rsidRPr="008B4A6B" w:rsidRDefault="00221769" w:rsidP="000A7CE8">
      <w:pPr>
        <w:rPr>
          <w:szCs w:val="24"/>
        </w:rPr>
      </w:pPr>
      <w:r w:rsidRPr="008B4A6B">
        <w:rPr>
          <w:szCs w:val="24"/>
        </w:rPr>
        <w:t xml:space="preserve">In the 2015 </w:t>
      </w:r>
      <w:r w:rsidRPr="008B4A6B">
        <w:rPr>
          <w:i/>
          <w:szCs w:val="24"/>
        </w:rPr>
        <w:t>Progress and Priorities Report</w:t>
      </w:r>
      <w:r w:rsidRPr="008B4A6B">
        <w:rPr>
          <w:szCs w:val="24"/>
        </w:rPr>
        <w:t xml:space="preserve">, it was noted that the </w:t>
      </w:r>
      <w:proofErr w:type="spellStart"/>
      <w:r w:rsidRPr="008B4A6B">
        <w:rPr>
          <w:szCs w:val="24"/>
        </w:rPr>
        <w:t>COAG</w:t>
      </w:r>
      <w:proofErr w:type="spellEnd"/>
      <w:r w:rsidRPr="008B4A6B">
        <w:rPr>
          <w:szCs w:val="24"/>
        </w:rPr>
        <w:t xml:space="preserve"> Reform Council (assessing data received until 2012), believed that Australian governments are on track to meet </w:t>
      </w:r>
      <w:proofErr w:type="spellStart"/>
      <w:r w:rsidRPr="008B4A6B">
        <w:rPr>
          <w:szCs w:val="24"/>
        </w:rPr>
        <w:t>COAG’s</w:t>
      </w:r>
      <w:proofErr w:type="spellEnd"/>
      <w:r w:rsidRPr="008B4A6B">
        <w:rPr>
          <w:szCs w:val="24"/>
        </w:rPr>
        <w:t xml:space="preserve"> target to halve the gap in Aboriginal and Torres Strait Islander child death rates by 2018.</w:t>
      </w:r>
      <w:r w:rsidRPr="008B4A6B">
        <w:rPr>
          <w:rStyle w:val="EndnoteReference"/>
          <w:szCs w:val="24"/>
        </w:rPr>
        <w:t xml:space="preserve"> </w:t>
      </w:r>
      <w:r w:rsidRPr="008B4A6B">
        <w:rPr>
          <w:szCs w:val="24"/>
        </w:rPr>
        <w:t>However, the 2015 Report also noted that continuing to use non-Indigenous trajectories based on the rates of decline over 1998 to 2008 as a comparator was problematic. This is because the non-Indigenous rate of decline had significantly increased since 2008. As such, what it means to achieve equality has also significantly changed.</w:t>
      </w:r>
      <w:r w:rsidRPr="008B4A6B">
        <w:rPr>
          <w:rStyle w:val="EndnoteReference"/>
          <w:szCs w:val="24"/>
        </w:rPr>
        <w:endnoteReference w:id="52"/>
      </w:r>
    </w:p>
    <w:p w14:paraId="0E7C0986" w14:textId="77777777" w:rsidR="00221769" w:rsidRPr="008B4A6B" w:rsidRDefault="00221769" w:rsidP="000A7CE8">
      <w:pPr>
        <w:rPr>
          <w:szCs w:val="24"/>
        </w:rPr>
      </w:pPr>
      <w:r w:rsidRPr="008B4A6B">
        <w:rPr>
          <w:szCs w:val="24"/>
        </w:rPr>
        <w:t xml:space="preserve">In 2013, without comment as to whether Australian governments remain on track or not to meet the child mortality target, </w:t>
      </w:r>
      <w:proofErr w:type="spellStart"/>
      <w:r w:rsidRPr="008B4A6B">
        <w:rPr>
          <w:szCs w:val="24"/>
        </w:rPr>
        <w:t>AHMAC</w:t>
      </w:r>
      <w:proofErr w:type="spellEnd"/>
      <w:r w:rsidRPr="008B4A6B">
        <w:rPr>
          <w:szCs w:val="24"/>
        </w:rPr>
        <w:t>, considering data from 2009–13, assessed that the mortality rate for Aboriginal and Torres Strait Islander:</w:t>
      </w:r>
    </w:p>
    <w:p w14:paraId="47860C1B" w14:textId="75CBB5C3" w:rsidR="00221769" w:rsidRPr="008B4A6B" w:rsidRDefault="00221769" w:rsidP="00DC5A0E">
      <w:pPr>
        <w:pStyle w:val="ListParagraph"/>
        <w:numPr>
          <w:ilvl w:val="0"/>
          <w:numId w:val="22"/>
        </w:numPr>
        <w:spacing w:before="120"/>
        <w:ind w:left="714" w:hanging="357"/>
        <w:contextualSpacing w:val="0"/>
        <w:rPr>
          <w:szCs w:val="24"/>
        </w:rPr>
      </w:pPr>
      <w:r w:rsidRPr="008B4A6B">
        <w:rPr>
          <w:b/>
          <w:szCs w:val="24"/>
        </w:rPr>
        <w:t>Children aged 0–4 years was 1.9 times</w:t>
      </w:r>
      <w:r w:rsidRPr="008B4A6B">
        <w:rPr>
          <w:szCs w:val="24"/>
        </w:rPr>
        <w:t xml:space="preserve"> the non-Indigenous rate.</w:t>
      </w:r>
      <w:r w:rsidRPr="008B4A6B">
        <w:rPr>
          <w:rStyle w:val="EndnoteReference"/>
          <w:szCs w:val="24"/>
          <w:lang w:val="en-AU"/>
        </w:rPr>
        <w:endnoteReference w:id="53"/>
      </w:r>
      <w:r w:rsidRPr="008B4A6B">
        <w:rPr>
          <w:szCs w:val="24"/>
        </w:rPr>
        <w:t xml:space="preserve"> Further, between 1998 and 2013 there has been a decline in Aboriginal and Torres Strait Islander child mortality rates of 31%, and a 35% narrowing of the gap with non-Indigenous children in the five jurisdictions.</w:t>
      </w:r>
      <w:r w:rsidRPr="008B4A6B">
        <w:rPr>
          <w:rStyle w:val="EndnoteReference"/>
          <w:szCs w:val="24"/>
          <w:lang w:val="en-AU"/>
        </w:rPr>
        <w:endnoteReference w:id="54"/>
      </w:r>
    </w:p>
    <w:p w14:paraId="7C8B4B03" w14:textId="77777777" w:rsidR="00221769" w:rsidRPr="008B4A6B" w:rsidRDefault="00221769" w:rsidP="00DC5A0E">
      <w:pPr>
        <w:pStyle w:val="ListParagraph"/>
        <w:numPr>
          <w:ilvl w:val="0"/>
          <w:numId w:val="22"/>
        </w:numPr>
        <w:spacing w:before="120"/>
        <w:ind w:left="714" w:hanging="357"/>
        <w:contextualSpacing w:val="0"/>
        <w:rPr>
          <w:szCs w:val="24"/>
        </w:rPr>
      </w:pPr>
      <w:r w:rsidRPr="008B4A6B">
        <w:rPr>
          <w:b/>
          <w:szCs w:val="24"/>
        </w:rPr>
        <w:t>Infants (under one year old) was 1.7 times</w:t>
      </w:r>
      <w:r w:rsidRPr="008B4A6B">
        <w:rPr>
          <w:szCs w:val="24"/>
        </w:rPr>
        <w:t xml:space="preserve"> the non-Indigenous rate.</w:t>
      </w:r>
      <w:r w:rsidRPr="008B4A6B">
        <w:rPr>
          <w:rStyle w:val="EndnoteReference"/>
          <w:szCs w:val="24"/>
          <w:lang w:val="en-AU"/>
        </w:rPr>
        <w:endnoteReference w:id="55"/>
      </w:r>
      <w:r w:rsidRPr="008B4A6B">
        <w:rPr>
          <w:szCs w:val="24"/>
        </w:rPr>
        <w:t xml:space="preserve"> Further, there was a 64% decline in the mortality rate for Aboriginal and Torres Strait Islander infants and an 83% narrowing of the gap between 1998 and 2012.</w:t>
      </w:r>
      <w:r w:rsidRPr="008B4A6B">
        <w:rPr>
          <w:rStyle w:val="EndnoteReference"/>
          <w:szCs w:val="24"/>
          <w:lang w:val="en-AU"/>
        </w:rPr>
        <w:endnoteReference w:id="56"/>
      </w:r>
      <w:r w:rsidRPr="008B4A6B">
        <w:rPr>
          <w:rStyle w:val="EndnoteReference"/>
          <w:szCs w:val="24"/>
          <w:lang w:val="en-AU"/>
        </w:rPr>
        <w:t xml:space="preserve"> </w:t>
      </w:r>
      <w:r w:rsidRPr="008B4A6B">
        <w:rPr>
          <w:szCs w:val="24"/>
        </w:rPr>
        <w:t xml:space="preserve">This </w:t>
      </w:r>
      <w:r w:rsidR="00B53D91" w:rsidRPr="008B4A6B">
        <w:rPr>
          <w:szCs w:val="24"/>
        </w:rPr>
        <w:t xml:space="preserve">is </w:t>
      </w:r>
      <w:r w:rsidRPr="008B4A6B">
        <w:rPr>
          <w:szCs w:val="24"/>
        </w:rPr>
        <w:t xml:space="preserve">a very significant result as the rate of improvement for Aboriginal and Torres Strait Islander infants has been greater than for the rest of the population. The slower relative improvements in child mortality indicate the importance of more effective strategies to reduce </w:t>
      </w:r>
      <w:r w:rsidR="001C4966" w:rsidRPr="008B4A6B">
        <w:rPr>
          <w:szCs w:val="24"/>
        </w:rPr>
        <w:t>the impact of injuries in the 1–</w:t>
      </w:r>
      <w:r w:rsidRPr="008B4A6B">
        <w:rPr>
          <w:szCs w:val="24"/>
        </w:rPr>
        <w:t>4 year age group.</w:t>
      </w:r>
    </w:p>
    <w:p w14:paraId="10473D10" w14:textId="54A66418" w:rsidR="00221769" w:rsidRPr="00561499" w:rsidRDefault="00221769" w:rsidP="00B71B46">
      <w:r w:rsidRPr="00561499">
        <w:t>Birth weight is a key indicator of infant health and a major determinant of a baby’s chance of survival and good health.</w:t>
      </w:r>
      <w:r w:rsidRPr="00561499">
        <w:rPr>
          <w:vertAlign w:val="superscript"/>
        </w:rPr>
        <w:t xml:space="preserve"> </w:t>
      </w:r>
      <w:r w:rsidRPr="00561499">
        <w:t xml:space="preserve">The </w:t>
      </w:r>
      <w:proofErr w:type="spellStart"/>
      <w:r w:rsidR="008A3AB4" w:rsidRPr="00561499">
        <w:t>AIHW</w:t>
      </w:r>
      <w:proofErr w:type="spellEnd"/>
      <w:r w:rsidRPr="00561499">
        <w:t xml:space="preserve"> define a low birth weight baby as one with a weight of less than 2,500 grams. Research indicates that babies weighing less than 2,500 grams at birth are at least 20 times more likely to die within their first year of life than those who weighed at least that amount.</w:t>
      </w:r>
      <w:r w:rsidRPr="00561499">
        <w:rPr>
          <w:vertAlign w:val="superscript"/>
        </w:rPr>
        <w:endnoteReference w:id="57"/>
      </w:r>
    </w:p>
    <w:p w14:paraId="10925EF0" w14:textId="0E5ABF25" w:rsidR="00221769" w:rsidRPr="00561499" w:rsidRDefault="00221769" w:rsidP="007E71A4">
      <w:pPr>
        <w:autoSpaceDE w:val="0"/>
        <w:autoSpaceDN w:val="0"/>
        <w:adjustRightInd w:val="0"/>
      </w:pPr>
      <w:r w:rsidRPr="00561499">
        <w:t xml:space="preserve">Data from 2011, discussed in the 2015 </w:t>
      </w:r>
      <w:r w:rsidRPr="00561499">
        <w:rPr>
          <w:i/>
        </w:rPr>
        <w:t>Progress and Priorities Report</w:t>
      </w:r>
      <w:r w:rsidRPr="00561499">
        <w:t>, remains the latest available. In that year, babies born to Aboriginal and Torres Strait Islander mothers were twice as likely as those born to non-Indigenous mothers to be of low birth weight: 12.6% of babies born to Aboriginal and Torres Strait Islander mothers compared with 6% born to non-Indigenous mothers.</w:t>
      </w:r>
      <w:r w:rsidRPr="00561499">
        <w:rPr>
          <w:vertAlign w:val="superscript"/>
        </w:rPr>
        <w:endnoteReference w:id="58"/>
      </w:r>
    </w:p>
    <w:p w14:paraId="69451CB9" w14:textId="1CCA2749" w:rsidR="00221769" w:rsidRPr="000A7CE8" w:rsidRDefault="00221769" w:rsidP="000A7CE8">
      <w:pPr>
        <w:autoSpaceDE w:val="0"/>
        <w:autoSpaceDN w:val="0"/>
        <w:adjustRightInd w:val="0"/>
      </w:pPr>
      <w:r w:rsidRPr="00561499">
        <w:t xml:space="preserve">Between 2000 and 2011, </w:t>
      </w:r>
      <w:proofErr w:type="spellStart"/>
      <w:r w:rsidRPr="00561499">
        <w:t>AIHW</w:t>
      </w:r>
      <w:proofErr w:type="spellEnd"/>
      <w:r w:rsidRPr="00561499">
        <w:t xml:space="preserve"> reported a statistically significant decrease in the low birth weight rate among live born singleton babies of Aboriginal and Torres Strait Islander mothers, with the rate declining by 9% over the period. In contrast, there was no significant change in the corresponding rate for non-Indigenous mothers.</w:t>
      </w:r>
      <w:r w:rsidRPr="00561499">
        <w:rPr>
          <w:rStyle w:val="EndnoteReference"/>
        </w:rPr>
        <w:endnoteReference w:id="59"/>
      </w:r>
    </w:p>
    <w:p w14:paraId="0FE8FCE5" w14:textId="6A2812F9" w:rsidR="00221769" w:rsidRPr="004570C0" w:rsidRDefault="00500484" w:rsidP="000A7CE8">
      <w:pPr>
        <w:rPr>
          <w:szCs w:val="24"/>
        </w:rPr>
      </w:pPr>
      <w:r w:rsidRPr="004570C0">
        <w:rPr>
          <w:szCs w:val="24"/>
        </w:rPr>
        <w:lastRenderedPageBreak/>
        <w:t>In a</w:t>
      </w:r>
      <w:r w:rsidR="00221769" w:rsidRPr="004570C0">
        <w:rPr>
          <w:szCs w:val="24"/>
        </w:rPr>
        <w:t xml:space="preserve"> 2012 study on </w:t>
      </w:r>
      <w:r w:rsidR="00221769" w:rsidRPr="004570C0">
        <w:rPr>
          <w:i/>
          <w:szCs w:val="24"/>
        </w:rPr>
        <w:t xml:space="preserve">Closing the Gap in Low </w:t>
      </w:r>
      <w:proofErr w:type="spellStart"/>
      <w:r w:rsidR="00221769" w:rsidRPr="004570C0">
        <w:rPr>
          <w:i/>
          <w:szCs w:val="24"/>
        </w:rPr>
        <w:t>Birthweight</w:t>
      </w:r>
      <w:proofErr w:type="spellEnd"/>
      <w:r w:rsidR="00221769" w:rsidRPr="004570C0">
        <w:rPr>
          <w:i/>
          <w:szCs w:val="24"/>
        </w:rPr>
        <w:t xml:space="preserve"> Births between Indigenous and Non-</w:t>
      </w:r>
      <w:r w:rsidR="00221769" w:rsidRPr="004570C0">
        <w:rPr>
          <w:i/>
          <w:iCs/>
          <w:szCs w:val="24"/>
        </w:rPr>
        <w:t xml:space="preserve">Indigenous Mothers, </w:t>
      </w:r>
      <w:r w:rsidR="00221769" w:rsidRPr="004570C0">
        <w:rPr>
          <w:iCs/>
          <w:szCs w:val="24"/>
        </w:rPr>
        <w:t>a</w:t>
      </w:r>
      <w:r w:rsidR="00221769" w:rsidRPr="004570C0">
        <w:rPr>
          <w:szCs w:val="24"/>
        </w:rPr>
        <w:t xml:space="preserve"> multivariate analysis of perinatal data in Queensland for the period 2009–11, </w:t>
      </w:r>
      <w:proofErr w:type="spellStart"/>
      <w:r w:rsidR="00221769" w:rsidRPr="004570C0">
        <w:rPr>
          <w:szCs w:val="24"/>
        </w:rPr>
        <w:t>AHMAC</w:t>
      </w:r>
      <w:proofErr w:type="spellEnd"/>
      <w:r w:rsidR="00221769" w:rsidRPr="004570C0">
        <w:rPr>
          <w:szCs w:val="24"/>
        </w:rPr>
        <w:t xml:space="preserve"> concluded that 51% of low </w:t>
      </w:r>
      <w:proofErr w:type="spellStart"/>
      <w:r w:rsidR="00221769" w:rsidRPr="004570C0">
        <w:rPr>
          <w:szCs w:val="24"/>
        </w:rPr>
        <w:t>birthweight</w:t>
      </w:r>
      <w:proofErr w:type="spellEnd"/>
      <w:r w:rsidR="00221769" w:rsidRPr="004570C0">
        <w:rPr>
          <w:szCs w:val="24"/>
        </w:rPr>
        <w:t xml:space="preserve"> births for Aboriginal and Torres Strait Islander mothers were attributable to smoking while pregnant, compared with 19% for other Australian mothers. It was further estimated that if the smoking rate among Aboriginal and Torres Strait Islander pregnant women was the same as it was for other Australian mothers, the proportion of low </w:t>
      </w:r>
      <w:proofErr w:type="spellStart"/>
      <w:r w:rsidR="00221769" w:rsidRPr="004570C0">
        <w:rPr>
          <w:szCs w:val="24"/>
        </w:rPr>
        <w:t>birthweight</w:t>
      </w:r>
      <w:proofErr w:type="spellEnd"/>
      <w:r w:rsidR="00221769" w:rsidRPr="004570C0">
        <w:rPr>
          <w:szCs w:val="24"/>
        </w:rPr>
        <w:t xml:space="preserve"> babies could be reduced by 26%.</w:t>
      </w:r>
      <w:r w:rsidR="00221769" w:rsidRPr="004570C0">
        <w:rPr>
          <w:rStyle w:val="EndnoteReference"/>
          <w:szCs w:val="24"/>
        </w:rPr>
        <w:endnoteReference w:id="60"/>
      </w:r>
    </w:p>
    <w:p w14:paraId="7CF75D52" w14:textId="51940123" w:rsidR="00221769" w:rsidRPr="0016371C" w:rsidRDefault="00221769" w:rsidP="0016371C">
      <w:pPr>
        <w:spacing w:after="400"/>
      </w:pPr>
      <w:r w:rsidRPr="00561499">
        <w:t xml:space="preserve">Recommendation 5 of the Close the Gap Campaign’s 2015 </w:t>
      </w:r>
      <w:r w:rsidRPr="000A7CE8">
        <w:rPr>
          <w:rStyle w:val="Emphasis"/>
        </w:rPr>
        <w:t>Progress and Priorities Report</w:t>
      </w:r>
      <w:r w:rsidRPr="00561499">
        <w:t xml:space="preserve"> </w:t>
      </w:r>
      <w:r w:rsidR="00AD1F9A" w:rsidRPr="00561499">
        <w:t xml:space="preserve">called </w:t>
      </w:r>
      <w:r w:rsidRPr="00561499">
        <w:t>for an increased focus on reducing smoking during pregnancy as a critical contributor to improved infant health.</w:t>
      </w:r>
      <w:r w:rsidRPr="00561499">
        <w:rPr>
          <w:rStyle w:val="EndnoteReference"/>
          <w:sz w:val="22"/>
        </w:rPr>
        <w:endnoteReference w:id="61"/>
      </w:r>
      <w:r w:rsidRPr="00561499">
        <w:t xml:space="preserve"> This is repeated as a part o</w:t>
      </w:r>
      <w:r w:rsidR="00B71B46">
        <w:t>f a wider recommendation below.</w:t>
      </w:r>
    </w:p>
    <w:tbl>
      <w:tblPr>
        <w:tblStyle w:val="TableGrid"/>
        <w:tblW w:w="8849" w:type="dxa"/>
        <w:tblBorders>
          <w:top w:val="single" w:sz="8" w:space="0" w:color="007DA7"/>
          <w:left w:val="single" w:sz="8" w:space="0" w:color="007DA7"/>
          <w:bottom w:val="single" w:sz="8" w:space="0" w:color="007DA7"/>
          <w:right w:val="single" w:sz="8" w:space="0" w:color="007DA7"/>
          <w:insideH w:val="none" w:sz="0" w:space="0" w:color="auto"/>
          <w:insideV w:val="none" w:sz="0" w:space="0" w:color="auto"/>
        </w:tblBorders>
        <w:tblCellMar>
          <w:top w:w="227" w:type="dxa"/>
          <w:left w:w="227" w:type="dxa"/>
          <w:bottom w:w="227" w:type="dxa"/>
          <w:right w:w="227" w:type="dxa"/>
        </w:tblCellMar>
        <w:tblLook w:val="04A0" w:firstRow="1" w:lastRow="0" w:firstColumn="1" w:lastColumn="0" w:noHBand="0" w:noVBand="1"/>
      </w:tblPr>
      <w:tblGrid>
        <w:gridCol w:w="8849"/>
      </w:tblGrid>
      <w:tr w:rsidR="00221769" w:rsidRPr="00561499" w14:paraId="53590032" w14:textId="77777777" w:rsidTr="0025143E">
        <w:trPr>
          <w:trHeight w:val="73"/>
        </w:trPr>
        <w:tc>
          <w:tcPr>
            <w:tcW w:w="8849" w:type="dxa"/>
            <w:shd w:val="clear" w:color="auto" w:fill="auto"/>
          </w:tcPr>
          <w:p w14:paraId="4F80A8EA" w14:textId="77777777" w:rsidR="000A7CE8" w:rsidRPr="000A7CE8" w:rsidRDefault="00221769" w:rsidP="00B71B46">
            <w:pPr>
              <w:pStyle w:val="Heading5"/>
              <w:spacing w:before="0" w:after="200"/>
              <w:outlineLvl w:val="4"/>
            </w:pPr>
            <w:r w:rsidRPr="000A7CE8">
              <w:t>Recommendation</w:t>
            </w:r>
          </w:p>
          <w:p w14:paraId="38C4074E" w14:textId="42AEE07B" w:rsidR="00D965C0" w:rsidRPr="00561499" w:rsidRDefault="00221769" w:rsidP="00B71B46">
            <w:pPr>
              <w:spacing w:after="0"/>
            </w:pPr>
            <w:r w:rsidRPr="00561499">
              <w:t>That the Australian Government address the Campaign’s 2015</w:t>
            </w:r>
            <w:r w:rsidRPr="00561499">
              <w:rPr>
                <w:i/>
              </w:rPr>
              <w:t xml:space="preserve"> Progress and Priorities Report</w:t>
            </w:r>
            <w:r w:rsidRPr="00561499">
              <w:t xml:space="preserve"> Recommendations</w:t>
            </w:r>
            <w:r w:rsidR="000A7CE8">
              <w:t xml:space="preserve"> (s</w:t>
            </w:r>
            <w:r w:rsidRPr="00561499">
              <w:t>ee Appendix 1)</w:t>
            </w:r>
            <w:r w:rsidR="000A7CE8">
              <w:t>.</w:t>
            </w:r>
          </w:p>
        </w:tc>
      </w:tr>
    </w:tbl>
    <w:p w14:paraId="1869553C" w14:textId="77777777" w:rsidR="00221769" w:rsidRPr="00561499" w:rsidRDefault="00221769" w:rsidP="00B71B46"/>
    <w:p w14:paraId="1BF794D3" w14:textId="0D237F19" w:rsidR="00221769" w:rsidRPr="004570C0" w:rsidRDefault="00221769" w:rsidP="007E71A4">
      <w:pPr>
        <w:autoSpaceDE w:val="0"/>
        <w:autoSpaceDN w:val="0"/>
        <w:adjustRightInd w:val="0"/>
        <w:rPr>
          <w:rFonts w:eastAsia="Times New Roman"/>
          <w:szCs w:val="24"/>
        </w:rPr>
      </w:pPr>
      <w:r w:rsidRPr="004570C0">
        <w:rPr>
          <w:szCs w:val="24"/>
        </w:rPr>
        <w:t>Improved access to antenatal health care is</w:t>
      </w:r>
      <w:r w:rsidR="00050623" w:rsidRPr="004570C0">
        <w:rPr>
          <w:szCs w:val="24"/>
        </w:rPr>
        <w:t xml:space="preserve"> essential</w:t>
      </w:r>
      <w:r w:rsidRPr="004570C0">
        <w:rPr>
          <w:szCs w:val="24"/>
        </w:rPr>
        <w:t xml:space="preserve"> to reducing infant mortality rates. Again, data from 2011 remains the latest available.</w:t>
      </w:r>
      <w:r w:rsidRPr="004570C0">
        <w:rPr>
          <w:rStyle w:val="EndnoteReference"/>
          <w:szCs w:val="24"/>
        </w:rPr>
        <w:endnoteReference w:id="62"/>
      </w:r>
      <w:r w:rsidRPr="004570C0">
        <w:rPr>
          <w:szCs w:val="24"/>
        </w:rPr>
        <w:t xml:space="preserve"> As reported last year, in 2011, </w:t>
      </w:r>
      <w:r w:rsidRPr="004570C0">
        <w:rPr>
          <w:rFonts w:eastAsia="Times New Roman"/>
          <w:szCs w:val="24"/>
        </w:rPr>
        <w:t xml:space="preserve">99% of </w:t>
      </w:r>
      <w:r w:rsidRPr="004570C0">
        <w:rPr>
          <w:szCs w:val="24"/>
        </w:rPr>
        <w:t>Aboriginal and Torres Strait Islander</w:t>
      </w:r>
      <w:r w:rsidRPr="004570C0">
        <w:rPr>
          <w:rFonts w:eastAsia="Times New Roman"/>
          <w:szCs w:val="24"/>
        </w:rPr>
        <w:t xml:space="preserve"> mothers had at least one antenatal session, and 83% had five or more.</w:t>
      </w:r>
      <w:r w:rsidRPr="004570C0">
        <w:rPr>
          <w:rStyle w:val="EndnoteReference"/>
          <w:rFonts w:eastAsia="Times New Roman"/>
          <w:szCs w:val="24"/>
        </w:rPr>
        <w:endnoteReference w:id="63"/>
      </w:r>
      <w:r w:rsidRPr="004570C0">
        <w:rPr>
          <w:rFonts w:eastAsia="Times New Roman"/>
          <w:szCs w:val="24"/>
        </w:rPr>
        <w:t xml:space="preserve"> </w:t>
      </w:r>
      <w:r w:rsidRPr="004570C0">
        <w:rPr>
          <w:rFonts w:cs="Arial"/>
          <w:color w:val="0C0C0C"/>
          <w:spacing w:val="7"/>
          <w:szCs w:val="24"/>
        </w:rPr>
        <w:t>However, Aboriginal and Torres Strait Islander mothers, on average, accessed services later in the pregnancy and had significantly fewer antenatal care sessions. In 2011, half of all Aboriginal and Torres Strait Islander mothers had their first antenatal session in the first trimester of pregnancy compared with 66% of non-Indigenous mothers.</w:t>
      </w:r>
      <w:r w:rsidRPr="004570C0">
        <w:rPr>
          <w:rStyle w:val="EndnoteReference"/>
          <w:rFonts w:cs="Arial"/>
          <w:color w:val="0C0C0C"/>
          <w:spacing w:val="7"/>
          <w:szCs w:val="24"/>
        </w:rPr>
        <w:endnoteReference w:id="64"/>
      </w:r>
    </w:p>
    <w:p w14:paraId="141E6DDD" w14:textId="56BDE792" w:rsidR="008C14C0" w:rsidRPr="004570C0" w:rsidRDefault="00221769" w:rsidP="00EB696A">
      <w:pPr>
        <w:autoSpaceDE w:val="0"/>
        <w:autoSpaceDN w:val="0"/>
        <w:adjustRightInd w:val="0"/>
        <w:rPr>
          <w:rFonts w:eastAsia="Times New Roman"/>
          <w:szCs w:val="24"/>
        </w:rPr>
      </w:pPr>
      <w:r w:rsidRPr="004570C0">
        <w:rPr>
          <w:rFonts w:eastAsia="Times New Roman"/>
          <w:szCs w:val="24"/>
        </w:rPr>
        <w:t>Over 2001</w:t>
      </w:r>
      <w:r w:rsidR="001C4966" w:rsidRPr="004570C0">
        <w:rPr>
          <w:rFonts w:eastAsia="Times New Roman"/>
          <w:szCs w:val="24"/>
        </w:rPr>
        <w:t>–</w:t>
      </w:r>
      <w:r w:rsidRPr="004570C0">
        <w:rPr>
          <w:rFonts w:eastAsia="Times New Roman"/>
          <w:szCs w:val="24"/>
        </w:rPr>
        <w:t xml:space="preserve">2011, in NSW, South Australia and Queensland, there was a statistically significant increase in the rate of </w:t>
      </w:r>
      <w:r w:rsidRPr="004570C0">
        <w:rPr>
          <w:szCs w:val="24"/>
        </w:rPr>
        <w:t>Aboriginal and Torres Strait Islander</w:t>
      </w:r>
      <w:r w:rsidRPr="004570C0">
        <w:rPr>
          <w:rFonts w:eastAsia="Times New Roman"/>
          <w:szCs w:val="24"/>
        </w:rPr>
        <w:t xml:space="preserve"> mothers attending at least one antenatal care session during pregnancy, but no significant change among non-Indigenous women.</w:t>
      </w:r>
      <w:r w:rsidRPr="004570C0">
        <w:rPr>
          <w:rStyle w:val="EndnoteReference"/>
          <w:rFonts w:eastAsia="Times New Roman"/>
          <w:szCs w:val="24"/>
        </w:rPr>
        <w:endnoteReference w:id="65"/>
      </w:r>
      <w:r w:rsidR="004570C0" w:rsidRPr="004570C0">
        <w:rPr>
          <w:rFonts w:eastAsia="Times New Roman"/>
          <w:szCs w:val="24"/>
        </w:rPr>
        <w:t xml:space="preserve"> </w:t>
      </w:r>
      <w:r w:rsidRPr="004570C0">
        <w:rPr>
          <w:rFonts w:eastAsia="Times New Roman"/>
          <w:szCs w:val="24"/>
        </w:rPr>
        <w:t>This resulted in a narrowing of the gap in these three jurisdictions.</w:t>
      </w:r>
      <w:r w:rsidRPr="004570C0">
        <w:rPr>
          <w:rStyle w:val="EndnoteReference"/>
          <w:rFonts w:eastAsia="Times New Roman"/>
          <w:szCs w:val="24"/>
        </w:rPr>
        <w:endnoteReference w:id="66"/>
      </w:r>
      <w:r w:rsidRPr="004570C0">
        <w:rPr>
          <w:rFonts w:eastAsia="Times New Roman"/>
          <w:szCs w:val="24"/>
        </w:rPr>
        <w:t xml:space="preserve"> Access to care in the first trimester varied by state (61% in NSW compared with 36% in WA) and to a lesser degree by remoteness (e.g. 55% in inner regional areas and 47% in major cities and very remote areas).</w:t>
      </w:r>
      <w:r w:rsidRPr="004570C0">
        <w:rPr>
          <w:rStyle w:val="EndnoteReference"/>
          <w:szCs w:val="24"/>
        </w:rPr>
        <w:endnoteReference w:id="67"/>
      </w:r>
    </w:p>
    <w:tbl>
      <w:tblPr>
        <w:tblStyle w:val="TableGrid"/>
        <w:tblW w:w="0" w:type="auto"/>
        <w:tblBorders>
          <w:top w:val="single" w:sz="8" w:space="0" w:color="007DA7"/>
          <w:left w:val="single" w:sz="8" w:space="0" w:color="007DA7"/>
          <w:bottom w:val="single" w:sz="8" w:space="0" w:color="007DA7"/>
          <w:right w:val="single" w:sz="8" w:space="0" w:color="007DA7"/>
          <w:insideH w:val="none" w:sz="0" w:space="0" w:color="auto"/>
          <w:insideV w:val="none" w:sz="0" w:space="0" w:color="auto"/>
        </w:tblBorders>
        <w:tblCellMar>
          <w:top w:w="227" w:type="dxa"/>
          <w:left w:w="227" w:type="dxa"/>
          <w:bottom w:w="227" w:type="dxa"/>
          <w:right w:w="227" w:type="dxa"/>
        </w:tblCellMar>
        <w:tblLook w:val="04A0" w:firstRow="1" w:lastRow="0" w:firstColumn="1" w:lastColumn="0" w:noHBand="0" w:noVBand="1"/>
      </w:tblPr>
      <w:tblGrid>
        <w:gridCol w:w="9060"/>
      </w:tblGrid>
      <w:tr w:rsidR="00221769" w:rsidRPr="00561499" w14:paraId="5F131641" w14:textId="77777777" w:rsidTr="00B71B46">
        <w:tc>
          <w:tcPr>
            <w:tcW w:w="9060" w:type="dxa"/>
            <w:shd w:val="clear" w:color="auto" w:fill="auto"/>
          </w:tcPr>
          <w:p w14:paraId="6022AAA0" w14:textId="40E9E6CC" w:rsidR="00221769" w:rsidRPr="000A7CE8" w:rsidRDefault="00221769" w:rsidP="00B71B46">
            <w:pPr>
              <w:pStyle w:val="Heading5"/>
              <w:spacing w:before="0" w:after="200"/>
              <w:outlineLvl w:val="4"/>
            </w:pPr>
            <w:proofErr w:type="spellStart"/>
            <w:r w:rsidRPr="00561499">
              <w:lastRenderedPageBreak/>
              <w:t>Fetal</w:t>
            </w:r>
            <w:proofErr w:type="spellEnd"/>
            <w:r w:rsidRPr="00561499">
              <w:t xml:space="preserve"> Alcohol Spectrum Disorders</w:t>
            </w:r>
          </w:p>
          <w:p w14:paraId="5C77BE88" w14:textId="51197110" w:rsidR="00221769" w:rsidRPr="00561499" w:rsidRDefault="00221769" w:rsidP="00472B04">
            <w:r w:rsidRPr="00561499">
              <w:t>Fetal alcohol spectrum disorders (</w:t>
            </w:r>
            <w:proofErr w:type="spellStart"/>
            <w:r w:rsidRPr="00561499">
              <w:t>FASD</w:t>
            </w:r>
            <w:proofErr w:type="spellEnd"/>
            <w:r w:rsidRPr="00561499">
              <w:t xml:space="preserve">) is an umbrella term to describe a range of physical, cognitive and </w:t>
            </w:r>
            <w:proofErr w:type="spellStart"/>
            <w:r w:rsidRPr="00561499">
              <w:t>behavioural</w:t>
            </w:r>
            <w:proofErr w:type="spellEnd"/>
            <w:r w:rsidRPr="00561499">
              <w:t xml:space="preserve"> abnormalities that result from fetal exposure to alcohol consumption during pregnancy’.</w:t>
            </w:r>
            <w:r w:rsidRPr="00561499">
              <w:rPr>
                <w:rStyle w:val="EndnoteReference"/>
              </w:rPr>
              <w:endnoteReference w:id="68"/>
            </w:r>
            <w:r w:rsidRPr="00561499">
              <w:t xml:space="preserve"> </w:t>
            </w:r>
            <w:proofErr w:type="spellStart"/>
            <w:r w:rsidRPr="00561499">
              <w:t>FASD</w:t>
            </w:r>
            <w:proofErr w:type="spellEnd"/>
            <w:r w:rsidRPr="00561499">
              <w:t xml:space="preserve"> is entirely preventable if mothers are educated and supported to stop alcohol consumption during pregnancy.</w:t>
            </w:r>
            <w:r w:rsidRPr="00561499">
              <w:rPr>
                <w:rStyle w:val="EndnoteReference"/>
              </w:rPr>
              <w:endnoteReference w:id="69"/>
            </w:r>
          </w:p>
          <w:p w14:paraId="2B8D7905" w14:textId="595AC0F6" w:rsidR="00221769" w:rsidRPr="00561499" w:rsidRDefault="00221769" w:rsidP="00472B04">
            <w:r w:rsidRPr="00561499">
              <w:t xml:space="preserve">Within </w:t>
            </w:r>
            <w:proofErr w:type="spellStart"/>
            <w:r w:rsidRPr="00561499">
              <w:t>FASD</w:t>
            </w:r>
            <w:proofErr w:type="spellEnd"/>
            <w:r w:rsidRPr="00561499">
              <w:t>, Fetal Alcohol Syndrome (FAS) is a diagnosis with indicators including growth deficiency, distinct facial characteristics and central nervous system damage.</w:t>
            </w:r>
            <w:r w:rsidRPr="00561499">
              <w:rPr>
                <w:rStyle w:val="EndnoteReference"/>
              </w:rPr>
              <w:endnoteReference w:id="70"/>
            </w:r>
            <w:r w:rsidRPr="00561499">
              <w:t xml:space="preserve"> Partial Fetal Alcohol Syndrome (</w:t>
            </w:r>
            <w:proofErr w:type="spellStart"/>
            <w:r w:rsidRPr="00561499">
              <w:t>pFAS</w:t>
            </w:r>
            <w:proofErr w:type="spellEnd"/>
            <w:r w:rsidRPr="00561499">
              <w:t>) is a diagnosis where it is known that alcohol was consumed during pregnancy, but the person presents without some or any of the physical symptoms of FAS.</w:t>
            </w:r>
            <w:r w:rsidRPr="00561499">
              <w:rPr>
                <w:rStyle w:val="EndnoteReference"/>
              </w:rPr>
              <w:endnoteReference w:id="71"/>
            </w:r>
          </w:p>
          <w:p w14:paraId="6D688DC1" w14:textId="581357BD" w:rsidR="00221769" w:rsidRPr="00561499" w:rsidRDefault="00221769" w:rsidP="00B71B46">
            <w:pPr>
              <w:spacing w:after="0"/>
            </w:pPr>
            <w:r w:rsidRPr="00561499">
              <w:t xml:space="preserve">The </w:t>
            </w:r>
            <w:proofErr w:type="spellStart"/>
            <w:r w:rsidRPr="00561499">
              <w:t>Lililwan</w:t>
            </w:r>
            <w:proofErr w:type="spellEnd"/>
            <w:r w:rsidRPr="00561499">
              <w:t xml:space="preserve"> Project worked to estimate the prevalence of </w:t>
            </w:r>
            <w:proofErr w:type="spellStart"/>
            <w:r w:rsidRPr="00561499">
              <w:t>FASD</w:t>
            </w:r>
            <w:proofErr w:type="spellEnd"/>
            <w:r w:rsidRPr="00561499">
              <w:t xml:space="preserve"> and associated factors in the Fitzroy Valley Aboriginal community in the Kimberley, Western Australia.</w:t>
            </w:r>
            <w:r w:rsidRPr="00561499">
              <w:rPr>
                <w:rStyle w:val="EndnoteReference"/>
              </w:rPr>
              <w:endnoteReference w:id="72"/>
            </w:r>
            <w:r w:rsidRPr="00561499">
              <w:t xml:space="preserve">  About 95</w:t>
            </w:r>
            <w:r w:rsidR="0002418B" w:rsidRPr="00561499">
              <w:t>%</w:t>
            </w:r>
            <w:r w:rsidRPr="00561499">
              <w:t xml:space="preserve"> of children born over 2002–2003 in the community were involved.</w:t>
            </w:r>
            <w:r w:rsidRPr="00561499">
              <w:rPr>
                <w:rStyle w:val="EndnoteReference"/>
              </w:rPr>
              <w:endnoteReference w:id="73"/>
            </w:r>
            <w:r w:rsidRPr="00561499">
              <w:t xml:space="preserve"> FAS or </w:t>
            </w:r>
            <w:proofErr w:type="spellStart"/>
            <w:r w:rsidRPr="00561499">
              <w:t>pFAS</w:t>
            </w:r>
            <w:proofErr w:type="spellEnd"/>
            <w:r w:rsidRPr="00561499">
              <w:t xml:space="preserve"> was diagnosed in 12</w:t>
            </w:r>
            <w:r w:rsidR="0002418B" w:rsidRPr="00561499">
              <w:t>%</w:t>
            </w:r>
            <w:r w:rsidRPr="00561499">
              <w:t xml:space="preserve"> of this cohort.</w:t>
            </w:r>
            <w:r w:rsidRPr="00561499">
              <w:rPr>
                <w:rStyle w:val="EndnoteReference"/>
              </w:rPr>
              <w:endnoteReference w:id="74"/>
            </w:r>
          </w:p>
        </w:tc>
      </w:tr>
    </w:tbl>
    <w:p w14:paraId="7A49A03D" w14:textId="77777777" w:rsidR="00221769" w:rsidRPr="00561499" w:rsidRDefault="00221769" w:rsidP="007E71A4">
      <w:pPr>
        <w:autoSpaceDE w:val="0"/>
        <w:autoSpaceDN w:val="0"/>
        <w:adjustRightInd w:val="0"/>
      </w:pPr>
    </w:p>
    <w:p w14:paraId="75954230" w14:textId="5EE7E8AB" w:rsidR="00221769" w:rsidRPr="00561499" w:rsidRDefault="00472B04" w:rsidP="00472B04">
      <w:pPr>
        <w:pStyle w:val="Heading3"/>
      </w:pPr>
      <w:bookmarkStart w:id="10" w:name="_Toc315703403"/>
      <w:r>
        <w:t xml:space="preserve">1.3 </w:t>
      </w:r>
      <w:r w:rsidR="00A40FAA" w:rsidRPr="00561499">
        <w:t>Understanding a generati</w:t>
      </w:r>
      <w:r w:rsidR="00B71B46">
        <w:t>onal health equality trajectory</w:t>
      </w:r>
      <w:bookmarkEnd w:id="10"/>
    </w:p>
    <w:p w14:paraId="7111D743" w14:textId="70E13ECF" w:rsidR="00221769" w:rsidRPr="0016371C" w:rsidRDefault="00221769" w:rsidP="00A049CC">
      <w:pPr>
        <w:rPr>
          <w:szCs w:val="24"/>
        </w:rPr>
      </w:pPr>
      <w:r w:rsidRPr="0016371C">
        <w:rPr>
          <w:szCs w:val="24"/>
        </w:rPr>
        <w:t>In the five years since the Closing the Gap life expectancy target was set</w:t>
      </w:r>
      <w:r w:rsidR="00632FBD" w:rsidRPr="0016371C">
        <w:rPr>
          <w:szCs w:val="24"/>
        </w:rPr>
        <w:t>,</w:t>
      </w:r>
      <w:r w:rsidRPr="0016371C">
        <w:rPr>
          <w:szCs w:val="24"/>
        </w:rPr>
        <w:t xml:space="preserve"> there has been limited time for investments to impact on population level death rates. For example, reductions in population level smoking rates take 5 years to impact on heart disease and up to 20 years for cancer.</w:t>
      </w:r>
      <w:r w:rsidRPr="0016371C">
        <w:rPr>
          <w:rStyle w:val="EndnoteReference"/>
          <w:szCs w:val="24"/>
        </w:rPr>
        <w:endnoteReference w:id="75"/>
      </w:r>
    </w:p>
    <w:p w14:paraId="14EE2A75" w14:textId="35FC8F7B" w:rsidR="003D07C5" w:rsidRPr="003D07C5" w:rsidRDefault="00221769" w:rsidP="0016371C">
      <w:pPr>
        <w:spacing w:after="400"/>
      </w:pPr>
      <w:r w:rsidRPr="00561499">
        <w:rPr>
          <w:rFonts w:cstheme="minorBidi"/>
          <w:lang w:eastAsia="ja-JP"/>
        </w:rPr>
        <w:t xml:space="preserve">Likewise, improvements to social determinants will take time to impact on health outcomes. </w:t>
      </w:r>
      <w:proofErr w:type="spellStart"/>
      <w:r w:rsidRPr="00561499">
        <w:rPr>
          <w:rFonts w:cstheme="minorBidi"/>
          <w:lang w:eastAsia="ja-JP"/>
        </w:rPr>
        <w:t>AHMAC</w:t>
      </w:r>
      <w:proofErr w:type="spellEnd"/>
      <w:r w:rsidRPr="00561499">
        <w:rPr>
          <w:rFonts w:cstheme="minorBidi"/>
          <w:lang w:eastAsia="ja-JP"/>
        </w:rPr>
        <w:t xml:space="preserve"> estimate that </w:t>
      </w:r>
      <w:r w:rsidRPr="00561499">
        <w:t>higher school educational attainment among Aboriginal and Torres Strait Islander children and young people will take 20 to 30 years to result in lower death rates from chronic disease.</w:t>
      </w:r>
      <w:r w:rsidRPr="00561499">
        <w:rPr>
          <w:rStyle w:val="EndnoteReference"/>
        </w:rPr>
        <w:endnoteReference w:id="76"/>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227" w:type="dxa"/>
          <w:bottom w:w="227" w:type="dxa"/>
          <w:right w:w="227" w:type="dxa"/>
        </w:tblCellMar>
        <w:tblLook w:val="04A0" w:firstRow="1" w:lastRow="0" w:firstColumn="1" w:lastColumn="0" w:noHBand="0" w:noVBand="1"/>
      </w:tblPr>
      <w:tblGrid>
        <w:gridCol w:w="9286"/>
      </w:tblGrid>
      <w:tr w:rsidR="003D07C5" w:rsidRPr="00F82562" w14:paraId="41495AE3" w14:textId="77777777" w:rsidTr="0025143E">
        <w:tc>
          <w:tcPr>
            <w:tcW w:w="9286" w:type="dxa"/>
            <w:shd w:val="clear" w:color="auto" w:fill="F2F2F2" w:themeFill="background1" w:themeFillShade="F2"/>
          </w:tcPr>
          <w:p w14:paraId="0C41543D" w14:textId="4AFE47D7" w:rsidR="003D07C5" w:rsidRPr="00A25155" w:rsidRDefault="003D07C5" w:rsidP="003D07C5">
            <w:pPr>
              <w:pStyle w:val="PullQuote"/>
              <w:rPr>
                <w:rStyle w:val="Strong"/>
                <w:b w:val="0"/>
                <w:bCs w:val="0"/>
              </w:rPr>
            </w:pPr>
            <w:r w:rsidRPr="003D07C5">
              <w:t>The Campaign Steering Committee continues to counsel governments to consider the generational effort that is required to attain health equality, rather than chop and change approaches based on an unrealistic appreciation of the health gains possible only a few years after an initiative is introduced.</w:t>
            </w:r>
          </w:p>
        </w:tc>
      </w:tr>
    </w:tbl>
    <w:p w14:paraId="5B3A8D62" w14:textId="77777777" w:rsidR="003D07C5" w:rsidRDefault="003D07C5" w:rsidP="00D50336"/>
    <w:p w14:paraId="43BE53A1" w14:textId="4ED7BA32" w:rsidR="00221769" w:rsidRPr="00561499" w:rsidRDefault="00221769" w:rsidP="00D50336">
      <w:r w:rsidRPr="00561499">
        <w:lastRenderedPageBreak/>
        <w:t xml:space="preserve">The Campaign </w:t>
      </w:r>
      <w:r w:rsidR="0002418B" w:rsidRPr="00561499">
        <w:t xml:space="preserve">Steering Committee </w:t>
      </w:r>
      <w:r w:rsidRPr="00561499">
        <w:t xml:space="preserve">continues to counsel </w:t>
      </w:r>
      <w:r w:rsidR="00CB2D0D" w:rsidRPr="00561499">
        <w:t xml:space="preserve">governments to consider the generational effort that is required to attain health equality, rather than chop and change approaches based on </w:t>
      </w:r>
      <w:r w:rsidR="00BF2A27" w:rsidRPr="00561499">
        <w:t xml:space="preserve">an </w:t>
      </w:r>
      <w:r w:rsidR="00CB2D0D" w:rsidRPr="00561499">
        <w:t xml:space="preserve">unrealistic </w:t>
      </w:r>
      <w:r w:rsidR="00BF2A27" w:rsidRPr="00561499">
        <w:t>appreciation</w:t>
      </w:r>
      <w:r w:rsidR="00CB2D0D" w:rsidRPr="00561499">
        <w:t xml:space="preserve"> of the health gains possible</w:t>
      </w:r>
      <w:r w:rsidR="00BF2A27" w:rsidRPr="00561499">
        <w:t xml:space="preserve"> only a few years after an initiative is introduced</w:t>
      </w:r>
      <w:r w:rsidR="00CB2D0D" w:rsidRPr="00561499">
        <w:t>.</w:t>
      </w:r>
      <w:r w:rsidRPr="00561499">
        <w:t xml:space="preserve"> </w:t>
      </w:r>
      <w:r w:rsidR="00CB2D0D" w:rsidRPr="00561499">
        <w:t xml:space="preserve">This is particularly the case in relation </w:t>
      </w:r>
      <w:r w:rsidRPr="00561499">
        <w:t xml:space="preserve">to </w:t>
      </w:r>
      <w:r w:rsidR="00CB2D0D" w:rsidRPr="00561499">
        <w:t xml:space="preserve">expectations </w:t>
      </w:r>
      <w:r w:rsidR="00BF2A27" w:rsidRPr="00561499">
        <w:t>that</w:t>
      </w:r>
      <w:r w:rsidR="00CB2D0D" w:rsidRPr="00561499">
        <w:t xml:space="preserve"> </w:t>
      </w:r>
      <w:r w:rsidRPr="00561499">
        <w:t xml:space="preserve">significant improvements against the life expectancy target </w:t>
      </w:r>
      <w:r w:rsidR="00CB2D0D" w:rsidRPr="00561499">
        <w:t>would flow instantly from</w:t>
      </w:r>
      <w:r w:rsidRPr="00561499">
        <w:t xml:space="preserve"> the </w:t>
      </w:r>
      <w:r w:rsidRPr="00472B04">
        <w:rPr>
          <w:rStyle w:val="Emphasis"/>
        </w:rPr>
        <w:t>Closing the Gap Strategy</w:t>
      </w:r>
      <w:r w:rsidRPr="00561499">
        <w:t xml:space="preserve">. Rather, the slow pace reflects the relatively low impact of responses in place </w:t>
      </w:r>
      <w:r w:rsidRPr="00472B04">
        <w:rPr>
          <w:b/>
        </w:rPr>
        <w:t>before</w:t>
      </w:r>
      <w:r w:rsidRPr="00561499">
        <w:t xml:space="preserve"> the July 2009 commencement of the </w:t>
      </w:r>
      <w:r w:rsidRPr="00472B04">
        <w:rPr>
          <w:rStyle w:val="Emphasis"/>
        </w:rPr>
        <w:t>Closing the Gap Strategy</w:t>
      </w:r>
      <w:r w:rsidRPr="00561499">
        <w:t xml:space="preserve"> and, as such, demonstrates why it was needed in the first plac</w:t>
      </w:r>
      <w:r w:rsidR="00DD6F11">
        <w:t>e.</w:t>
      </w:r>
    </w:p>
    <w:p w14:paraId="1790ABB7" w14:textId="1C174A84" w:rsidR="00221769" w:rsidRPr="00561499" w:rsidRDefault="00221769" w:rsidP="00D50336">
      <w:r w:rsidRPr="00561499">
        <w:t xml:space="preserve">Because of the lead times between the design and roll out of programs, and for improvements to be measured, </w:t>
      </w:r>
      <w:proofErr w:type="spellStart"/>
      <w:r w:rsidRPr="00561499">
        <w:t>analysed</w:t>
      </w:r>
      <w:proofErr w:type="spellEnd"/>
      <w:r w:rsidRPr="00561499">
        <w:t xml:space="preserve"> and reported, and then accrue as improvements to life expectancy, the high level health impacts of the </w:t>
      </w:r>
      <w:r w:rsidRPr="00472B04">
        <w:rPr>
          <w:rStyle w:val="Emphasis"/>
        </w:rPr>
        <w:t>Closing the Gap Strategy</w:t>
      </w:r>
      <w:r w:rsidRPr="00561499">
        <w:t xml:space="preserve"> should not be expected to be measured in data until at least 2018.</w:t>
      </w:r>
    </w:p>
    <w:p w14:paraId="64D03564" w14:textId="2671E046" w:rsidR="00D965C0" w:rsidRPr="00472B04" w:rsidRDefault="00221769" w:rsidP="00472B04">
      <w:r w:rsidRPr="00561499">
        <w:t xml:space="preserve">In the meantime, the positive impacts of the </w:t>
      </w:r>
      <w:r w:rsidRPr="00472B04">
        <w:rPr>
          <w:rStyle w:val="Emphasis"/>
        </w:rPr>
        <w:t>Closing the Gap Strategy</w:t>
      </w:r>
      <w:r w:rsidRPr="00561499">
        <w:t xml:space="preserve"> are measurable but in terms of inputs to better health that will contribute to be</w:t>
      </w:r>
      <w:r w:rsidR="00D50336">
        <w:t>tter health outcomes over time.</w:t>
      </w:r>
    </w:p>
    <w:p w14:paraId="39894C8B" w14:textId="314C7699" w:rsidR="00221769" w:rsidRPr="00561499" w:rsidRDefault="00472B04" w:rsidP="00472B04">
      <w:pPr>
        <w:pStyle w:val="Heading4"/>
        <w:rPr>
          <w:rFonts w:cstheme="minorBidi"/>
        </w:rPr>
      </w:pPr>
      <w:r>
        <w:t xml:space="preserve">(a) </w:t>
      </w:r>
      <w:r w:rsidR="00221769" w:rsidRPr="00561499">
        <w:t xml:space="preserve">A need </w:t>
      </w:r>
      <w:r w:rsidR="00BF2A27" w:rsidRPr="00561499">
        <w:t xml:space="preserve">for government </w:t>
      </w:r>
      <w:r w:rsidR="00A049CC">
        <w:t>to focus on inputs</w:t>
      </w:r>
    </w:p>
    <w:p w14:paraId="32692A0E" w14:textId="25CF988F" w:rsidR="00221769" w:rsidRPr="0016371C" w:rsidRDefault="00221769" w:rsidP="005D0009">
      <w:pPr>
        <w:rPr>
          <w:szCs w:val="24"/>
        </w:rPr>
      </w:pPr>
      <w:r w:rsidRPr="0016371C">
        <w:rPr>
          <w:szCs w:val="24"/>
        </w:rPr>
        <w:t>Perhaps most tellingly, there have been demonstrable improvements in access to, and usage of</w:t>
      </w:r>
      <w:r w:rsidR="00D74524" w:rsidRPr="0016371C">
        <w:rPr>
          <w:szCs w:val="24"/>
        </w:rPr>
        <w:t>,</w:t>
      </w:r>
      <w:r w:rsidRPr="0016371C">
        <w:rPr>
          <w:szCs w:val="24"/>
        </w:rPr>
        <w:t xml:space="preserve"> primary health services since July 2009, as reported by </w:t>
      </w:r>
      <w:proofErr w:type="spellStart"/>
      <w:r w:rsidRPr="0016371C">
        <w:rPr>
          <w:szCs w:val="24"/>
        </w:rPr>
        <w:t>AHMAC</w:t>
      </w:r>
      <w:proofErr w:type="spellEnd"/>
      <w:r w:rsidRPr="0016371C">
        <w:rPr>
          <w:szCs w:val="24"/>
        </w:rPr>
        <w:t xml:space="preserve">. In particular, trend analysis shows the rate of uptake of health assessment by Aboriginal and Torres Strait Islander people, </w:t>
      </w:r>
      <w:r w:rsidRPr="0016371C">
        <w:rPr>
          <w:b/>
          <w:szCs w:val="24"/>
        </w:rPr>
        <w:t>though still too low relative to need</w:t>
      </w:r>
      <w:r w:rsidRPr="0016371C">
        <w:rPr>
          <w:szCs w:val="24"/>
        </w:rPr>
        <w:t xml:space="preserve">, has nearly tripled over July 2009 </w:t>
      </w:r>
      <w:r w:rsidR="00632FBD" w:rsidRPr="0016371C">
        <w:rPr>
          <w:szCs w:val="24"/>
        </w:rPr>
        <w:t xml:space="preserve">to </w:t>
      </w:r>
      <w:r w:rsidRPr="0016371C">
        <w:rPr>
          <w:szCs w:val="24"/>
        </w:rPr>
        <w:t>June 2014. In 2013–2014:</w:t>
      </w:r>
      <w:r w:rsidRPr="0016371C">
        <w:rPr>
          <w:rStyle w:val="EndnoteReference"/>
          <w:rFonts w:cstheme="minorBidi"/>
          <w:szCs w:val="24"/>
        </w:rPr>
        <w:endnoteReference w:id="77"/>
      </w:r>
    </w:p>
    <w:p w14:paraId="077F3095" w14:textId="56ED44EF" w:rsidR="00221769" w:rsidRPr="0016371C" w:rsidRDefault="00221769" w:rsidP="00DC5A0E">
      <w:pPr>
        <w:pStyle w:val="ListParagraph"/>
        <w:numPr>
          <w:ilvl w:val="0"/>
          <w:numId w:val="22"/>
        </w:numPr>
        <w:spacing w:before="120"/>
        <w:ind w:left="714" w:hanging="357"/>
        <w:contextualSpacing w:val="0"/>
        <w:rPr>
          <w:szCs w:val="24"/>
        </w:rPr>
      </w:pPr>
      <w:r w:rsidRPr="0016371C">
        <w:rPr>
          <w:szCs w:val="24"/>
        </w:rPr>
        <w:t>47,400 health assessments of Aboriginal and Torres Strait Islander childr</w:t>
      </w:r>
      <w:r w:rsidR="001F72B7" w:rsidRPr="0016371C">
        <w:rPr>
          <w:szCs w:val="24"/>
        </w:rPr>
        <w:t xml:space="preserve">en aged 0–14 years took place — </w:t>
      </w:r>
      <w:r w:rsidRPr="0016371C">
        <w:rPr>
          <w:szCs w:val="24"/>
        </w:rPr>
        <w:t>19% of children in the target group;</w:t>
      </w:r>
      <w:r w:rsidRPr="0016371C">
        <w:rPr>
          <w:rStyle w:val="EndnoteReference"/>
          <w:rFonts w:eastAsia="Times New Roman" w:cstheme="minorBidi"/>
          <w:szCs w:val="24"/>
          <w:lang w:val="en-AU" w:eastAsia="en-AU"/>
        </w:rPr>
        <w:endnoteReference w:id="78"/>
      </w:r>
    </w:p>
    <w:p w14:paraId="35778145" w14:textId="2558B408" w:rsidR="00221769" w:rsidRPr="0016371C" w:rsidRDefault="00221769" w:rsidP="00DC5A0E">
      <w:pPr>
        <w:pStyle w:val="ListParagraph"/>
        <w:numPr>
          <w:ilvl w:val="0"/>
          <w:numId w:val="22"/>
        </w:numPr>
        <w:spacing w:before="120"/>
        <w:ind w:left="714" w:hanging="357"/>
        <w:contextualSpacing w:val="0"/>
        <w:rPr>
          <w:szCs w:val="24"/>
        </w:rPr>
      </w:pPr>
      <w:r w:rsidRPr="0016371C">
        <w:rPr>
          <w:szCs w:val="24"/>
        </w:rPr>
        <w:t>80,600 health assessments of Aboriginal and Torres Strait Islander peopl</w:t>
      </w:r>
      <w:r w:rsidR="001F72B7" w:rsidRPr="0016371C">
        <w:rPr>
          <w:szCs w:val="24"/>
        </w:rPr>
        <w:t xml:space="preserve">e aged 15–54 years took place — </w:t>
      </w:r>
      <w:r w:rsidRPr="0016371C">
        <w:rPr>
          <w:szCs w:val="24"/>
        </w:rPr>
        <w:t>21% of this population;</w:t>
      </w:r>
      <w:r w:rsidRPr="0016371C">
        <w:rPr>
          <w:rStyle w:val="EndnoteReference"/>
          <w:rFonts w:eastAsia="Times New Roman" w:cstheme="minorBidi"/>
          <w:szCs w:val="24"/>
          <w:lang w:val="en-AU" w:eastAsia="en-AU"/>
        </w:rPr>
        <w:endnoteReference w:id="79"/>
      </w:r>
      <w:r w:rsidRPr="0016371C">
        <w:rPr>
          <w:szCs w:val="24"/>
        </w:rPr>
        <w:t xml:space="preserve"> and</w:t>
      </w:r>
    </w:p>
    <w:p w14:paraId="44A7164C" w14:textId="77A23426" w:rsidR="00221769" w:rsidRPr="0016371C" w:rsidRDefault="00221769" w:rsidP="00DC5A0E">
      <w:pPr>
        <w:pStyle w:val="ListParagraph"/>
        <w:numPr>
          <w:ilvl w:val="0"/>
          <w:numId w:val="22"/>
        </w:numPr>
        <w:spacing w:before="120"/>
        <w:ind w:left="714" w:hanging="357"/>
        <w:contextualSpacing w:val="0"/>
        <w:rPr>
          <w:szCs w:val="24"/>
        </w:rPr>
      </w:pPr>
      <w:r w:rsidRPr="0016371C">
        <w:rPr>
          <w:szCs w:val="24"/>
        </w:rPr>
        <w:t>22,300 health assessments of Aboriginal and Torres Strait Islander people aged 55 years and over took place (representing 33% of this population).</w:t>
      </w:r>
      <w:r w:rsidRPr="0016371C">
        <w:rPr>
          <w:rStyle w:val="EndnoteReference"/>
          <w:rFonts w:eastAsia="Times New Roman" w:cstheme="minorBidi"/>
          <w:szCs w:val="24"/>
          <w:lang w:val="en-AU" w:eastAsia="en-AU"/>
        </w:rPr>
        <w:endnoteReference w:id="80"/>
      </w:r>
    </w:p>
    <w:p w14:paraId="77E8D7D7" w14:textId="0F77C129" w:rsidR="00221769" w:rsidRPr="00561499" w:rsidRDefault="00221769" w:rsidP="005D0009">
      <w:r w:rsidRPr="00561499">
        <w:t>This expanding reach is also true of G</w:t>
      </w:r>
      <w:r w:rsidR="00632FBD" w:rsidRPr="00561499">
        <w:t xml:space="preserve">eneral </w:t>
      </w:r>
      <w:r w:rsidRPr="00561499">
        <w:t>P</w:t>
      </w:r>
      <w:r w:rsidR="00632FBD" w:rsidRPr="00561499">
        <w:t>ractitioner</w:t>
      </w:r>
      <w:r w:rsidRPr="00561499">
        <w:t xml:space="preserve"> </w:t>
      </w:r>
      <w:r w:rsidR="00E42B50" w:rsidRPr="00561499">
        <w:t>M</w:t>
      </w:r>
      <w:r w:rsidRPr="00561499">
        <w:t xml:space="preserve">anagement </w:t>
      </w:r>
      <w:r w:rsidR="00E42B50" w:rsidRPr="00561499">
        <w:t>P</w:t>
      </w:r>
      <w:r w:rsidRPr="00561499">
        <w:t>lans (</w:t>
      </w:r>
      <w:proofErr w:type="spellStart"/>
      <w:r w:rsidRPr="00561499">
        <w:t>GPMP</w:t>
      </w:r>
      <w:proofErr w:type="spellEnd"/>
      <w:r w:rsidRPr="00561499">
        <w:t>) and team care arrangements (</w:t>
      </w:r>
      <w:proofErr w:type="spellStart"/>
      <w:r w:rsidRPr="00561499">
        <w:t>TCA</w:t>
      </w:r>
      <w:proofErr w:type="spellEnd"/>
      <w:r w:rsidRPr="00561499">
        <w:t>). In the five years from July 2009 to June 2014, Medicare services claimed by Aboriginal and Torres Strait Islander people for these items have doubled. Rates per 1,000 in the population are now higher for these services than for non-Indigenous people.</w:t>
      </w:r>
      <w:r w:rsidRPr="00561499">
        <w:rPr>
          <w:rStyle w:val="EndnoteReference"/>
          <w:rFonts w:cstheme="minorBidi"/>
          <w:sz w:val="22"/>
        </w:rPr>
        <w:endnoteReference w:id="81"/>
      </w:r>
      <w:r w:rsidRPr="00561499">
        <w:t xml:space="preserve"> </w:t>
      </w:r>
      <w:r w:rsidR="00050623" w:rsidRPr="00561499">
        <w:t>However, the Medicare services uptake is not as high as it should be to deal with the higher levels of illness.</w:t>
      </w:r>
    </w:p>
    <w:p w14:paraId="22A77A62" w14:textId="0039FE84" w:rsidR="00A723C7" w:rsidRPr="00561499" w:rsidRDefault="00221769" w:rsidP="00040CF1">
      <w:pPr>
        <w:autoSpaceDE w:val="0"/>
        <w:autoSpaceDN w:val="0"/>
        <w:adjustRightInd w:val="0"/>
        <w:rPr>
          <w:rFonts w:eastAsia="Times New Roman" w:cstheme="minorBidi"/>
          <w:lang w:val="en-AU" w:eastAsia="en-AU"/>
        </w:rPr>
      </w:pPr>
      <w:r w:rsidRPr="00561499">
        <w:rPr>
          <w:rFonts w:eastAsia="Times New Roman" w:cstheme="minorBidi"/>
          <w:lang w:val="en-AU" w:eastAsia="en-AU"/>
        </w:rPr>
        <w:lastRenderedPageBreak/>
        <w:t xml:space="preserve">A 2014 analysis also noted the increase in the uptake of health assessments, but struck a note of caution at the relatively limited delivery of follow-up care and </w:t>
      </w:r>
      <w:r w:rsidR="000E2ACC" w:rsidRPr="00561499">
        <w:rPr>
          <w:rFonts w:eastAsia="Times New Roman" w:cstheme="minorBidi"/>
          <w:lang w:val="en-AU" w:eastAsia="en-AU"/>
        </w:rPr>
        <w:t>Medicare Benefit Scheme (</w:t>
      </w:r>
      <w:proofErr w:type="spellStart"/>
      <w:r w:rsidRPr="00561499">
        <w:rPr>
          <w:rFonts w:eastAsia="Times New Roman" w:cstheme="minorBidi"/>
          <w:lang w:val="en-AU" w:eastAsia="en-AU"/>
        </w:rPr>
        <w:t>MBS</w:t>
      </w:r>
      <w:proofErr w:type="spellEnd"/>
      <w:r w:rsidR="000E2ACC" w:rsidRPr="00561499">
        <w:rPr>
          <w:rFonts w:eastAsia="Times New Roman" w:cstheme="minorBidi"/>
          <w:lang w:val="en-AU" w:eastAsia="en-AU"/>
        </w:rPr>
        <w:t>)</w:t>
      </w:r>
      <w:r w:rsidRPr="00561499">
        <w:rPr>
          <w:rFonts w:eastAsia="Times New Roman" w:cstheme="minorBidi"/>
          <w:lang w:val="en-AU" w:eastAsia="en-AU"/>
        </w:rPr>
        <w:t xml:space="preserve">-billing for </w:t>
      </w:r>
      <w:r w:rsidR="000E2ACC" w:rsidRPr="00561499">
        <w:rPr>
          <w:rFonts w:eastAsia="Times New Roman" w:cstheme="minorBidi"/>
          <w:lang w:val="en-AU" w:eastAsia="en-AU"/>
        </w:rPr>
        <w:t>Aboriginal and Torres Strait Islander</w:t>
      </w:r>
      <w:r w:rsidRPr="00561499">
        <w:rPr>
          <w:rFonts w:eastAsia="Times New Roman" w:cstheme="minorBidi"/>
          <w:lang w:val="en-AU" w:eastAsia="en-AU"/>
        </w:rPr>
        <w:t>-specific follow-up items. Particular constraints were noted around lack of</w:t>
      </w:r>
      <w:r w:rsidR="000E2ACC" w:rsidRPr="00561499">
        <w:rPr>
          <w:rFonts w:eastAsia="Times New Roman" w:cstheme="minorBidi"/>
          <w:lang w:val="en-AU" w:eastAsia="en-AU"/>
        </w:rPr>
        <w:t xml:space="preserve"> practitioner</w:t>
      </w:r>
      <w:r w:rsidRPr="00561499">
        <w:rPr>
          <w:rFonts w:eastAsia="Times New Roman" w:cstheme="minorBidi"/>
          <w:lang w:val="en-AU" w:eastAsia="en-AU"/>
        </w:rPr>
        <w:t xml:space="preserve"> education and awareness of </w:t>
      </w:r>
      <w:proofErr w:type="spellStart"/>
      <w:r w:rsidRPr="00561499">
        <w:rPr>
          <w:rFonts w:eastAsia="Times New Roman" w:cstheme="minorBidi"/>
          <w:lang w:val="en-AU" w:eastAsia="en-AU"/>
        </w:rPr>
        <w:t>MBS</w:t>
      </w:r>
      <w:proofErr w:type="spellEnd"/>
      <w:r w:rsidRPr="00561499">
        <w:rPr>
          <w:rFonts w:eastAsia="Times New Roman" w:cstheme="minorBidi"/>
          <w:lang w:val="en-AU" w:eastAsia="en-AU"/>
        </w:rPr>
        <w:t>-item numbers and billing against non-Indigenous-specific items or more general follow-up items, and limited capacity to arrange and facilitate follow-up. Communication and transport challenges for patients were also cited as barriers. The analysis concluded that work was required in these areas if the full potential of the health checks was to be realised.</w:t>
      </w:r>
      <w:r w:rsidRPr="00561499">
        <w:rPr>
          <w:rStyle w:val="EndnoteReference"/>
          <w:rFonts w:eastAsia="Times New Roman" w:cstheme="minorBidi"/>
          <w:lang w:val="en-AU" w:eastAsia="en-AU"/>
        </w:rPr>
        <w:endnoteReference w:id="82"/>
      </w:r>
    </w:p>
    <w:p w14:paraId="6A10FAB7" w14:textId="644D6822" w:rsidR="00A723C7" w:rsidRPr="00561499" w:rsidRDefault="00A723C7" w:rsidP="00A723C7">
      <w:pPr>
        <w:autoSpaceDE w:val="0"/>
        <w:autoSpaceDN w:val="0"/>
        <w:adjustRightInd w:val="0"/>
        <w:rPr>
          <w:rFonts w:cstheme="minorBidi"/>
        </w:rPr>
      </w:pPr>
      <w:r w:rsidRPr="00561499">
        <w:rPr>
          <w:rFonts w:cstheme="minorBidi"/>
        </w:rPr>
        <w:t>To close the gap within a generation, the Campaign Steering Committee asserts the need to ensure that high levels of avoidable disease are addressed within the scope of the mainstream health financing system (</w:t>
      </w:r>
      <w:proofErr w:type="spellStart"/>
      <w:r w:rsidRPr="00561499">
        <w:rPr>
          <w:rFonts w:cstheme="minorBidi"/>
        </w:rPr>
        <w:t>MBS</w:t>
      </w:r>
      <w:proofErr w:type="spellEnd"/>
      <w:r w:rsidRPr="00561499">
        <w:rPr>
          <w:rFonts w:cstheme="minorBidi"/>
        </w:rPr>
        <w:t xml:space="preserve">) for primary care. For too long, the broader preventative strategies have been left to a raft of uncertain and often inaccessible funded programs, which have varying life cycles, multiple administrative and reporting arrangements and are at times implemented too late to effectively </w:t>
      </w:r>
      <w:r w:rsidR="005D0009">
        <w:rPr>
          <w:rFonts w:cstheme="minorBidi"/>
        </w:rPr>
        <w:t>address emerging health issues.</w:t>
      </w:r>
    </w:p>
    <w:p w14:paraId="49B42B92" w14:textId="1AC2E814" w:rsidR="00221769" w:rsidRPr="005D0009" w:rsidRDefault="00A723C7" w:rsidP="005D0009">
      <w:pPr>
        <w:autoSpaceDE w:val="0"/>
        <w:autoSpaceDN w:val="0"/>
        <w:adjustRightInd w:val="0"/>
        <w:rPr>
          <w:rFonts w:cstheme="minorBidi"/>
        </w:rPr>
      </w:pPr>
      <w:r w:rsidRPr="00561499">
        <w:rPr>
          <w:rFonts w:cstheme="minorBidi"/>
        </w:rPr>
        <w:t xml:space="preserve">Consideration must be given to the </w:t>
      </w:r>
      <w:proofErr w:type="spellStart"/>
      <w:r w:rsidRPr="00561499">
        <w:rPr>
          <w:rFonts w:cstheme="minorBidi"/>
        </w:rPr>
        <w:t>MBS</w:t>
      </w:r>
      <w:proofErr w:type="spellEnd"/>
      <w:r w:rsidRPr="00561499">
        <w:rPr>
          <w:rFonts w:cstheme="minorBidi"/>
        </w:rPr>
        <w:t xml:space="preserve"> capacity to focus clinical support and interventions upstream, to ensure we do not continue to see Aboriginal and Torres Strait Islander people predominantly engaged in post diagnosis/treatment-related occasions of service.  A parallel focus on early intervention and prevention activities is critical if we wish to ensure the Gap is closed and Aboriginal and Torres Strait Islander peoples remain well.</w:t>
      </w:r>
    </w:p>
    <w:p w14:paraId="181DE193" w14:textId="424DF5F2" w:rsidR="00221769" w:rsidRPr="0016371C" w:rsidRDefault="00221769" w:rsidP="005D0009">
      <w:pPr>
        <w:rPr>
          <w:szCs w:val="24"/>
        </w:rPr>
      </w:pPr>
      <w:r w:rsidRPr="0016371C">
        <w:rPr>
          <w:szCs w:val="24"/>
        </w:rPr>
        <w:t>The Closing the Gap Pharmaceutical Benefits Scheme (PBS) Co-payment Measure</w:t>
      </w:r>
      <w:r w:rsidRPr="0016371C">
        <w:rPr>
          <w:rStyle w:val="EndnoteReference"/>
          <w:szCs w:val="24"/>
        </w:rPr>
        <w:endnoteReference w:id="83"/>
      </w:r>
      <w:r w:rsidRPr="0016371C">
        <w:rPr>
          <w:szCs w:val="24"/>
        </w:rPr>
        <w:t xml:space="preserve"> commenced in July 2010.</w:t>
      </w:r>
      <w:r w:rsidRPr="0016371C">
        <w:rPr>
          <w:rStyle w:val="EndnoteReference"/>
          <w:szCs w:val="24"/>
        </w:rPr>
        <w:endnoteReference w:id="84"/>
      </w:r>
      <w:r w:rsidRPr="0016371C">
        <w:rPr>
          <w:szCs w:val="24"/>
        </w:rPr>
        <w:t xml:space="preserve"> </w:t>
      </w:r>
      <w:r w:rsidRPr="0016371C">
        <w:rPr>
          <w:rFonts w:cstheme="minorBidi"/>
          <w:szCs w:val="24"/>
        </w:rPr>
        <w:t>Up</w:t>
      </w:r>
      <w:r w:rsidRPr="0016371C">
        <w:rPr>
          <w:szCs w:val="24"/>
        </w:rPr>
        <w:t xml:space="preserve"> to 30 June 2014, 280,885 eligible Aboriginal and Torres Strait Islander people had benefited from it, and over 99% of pharmacies have participated in the measure. A prescription volume of 8.8 million has been dispensed since the measure commenced. Between 2001–02 and 2010–11, average expenditure on pharmaceuticals per Aboriginal and Torres Strait Islander person rose from 33</w:t>
      </w:r>
      <w:r w:rsidR="008A3AB4" w:rsidRPr="0016371C">
        <w:rPr>
          <w:szCs w:val="24"/>
        </w:rPr>
        <w:t>%</w:t>
      </w:r>
      <w:r w:rsidRPr="0016371C">
        <w:rPr>
          <w:szCs w:val="24"/>
        </w:rPr>
        <w:t xml:space="preserve"> to 44% of the amount spent per non-Indigenous person ($369 compared with $832 in 2010–11).</w:t>
      </w:r>
      <w:r w:rsidRPr="0016371C">
        <w:rPr>
          <w:rStyle w:val="EndnoteReference"/>
          <w:szCs w:val="24"/>
        </w:rPr>
        <w:endnoteReference w:id="85"/>
      </w:r>
    </w:p>
    <w:p w14:paraId="734BD939" w14:textId="77777777" w:rsidR="002C7D13" w:rsidRDefault="002C7D13">
      <w:pPr>
        <w:keepLines w:val="0"/>
        <w:widowControl/>
        <w:spacing w:after="0" w:line="240" w:lineRule="auto"/>
      </w:pPr>
      <w:r>
        <w:br w:type="page"/>
      </w:r>
    </w:p>
    <w:p w14:paraId="7C2BA235" w14:textId="5ED02C99" w:rsidR="00221769" w:rsidRPr="005D0009" w:rsidRDefault="00221769" w:rsidP="002C7D13">
      <w:pPr>
        <w:spacing w:after="400"/>
      </w:pPr>
      <w:r w:rsidRPr="00561499">
        <w:lastRenderedPageBreak/>
        <w:t>The improvement is encouraging, however</w:t>
      </w:r>
      <w:r w:rsidR="000E2ACC" w:rsidRPr="00561499">
        <w:t>,</w:t>
      </w:r>
      <w:r w:rsidRPr="00561499">
        <w:t xml:space="preserve"> it is necessary to build on this success and achieve equality in access to </w:t>
      </w:r>
      <w:r w:rsidR="000E2ACC" w:rsidRPr="00561499">
        <w:t>medicines</w:t>
      </w:r>
      <w:r w:rsidR="00E17418">
        <w:t>, as discussed in the text box below</w:t>
      </w:r>
      <w:r w:rsidRPr="00561499">
        <w:t>.</w:t>
      </w:r>
    </w:p>
    <w:tbl>
      <w:tblPr>
        <w:tblStyle w:val="TableGrid"/>
        <w:tblW w:w="0" w:type="auto"/>
        <w:tblBorders>
          <w:top w:val="single" w:sz="8" w:space="0" w:color="007DA7"/>
          <w:left w:val="single" w:sz="8" w:space="0" w:color="007DA7"/>
          <w:bottom w:val="single" w:sz="8" w:space="0" w:color="007DA7"/>
          <w:right w:val="single" w:sz="8" w:space="0" w:color="007DA7"/>
          <w:insideH w:val="none" w:sz="0" w:space="0" w:color="auto"/>
          <w:insideV w:val="none" w:sz="0" w:space="0" w:color="auto"/>
        </w:tblBorders>
        <w:tblCellMar>
          <w:top w:w="227" w:type="dxa"/>
          <w:left w:w="227" w:type="dxa"/>
          <w:bottom w:w="227" w:type="dxa"/>
          <w:right w:w="227" w:type="dxa"/>
        </w:tblCellMar>
        <w:tblLook w:val="04A0" w:firstRow="1" w:lastRow="0" w:firstColumn="1" w:lastColumn="0" w:noHBand="0" w:noVBand="1"/>
      </w:tblPr>
      <w:tblGrid>
        <w:gridCol w:w="9060"/>
      </w:tblGrid>
      <w:tr w:rsidR="002C7D13" w:rsidRPr="00561499" w14:paraId="67E39C4B" w14:textId="77777777" w:rsidTr="002C7D13">
        <w:trPr>
          <w:trHeight w:val="9679"/>
        </w:trPr>
        <w:tc>
          <w:tcPr>
            <w:tcW w:w="9060" w:type="dxa"/>
            <w:shd w:val="clear" w:color="auto" w:fill="auto"/>
          </w:tcPr>
          <w:p w14:paraId="30FAD1AD" w14:textId="1A7B9ACF" w:rsidR="002C7D13" w:rsidRPr="00561499" w:rsidRDefault="002C7D13" w:rsidP="000D5999">
            <w:pPr>
              <w:pStyle w:val="Heading5"/>
              <w:keepNext w:val="0"/>
              <w:keepLines w:val="0"/>
              <w:spacing w:before="200" w:after="200"/>
              <w:outlineLvl w:val="4"/>
            </w:pPr>
            <w:r w:rsidRPr="00561499">
              <w:t>Further work toward</w:t>
            </w:r>
            <w:r>
              <w:t>s improving access to medicines</w:t>
            </w:r>
          </w:p>
          <w:p w14:paraId="214AAE98" w14:textId="4947A5A7" w:rsidR="002C7D13" w:rsidRPr="0016371C" w:rsidRDefault="002C7D13" w:rsidP="000D5999">
            <w:pPr>
              <w:keepLines w:val="0"/>
              <w:autoSpaceDE w:val="0"/>
              <w:autoSpaceDN w:val="0"/>
              <w:adjustRightInd w:val="0"/>
              <w:rPr>
                <w:rFonts w:eastAsia="Times New Roman"/>
                <w:color w:val="000000"/>
                <w:szCs w:val="24"/>
                <w:lang w:val="en-AU" w:eastAsia="en-AU"/>
              </w:rPr>
            </w:pPr>
            <w:r w:rsidRPr="0016371C">
              <w:rPr>
                <w:rFonts w:eastAsia="Times New Roman"/>
                <w:color w:val="000000"/>
                <w:szCs w:val="24"/>
                <w:lang w:val="en-AU" w:eastAsia="en-AU"/>
              </w:rPr>
              <w:t xml:space="preserve">Aboriginal and Torres Strait Islander peoples’ access to medicines has improved through the Close the Gap </w:t>
            </w:r>
            <w:proofErr w:type="spellStart"/>
            <w:r w:rsidRPr="0016371C">
              <w:rPr>
                <w:rFonts w:eastAsia="Times New Roman"/>
                <w:color w:val="000000"/>
                <w:szCs w:val="24"/>
                <w:lang w:val="en-AU" w:eastAsia="en-AU"/>
              </w:rPr>
              <w:t>PBS</w:t>
            </w:r>
            <w:proofErr w:type="spellEnd"/>
            <w:r w:rsidRPr="0016371C">
              <w:rPr>
                <w:rFonts w:eastAsia="Times New Roman"/>
                <w:color w:val="000000"/>
                <w:szCs w:val="24"/>
                <w:lang w:val="en-AU" w:eastAsia="en-AU"/>
              </w:rPr>
              <w:t xml:space="preserve"> Co-payment measure, Quality Use of Medicines Maximised (</w:t>
            </w:r>
            <w:proofErr w:type="spellStart"/>
            <w:r w:rsidRPr="0016371C">
              <w:rPr>
                <w:rFonts w:eastAsia="Times New Roman"/>
                <w:color w:val="000000"/>
                <w:szCs w:val="24"/>
                <w:lang w:val="en-AU" w:eastAsia="en-AU"/>
              </w:rPr>
              <w:t>QUMAX</w:t>
            </w:r>
            <w:proofErr w:type="spellEnd"/>
            <w:r w:rsidRPr="0016371C">
              <w:rPr>
                <w:rFonts w:eastAsia="Times New Roman"/>
                <w:color w:val="000000"/>
                <w:szCs w:val="24"/>
                <w:lang w:val="en-AU" w:eastAsia="en-AU"/>
              </w:rPr>
              <w:t>) program,</w:t>
            </w:r>
            <w:r w:rsidRPr="0016371C">
              <w:rPr>
                <w:rStyle w:val="EndnoteReference"/>
                <w:rFonts w:eastAsia="Times New Roman"/>
                <w:color w:val="000000"/>
                <w:szCs w:val="24"/>
                <w:lang w:val="en-AU" w:eastAsia="en-AU"/>
              </w:rPr>
              <w:endnoteReference w:id="86"/>
            </w:r>
            <w:r w:rsidRPr="0016371C">
              <w:rPr>
                <w:rFonts w:eastAsia="Times New Roman"/>
                <w:color w:val="000000"/>
                <w:szCs w:val="24"/>
                <w:lang w:val="en-AU" w:eastAsia="en-AU"/>
              </w:rPr>
              <w:t xml:space="preserve"> and the Remote Area Aboriginal Health Service (</w:t>
            </w:r>
            <w:proofErr w:type="spellStart"/>
            <w:r w:rsidRPr="0016371C">
              <w:rPr>
                <w:rFonts w:eastAsia="Times New Roman"/>
                <w:color w:val="000000"/>
                <w:szCs w:val="24"/>
                <w:lang w:val="en-AU" w:eastAsia="en-AU"/>
              </w:rPr>
              <w:t>RAAHS</w:t>
            </w:r>
            <w:proofErr w:type="spellEnd"/>
            <w:r w:rsidRPr="0016371C">
              <w:rPr>
                <w:rFonts w:eastAsia="Times New Roman"/>
                <w:color w:val="000000"/>
                <w:szCs w:val="24"/>
                <w:lang w:val="en-AU" w:eastAsia="en-AU"/>
              </w:rPr>
              <w:t xml:space="preserve">) program (enabled by Section 100 of the </w:t>
            </w:r>
            <w:r w:rsidRPr="0016371C">
              <w:rPr>
                <w:rFonts w:eastAsia="Times New Roman"/>
                <w:i/>
                <w:color w:val="000000"/>
                <w:szCs w:val="24"/>
                <w:lang w:val="en-AU" w:eastAsia="en-AU"/>
              </w:rPr>
              <w:t>National Health Act</w:t>
            </w:r>
            <w:r w:rsidRPr="0016371C">
              <w:rPr>
                <w:rFonts w:eastAsia="Times New Roman"/>
                <w:color w:val="000000"/>
                <w:szCs w:val="24"/>
                <w:lang w:val="en-AU" w:eastAsia="en-AU"/>
              </w:rPr>
              <w:t>).</w:t>
            </w:r>
            <w:r w:rsidRPr="0016371C">
              <w:rPr>
                <w:rStyle w:val="EndnoteReference"/>
                <w:rFonts w:eastAsia="Times New Roman"/>
                <w:color w:val="000000"/>
                <w:szCs w:val="24"/>
                <w:lang w:val="en-AU" w:eastAsia="en-AU"/>
              </w:rPr>
              <w:endnoteReference w:id="87"/>
            </w:r>
          </w:p>
          <w:p w14:paraId="25A6A425" w14:textId="77777777" w:rsidR="002C7D13" w:rsidRPr="0016371C" w:rsidRDefault="002C7D13" w:rsidP="000D5999">
            <w:pPr>
              <w:keepLines w:val="0"/>
              <w:autoSpaceDE w:val="0"/>
              <w:autoSpaceDN w:val="0"/>
              <w:adjustRightInd w:val="0"/>
              <w:rPr>
                <w:szCs w:val="24"/>
              </w:rPr>
            </w:pPr>
            <w:r w:rsidRPr="0016371C">
              <w:rPr>
                <w:rFonts w:eastAsia="Times New Roman"/>
                <w:color w:val="000000"/>
                <w:szCs w:val="24"/>
                <w:lang w:val="en-AU" w:eastAsia="en-AU"/>
              </w:rPr>
              <w:t>However, the above initiatives do not work seamlessly for eligible Aboriginal and Torres Strait Islander patients travelling for treatment between remote and urban areas, and between hospitals and their homes. For example, because hospitals are not eligible prescribers,</w:t>
            </w:r>
            <w:r w:rsidRPr="0016371C">
              <w:rPr>
                <w:rStyle w:val="EndnoteReference"/>
                <w:rFonts w:eastAsia="Times New Roman"/>
                <w:color w:val="000000"/>
                <w:szCs w:val="24"/>
                <w:lang w:val="en-AU" w:eastAsia="en-AU"/>
              </w:rPr>
              <w:endnoteReference w:id="88"/>
            </w:r>
            <w:r w:rsidRPr="0016371C">
              <w:rPr>
                <w:rFonts w:eastAsia="Times New Roman"/>
                <w:color w:val="000000"/>
                <w:szCs w:val="24"/>
                <w:lang w:val="en-AU" w:eastAsia="en-AU"/>
              </w:rPr>
              <w:t xml:space="preserve"> they cannot prescribe medicines under the Close the Gap </w:t>
            </w:r>
            <w:proofErr w:type="spellStart"/>
            <w:r w:rsidRPr="0016371C">
              <w:rPr>
                <w:rFonts w:eastAsia="Times New Roman"/>
                <w:color w:val="000000"/>
                <w:szCs w:val="24"/>
                <w:lang w:val="en-AU" w:eastAsia="en-AU"/>
              </w:rPr>
              <w:t>PBS</w:t>
            </w:r>
            <w:proofErr w:type="spellEnd"/>
            <w:r w:rsidRPr="0016371C">
              <w:rPr>
                <w:rFonts w:eastAsia="Times New Roman"/>
                <w:color w:val="000000"/>
                <w:szCs w:val="24"/>
                <w:lang w:val="en-AU" w:eastAsia="en-AU"/>
              </w:rPr>
              <w:t xml:space="preserve"> Co-payment measure to patients upon discharge—even for measure-registered patients. Further, patients who otherwise might access medicines under the </w:t>
            </w:r>
            <w:proofErr w:type="spellStart"/>
            <w:r w:rsidRPr="0016371C">
              <w:rPr>
                <w:rFonts w:eastAsia="Times New Roman"/>
                <w:color w:val="000000"/>
                <w:szCs w:val="24"/>
                <w:lang w:val="en-AU" w:eastAsia="en-AU"/>
              </w:rPr>
              <w:t>s100</w:t>
            </w:r>
            <w:proofErr w:type="spellEnd"/>
            <w:r w:rsidRPr="0016371C">
              <w:rPr>
                <w:rFonts w:eastAsia="Times New Roman"/>
                <w:color w:val="000000"/>
                <w:szCs w:val="24"/>
                <w:lang w:val="en-AU" w:eastAsia="en-AU"/>
              </w:rPr>
              <w:t xml:space="preserve"> </w:t>
            </w:r>
            <w:proofErr w:type="spellStart"/>
            <w:r w:rsidRPr="0016371C">
              <w:rPr>
                <w:rFonts w:eastAsia="Times New Roman"/>
                <w:color w:val="000000"/>
                <w:szCs w:val="24"/>
                <w:lang w:val="en-AU" w:eastAsia="en-AU"/>
              </w:rPr>
              <w:t>RAAHS</w:t>
            </w:r>
            <w:proofErr w:type="spellEnd"/>
            <w:r w:rsidRPr="0016371C">
              <w:rPr>
                <w:rFonts w:eastAsia="Times New Roman"/>
                <w:color w:val="000000"/>
                <w:szCs w:val="24"/>
                <w:lang w:val="en-AU" w:eastAsia="en-AU"/>
              </w:rPr>
              <w:t xml:space="preserve"> program in one location are unable to then rely on the Close the Gap </w:t>
            </w:r>
            <w:proofErr w:type="spellStart"/>
            <w:r w:rsidRPr="0016371C">
              <w:rPr>
                <w:rFonts w:eastAsia="Times New Roman"/>
                <w:color w:val="000000"/>
                <w:szCs w:val="24"/>
                <w:lang w:val="en-AU" w:eastAsia="en-AU"/>
              </w:rPr>
              <w:t>PBS</w:t>
            </w:r>
            <w:proofErr w:type="spellEnd"/>
            <w:r w:rsidRPr="0016371C">
              <w:rPr>
                <w:rFonts w:eastAsia="Times New Roman"/>
                <w:color w:val="000000"/>
                <w:szCs w:val="24"/>
                <w:lang w:val="en-AU" w:eastAsia="en-AU"/>
              </w:rPr>
              <w:t xml:space="preserve"> Co-payment Measure in remote Aboriginal Medical Services (</w:t>
            </w:r>
            <w:proofErr w:type="spellStart"/>
            <w:r w:rsidRPr="0016371C">
              <w:rPr>
                <w:rFonts w:eastAsia="Times New Roman"/>
                <w:color w:val="000000"/>
                <w:szCs w:val="24"/>
                <w:lang w:val="en-AU" w:eastAsia="en-AU"/>
              </w:rPr>
              <w:t>AMS</w:t>
            </w:r>
            <w:proofErr w:type="spellEnd"/>
            <w:r w:rsidRPr="0016371C">
              <w:rPr>
                <w:rFonts w:eastAsia="Times New Roman"/>
                <w:color w:val="000000"/>
                <w:szCs w:val="24"/>
                <w:lang w:val="en-AU" w:eastAsia="en-AU"/>
              </w:rPr>
              <w:t>) as the prescribers are ineligible to participate.</w:t>
            </w:r>
          </w:p>
          <w:p w14:paraId="04F3E3EE" w14:textId="77777777" w:rsidR="002C7D13" w:rsidRPr="0016371C" w:rsidRDefault="002C7D13" w:rsidP="000D5999">
            <w:pPr>
              <w:keepLines w:val="0"/>
              <w:autoSpaceDE w:val="0"/>
              <w:autoSpaceDN w:val="0"/>
              <w:adjustRightInd w:val="0"/>
              <w:rPr>
                <w:szCs w:val="24"/>
              </w:rPr>
            </w:pPr>
            <w:r w:rsidRPr="0016371C">
              <w:rPr>
                <w:rFonts w:eastAsia="Times New Roman"/>
                <w:color w:val="000000"/>
                <w:szCs w:val="24"/>
                <w:lang w:val="en-AU" w:eastAsia="en-AU"/>
              </w:rPr>
              <w:t xml:space="preserve">These artificial barriers can contribute to patients going without their medicines and otherwise have the unintended effect of reducing Aboriginal and Torres Strait Islander peoples’ access to medicines. Attaching eligibility for the Close the Gap </w:t>
            </w:r>
            <w:proofErr w:type="spellStart"/>
            <w:r w:rsidRPr="0016371C">
              <w:rPr>
                <w:rFonts w:eastAsia="Times New Roman"/>
                <w:color w:val="000000"/>
                <w:szCs w:val="24"/>
                <w:lang w:val="en-AU" w:eastAsia="en-AU"/>
              </w:rPr>
              <w:t>PBS</w:t>
            </w:r>
            <w:proofErr w:type="spellEnd"/>
            <w:r w:rsidRPr="0016371C">
              <w:rPr>
                <w:rFonts w:eastAsia="Times New Roman"/>
                <w:color w:val="000000"/>
                <w:szCs w:val="24"/>
                <w:lang w:val="en-AU" w:eastAsia="en-AU"/>
              </w:rPr>
              <w:t xml:space="preserve"> Co-payment measure to the patient rather than the location or prescriber would enable Aboriginal and Torres Strait Islander patients to access medicines in a more seamless way. Integration of these initiatives, recognising that patients move between systems and locations, would enhance the patient journey and improve access to medicines.</w:t>
            </w:r>
          </w:p>
          <w:p w14:paraId="52CEF040" w14:textId="1B7BD5B0" w:rsidR="002C7D13" w:rsidRPr="00561499" w:rsidRDefault="002C7D13" w:rsidP="000D5999">
            <w:r w:rsidRPr="0016371C">
              <w:rPr>
                <w:color w:val="000000"/>
                <w:szCs w:val="24"/>
              </w:rPr>
              <w:t xml:space="preserve">In October 2015, the National Aboriginal Community Controlled Health </w:t>
            </w:r>
            <w:proofErr w:type="spellStart"/>
            <w:r w:rsidRPr="0016371C">
              <w:rPr>
                <w:color w:val="000000"/>
                <w:szCs w:val="24"/>
              </w:rPr>
              <w:t>Organisation</w:t>
            </w:r>
            <w:proofErr w:type="spellEnd"/>
            <w:r w:rsidRPr="0016371C">
              <w:rPr>
                <w:color w:val="000000"/>
                <w:szCs w:val="24"/>
              </w:rPr>
              <w:t xml:space="preserve"> (</w:t>
            </w:r>
            <w:proofErr w:type="spellStart"/>
            <w:r w:rsidRPr="0016371C">
              <w:rPr>
                <w:szCs w:val="24"/>
              </w:rPr>
              <w:t>NACCHO</w:t>
            </w:r>
            <w:proofErr w:type="spellEnd"/>
            <w:r w:rsidRPr="0016371C">
              <w:rPr>
                <w:szCs w:val="24"/>
              </w:rPr>
              <w:t xml:space="preserve">) and the Pharmacy Guild of Australia released a national Joint Position Paper calling for improvements in the </w:t>
            </w:r>
            <w:proofErr w:type="spellStart"/>
            <w:r w:rsidRPr="0016371C">
              <w:rPr>
                <w:szCs w:val="24"/>
              </w:rPr>
              <w:t>CTG</w:t>
            </w:r>
            <w:proofErr w:type="spellEnd"/>
            <w:r w:rsidRPr="0016371C">
              <w:rPr>
                <w:szCs w:val="24"/>
              </w:rPr>
              <w:t xml:space="preserve"> PBS Co-payment measure. The Campaign Steering Committee supports these proposals.</w:t>
            </w:r>
            <w:r w:rsidRPr="0016371C">
              <w:rPr>
                <w:rStyle w:val="EndnoteReference"/>
                <w:rFonts w:cs="OpenSans"/>
                <w:color w:val="262626"/>
                <w:szCs w:val="24"/>
              </w:rPr>
              <w:endnoteReference w:id="89"/>
            </w:r>
          </w:p>
        </w:tc>
      </w:tr>
    </w:tbl>
    <w:p w14:paraId="21EFC94E" w14:textId="77777777" w:rsidR="00221769" w:rsidRPr="00561499" w:rsidRDefault="00221769" w:rsidP="001116C1">
      <w:pPr>
        <w:autoSpaceDE w:val="0"/>
        <w:autoSpaceDN w:val="0"/>
        <w:adjustRightInd w:val="0"/>
        <w:rPr>
          <w:rFonts w:cs="Arial"/>
          <w:color w:val="1A1A1A"/>
          <w:sz w:val="26"/>
          <w:szCs w:val="26"/>
          <w:u w:color="103CC0"/>
        </w:rPr>
      </w:pPr>
    </w:p>
    <w:p w14:paraId="3A5A4C13" w14:textId="0DAA18BD" w:rsidR="00221769" w:rsidRPr="00561499" w:rsidRDefault="00221769" w:rsidP="00046A5E">
      <w:r w:rsidRPr="00561499">
        <w:lastRenderedPageBreak/>
        <w:t>The increase in health assessment uptake and access to pharmaceuticals above underscore the importance of dedicated ‘Closing the Gap’ action to improve Aboriginal and Torres Strait Islander health outcomes. They also provide a timely reminder to focus on inputs (health services, expenditure, pharmaceuticals and so on) required at this stage of the national effort so that the desired he</w:t>
      </w:r>
      <w:r w:rsidR="00A049CC">
        <w:t xml:space="preserve">alth outcomes may be achieved. </w:t>
      </w:r>
      <w:r w:rsidRPr="00561499">
        <w:t>The increased uptake of such inputs, albeit often from a low base, offers encouragement for improved health outcomes in the future, but such outcomes are reliant on such inputs.</w:t>
      </w:r>
    </w:p>
    <w:p w14:paraId="70764148" w14:textId="7D332AD5" w:rsidR="00221769" w:rsidRPr="00561499" w:rsidRDefault="00221769" w:rsidP="005D0009">
      <w:r w:rsidRPr="00561499">
        <w:t xml:space="preserve">In the 2015 </w:t>
      </w:r>
      <w:r w:rsidRPr="005D0009">
        <w:rPr>
          <w:rStyle w:val="Emphasis"/>
        </w:rPr>
        <w:t>Progress and Priorities Report</w:t>
      </w:r>
      <w:r w:rsidRPr="005D0009">
        <w:t xml:space="preserve">, </w:t>
      </w:r>
      <w:r w:rsidRPr="00561499">
        <w:t xml:space="preserve">the Campaign </w:t>
      </w:r>
      <w:r w:rsidR="00001F2B" w:rsidRPr="00561499">
        <w:t xml:space="preserve">Steering Committee </w:t>
      </w:r>
      <w:r w:rsidRPr="00561499">
        <w:t xml:space="preserve">noted that the </w:t>
      </w:r>
      <w:proofErr w:type="spellStart"/>
      <w:r w:rsidRPr="00561499">
        <w:t>COAG</w:t>
      </w:r>
      <w:proofErr w:type="spellEnd"/>
      <w:r w:rsidRPr="00561499">
        <w:t xml:space="preserve"> Reform Council concluded its final report on the </w:t>
      </w:r>
      <w:r w:rsidRPr="005D0009">
        <w:rPr>
          <w:rStyle w:val="Emphasis"/>
        </w:rPr>
        <w:t>Closing the Gap Strategy</w:t>
      </w:r>
      <w:r w:rsidRPr="00561499">
        <w:t xml:space="preserve"> by questioning the exclusive focus on outcome indicators in it. It proposed broadening the range of indicators adopted to include improved access to health services, specialists, medications and other indicators of incr</w:t>
      </w:r>
      <w:r w:rsidR="001F72B7" w:rsidRPr="00561499">
        <w:t>eased opportunity to be healthy—</w:t>
      </w:r>
      <w:r w:rsidRPr="00561499">
        <w:t>in addition to outcome measures.</w:t>
      </w:r>
      <w:r w:rsidRPr="00561499">
        <w:rPr>
          <w:rStyle w:val="EndnoteReference"/>
          <w:rFonts w:cs="Calibri"/>
          <w:sz w:val="22"/>
        </w:rPr>
        <w:endnoteReference w:id="90"/>
      </w:r>
      <w:r w:rsidRPr="00561499">
        <w:t xml:space="preserve"> The Campaign </w:t>
      </w:r>
      <w:r w:rsidR="00001F2B" w:rsidRPr="00561499">
        <w:t xml:space="preserve">Steering Committee </w:t>
      </w:r>
      <w:r w:rsidRPr="00561499">
        <w:t xml:space="preserve">continues to support that call as reflected in </w:t>
      </w:r>
      <w:r w:rsidR="00E17418">
        <w:t>the r</w:t>
      </w:r>
      <w:r w:rsidRPr="00561499">
        <w:t>ecommendation</w:t>
      </w:r>
      <w:r w:rsidR="00E17418">
        <w:t>s</w:t>
      </w:r>
      <w:r w:rsidRPr="00561499">
        <w:t xml:space="preserve"> of this Report.</w:t>
      </w:r>
    </w:p>
    <w:p w14:paraId="03B3699C" w14:textId="77777777" w:rsidR="00221769" w:rsidRPr="00561499" w:rsidRDefault="0029209E" w:rsidP="005D0009">
      <w:pPr>
        <w:rPr>
          <w:rFonts w:cstheme="minorBidi"/>
          <w:i/>
        </w:rPr>
      </w:pPr>
      <w:r w:rsidRPr="00561499">
        <w:t>The Close the Gap Campaign is confident that improved health outcomes will become measurable</w:t>
      </w:r>
      <w:r w:rsidR="001E6614" w:rsidRPr="00561499">
        <w:t xml:space="preserve"> particularly for high-level targets of population health such as life expectancy, provided</w:t>
      </w:r>
      <w:r w:rsidR="00E42B50" w:rsidRPr="00561499">
        <w:t xml:space="preserve"> </w:t>
      </w:r>
      <w:r w:rsidR="001E6614" w:rsidRPr="00561499">
        <w:t>there is a long-term commitment and</w:t>
      </w:r>
      <w:r w:rsidR="00E42B50" w:rsidRPr="00561499">
        <w:t xml:space="preserve"> a steadfast pursuit of the Close the Gap Targets</w:t>
      </w:r>
      <w:r w:rsidR="001E6614" w:rsidRPr="00561499">
        <w:t>.</w:t>
      </w:r>
      <w:r w:rsidRPr="00561499">
        <w:t xml:space="preserve"> </w:t>
      </w:r>
      <w:r w:rsidR="00221769" w:rsidRPr="00561499">
        <w:t xml:space="preserve">Commentators who </w:t>
      </w:r>
      <w:proofErr w:type="spellStart"/>
      <w:r w:rsidR="00221769" w:rsidRPr="00561499">
        <w:t>characterise</w:t>
      </w:r>
      <w:proofErr w:type="spellEnd"/>
      <w:r w:rsidR="00221769" w:rsidRPr="00561499">
        <w:t xml:space="preserve"> the </w:t>
      </w:r>
      <w:r w:rsidR="00221769" w:rsidRPr="005D0009">
        <w:rPr>
          <w:rStyle w:val="Emphasis"/>
        </w:rPr>
        <w:t>Closing the Gap Strategy</w:t>
      </w:r>
      <w:r w:rsidR="00221769" w:rsidRPr="00561499">
        <w:t xml:space="preserve"> as failing, are themselves failing to appreciate how (and over what time spans) success should be measured. </w:t>
      </w:r>
      <w:r w:rsidR="00DF6D5B" w:rsidRPr="00561499">
        <w:t>P</w:t>
      </w:r>
      <w:r w:rsidR="00221769" w:rsidRPr="00561499">
        <w:t>ositive outcomes require inputs: they don’t improve in a resource vacuum. Measurable improvements in relation to inputs</w:t>
      </w:r>
      <w:r w:rsidR="00A95A82" w:rsidRPr="00561499">
        <w:t xml:space="preserve"> such as </w:t>
      </w:r>
      <w:r w:rsidR="00D51E4C" w:rsidRPr="00561499">
        <w:t>increased expenditure, better access to primary and other health care, and improvements in areas of social determinants</w:t>
      </w:r>
      <w:r w:rsidR="00221769" w:rsidRPr="00561499">
        <w:t xml:space="preserve"> provides hope, and also indicates where attention should be focused.</w:t>
      </w:r>
    </w:p>
    <w:p w14:paraId="06E6E8B4" w14:textId="7CBA1E8D" w:rsidR="00221769" w:rsidRPr="00561499" w:rsidRDefault="005D0009" w:rsidP="005D0009">
      <w:pPr>
        <w:pStyle w:val="Heading1"/>
      </w:pPr>
      <w:bookmarkStart w:id="11" w:name="_Toc315703404"/>
      <w:r>
        <w:lastRenderedPageBreak/>
        <w:t xml:space="preserve">Part 2: </w:t>
      </w:r>
      <w:r w:rsidR="00221769" w:rsidRPr="00561499">
        <w:t>New insights into health service use by</w:t>
      </w:r>
      <w:r w:rsidR="006B25C9" w:rsidRPr="00561499">
        <w:t xml:space="preserve"> Aboriginal and Torres Strait </w:t>
      </w:r>
      <w:r w:rsidR="00221769" w:rsidRPr="00561499">
        <w:t>Islander people and the contribution of improved access to health services to closing the health gap</w:t>
      </w:r>
      <w:bookmarkEnd w:id="11"/>
    </w:p>
    <w:p w14:paraId="30C419E8" w14:textId="18E35647" w:rsidR="002C7D13" w:rsidRDefault="00011647" w:rsidP="007E71A4">
      <w:pPr>
        <w:autoSpaceDE w:val="0"/>
        <w:autoSpaceDN w:val="0"/>
        <w:adjustRightInd w:val="0"/>
      </w:pPr>
      <w:r>
        <w:rPr>
          <w:noProof/>
        </w:rPr>
        <w:drawing>
          <wp:inline distT="0" distB="0" distL="0" distR="0" wp14:anchorId="04D4CF5B" wp14:editId="3C1B97A6">
            <wp:extent cx="5759450" cy="5827800"/>
            <wp:effectExtent l="0" t="0" r="6350" b="0"/>
            <wp:docPr id="4" name="Picture 3" descr="Photo of dental room with Janice Blackman lying on the bed wearing a dental bib around her neck. The oral hygiene assistant, Kirrily is standing at the side of the bed holding two dental instruments in her hands, about to examine Janice's teeth. Kirrily and Janice are both smiling." title="Oral hygiene assistant, Kirrily Phil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5827800"/>
                    </a:xfrm>
                    <a:prstGeom prst="rect">
                      <a:avLst/>
                    </a:prstGeom>
                    <a:noFill/>
                    <a:ln>
                      <a:noFill/>
                    </a:ln>
                  </pic:spPr>
                </pic:pic>
              </a:graphicData>
            </a:graphic>
          </wp:inline>
        </w:drawing>
      </w:r>
    </w:p>
    <w:p w14:paraId="682C5974" w14:textId="77777777" w:rsidR="002C7D13" w:rsidRPr="00564A26" w:rsidRDefault="002C7D13" w:rsidP="002C7D13">
      <w:pPr>
        <w:pStyle w:val="Photocaption"/>
      </w:pPr>
      <w:r w:rsidRPr="00561499">
        <w:t xml:space="preserve">Oral hygiene assistant </w:t>
      </w:r>
      <w:proofErr w:type="spellStart"/>
      <w:r w:rsidRPr="00561499">
        <w:t>Kirrily</w:t>
      </w:r>
      <w:proofErr w:type="spellEnd"/>
      <w:r w:rsidRPr="00561499">
        <w:t xml:space="preserve"> Phillips </w:t>
      </w:r>
      <w:proofErr w:type="spellStart"/>
      <w:r w:rsidRPr="00561499">
        <w:t>examine's</w:t>
      </w:r>
      <w:proofErr w:type="spellEnd"/>
      <w:r w:rsidRPr="00561499">
        <w:t xml:space="preserve"> Janice Blackman's teeth at the </w:t>
      </w:r>
      <w:proofErr w:type="spellStart"/>
      <w:r w:rsidRPr="00561499">
        <w:t>Morayfield</w:t>
      </w:r>
      <w:proofErr w:type="spellEnd"/>
      <w:r w:rsidRPr="00561499">
        <w:t xml:space="preserve"> </w:t>
      </w:r>
      <w:proofErr w:type="spellStart"/>
      <w:r w:rsidRPr="00561499">
        <w:t>AMS</w:t>
      </w:r>
      <w:proofErr w:type="spellEnd"/>
      <w:r w:rsidRPr="00561499">
        <w:t xml:space="preserve">. Photograph: Jason </w:t>
      </w:r>
      <w:proofErr w:type="spellStart"/>
      <w:r w:rsidRPr="00561499">
        <w:t>Malouin</w:t>
      </w:r>
      <w:proofErr w:type="spellEnd"/>
      <w:r w:rsidRPr="00561499">
        <w:t>/</w:t>
      </w:r>
      <w:proofErr w:type="spellStart"/>
      <w:r w:rsidRPr="00561499">
        <w:t>OxfamAUS</w:t>
      </w:r>
      <w:proofErr w:type="spellEnd"/>
      <w:r w:rsidRPr="00561499">
        <w:t>.</w:t>
      </w:r>
    </w:p>
    <w:p w14:paraId="6E22B584" w14:textId="1AF00B8E" w:rsidR="00011647" w:rsidRDefault="00011647">
      <w:pPr>
        <w:keepLines w:val="0"/>
        <w:widowControl/>
        <w:spacing w:after="0" w:line="240" w:lineRule="auto"/>
      </w:pPr>
      <w:r>
        <w:br w:type="page"/>
      </w:r>
    </w:p>
    <w:p w14:paraId="449A79CC" w14:textId="77777777" w:rsidR="002C7D13" w:rsidRDefault="002C7D13" w:rsidP="007E71A4">
      <w:pPr>
        <w:autoSpaceDE w:val="0"/>
        <w:autoSpaceDN w:val="0"/>
        <w:adjustRightInd w:val="0"/>
      </w:pPr>
    </w:p>
    <w:p w14:paraId="58074214" w14:textId="77777777" w:rsidR="00221769" w:rsidRPr="00561499" w:rsidRDefault="00221769" w:rsidP="007E71A4">
      <w:pPr>
        <w:autoSpaceDE w:val="0"/>
        <w:autoSpaceDN w:val="0"/>
        <w:adjustRightInd w:val="0"/>
      </w:pPr>
      <w:r w:rsidRPr="00561499">
        <w:t xml:space="preserve">Aboriginal Community Controlled Health </w:t>
      </w:r>
      <w:proofErr w:type="spellStart"/>
      <w:r w:rsidRPr="00561499">
        <w:t>Organisations</w:t>
      </w:r>
      <w:proofErr w:type="spellEnd"/>
      <w:r w:rsidRPr="00561499">
        <w:t xml:space="preserve"> (</w:t>
      </w:r>
      <w:proofErr w:type="spellStart"/>
      <w:r w:rsidRPr="00561499">
        <w:t>ACCHOs</w:t>
      </w:r>
      <w:proofErr w:type="spellEnd"/>
      <w:r w:rsidRPr="00561499">
        <w:t>) are the Close the Gap Campaign’s preferred primary health care providers to Aboriginal and Torres Strait Island</w:t>
      </w:r>
      <w:r w:rsidR="00DC5A0E" w:rsidRPr="00561499">
        <w:t>er communities for two reasons:</w:t>
      </w:r>
    </w:p>
    <w:p w14:paraId="297EE3BE" w14:textId="7E1FB99A" w:rsidR="00221769" w:rsidRPr="00561499" w:rsidRDefault="00D87BA9" w:rsidP="00DC5A0E">
      <w:pPr>
        <w:pStyle w:val="ListParagraph"/>
        <w:numPr>
          <w:ilvl w:val="0"/>
          <w:numId w:val="22"/>
        </w:numPr>
        <w:spacing w:before="120"/>
        <w:ind w:left="714" w:hanging="357"/>
        <w:contextualSpacing w:val="0"/>
      </w:pPr>
      <w:r w:rsidRPr="00561499">
        <w:t>T</w:t>
      </w:r>
      <w:r w:rsidR="00221769" w:rsidRPr="00561499">
        <w:t>hey are associated with better health outcomes for Aboriginal and Torres Strait Islander people. The 2015</w:t>
      </w:r>
      <w:r w:rsidR="00221769" w:rsidRPr="00561499">
        <w:rPr>
          <w:i/>
        </w:rPr>
        <w:t xml:space="preserve"> Progress and Priorities Report</w:t>
      </w:r>
      <w:r w:rsidR="00221769" w:rsidRPr="00561499">
        <w:t xml:space="preserve"> referred to a literature survey undertaken by </w:t>
      </w:r>
      <w:proofErr w:type="spellStart"/>
      <w:r w:rsidR="00221769" w:rsidRPr="00561499">
        <w:t>Panaretto</w:t>
      </w:r>
      <w:proofErr w:type="spellEnd"/>
      <w:r w:rsidR="00221769" w:rsidRPr="00561499">
        <w:t xml:space="preserve"> and colleagues to evaluate whether </w:t>
      </w:r>
      <w:proofErr w:type="spellStart"/>
      <w:r w:rsidR="00221769" w:rsidRPr="00561499">
        <w:t>ACCHOs</w:t>
      </w:r>
      <w:proofErr w:type="spellEnd"/>
      <w:r w:rsidR="00221769" w:rsidRPr="00561499">
        <w:t xml:space="preserve"> performed better for Aboriginal and Torres Strait Islander people than GPs. This was found to be so particularly in relation to</w:t>
      </w:r>
      <w:r w:rsidR="00050623" w:rsidRPr="00561499">
        <w:t xml:space="preserve"> access to services and</w:t>
      </w:r>
      <w:r w:rsidR="00221769" w:rsidRPr="00561499">
        <w:t xml:space="preserve"> the prevention, detection and treatment of chronic disease.</w:t>
      </w:r>
      <w:r w:rsidR="00221769" w:rsidRPr="00561499">
        <w:rPr>
          <w:rStyle w:val="EndnoteReference"/>
        </w:rPr>
        <w:endnoteReference w:id="91"/>
      </w:r>
      <w:r w:rsidR="009B1CF0" w:rsidRPr="00561499">
        <w:t xml:space="preserve"> </w:t>
      </w:r>
      <w:r w:rsidR="00221769" w:rsidRPr="00561499">
        <w:t>Th</w:t>
      </w:r>
      <w:r w:rsidR="008A3AB4" w:rsidRPr="00561499">
        <w:t>e (then) Department of Health and</w:t>
      </w:r>
      <w:r w:rsidR="00221769" w:rsidRPr="00561499">
        <w:t xml:space="preserve"> </w:t>
      </w:r>
      <w:r w:rsidR="00597615">
        <w:t xml:space="preserve">Ageing </w:t>
      </w:r>
      <w:r w:rsidR="00221769" w:rsidRPr="00561499">
        <w:t xml:space="preserve">also documented the success of </w:t>
      </w:r>
      <w:proofErr w:type="spellStart"/>
      <w:r w:rsidR="00221769" w:rsidRPr="00561499">
        <w:t>ACCHOs</w:t>
      </w:r>
      <w:proofErr w:type="spellEnd"/>
      <w:r w:rsidR="00221769" w:rsidRPr="00561499">
        <w:t xml:space="preserve"> in improving maternal and child health.</w:t>
      </w:r>
      <w:r w:rsidR="00221769" w:rsidRPr="00561499">
        <w:rPr>
          <w:rStyle w:val="EndnoteReference"/>
        </w:rPr>
        <w:endnoteReference w:id="92"/>
      </w:r>
      <w:r w:rsidR="009B1CF0" w:rsidRPr="00561499">
        <w:t xml:space="preserve"> </w:t>
      </w:r>
      <w:r w:rsidR="00221769" w:rsidRPr="00561499">
        <w:t xml:space="preserve">These findings provide strong support for properly resourced </w:t>
      </w:r>
      <w:proofErr w:type="spellStart"/>
      <w:r w:rsidR="00221769" w:rsidRPr="00561499">
        <w:t>ACCHOs</w:t>
      </w:r>
      <w:proofErr w:type="spellEnd"/>
      <w:r w:rsidR="00221769" w:rsidRPr="00561499">
        <w:t xml:space="preserve"> as foundation services for the achievement of health equality.</w:t>
      </w:r>
    </w:p>
    <w:p w14:paraId="35280873" w14:textId="577A7B31" w:rsidR="003D07C5" w:rsidRPr="003D07C5" w:rsidRDefault="00221769" w:rsidP="003D07C5">
      <w:pPr>
        <w:pStyle w:val="ListParagraph"/>
        <w:numPr>
          <w:ilvl w:val="0"/>
          <w:numId w:val="22"/>
        </w:numPr>
        <w:spacing w:before="120" w:after="400"/>
        <w:ind w:left="714" w:hanging="357"/>
        <w:contextualSpacing w:val="0"/>
      </w:pPr>
      <w:proofErr w:type="spellStart"/>
      <w:r w:rsidRPr="00561499">
        <w:t>ACCHOs</w:t>
      </w:r>
      <w:proofErr w:type="spellEnd"/>
      <w:r w:rsidRPr="00561499">
        <w:t xml:space="preserve"> are better positioned to provide a culturally competent service that enhances both their accessibility and the quality of the service received. </w:t>
      </w:r>
      <w:proofErr w:type="spellStart"/>
      <w:r w:rsidRPr="00561499">
        <w:t>ACCHOs</w:t>
      </w:r>
      <w:proofErr w:type="spellEnd"/>
      <w:r w:rsidRPr="00561499">
        <w:t xml:space="preserve"> are community control</w:t>
      </w:r>
      <w:r w:rsidR="001F72B7" w:rsidRPr="00561499">
        <w:t>led—</w:t>
      </w:r>
      <w:r w:rsidRPr="00561499">
        <w:t>usually by a governing committee. With such control in place, they can offer a comprehensive primary health care model of service that is aligned with Aboriginal and Torres Strait Islander peoples’ holistic concept of health.</w:t>
      </w:r>
      <w:r w:rsidRPr="00561499">
        <w:rPr>
          <w:rStyle w:val="EndnoteReference"/>
        </w:rPr>
        <w:endnoteReference w:id="93"/>
      </w:r>
      <w:r w:rsidR="00BE58DB" w:rsidRPr="00561499">
        <w:t xml:space="preserve"> </w:t>
      </w:r>
      <w:proofErr w:type="spellStart"/>
      <w:r w:rsidRPr="00561499">
        <w:t>ACCHOs</w:t>
      </w:r>
      <w:proofErr w:type="spellEnd"/>
      <w:r w:rsidRPr="00561499">
        <w:t xml:space="preserve"> are also manifestations of Aboriginal and Torres Strait Islander communities’ right to self-determination.</w:t>
      </w:r>
      <w:r w:rsidRPr="00561499">
        <w:rPr>
          <w:rStyle w:val="EndnoteReference"/>
        </w:rPr>
        <w:endnoteReference w:id="94"/>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227" w:type="dxa"/>
          <w:bottom w:w="227" w:type="dxa"/>
          <w:right w:w="227" w:type="dxa"/>
        </w:tblCellMar>
        <w:tblLook w:val="04A0" w:firstRow="1" w:lastRow="0" w:firstColumn="1" w:lastColumn="0" w:noHBand="0" w:noVBand="1"/>
      </w:tblPr>
      <w:tblGrid>
        <w:gridCol w:w="9286"/>
      </w:tblGrid>
      <w:tr w:rsidR="003D07C5" w:rsidRPr="00F82562" w14:paraId="2AFB80E0" w14:textId="77777777" w:rsidTr="0025143E">
        <w:tc>
          <w:tcPr>
            <w:tcW w:w="9286" w:type="dxa"/>
            <w:shd w:val="clear" w:color="auto" w:fill="F2F2F2" w:themeFill="background1" w:themeFillShade="F2"/>
          </w:tcPr>
          <w:p w14:paraId="5BD8E5FA" w14:textId="744F04B7" w:rsidR="003D07C5" w:rsidRPr="00A25155" w:rsidRDefault="003D07C5" w:rsidP="003D07C5">
            <w:pPr>
              <w:pStyle w:val="PullQuote"/>
              <w:rPr>
                <w:rStyle w:val="Strong"/>
                <w:b w:val="0"/>
                <w:bCs w:val="0"/>
              </w:rPr>
            </w:pPr>
            <w:r w:rsidRPr="003D07C5">
              <w:t xml:space="preserve">Aboriginal Community Controlled Health </w:t>
            </w:r>
            <w:proofErr w:type="spellStart"/>
            <w:r w:rsidRPr="003D07C5">
              <w:t>Organisations</w:t>
            </w:r>
            <w:proofErr w:type="spellEnd"/>
            <w:r w:rsidRPr="003D07C5">
              <w:t xml:space="preserve"> (</w:t>
            </w:r>
            <w:proofErr w:type="spellStart"/>
            <w:r w:rsidRPr="003D07C5">
              <w:t>ACCHOs</w:t>
            </w:r>
            <w:proofErr w:type="spellEnd"/>
            <w:r w:rsidRPr="003D07C5">
              <w:t>) are the Close the Gap Campaign’s preferred primary health care providers to Aboriginal and Torres Strait Islander communities.</w:t>
            </w:r>
          </w:p>
        </w:tc>
      </w:tr>
    </w:tbl>
    <w:p w14:paraId="21076E88" w14:textId="77777777" w:rsidR="003D07C5" w:rsidRDefault="003D07C5" w:rsidP="007E71A4">
      <w:pPr>
        <w:autoSpaceDE w:val="0"/>
        <w:autoSpaceDN w:val="0"/>
        <w:adjustRightInd w:val="0"/>
      </w:pPr>
    </w:p>
    <w:p w14:paraId="402948A8" w14:textId="3B8607DD" w:rsidR="00D0059F" w:rsidRPr="00561499" w:rsidRDefault="00D0059F" w:rsidP="007E71A4">
      <w:pPr>
        <w:autoSpaceDE w:val="0"/>
        <w:autoSpaceDN w:val="0"/>
        <w:adjustRightInd w:val="0"/>
      </w:pPr>
      <w:r w:rsidRPr="00561499">
        <w:t xml:space="preserve">In 2015, the Aboriginal Health and Medical Research Council of NSW published an evidence review on the contribution of </w:t>
      </w:r>
      <w:proofErr w:type="spellStart"/>
      <w:r w:rsidRPr="00561499">
        <w:t>A</w:t>
      </w:r>
      <w:r w:rsidR="00D87BA9" w:rsidRPr="00561499">
        <w:t>CCHOs</w:t>
      </w:r>
      <w:proofErr w:type="spellEnd"/>
      <w:r w:rsidR="00D87BA9" w:rsidRPr="00561499">
        <w:t xml:space="preserve"> </w:t>
      </w:r>
      <w:r w:rsidRPr="00561499">
        <w:t>to im</w:t>
      </w:r>
      <w:r w:rsidR="00F51E1D">
        <w:t xml:space="preserve">proving Aboriginal health. </w:t>
      </w:r>
      <w:r w:rsidRPr="00561499">
        <w:t xml:space="preserve">The review highlights the above and other advantages associated with </w:t>
      </w:r>
      <w:proofErr w:type="spellStart"/>
      <w:r w:rsidRPr="00561499">
        <w:t>ACCH</w:t>
      </w:r>
      <w:r w:rsidR="00D87BA9" w:rsidRPr="00561499">
        <w:t>O</w:t>
      </w:r>
      <w:r w:rsidRPr="00561499">
        <w:t>s</w:t>
      </w:r>
      <w:proofErr w:type="spellEnd"/>
      <w:r w:rsidRPr="00561499">
        <w:t>.</w:t>
      </w:r>
      <w:r w:rsidR="00D51E4C" w:rsidRPr="00561499">
        <w:rPr>
          <w:rStyle w:val="EndnoteReference"/>
        </w:rPr>
        <w:endnoteReference w:id="95"/>
      </w:r>
    </w:p>
    <w:p w14:paraId="31C1382C" w14:textId="0D1DEEF5" w:rsidR="00221769" w:rsidRPr="00561499" w:rsidRDefault="00221769" w:rsidP="0065520A">
      <w:pPr>
        <w:autoSpaceDE w:val="0"/>
        <w:autoSpaceDN w:val="0"/>
        <w:adjustRightInd w:val="0"/>
      </w:pPr>
      <w:r w:rsidRPr="00561499">
        <w:t xml:space="preserve">This part of the report assesses data about access to health services as an indicator of improving population health from the ABS 2012–2013 </w:t>
      </w:r>
      <w:r w:rsidRPr="0065520A">
        <w:rPr>
          <w:rStyle w:val="Emphasis"/>
        </w:rPr>
        <w:t>National Aboriginal and Torres Strait Islander Health Survey</w:t>
      </w:r>
      <w:r w:rsidRPr="00561499">
        <w:t xml:space="preserve"> (</w:t>
      </w:r>
      <w:proofErr w:type="spellStart"/>
      <w:r w:rsidRPr="00561499">
        <w:t>NATSIHS</w:t>
      </w:r>
      <w:proofErr w:type="spellEnd"/>
      <w:r w:rsidRPr="00561499">
        <w:t xml:space="preserve">). This includes </w:t>
      </w:r>
      <w:r w:rsidRPr="00561499">
        <w:rPr>
          <w:rFonts w:cs="Calibri Light"/>
          <w:color w:val="000000"/>
        </w:rPr>
        <w:t xml:space="preserve">data on around 9,300 </w:t>
      </w:r>
      <w:r w:rsidRPr="00561499">
        <w:t>respondents’ use of health services.</w:t>
      </w:r>
      <w:r w:rsidRPr="00561499">
        <w:rPr>
          <w:rStyle w:val="EndnoteReference"/>
        </w:rPr>
        <w:endnoteReference w:id="96"/>
      </w:r>
      <w:r w:rsidRPr="00561499">
        <w:t xml:space="preserve"> </w:t>
      </w:r>
      <w:r w:rsidR="00A774C2" w:rsidRPr="00561499">
        <w:t>The Report was d</w:t>
      </w:r>
      <w:r w:rsidR="00C563C1" w:rsidRPr="00561499">
        <w:t>emographically aligne</w:t>
      </w:r>
      <w:r w:rsidR="00A774C2" w:rsidRPr="00561499">
        <w:t>d to Aboriginal and Torr</w:t>
      </w:r>
      <w:r w:rsidR="0065520A">
        <w:t>es Strait Islander populations.</w:t>
      </w:r>
    </w:p>
    <w:p w14:paraId="52DE9786" w14:textId="41F5ECC2" w:rsidR="00221769" w:rsidRDefault="00A774C2" w:rsidP="007E71A4">
      <w:pPr>
        <w:autoSpaceDE w:val="0"/>
        <w:autoSpaceDN w:val="0"/>
        <w:adjustRightInd w:val="0"/>
      </w:pPr>
      <w:r w:rsidRPr="00561499">
        <w:lastRenderedPageBreak/>
        <w:t xml:space="preserve">The Survey explored service preferences and found consistency with </w:t>
      </w:r>
      <w:r w:rsidR="00221769" w:rsidRPr="00561499">
        <w:t xml:space="preserve">the annual </w:t>
      </w:r>
      <w:r w:rsidR="00221769" w:rsidRPr="00644C87">
        <w:rPr>
          <w:rStyle w:val="Emphasis"/>
        </w:rPr>
        <w:t xml:space="preserve">Online Services Reports for Aboriginal and Torres Strait Islander Health </w:t>
      </w:r>
      <w:proofErr w:type="spellStart"/>
      <w:r w:rsidR="00221769" w:rsidRPr="00644C87">
        <w:rPr>
          <w:rStyle w:val="Emphasis"/>
        </w:rPr>
        <w:t>Organisations</w:t>
      </w:r>
      <w:proofErr w:type="spellEnd"/>
      <w:r w:rsidR="00221769" w:rsidRPr="00561499">
        <w:t xml:space="preserve"> (‘Service Reports’) compiled by </w:t>
      </w:r>
      <w:proofErr w:type="spellStart"/>
      <w:r w:rsidR="00221769" w:rsidRPr="00561499">
        <w:t>AIHW</w:t>
      </w:r>
      <w:proofErr w:type="spellEnd"/>
      <w:r w:rsidR="00221769" w:rsidRPr="00561499">
        <w:t xml:space="preserve">. In 2015, the Service Report collated data from 269 </w:t>
      </w:r>
      <w:proofErr w:type="spellStart"/>
      <w:r w:rsidR="00221769" w:rsidRPr="00561499">
        <w:t>organisations</w:t>
      </w:r>
      <w:proofErr w:type="spellEnd"/>
      <w:r w:rsidR="00221769" w:rsidRPr="00561499">
        <w:t xml:space="preserve"> </w:t>
      </w:r>
      <w:r w:rsidR="00620B56" w:rsidRPr="00561499">
        <w:t xml:space="preserve">and </w:t>
      </w:r>
      <w:r w:rsidR="00221769" w:rsidRPr="00561499">
        <w:t xml:space="preserve">reported 323,600 individual </w:t>
      </w:r>
      <w:r w:rsidR="00221769" w:rsidRPr="00561499">
        <w:rPr>
          <w:rFonts w:cs="Helvetica Neue"/>
        </w:rPr>
        <w:t>Aboriginal and Torres Strait Islander</w:t>
      </w:r>
      <w:r w:rsidR="00221769" w:rsidRPr="00561499">
        <w:t xml:space="preserve"> clients.</w:t>
      </w:r>
      <w:r w:rsidR="00221769" w:rsidRPr="00561499">
        <w:rPr>
          <w:rStyle w:val="EndnoteReference"/>
        </w:rPr>
        <w:endnoteReference w:id="97"/>
      </w:r>
      <w:r w:rsidR="00564A26">
        <w:t xml:space="preserve"> </w:t>
      </w:r>
      <w:r w:rsidR="00221769" w:rsidRPr="00561499">
        <w:t xml:space="preserve">There has been a steady rise in the number of </w:t>
      </w:r>
      <w:r w:rsidR="00D87BA9" w:rsidRPr="00561499">
        <w:t xml:space="preserve">Aboriginal and Torres Strait Islander </w:t>
      </w:r>
      <w:r w:rsidR="00221769" w:rsidRPr="00561499">
        <w:t xml:space="preserve">primary health care </w:t>
      </w:r>
      <w:proofErr w:type="spellStart"/>
      <w:r w:rsidR="00221769" w:rsidRPr="00561499">
        <w:t>organisations</w:t>
      </w:r>
      <w:proofErr w:type="spellEnd"/>
      <w:r w:rsidR="00221769" w:rsidRPr="00561499">
        <w:t>, from 108 in 1999–2000</w:t>
      </w:r>
      <w:r w:rsidR="00221769" w:rsidRPr="00561499">
        <w:rPr>
          <w:rStyle w:val="EndnoteReference"/>
        </w:rPr>
        <w:endnoteReference w:id="98"/>
      </w:r>
      <w:r w:rsidR="00644C87">
        <w:t xml:space="preserve"> to 203 today.</w:t>
      </w:r>
    </w:p>
    <w:p w14:paraId="4067C267" w14:textId="0BFFCCE0" w:rsidR="00221769" w:rsidRPr="00564A26" w:rsidRDefault="00564A26" w:rsidP="009F517E">
      <w:pPr>
        <w:pStyle w:val="Heading3"/>
      </w:pPr>
      <w:bookmarkStart w:id="12" w:name="_Toc315703405"/>
      <w:r>
        <w:t>2.1</w:t>
      </w:r>
      <w:r w:rsidR="00221769" w:rsidRPr="00564A26">
        <w:t xml:space="preserve"> Usual service use and preferred service use</w:t>
      </w:r>
      <w:bookmarkEnd w:id="12"/>
    </w:p>
    <w:p w14:paraId="7942EC65" w14:textId="1A538C1A" w:rsidR="002C7D13" w:rsidRPr="00561499" w:rsidRDefault="00221769" w:rsidP="003469D0">
      <w:pPr>
        <w:pStyle w:val="NormalWeb"/>
        <w:spacing w:after="400"/>
        <w:rPr>
          <w:rFonts w:ascii="Arial" w:hAnsi="Arial" w:cs="Calibri Light"/>
          <w:color w:val="000000"/>
        </w:rPr>
      </w:pPr>
      <w:proofErr w:type="spellStart"/>
      <w:r w:rsidRPr="00561499">
        <w:rPr>
          <w:rFonts w:ascii="Arial" w:hAnsi="Arial" w:cs="Calibri Light"/>
          <w:color w:val="000000"/>
        </w:rPr>
        <w:t>NATSIHS</w:t>
      </w:r>
      <w:proofErr w:type="spellEnd"/>
      <w:r w:rsidRPr="00561499">
        <w:rPr>
          <w:rFonts w:ascii="Arial" w:hAnsi="Arial" w:cs="Calibri Light"/>
          <w:color w:val="000000"/>
        </w:rPr>
        <w:t xml:space="preserve"> respondents were asked if </w:t>
      </w:r>
      <w:r w:rsidR="00236876" w:rsidRPr="00561499">
        <w:rPr>
          <w:rFonts w:ascii="Arial" w:hAnsi="Arial" w:cs="Calibri Light"/>
          <w:color w:val="000000"/>
        </w:rPr>
        <w:t xml:space="preserve">they </w:t>
      </w:r>
      <w:r w:rsidRPr="00561499">
        <w:rPr>
          <w:rFonts w:ascii="Arial" w:hAnsi="Arial" w:cs="Calibri Light"/>
          <w:color w:val="000000"/>
        </w:rPr>
        <w:t>had a ‘usual place’ to go for health problems and advice: 86% indicated that they did. They were also asked where they would ‘like to go.’ The results are set out below:</w:t>
      </w:r>
    </w:p>
    <w:tbl>
      <w:tblPr>
        <w:tblStyle w:val="TableGrid"/>
        <w:tblW w:w="0" w:type="auto"/>
        <w:tblBorders>
          <w:top w:val="single" w:sz="8" w:space="0" w:color="007DA7"/>
          <w:left w:val="single" w:sz="8" w:space="0" w:color="007DA7"/>
          <w:bottom w:val="single" w:sz="8" w:space="0" w:color="007DA7"/>
          <w:right w:val="single" w:sz="8" w:space="0" w:color="007DA7"/>
          <w:insideH w:val="single" w:sz="8" w:space="0" w:color="007DA7"/>
          <w:insideV w:val="single" w:sz="8" w:space="0" w:color="007DA7"/>
        </w:tblBorders>
        <w:tblCellMar>
          <w:top w:w="113" w:type="dxa"/>
          <w:bottom w:w="113" w:type="dxa"/>
        </w:tblCellMar>
        <w:tblLook w:val="04A0" w:firstRow="1" w:lastRow="0" w:firstColumn="1" w:lastColumn="0" w:noHBand="0" w:noVBand="1"/>
      </w:tblPr>
      <w:tblGrid>
        <w:gridCol w:w="3072"/>
        <w:gridCol w:w="3072"/>
        <w:gridCol w:w="3072"/>
      </w:tblGrid>
      <w:tr w:rsidR="00221769" w:rsidRPr="00497226" w14:paraId="5E55747E" w14:textId="77777777" w:rsidTr="00497226">
        <w:tc>
          <w:tcPr>
            <w:tcW w:w="3072" w:type="dxa"/>
            <w:shd w:val="clear" w:color="auto" w:fill="007DA7"/>
          </w:tcPr>
          <w:p w14:paraId="6C946B39" w14:textId="77777777" w:rsidR="00221769" w:rsidRPr="00497226" w:rsidRDefault="00221769" w:rsidP="005F6484">
            <w:pPr>
              <w:pStyle w:val="NormalWeb"/>
              <w:spacing w:after="0"/>
              <w:rPr>
                <w:rFonts w:ascii="Arial" w:hAnsi="Arial" w:cs="Calibri Light"/>
                <w:b/>
                <w:color w:val="FFFFFF" w:themeColor="background1"/>
              </w:rPr>
            </w:pPr>
            <w:r w:rsidRPr="00497226">
              <w:rPr>
                <w:rFonts w:ascii="Arial" w:hAnsi="Arial" w:cs="Calibri Light"/>
                <w:b/>
                <w:color w:val="FFFFFF" w:themeColor="background1"/>
              </w:rPr>
              <w:t>Health service</w:t>
            </w:r>
          </w:p>
        </w:tc>
        <w:tc>
          <w:tcPr>
            <w:tcW w:w="3072" w:type="dxa"/>
            <w:shd w:val="clear" w:color="auto" w:fill="007DA7"/>
          </w:tcPr>
          <w:p w14:paraId="14E25D06" w14:textId="77777777" w:rsidR="00221769" w:rsidRPr="00497226" w:rsidRDefault="00221769" w:rsidP="00564A26">
            <w:pPr>
              <w:pStyle w:val="NormalWeb"/>
              <w:spacing w:after="0"/>
              <w:jc w:val="center"/>
              <w:rPr>
                <w:rFonts w:ascii="Arial" w:hAnsi="Arial" w:cs="Calibri Light"/>
                <w:b/>
                <w:color w:val="FFFFFF" w:themeColor="background1"/>
              </w:rPr>
            </w:pPr>
            <w:r w:rsidRPr="00497226">
              <w:rPr>
                <w:rFonts w:ascii="Arial" w:hAnsi="Arial" w:cs="Calibri Light"/>
                <w:b/>
                <w:color w:val="FFFFFF" w:themeColor="background1"/>
              </w:rPr>
              <w:t>Usually go</w:t>
            </w:r>
            <w:r w:rsidRPr="00497226">
              <w:rPr>
                <w:rStyle w:val="EndnoteReference"/>
                <w:rFonts w:cs="Calibri Light"/>
                <w:b/>
                <w:color w:val="FFFFFF" w:themeColor="background1"/>
              </w:rPr>
              <w:endnoteReference w:id="99"/>
            </w:r>
          </w:p>
        </w:tc>
        <w:tc>
          <w:tcPr>
            <w:tcW w:w="3072" w:type="dxa"/>
            <w:shd w:val="clear" w:color="auto" w:fill="007DA7"/>
          </w:tcPr>
          <w:p w14:paraId="4B1777A3" w14:textId="77777777" w:rsidR="00221769" w:rsidRPr="00497226" w:rsidRDefault="00221769" w:rsidP="00564A26">
            <w:pPr>
              <w:pStyle w:val="NormalWeb"/>
              <w:spacing w:after="0"/>
              <w:jc w:val="center"/>
              <w:rPr>
                <w:rFonts w:ascii="Arial" w:hAnsi="Arial" w:cs="Calibri Light"/>
                <w:b/>
                <w:color w:val="FFFFFF" w:themeColor="background1"/>
              </w:rPr>
            </w:pPr>
            <w:r w:rsidRPr="00497226">
              <w:rPr>
                <w:rFonts w:ascii="Arial" w:hAnsi="Arial" w:cs="Calibri Light"/>
                <w:b/>
                <w:color w:val="FFFFFF" w:themeColor="background1"/>
              </w:rPr>
              <w:t>Would like to go</w:t>
            </w:r>
            <w:r w:rsidRPr="00497226">
              <w:rPr>
                <w:rStyle w:val="EndnoteReference"/>
                <w:rFonts w:cs="Calibri Light"/>
                <w:b/>
                <w:color w:val="FFFFFF" w:themeColor="background1"/>
              </w:rPr>
              <w:endnoteReference w:id="100"/>
            </w:r>
          </w:p>
        </w:tc>
      </w:tr>
      <w:tr w:rsidR="00221769" w:rsidRPr="00561499" w14:paraId="747ED856" w14:textId="77777777" w:rsidTr="00497226">
        <w:tc>
          <w:tcPr>
            <w:tcW w:w="3072" w:type="dxa"/>
            <w:shd w:val="clear" w:color="auto" w:fill="auto"/>
          </w:tcPr>
          <w:p w14:paraId="0F62DC2B" w14:textId="77777777" w:rsidR="00221769" w:rsidRPr="00564A26" w:rsidRDefault="00221769" w:rsidP="005F6484">
            <w:pPr>
              <w:pStyle w:val="NormalWeb"/>
              <w:spacing w:after="0"/>
              <w:rPr>
                <w:rFonts w:ascii="Arial" w:hAnsi="Arial" w:cs="Calibri Light"/>
                <w:b/>
                <w:color w:val="000000"/>
              </w:rPr>
            </w:pPr>
            <w:r w:rsidRPr="00564A26">
              <w:rPr>
                <w:rFonts w:ascii="Arial" w:hAnsi="Arial" w:cs="Calibri Light"/>
                <w:b/>
                <w:color w:val="000000"/>
              </w:rPr>
              <w:t>Doctor</w:t>
            </w:r>
          </w:p>
        </w:tc>
        <w:tc>
          <w:tcPr>
            <w:tcW w:w="3072" w:type="dxa"/>
            <w:shd w:val="clear" w:color="auto" w:fill="auto"/>
          </w:tcPr>
          <w:p w14:paraId="5EA521A8" w14:textId="77777777" w:rsidR="00221769" w:rsidRPr="00561499" w:rsidRDefault="00221769" w:rsidP="00564A26">
            <w:pPr>
              <w:pStyle w:val="NormalWeb"/>
              <w:spacing w:after="0"/>
              <w:jc w:val="center"/>
              <w:rPr>
                <w:rFonts w:ascii="Arial" w:hAnsi="Arial" w:cs="Calibri Light"/>
                <w:color w:val="000000"/>
              </w:rPr>
            </w:pPr>
            <w:r w:rsidRPr="00561499">
              <w:rPr>
                <w:rFonts w:ascii="Arial" w:hAnsi="Arial" w:cs="Calibri Light"/>
                <w:color w:val="000000"/>
              </w:rPr>
              <w:t>54%</w:t>
            </w:r>
          </w:p>
        </w:tc>
        <w:tc>
          <w:tcPr>
            <w:tcW w:w="3072" w:type="dxa"/>
            <w:shd w:val="clear" w:color="auto" w:fill="auto"/>
          </w:tcPr>
          <w:p w14:paraId="0009012D" w14:textId="77777777" w:rsidR="00221769" w:rsidRPr="00561499" w:rsidRDefault="00221769" w:rsidP="00564A26">
            <w:pPr>
              <w:pStyle w:val="NormalWeb"/>
              <w:spacing w:after="0"/>
              <w:jc w:val="center"/>
              <w:rPr>
                <w:rFonts w:ascii="Arial" w:hAnsi="Arial" w:cs="Calibri Light"/>
                <w:color w:val="000000"/>
              </w:rPr>
            </w:pPr>
            <w:r w:rsidRPr="00561499">
              <w:rPr>
                <w:rFonts w:ascii="Arial" w:hAnsi="Arial" w:cs="Calibri Light"/>
                <w:color w:val="000000"/>
              </w:rPr>
              <w:t>53%</w:t>
            </w:r>
          </w:p>
        </w:tc>
      </w:tr>
      <w:tr w:rsidR="00221769" w:rsidRPr="00561499" w14:paraId="6B1297D0" w14:textId="77777777" w:rsidTr="00497226">
        <w:tc>
          <w:tcPr>
            <w:tcW w:w="3072" w:type="dxa"/>
            <w:shd w:val="clear" w:color="auto" w:fill="auto"/>
          </w:tcPr>
          <w:p w14:paraId="413E55E7" w14:textId="77777777" w:rsidR="00221769" w:rsidRPr="00564A26" w:rsidRDefault="00221769" w:rsidP="005F6484">
            <w:pPr>
              <w:pStyle w:val="NormalWeb"/>
              <w:spacing w:after="0"/>
              <w:rPr>
                <w:rFonts w:ascii="Arial" w:hAnsi="Arial" w:cs="Calibri Light"/>
                <w:b/>
                <w:color w:val="000000"/>
              </w:rPr>
            </w:pPr>
            <w:proofErr w:type="spellStart"/>
            <w:r w:rsidRPr="00564A26">
              <w:rPr>
                <w:rFonts w:ascii="Arial" w:hAnsi="Arial" w:cs="Calibri Light"/>
                <w:b/>
                <w:color w:val="000000"/>
              </w:rPr>
              <w:t>AMS</w:t>
            </w:r>
            <w:proofErr w:type="spellEnd"/>
          </w:p>
        </w:tc>
        <w:tc>
          <w:tcPr>
            <w:tcW w:w="3072" w:type="dxa"/>
            <w:shd w:val="clear" w:color="auto" w:fill="auto"/>
          </w:tcPr>
          <w:p w14:paraId="0F724D5F" w14:textId="77777777" w:rsidR="00221769" w:rsidRPr="00561499" w:rsidRDefault="00221769" w:rsidP="00564A26">
            <w:pPr>
              <w:pStyle w:val="NormalWeb"/>
              <w:spacing w:after="0"/>
              <w:jc w:val="center"/>
              <w:rPr>
                <w:rFonts w:ascii="Arial" w:hAnsi="Arial" w:cs="Calibri Light"/>
                <w:color w:val="000000"/>
              </w:rPr>
            </w:pPr>
            <w:r w:rsidRPr="00561499">
              <w:rPr>
                <w:rFonts w:ascii="Arial" w:hAnsi="Arial" w:cs="Calibri Light"/>
                <w:color w:val="000000"/>
              </w:rPr>
              <w:t>17%</w:t>
            </w:r>
          </w:p>
        </w:tc>
        <w:tc>
          <w:tcPr>
            <w:tcW w:w="3072" w:type="dxa"/>
            <w:shd w:val="clear" w:color="auto" w:fill="auto"/>
          </w:tcPr>
          <w:p w14:paraId="2F0EEFCF" w14:textId="77777777" w:rsidR="00221769" w:rsidRPr="00561499" w:rsidRDefault="00221769" w:rsidP="00564A26">
            <w:pPr>
              <w:pStyle w:val="NormalWeb"/>
              <w:spacing w:after="0"/>
              <w:jc w:val="center"/>
              <w:rPr>
                <w:rFonts w:ascii="Arial" w:hAnsi="Arial" w:cs="Calibri Light"/>
                <w:color w:val="000000"/>
              </w:rPr>
            </w:pPr>
            <w:r w:rsidRPr="00561499">
              <w:rPr>
                <w:rFonts w:ascii="Arial" w:hAnsi="Arial" w:cs="Calibri Light"/>
                <w:color w:val="000000"/>
              </w:rPr>
              <w:t>26%</w:t>
            </w:r>
          </w:p>
        </w:tc>
      </w:tr>
      <w:tr w:rsidR="00221769" w:rsidRPr="00561499" w14:paraId="36933BDD" w14:textId="77777777" w:rsidTr="00497226">
        <w:tc>
          <w:tcPr>
            <w:tcW w:w="3072" w:type="dxa"/>
            <w:shd w:val="clear" w:color="auto" w:fill="auto"/>
          </w:tcPr>
          <w:p w14:paraId="4356E892" w14:textId="77777777" w:rsidR="00221769" w:rsidRPr="00564A26" w:rsidRDefault="00221769" w:rsidP="005F6484">
            <w:pPr>
              <w:pStyle w:val="NormalWeb"/>
              <w:spacing w:after="0"/>
              <w:rPr>
                <w:rFonts w:ascii="Arial" w:hAnsi="Arial" w:cs="Calibri Light"/>
                <w:b/>
                <w:color w:val="000000"/>
              </w:rPr>
            </w:pPr>
            <w:r w:rsidRPr="00564A26">
              <w:rPr>
                <w:rFonts w:ascii="Arial" w:hAnsi="Arial" w:cs="Calibri Light"/>
                <w:b/>
                <w:color w:val="000000"/>
              </w:rPr>
              <w:t>Community clinic</w:t>
            </w:r>
          </w:p>
        </w:tc>
        <w:tc>
          <w:tcPr>
            <w:tcW w:w="3072" w:type="dxa"/>
            <w:shd w:val="clear" w:color="auto" w:fill="auto"/>
          </w:tcPr>
          <w:p w14:paraId="7824F2FD" w14:textId="77777777" w:rsidR="00221769" w:rsidRPr="00561499" w:rsidRDefault="00221769" w:rsidP="00564A26">
            <w:pPr>
              <w:pStyle w:val="NormalWeb"/>
              <w:spacing w:after="0"/>
              <w:jc w:val="center"/>
              <w:rPr>
                <w:rFonts w:ascii="Arial" w:hAnsi="Arial" w:cs="Calibri Light"/>
                <w:color w:val="000000"/>
              </w:rPr>
            </w:pPr>
            <w:r w:rsidRPr="00561499">
              <w:rPr>
                <w:rFonts w:ascii="Arial" w:hAnsi="Arial" w:cs="Calibri Light"/>
                <w:color w:val="000000"/>
              </w:rPr>
              <w:t>10%</w:t>
            </w:r>
          </w:p>
        </w:tc>
        <w:tc>
          <w:tcPr>
            <w:tcW w:w="3072" w:type="dxa"/>
            <w:shd w:val="clear" w:color="auto" w:fill="auto"/>
          </w:tcPr>
          <w:p w14:paraId="3C8ADED4" w14:textId="77777777" w:rsidR="00221769" w:rsidRPr="00561499" w:rsidRDefault="00221769" w:rsidP="00564A26">
            <w:pPr>
              <w:pStyle w:val="NormalWeb"/>
              <w:spacing w:after="0"/>
              <w:jc w:val="center"/>
              <w:rPr>
                <w:rFonts w:ascii="Arial" w:hAnsi="Arial" w:cs="Calibri Light"/>
                <w:color w:val="000000"/>
              </w:rPr>
            </w:pPr>
            <w:r w:rsidRPr="00561499">
              <w:rPr>
                <w:rFonts w:ascii="Arial" w:hAnsi="Arial" w:cs="Calibri Light"/>
                <w:color w:val="000000"/>
              </w:rPr>
              <w:t>9%</w:t>
            </w:r>
          </w:p>
        </w:tc>
      </w:tr>
      <w:tr w:rsidR="00221769" w:rsidRPr="00561499" w14:paraId="64BEAE36" w14:textId="77777777" w:rsidTr="00497226">
        <w:tc>
          <w:tcPr>
            <w:tcW w:w="3072" w:type="dxa"/>
            <w:shd w:val="clear" w:color="auto" w:fill="auto"/>
          </w:tcPr>
          <w:p w14:paraId="496C66C0" w14:textId="77777777" w:rsidR="00221769" w:rsidRPr="00564A26" w:rsidRDefault="00221769" w:rsidP="005F6484">
            <w:pPr>
              <w:pStyle w:val="NormalWeb"/>
              <w:spacing w:after="0"/>
              <w:rPr>
                <w:rFonts w:ascii="Arial" w:hAnsi="Arial" w:cs="Calibri Light"/>
                <w:b/>
                <w:color w:val="000000"/>
              </w:rPr>
            </w:pPr>
            <w:r w:rsidRPr="00564A26">
              <w:rPr>
                <w:rFonts w:ascii="Arial" w:hAnsi="Arial" w:cs="Calibri Light"/>
                <w:b/>
                <w:color w:val="000000"/>
              </w:rPr>
              <w:t>Hospital</w:t>
            </w:r>
          </w:p>
        </w:tc>
        <w:tc>
          <w:tcPr>
            <w:tcW w:w="3072" w:type="dxa"/>
            <w:shd w:val="clear" w:color="auto" w:fill="auto"/>
          </w:tcPr>
          <w:p w14:paraId="5EAEA8F1" w14:textId="77777777" w:rsidR="00221769" w:rsidRPr="00561499" w:rsidRDefault="00221769" w:rsidP="00564A26">
            <w:pPr>
              <w:pStyle w:val="NormalWeb"/>
              <w:spacing w:after="0"/>
              <w:jc w:val="center"/>
              <w:rPr>
                <w:rFonts w:ascii="Arial" w:hAnsi="Arial" w:cs="Calibri Light"/>
                <w:color w:val="000000"/>
              </w:rPr>
            </w:pPr>
            <w:r w:rsidRPr="00561499">
              <w:rPr>
                <w:rFonts w:ascii="Arial" w:hAnsi="Arial" w:cs="Calibri Light"/>
                <w:color w:val="000000"/>
              </w:rPr>
              <w:t>5%</w:t>
            </w:r>
          </w:p>
        </w:tc>
        <w:tc>
          <w:tcPr>
            <w:tcW w:w="3072" w:type="dxa"/>
            <w:shd w:val="clear" w:color="auto" w:fill="auto"/>
          </w:tcPr>
          <w:p w14:paraId="6D94138B" w14:textId="77777777" w:rsidR="00221769" w:rsidRPr="00561499" w:rsidRDefault="00221769" w:rsidP="00564A26">
            <w:pPr>
              <w:pStyle w:val="NormalWeb"/>
              <w:spacing w:after="0"/>
              <w:jc w:val="center"/>
              <w:rPr>
                <w:rFonts w:ascii="Arial" w:hAnsi="Arial" w:cs="Calibri Light"/>
                <w:color w:val="000000"/>
              </w:rPr>
            </w:pPr>
            <w:r w:rsidRPr="00561499">
              <w:rPr>
                <w:rFonts w:ascii="Arial" w:hAnsi="Arial" w:cs="Calibri Light"/>
                <w:color w:val="000000"/>
              </w:rPr>
              <w:t>(not reported)</w:t>
            </w:r>
          </w:p>
        </w:tc>
      </w:tr>
    </w:tbl>
    <w:p w14:paraId="022E2B0F" w14:textId="77777777" w:rsidR="00221769" w:rsidRPr="00561499" w:rsidRDefault="00221769" w:rsidP="003469D0"/>
    <w:p w14:paraId="5C9D723A" w14:textId="7B3A2575" w:rsidR="00221769" w:rsidRPr="00564A26" w:rsidRDefault="00221769" w:rsidP="00564A26">
      <w:r w:rsidRPr="00564A26">
        <w:t xml:space="preserve">The Campaign </w:t>
      </w:r>
      <w:r w:rsidR="00236876" w:rsidRPr="00564A26">
        <w:t xml:space="preserve">Steering Committee </w:t>
      </w:r>
      <w:r w:rsidRPr="00564A26">
        <w:t>notes that 27%</w:t>
      </w:r>
      <w:r w:rsidR="00620B56" w:rsidRPr="00564A26">
        <w:t xml:space="preserve"> </w:t>
      </w:r>
      <w:r w:rsidRPr="00564A26">
        <w:t>of respondents who said they</w:t>
      </w:r>
      <w:r w:rsidRPr="00561499">
        <w:t xml:space="preserve"> would like to go to an </w:t>
      </w:r>
      <w:proofErr w:type="spellStart"/>
      <w:r w:rsidRPr="00561499">
        <w:t>AMS</w:t>
      </w:r>
      <w:proofErr w:type="spellEnd"/>
      <w:r w:rsidRPr="00561499">
        <w:t xml:space="preserve"> did not have an </w:t>
      </w:r>
      <w:proofErr w:type="spellStart"/>
      <w:r w:rsidRPr="00561499">
        <w:t>AMS</w:t>
      </w:r>
      <w:proofErr w:type="spellEnd"/>
      <w:r w:rsidRPr="00561499">
        <w:t xml:space="preserve"> available in their local area, suggesting the unmet need for </w:t>
      </w:r>
      <w:r w:rsidR="00BC173D" w:rsidRPr="00561499">
        <w:t>Aboriginal and Torres Strait Islander</w:t>
      </w:r>
      <w:r w:rsidR="008A3AB4" w:rsidRPr="00561499">
        <w:t>-</w:t>
      </w:r>
      <w:r w:rsidRPr="00561499">
        <w:t>specific primary health care services.</w:t>
      </w:r>
      <w:r w:rsidRPr="00561499">
        <w:rPr>
          <w:rStyle w:val="EndnoteReference"/>
          <w:rFonts w:cs="Calibri Light"/>
          <w:color w:val="000000"/>
        </w:rPr>
        <w:endnoteReference w:id="101"/>
      </w:r>
      <w:r w:rsidR="00D965C0" w:rsidRPr="00561499">
        <w:t xml:space="preserve"> </w:t>
      </w:r>
      <w:r w:rsidRPr="00561499">
        <w:t xml:space="preserve">However, the Campaign </w:t>
      </w:r>
      <w:r w:rsidR="00236876" w:rsidRPr="00561499">
        <w:t xml:space="preserve">Steering Committee </w:t>
      </w:r>
      <w:r w:rsidRPr="00561499">
        <w:t>also note</w:t>
      </w:r>
      <w:r w:rsidR="00236876" w:rsidRPr="00561499">
        <w:t>s</w:t>
      </w:r>
      <w:r w:rsidRPr="00561499">
        <w:t xml:space="preserve"> that the picture presented above contrasts with that presen</w:t>
      </w:r>
      <w:r w:rsidR="00564A26">
        <w:t>ted in the 2015 Service Report.</w:t>
      </w:r>
    </w:p>
    <w:p w14:paraId="1F33F044" w14:textId="77777777" w:rsidR="00221769" w:rsidRPr="003469D0" w:rsidRDefault="00221769" w:rsidP="007E71A4">
      <w:pPr>
        <w:pStyle w:val="NormalWeb"/>
        <w:rPr>
          <w:rFonts w:ascii="Arial" w:hAnsi="Arial"/>
          <w:szCs w:val="24"/>
        </w:rPr>
      </w:pPr>
      <w:r w:rsidRPr="003469D0">
        <w:rPr>
          <w:rFonts w:ascii="Arial" w:hAnsi="Arial"/>
          <w:szCs w:val="24"/>
        </w:rPr>
        <w:t>At the time of the 2011 Census, the ABS estimates the Aboriginal and Torres Strait Islander population to number 669,900 persons.</w:t>
      </w:r>
      <w:r w:rsidRPr="003469D0">
        <w:rPr>
          <w:rStyle w:val="EndnoteReference"/>
          <w:szCs w:val="24"/>
        </w:rPr>
        <w:endnoteReference w:id="102"/>
      </w:r>
      <w:r w:rsidRPr="003469D0">
        <w:rPr>
          <w:rFonts w:ascii="Arial" w:hAnsi="Arial"/>
          <w:szCs w:val="24"/>
        </w:rPr>
        <w:t xml:space="preserve"> In the 2015 Service Report, the 203 </w:t>
      </w:r>
      <w:r w:rsidR="00BC173D" w:rsidRPr="003469D0">
        <w:rPr>
          <w:rFonts w:ascii="Arial" w:hAnsi="Arial"/>
          <w:szCs w:val="24"/>
        </w:rPr>
        <w:t xml:space="preserve">Aboriginal and Torres Strait Islander </w:t>
      </w:r>
      <w:r w:rsidRPr="003469D0">
        <w:rPr>
          <w:rFonts w:ascii="Arial" w:hAnsi="Arial"/>
          <w:szCs w:val="24"/>
        </w:rPr>
        <w:t xml:space="preserve">primary health care </w:t>
      </w:r>
      <w:proofErr w:type="spellStart"/>
      <w:r w:rsidRPr="003469D0">
        <w:rPr>
          <w:rFonts w:ascii="Arial" w:hAnsi="Arial"/>
          <w:szCs w:val="24"/>
        </w:rPr>
        <w:t>organisations</w:t>
      </w:r>
      <w:proofErr w:type="spellEnd"/>
      <w:r w:rsidRPr="003469D0">
        <w:rPr>
          <w:rFonts w:ascii="Arial" w:hAnsi="Arial"/>
          <w:szCs w:val="24"/>
        </w:rPr>
        <w:t xml:space="preserve"> report</w:t>
      </w:r>
      <w:r w:rsidR="00043FBD" w:rsidRPr="003469D0">
        <w:rPr>
          <w:rFonts w:ascii="Arial" w:hAnsi="Arial"/>
          <w:szCs w:val="24"/>
        </w:rPr>
        <w:t>ed</w:t>
      </w:r>
      <w:r w:rsidRPr="003469D0">
        <w:rPr>
          <w:rFonts w:ascii="Arial" w:hAnsi="Arial"/>
          <w:szCs w:val="24"/>
        </w:rPr>
        <w:t xml:space="preserve"> 419,000 clients of whom 323,600 identified as Aboriginal and Torres Strait Islander people.</w:t>
      </w:r>
      <w:r w:rsidRPr="003469D0">
        <w:rPr>
          <w:rStyle w:val="EndnoteReference"/>
          <w:szCs w:val="24"/>
        </w:rPr>
        <w:endnoteReference w:id="103"/>
      </w:r>
      <w:r w:rsidRPr="003469D0">
        <w:rPr>
          <w:rFonts w:ascii="Arial" w:hAnsi="Arial"/>
          <w:szCs w:val="24"/>
        </w:rPr>
        <w:t xml:space="preserve"> Further, </w:t>
      </w:r>
      <w:proofErr w:type="spellStart"/>
      <w:r w:rsidRPr="003469D0">
        <w:rPr>
          <w:rFonts w:ascii="Arial" w:hAnsi="Arial"/>
          <w:szCs w:val="24"/>
        </w:rPr>
        <w:t>ACCHOs</w:t>
      </w:r>
      <w:proofErr w:type="spellEnd"/>
      <w:r w:rsidRPr="003469D0">
        <w:rPr>
          <w:rFonts w:ascii="Arial" w:hAnsi="Arial"/>
          <w:szCs w:val="24"/>
        </w:rPr>
        <w:t xml:space="preserve"> identify as having 327,000 individual clients of whom 78</w:t>
      </w:r>
      <w:r w:rsidRPr="003469D0">
        <w:rPr>
          <w:rFonts w:ascii="Arial" w:hAnsi="Arial" w:cs="Calibri Light"/>
          <w:color w:val="000000"/>
          <w:szCs w:val="24"/>
        </w:rPr>
        <w:t xml:space="preserve">% </w:t>
      </w:r>
      <w:r w:rsidRPr="003469D0">
        <w:rPr>
          <w:rFonts w:ascii="Arial" w:hAnsi="Arial"/>
          <w:szCs w:val="24"/>
        </w:rPr>
        <w:t>were Aboriginal and Torres Strait Islander.</w:t>
      </w:r>
      <w:r w:rsidRPr="003469D0">
        <w:rPr>
          <w:rStyle w:val="EndnoteReference"/>
          <w:szCs w:val="24"/>
        </w:rPr>
        <w:endnoteReference w:id="104"/>
      </w:r>
    </w:p>
    <w:p w14:paraId="05169F95" w14:textId="00BBE1A9" w:rsidR="00221769" w:rsidRPr="00564A26" w:rsidRDefault="00221769" w:rsidP="00564A26">
      <w:pPr>
        <w:pStyle w:val="NormalWeb"/>
        <w:rPr>
          <w:rFonts w:ascii="Arial" w:hAnsi="Arial"/>
        </w:rPr>
      </w:pPr>
      <w:r w:rsidRPr="00561499">
        <w:rPr>
          <w:rFonts w:ascii="Arial" w:hAnsi="Arial"/>
        </w:rPr>
        <w:lastRenderedPageBreak/>
        <w:t xml:space="preserve">Extrapolating, the above suggests that </w:t>
      </w:r>
      <w:r w:rsidR="00BC173D" w:rsidRPr="00561499">
        <w:rPr>
          <w:rFonts w:ascii="Arial" w:hAnsi="Arial"/>
        </w:rPr>
        <w:t xml:space="preserve">Aboriginal and Torres Strait Islander </w:t>
      </w:r>
      <w:r w:rsidRPr="00561499">
        <w:rPr>
          <w:rFonts w:ascii="Arial" w:hAnsi="Arial"/>
        </w:rPr>
        <w:t xml:space="preserve">primary health care </w:t>
      </w:r>
      <w:proofErr w:type="spellStart"/>
      <w:r w:rsidRPr="00561499">
        <w:rPr>
          <w:rFonts w:ascii="Arial" w:hAnsi="Arial"/>
        </w:rPr>
        <w:t>organisations</w:t>
      </w:r>
      <w:proofErr w:type="spellEnd"/>
      <w:r w:rsidRPr="00561499">
        <w:rPr>
          <w:rFonts w:ascii="Arial" w:hAnsi="Arial"/>
        </w:rPr>
        <w:t xml:space="preserve"> had approximately 48.3</w:t>
      </w:r>
      <w:r w:rsidRPr="00561499">
        <w:rPr>
          <w:rFonts w:ascii="Arial" w:hAnsi="Arial" w:cs="Calibri Light"/>
          <w:color w:val="000000"/>
        </w:rPr>
        <w:t xml:space="preserve">% </w:t>
      </w:r>
      <w:r w:rsidRPr="00561499">
        <w:rPr>
          <w:rFonts w:ascii="Arial" w:hAnsi="Arial"/>
        </w:rPr>
        <w:t xml:space="preserve">of the total Aboriginal and Torres Strait Islander population as clients. And for the </w:t>
      </w:r>
      <w:proofErr w:type="spellStart"/>
      <w:r w:rsidRPr="00561499">
        <w:rPr>
          <w:rFonts w:ascii="Arial" w:hAnsi="Arial"/>
        </w:rPr>
        <w:t>ACCHOs</w:t>
      </w:r>
      <w:proofErr w:type="spellEnd"/>
      <w:r w:rsidRPr="00561499">
        <w:rPr>
          <w:rFonts w:ascii="Arial" w:hAnsi="Arial"/>
        </w:rPr>
        <w:t>, with an estimated (based on the above) 255,060 Aboriginal and Torres Strait Islander clients, approximately 38</w:t>
      </w:r>
      <w:r w:rsidRPr="00561499">
        <w:rPr>
          <w:rFonts w:ascii="Arial" w:hAnsi="Arial" w:cs="Calibri Light"/>
          <w:color w:val="000000"/>
        </w:rPr>
        <w:t xml:space="preserve">% </w:t>
      </w:r>
      <w:r w:rsidRPr="00561499">
        <w:rPr>
          <w:rFonts w:ascii="Arial" w:hAnsi="Arial"/>
        </w:rPr>
        <w:t xml:space="preserve">of the total estimated Aboriginal and Torres Strait Islander population. To their total clients (including but not limited to Aboriginal and Torres Strait Islander people), </w:t>
      </w:r>
      <w:proofErr w:type="spellStart"/>
      <w:r w:rsidRPr="00561499">
        <w:rPr>
          <w:rFonts w:ascii="Arial" w:hAnsi="Arial"/>
        </w:rPr>
        <w:t>ACCHOs</w:t>
      </w:r>
      <w:proofErr w:type="spellEnd"/>
      <w:r w:rsidRPr="00561499">
        <w:rPr>
          <w:rFonts w:ascii="Arial" w:hAnsi="Arial"/>
        </w:rPr>
        <w:t xml:space="preserve"> provided around 2.6</w:t>
      </w:r>
      <w:r w:rsidR="001F72B7" w:rsidRPr="00561499">
        <w:rPr>
          <w:rFonts w:ascii="Arial" w:hAnsi="Arial"/>
        </w:rPr>
        <w:t xml:space="preserve"> million episodes of care, or—on average—</w:t>
      </w:r>
      <w:r w:rsidRPr="00561499">
        <w:rPr>
          <w:rFonts w:ascii="Arial" w:hAnsi="Arial"/>
        </w:rPr>
        <w:t>about eight episodes of care per reported client in 2012–2013.</w:t>
      </w:r>
      <w:r w:rsidRPr="00561499">
        <w:rPr>
          <w:rStyle w:val="EndnoteReference"/>
        </w:rPr>
        <w:endnoteReference w:id="105"/>
      </w:r>
    </w:p>
    <w:p w14:paraId="7EEA9882" w14:textId="77C3C380" w:rsidR="00221769" w:rsidRPr="00561499" w:rsidRDefault="00221769" w:rsidP="007E71A4">
      <w:pPr>
        <w:autoSpaceDE w:val="0"/>
        <w:autoSpaceDN w:val="0"/>
        <w:adjustRightInd w:val="0"/>
        <w:rPr>
          <w:rFonts w:cs="Calibri Light"/>
          <w:color w:val="000000"/>
        </w:rPr>
      </w:pPr>
      <w:r w:rsidRPr="00561499">
        <w:rPr>
          <w:rFonts w:cs="Calibri Light"/>
          <w:color w:val="000000"/>
        </w:rPr>
        <w:t xml:space="preserve">In relation to the </w:t>
      </w:r>
      <w:proofErr w:type="spellStart"/>
      <w:r w:rsidRPr="00561499">
        <w:rPr>
          <w:rFonts w:cs="Calibri Light"/>
          <w:color w:val="000000"/>
        </w:rPr>
        <w:t>NATSIHS</w:t>
      </w:r>
      <w:proofErr w:type="spellEnd"/>
      <w:r w:rsidRPr="00561499">
        <w:rPr>
          <w:rFonts w:cs="Calibri Light"/>
          <w:color w:val="000000"/>
        </w:rPr>
        <w:t xml:space="preserve"> data, </w:t>
      </w:r>
      <w:proofErr w:type="spellStart"/>
      <w:r w:rsidRPr="00561499">
        <w:rPr>
          <w:rFonts w:cs="Calibri Light"/>
          <w:color w:val="000000"/>
        </w:rPr>
        <w:t>AHMAC</w:t>
      </w:r>
      <w:proofErr w:type="spellEnd"/>
      <w:r w:rsidRPr="00561499">
        <w:rPr>
          <w:rFonts w:cs="Calibri Light"/>
          <w:color w:val="000000"/>
        </w:rPr>
        <w:t xml:space="preserve"> notes that respondents might not have clearly differentiated between a ‘doctor’, ‘</w:t>
      </w:r>
      <w:proofErr w:type="spellStart"/>
      <w:r w:rsidRPr="00561499">
        <w:rPr>
          <w:rFonts w:cs="Calibri Light"/>
          <w:color w:val="000000"/>
        </w:rPr>
        <w:t>AMS</w:t>
      </w:r>
      <w:proofErr w:type="spellEnd"/>
      <w:r w:rsidRPr="00561499">
        <w:rPr>
          <w:rFonts w:cs="Calibri Light"/>
          <w:color w:val="000000"/>
        </w:rPr>
        <w:t xml:space="preserve">’ and a ‘community clinic’ that may help explain the discrepancy between the </w:t>
      </w:r>
      <w:proofErr w:type="spellStart"/>
      <w:r w:rsidRPr="00561499">
        <w:rPr>
          <w:rFonts w:cs="Calibri Light"/>
          <w:color w:val="000000"/>
        </w:rPr>
        <w:t>NA</w:t>
      </w:r>
      <w:r w:rsidR="00043FBD" w:rsidRPr="00561499">
        <w:rPr>
          <w:rFonts w:cs="Calibri Light"/>
          <w:color w:val="000000"/>
        </w:rPr>
        <w:t>TSIHS</w:t>
      </w:r>
      <w:proofErr w:type="spellEnd"/>
      <w:r w:rsidR="00043FBD" w:rsidRPr="00561499">
        <w:rPr>
          <w:rFonts w:cs="Calibri Light"/>
          <w:color w:val="000000"/>
        </w:rPr>
        <w:t xml:space="preserve"> and Service Report data. </w:t>
      </w:r>
      <w:r w:rsidRPr="00561499">
        <w:rPr>
          <w:rFonts w:cs="Calibri Light"/>
          <w:color w:val="000000"/>
        </w:rPr>
        <w:t xml:space="preserve">The Campaign </w:t>
      </w:r>
      <w:r w:rsidR="00236876" w:rsidRPr="00561499">
        <w:rPr>
          <w:rFonts w:cs="Calibri Light"/>
          <w:color w:val="000000"/>
        </w:rPr>
        <w:t xml:space="preserve">Steering Committee </w:t>
      </w:r>
      <w:r w:rsidRPr="00561499">
        <w:rPr>
          <w:rFonts w:cs="Calibri Light"/>
          <w:color w:val="000000"/>
        </w:rPr>
        <w:t xml:space="preserve">also notes that no differentiation between </w:t>
      </w:r>
      <w:proofErr w:type="spellStart"/>
      <w:r w:rsidRPr="00561499">
        <w:rPr>
          <w:rFonts w:cs="Calibri Light"/>
          <w:color w:val="000000"/>
        </w:rPr>
        <w:t>AMS</w:t>
      </w:r>
      <w:proofErr w:type="spellEnd"/>
      <w:r w:rsidRPr="00561499">
        <w:rPr>
          <w:rFonts w:cs="Calibri Light"/>
          <w:color w:val="000000"/>
        </w:rPr>
        <w:t xml:space="preserve"> and community clinics was made in relation to both services used and what service a respondent would like to go to.</w:t>
      </w:r>
      <w:r w:rsidRPr="00561499">
        <w:rPr>
          <w:rStyle w:val="EndnoteReference"/>
          <w:rFonts w:cs="Calibri Light"/>
          <w:color w:val="000000"/>
        </w:rPr>
        <w:endnoteReference w:id="106"/>
      </w:r>
    </w:p>
    <w:p w14:paraId="097B4A5E" w14:textId="3AF9D24B" w:rsidR="00221769" w:rsidRPr="00564A26" w:rsidRDefault="00221769" w:rsidP="007E71A4">
      <w:pPr>
        <w:autoSpaceDE w:val="0"/>
        <w:autoSpaceDN w:val="0"/>
        <w:adjustRightInd w:val="0"/>
        <w:rPr>
          <w:rFonts w:cs="Calibri Light"/>
          <w:color w:val="000000"/>
        </w:rPr>
      </w:pPr>
      <w:r w:rsidRPr="00561499">
        <w:rPr>
          <w:rFonts w:cs="Calibri Light"/>
          <w:color w:val="000000"/>
        </w:rPr>
        <w:t xml:space="preserve">In light of the Service Reports data above, this percentage of respondents using </w:t>
      </w:r>
      <w:proofErr w:type="spellStart"/>
      <w:r w:rsidRPr="00561499">
        <w:rPr>
          <w:rFonts w:cs="Calibri Light"/>
          <w:color w:val="000000"/>
        </w:rPr>
        <w:t>AMS</w:t>
      </w:r>
      <w:proofErr w:type="spellEnd"/>
      <w:r w:rsidRPr="00561499">
        <w:rPr>
          <w:rFonts w:cs="Calibri Light"/>
          <w:color w:val="000000"/>
        </w:rPr>
        <w:t>/</w:t>
      </w:r>
      <w:proofErr w:type="spellStart"/>
      <w:r w:rsidRPr="00561499">
        <w:rPr>
          <w:rFonts w:cs="Calibri Light"/>
          <w:color w:val="000000"/>
        </w:rPr>
        <w:t>ACCHOs</w:t>
      </w:r>
      <w:proofErr w:type="spellEnd"/>
      <w:r w:rsidRPr="00561499">
        <w:rPr>
          <w:rFonts w:cs="Calibri Light"/>
          <w:color w:val="000000"/>
        </w:rPr>
        <w:t xml:space="preserve"> might be far higher. And the answers about preferred services must also be considered open to error.</w:t>
      </w:r>
    </w:p>
    <w:p w14:paraId="18B526DD" w14:textId="71E6209C" w:rsidR="00221769" w:rsidRPr="009C54DE" w:rsidRDefault="003506CD" w:rsidP="009C54DE">
      <w:pPr>
        <w:rPr>
          <w:rFonts w:eastAsia="Times New Roman"/>
          <w:szCs w:val="24"/>
        </w:rPr>
      </w:pPr>
      <w:r w:rsidRPr="009C54DE">
        <w:rPr>
          <w:szCs w:val="24"/>
        </w:rPr>
        <w:t>By</w:t>
      </w:r>
      <w:r w:rsidR="00221769" w:rsidRPr="009C54DE">
        <w:rPr>
          <w:szCs w:val="24"/>
        </w:rPr>
        <w:t xml:space="preserve"> the </w:t>
      </w:r>
      <w:proofErr w:type="spellStart"/>
      <w:r w:rsidR="00221769" w:rsidRPr="009C54DE">
        <w:rPr>
          <w:szCs w:val="24"/>
        </w:rPr>
        <w:t>NATSIHS</w:t>
      </w:r>
      <w:proofErr w:type="spellEnd"/>
      <w:r w:rsidR="00221769" w:rsidRPr="009C54DE">
        <w:rPr>
          <w:szCs w:val="24"/>
        </w:rPr>
        <w:t>, respondents tended to express a preference for the services they currently use, and services perceived to be available in their local area.</w:t>
      </w:r>
      <w:r w:rsidR="00221769" w:rsidRPr="009C54DE">
        <w:rPr>
          <w:rStyle w:val="EndnoteReference"/>
          <w:rFonts w:cs="Calibri Light"/>
          <w:color w:val="000000"/>
          <w:szCs w:val="24"/>
        </w:rPr>
        <w:endnoteReference w:id="107"/>
      </w:r>
      <w:r w:rsidR="00221769" w:rsidRPr="009C54DE">
        <w:rPr>
          <w:szCs w:val="24"/>
        </w:rPr>
        <w:t xml:space="preserve"> The 2015 Service Reports locate only 11% of the 139 </w:t>
      </w:r>
      <w:proofErr w:type="spellStart"/>
      <w:r w:rsidR="00221769" w:rsidRPr="009C54DE">
        <w:rPr>
          <w:szCs w:val="24"/>
        </w:rPr>
        <w:t>ACCHOs</w:t>
      </w:r>
      <w:proofErr w:type="spellEnd"/>
      <w:r w:rsidR="00221769" w:rsidRPr="009C54DE">
        <w:rPr>
          <w:szCs w:val="24"/>
        </w:rPr>
        <w:t xml:space="preserve"> in major cities; with 33% in very remote areas.</w:t>
      </w:r>
      <w:r w:rsidR="00221769" w:rsidRPr="009C54DE">
        <w:rPr>
          <w:rStyle w:val="EndnoteReference"/>
          <w:rFonts w:cs="Calibri Light"/>
          <w:color w:val="000000"/>
          <w:szCs w:val="24"/>
        </w:rPr>
        <w:endnoteReference w:id="108"/>
      </w:r>
      <w:r w:rsidR="00221769" w:rsidRPr="009C54DE">
        <w:rPr>
          <w:szCs w:val="24"/>
        </w:rPr>
        <w:t xml:space="preserve"> Perhaps not surprisingly then GPs were the preferred health service providers of respondents in major cities (68%) compared with 10% in very remote areas;</w:t>
      </w:r>
      <w:r w:rsidR="00221769" w:rsidRPr="009C54DE">
        <w:rPr>
          <w:rStyle w:val="EndnoteReference"/>
          <w:rFonts w:cs="Calibri Light"/>
          <w:color w:val="000000"/>
          <w:szCs w:val="24"/>
        </w:rPr>
        <w:endnoteReference w:id="109"/>
      </w:r>
      <w:r w:rsidR="00221769" w:rsidRPr="009C54DE">
        <w:rPr>
          <w:szCs w:val="24"/>
        </w:rPr>
        <w:t xml:space="preserve"> and 95% of those living in major cities reported GPs being available compared with 31% in very remote areas.</w:t>
      </w:r>
      <w:r w:rsidR="00221769" w:rsidRPr="009C54DE">
        <w:rPr>
          <w:rStyle w:val="EndnoteReference"/>
          <w:rFonts w:cs="Calibri Light"/>
          <w:color w:val="000000"/>
          <w:szCs w:val="24"/>
        </w:rPr>
        <w:endnoteReference w:id="110"/>
      </w:r>
    </w:p>
    <w:p w14:paraId="46D599BA" w14:textId="0D35D475" w:rsidR="00221769" w:rsidRPr="00561499" w:rsidRDefault="00221769" w:rsidP="007C16E2">
      <w:pPr>
        <w:autoSpaceDE w:val="0"/>
        <w:autoSpaceDN w:val="0"/>
        <w:adjustRightInd w:val="0"/>
      </w:pPr>
      <w:r w:rsidRPr="00561499">
        <w:rPr>
          <w:rFonts w:cs="Helvetica Neue"/>
        </w:rPr>
        <w:t xml:space="preserve">Another factor that might be shaping perceptions of </w:t>
      </w:r>
      <w:proofErr w:type="spellStart"/>
      <w:r w:rsidRPr="00561499">
        <w:rPr>
          <w:rFonts w:cs="Helvetica Neue"/>
        </w:rPr>
        <w:t>AMS</w:t>
      </w:r>
      <w:proofErr w:type="spellEnd"/>
      <w:r w:rsidRPr="00561499">
        <w:rPr>
          <w:rFonts w:cs="Helvetica Neue"/>
        </w:rPr>
        <w:t xml:space="preserve"> and </w:t>
      </w:r>
      <w:proofErr w:type="spellStart"/>
      <w:r w:rsidRPr="00561499">
        <w:rPr>
          <w:rFonts w:cs="Helvetica Neue"/>
        </w:rPr>
        <w:t>ACCHOs</w:t>
      </w:r>
      <w:proofErr w:type="spellEnd"/>
      <w:r w:rsidRPr="00561499">
        <w:rPr>
          <w:rFonts w:cs="Helvetica Neue"/>
        </w:rPr>
        <w:t xml:space="preserve"> are resource limits on the services they can offer. With appropriate resources, an </w:t>
      </w:r>
      <w:proofErr w:type="spellStart"/>
      <w:r w:rsidRPr="00561499">
        <w:rPr>
          <w:rFonts w:cs="Helvetica Neue"/>
        </w:rPr>
        <w:t>ACCHO</w:t>
      </w:r>
      <w:proofErr w:type="spellEnd"/>
      <w:r w:rsidRPr="00561499">
        <w:rPr>
          <w:rFonts w:cs="Helvetica Neue"/>
        </w:rPr>
        <w:t xml:space="preserve"> is able to implement a comprehensive primary health care model based on the culturally shaped, holistic concepts of health understood by the communities they serve.</w:t>
      </w:r>
      <w:r w:rsidRPr="00561499">
        <w:rPr>
          <w:rStyle w:val="EndnoteReference"/>
          <w:rFonts w:cs="Helvetica Neue"/>
        </w:rPr>
        <w:endnoteReference w:id="111"/>
      </w:r>
      <w:r w:rsidR="009F517E">
        <w:rPr>
          <w:rFonts w:cs="Helvetica Neue"/>
        </w:rPr>
        <w:t xml:space="preserve"> </w:t>
      </w:r>
      <w:r w:rsidRPr="00561499">
        <w:t xml:space="preserve">However, in the 2015 Service Reports, of the 203 </w:t>
      </w:r>
      <w:r w:rsidR="00BC173D" w:rsidRPr="00561499">
        <w:t xml:space="preserve">Aboriginal and Torres Strait Islander </w:t>
      </w:r>
      <w:r w:rsidRPr="00561499">
        <w:t xml:space="preserve">primary health care </w:t>
      </w:r>
      <w:proofErr w:type="spellStart"/>
      <w:r w:rsidRPr="00561499">
        <w:t>organisations</w:t>
      </w:r>
      <w:proofErr w:type="spellEnd"/>
      <w:r w:rsidRPr="00561499">
        <w:t xml:space="preserve"> including </w:t>
      </w:r>
      <w:proofErr w:type="spellStart"/>
      <w:r w:rsidRPr="00561499">
        <w:t>ACCHOs</w:t>
      </w:r>
      <w:proofErr w:type="spellEnd"/>
      <w:r w:rsidRPr="00561499">
        <w:t>, 55% reported service gaps for mental health and social</w:t>
      </w:r>
      <w:r w:rsidR="001F72B7" w:rsidRPr="00561499">
        <w:t xml:space="preserve"> and emotional wellbeing, 53% — youth services; 47% — </w:t>
      </w:r>
      <w:r w:rsidRPr="00561499">
        <w:t xml:space="preserve">alcohol, tobacco and drug services; 42% </w:t>
      </w:r>
      <w:r w:rsidR="001F72B7" w:rsidRPr="00561499">
        <w:t>—</w:t>
      </w:r>
      <w:r w:rsidRPr="00561499">
        <w:t xml:space="preserve"> service gaps for the prevention and early detection of chronic disease.</w:t>
      </w:r>
      <w:r w:rsidRPr="00561499">
        <w:rPr>
          <w:rStyle w:val="EndnoteReference"/>
        </w:rPr>
        <w:endnoteReference w:id="112"/>
      </w:r>
    </w:p>
    <w:p w14:paraId="7878814D" w14:textId="08A4988F" w:rsidR="00221769" w:rsidRPr="009C54DE" w:rsidRDefault="00221769" w:rsidP="001116C1">
      <w:pPr>
        <w:autoSpaceDE w:val="0"/>
        <w:autoSpaceDN w:val="0"/>
        <w:adjustRightInd w:val="0"/>
        <w:rPr>
          <w:rFonts w:eastAsia="Times New Roman" w:cs="ProximaNova-Regular"/>
          <w:color w:val="36434D"/>
          <w:szCs w:val="24"/>
        </w:rPr>
      </w:pPr>
      <w:r w:rsidRPr="009C54DE">
        <w:rPr>
          <w:rFonts w:cs="Arial"/>
          <w:szCs w:val="24"/>
        </w:rPr>
        <w:t xml:space="preserve">A further factor that could negatively impact the services offered by </w:t>
      </w:r>
      <w:proofErr w:type="spellStart"/>
      <w:r w:rsidRPr="009C54DE">
        <w:rPr>
          <w:rFonts w:cs="Arial"/>
          <w:szCs w:val="24"/>
        </w:rPr>
        <w:t>ACCHOs</w:t>
      </w:r>
      <w:proofErr w:type="spellEnd"/>
      <w:r w:rsidRPr="009C54DE">
        <w:rPr>
          <w:rFonts w:cs="Arial"/>
          <w:szCs w:val="24"/>
        </w:rPr>
        <w:t xml:space="preserve"> is the 2012 freeze on GP and non-GP Medicare rebates continuing until </w:t>
      </w:r>
      <w:r w:rsidRPr="009C54DE">
        <w:rPr>
          <w:rFonts w:eastAsia="Times New Roman" w:cs="ProximaNova-Regular"/>
          <w:color w:val="36434D"/>
          <w:szCs w:val="24"/>
        </w:rPr>
        <w:t>July 2018, announced by the Australian Government along with its decision not to proceed with a 2014–15 Federal Bu</w:t>
      </w:r>
      <w:r w:rsidR="008A3AB4" w:rsidRPr="009C54DE">
        <w:rPr>
          <w:rFonts w:eastAsia="Times New Roman" w:cs="ProximaNova-Regular"/>
          <w:color w:val="36434D"/>
          <w:szCs w:val="24"/>
        </w:rPr>
        <w:t xml:space="preserve">dget proposal to introduce a GP </w:t>
      </w:r>
      <w:r w:rsidRPr="009C54DE">
        <w:rPr>
          <w:rFonts w:eastAsia="Times New Roman" w:cs="ProximaNova-Regular"/>
          <w:color w:val="36434D"/>
          <w:szCs w:val="24"/>
        </w:rPr>
        <w:t>co-payment.</w:t>
      </w:r>
      <w:r w:rsidRPr="009C54DE">
        <w:rPr>
          <w:rStyle w:val="EndnoteReference"/>
          <w:rFonts w:eastAsia="Times New Roman" w:cs="ProximaNova-Regular"/>
          <w:color w:val="36434D"/>
          <w:szCs w:val="24"/>
        </w:rPr>
        <w:endnoteReference w:id="113"/>
      </w:r>
    </w:p>
    <w:p w14:paraId="61575D7E" w14:textId="56CC7A9F" w:rsidR="00221769" w:rsidRPr="009C54DE" w:rsidRDefault="00221769" w:rsidP="001116C1">
      <w:pPr>
        <w:autoSpaceDE w:val="0"/>
        <w:autoSpaceDN w:val="0"/>
        <w:adjustRightInd w:val="0"/>
        <w:rPr>
          <w:rFonts w:eastAsia="Times New Roman" w:cs="ProximaNova-Regular"/>
          <w:color w:val="232323"/>
          <w:szCs w:val="24"/>
        </w:rPr>
      </w:pPr>
      <w:r w:rsidRPr="009C54DE">
        <w:rPr>
          <w:rFonts w:eastAsia="Times New Roman" w:cs="ProximaNova-Regular"/>
          <w:color w:val="36434D"/>
          <w:szCs w:val="24"/>
        </w:rPr>
        <w:lastRenderedPageBreak/>
        <w:t xml:space="preserve">The freeze is continuing despite the fact health care costs continue to rise above the rate of inflation. In April 2015 the Australian Government permitted </w:t>
      </w:r>
      <w:r w:rsidRPr="009C54DE">
        <w:rPr>
          <w:rFonts w:cs="Arial"/>
          <w:szCs w:val="24"/>
        </w:rPr>
        <w:t>private health insurance companies to increase their annual premiums by an average of 6.2</w:t>
      </w:r>
      <w:r w:rsidR="009C2F7C" w:rsidRPr="009C54DE">
        <w:rPr>
          <w:rFonts w:cs="Arial"/>
          <w:szCs w:val="24"/>
        </w:rPr>
        <w:t>%</w:t>
      </w:r>
      <w:r w:rsidRPr="009C54DE">
        <w:rPr>
          <w:rFonts w:cs="Arial"/>
          <w:szCs w:val="24"/>
        </w:rPr>
        <w:t>.</w:t>
      </w:r>
      <w:r w:rsidRPr="009C54DE">
        <w:rPr>
          <w:rStyle w:val="EndnoteReference"/>
          <w:rFonts w:cs="Arial"/>
          <w:szCs w:val="24"/>
        </w:rPr>
        <w:endnoteReference w:id="114"/>
      </w:r>
      <w:r w:rsidRPr="009C54DE">
        <w:rPr>
          <w:rFonts w:cs="Arial"/>
          <w:szCs w:val="24"/>
        </w:rPr>
        <w:t xml:space="preserve"> </w:t>
      </w:r>
      <w:r w:rsidR="003506CD" w:rsidRPr="009C54DE">
        <w:rPr>
          <w:rFonts w:cs="Arial"/>
          <w:szCs w:val="24"/>
        </w:rPr>
        <w:t>The p</w:t>
      </w:r>
      <w:r w:rsidRPr="009C54DE">
        <w:rPr>
          <w:rFonts w:cs="Arial"/>
          <w:szCs w:val="24"/>
        </w:rPr>
        <w:t>eak body for private health insurance companies</w:t>
      </w:r>
      <w:r w:rsidR="003506CD" w:rsidRPr="009C54DE">
        <w:rPr>
          <w:rFonts w:cs="Arial"/>
          <w:szCs w:val="24"/>
        </w:rPr>
        <w:t>,</w:t>
      </w:r>
      <w:r w:rsidRPr="009C54DE">
        <w:rPr>
          <w:rFonts w:cs="Arial"/>
          <w:szCs w:val="24"/>
        </w:rPr>
        <w:t xml:space="preserve"> Private Healthcare Australia</w:t>
      </w:r>
      <w:r w:rsidR="003506CD" w:rsidRPr="009C54DE">
        <w:rPr>
          <w:rFonts w:cs="Arial"/>
          <w:szCs w:val="24"/>
        </w:rPr>
        <w:t>,</w:t>
      </w:r>
      <w:r w:rsidRPr="009C54DE">
        <w:rPr>
          <w:rFonts w:cs="Arial"/>
          <w:szCs w:val="24"/>
        </w:rPr>
        <w:t xml:space="preserve"> explains that the ‘</w:t>
      </w:r>
      <w:r w:rsidRPr="009C54DE">
        <w:rPr>
          <w:rFonts w:eastAsia="Times New Roman" w:cs="ProximaNova-Regular"/>
          <w:color w:val="232323"/>
          <w:szCs w:val="24"/>
        </w:rPr>
        <w:t xml:space="preserve">the increasing costs of treatments and services (in particular increased costs due to technology and higher provider and contracting costs) and higher </w:t>
      </w:r>
      <w:proofErr w:type="spellStart"/>
      <w:r w:rsidRPr="009C54DE">
        <w:rPr>
          <w:rFonts w:eastAsia="Times New Roman" w:cs="ProximaNova-Regular"/>
          <w:color w:val="232323"/>
          <w:szCs w:val="24"/>
        </w:rPr>
        <w:t>utilisation</w:t>
      </w:r>
      <w:proofErr w:type="spellEnd"/>
      <w:r w:rsidRPr="009C54DE">
        <w:rPr>
          <w:rFonts w:eastAsia="Times New Roman" w:cs="ProximaNova-Regular"/>
          <w:color w:val="232323"/>
          <w:szCs w:val="24"/>
        </w:rPr>
        <w:t xml:space="preserve"> of treatments and services’ justify the increase.</w:t>
      </w:r>
      <w:r w:rsidRPr="009C54DE">
        <w:rPr>
          <w:rStyle w:val="EndnoteReference"/>
          <w:rFonts w:eastAsia="Times New Roman" w:cs="ProximaNova-Regular"/>
          <w:color w:val="232323"/>
          <w:szCs w:val="24"/>
        </w:rPr>
        <w:endnoteReference w:id="115"/>
      </w:r>
    </w:p>
    <w:p w14:paraId="7FF57B6E" w14:textId="0AB25B78" w:rsidR="00221769" w:rsidRPr="009C54DE" w:rsidRDefault="00221769" w:rsidP="001116C1">
      <w:pPr>
        <w:autoSpaceDE w:val="0"/>
        <w:autoSpaceDN w:val="0"/>
        <w:adjustRightInd w:val="0"/>
        <w:rPr>
          <w:rFonts w:cs="Arial"/>
          <w:szCs w:val="24"/>
        </w:rPr>
      </w:pPr>
      <w:r w:rsidRPr="009C54DE">
        <w:rPr>
          <w:rFonts w:eastAsia="Times New Roman" w:cs="ProximaNova-Regular"/>
          <w:color w:val="36434D"/>
          <w:szCs w:val="24"/>
        </w:rPr>
        <w:t xml:space="preserve">A recent study has estimated that by 2017–18, </w:t>
      </w:r>
      <w:r w:rsidRPr="009C54DE">
        <w:rPr>
          <w:rFonts w:eastAsia="Times New Roman" w:cs="Arial"/>
          <w:color w:val="262626"/>
          <w:szCs w:val="24"/>
        </w:rPr>
        <w:t>t</w:t>
      </w:r>
      <w:r w:rsidR="008A3AB4" w:rsidRPr="009C54DE">
        <w:rPr>
          <w:rFonts w:eastAsia="Times New Roman" w:cs="Arial"/>
          <w:color w:val="262626"/>
          <w:szCs w:val="24"/>
        </w:rPr>
        <w:t xml:space="preserve">he freeze would amount to a 7.1% </w:t>
      </w:r>
      <w:r w:rsidRPr="009C54DE">
        <w:rPr>
          <w:rFonts w:eastAsia="Times New Roman" w:cs="Arial"/>
          <w:color w:val="262626"/>
          <w:szCs w:val="24"/>
        </w:rPr>
        <w:t>reduction in GP rebate income compared with 2014–15.</w:t>
      </w:r>
      <w:r w:rsidRPr="009C54DE">
        <w:rPr>
          <w:rStyle w:val="EndnoteReference"/>
          <w:rFonts w:eastAsia="Times New Roman" w:cs="Arial"/>
          <w:color w:val="262626"/>
          <w:szCs w:val="24"/>
        </w:rPr>
        <w:endnoteReference w:id="116"/>
      </w:r>
      <w:r w:rsidRPr="009C54DE">
        <w:rPr>
          <w:rFonts w:eastAsia="Times New Roman" w:cs="Arial"/>
          <w:color w:val="262626"/>
          <w:szCs w:val="24"/>
        </w:rPr>
        <w:t xml:space="preserve"> </w:t>
      </w:r>
      <w:r w:rsidRPr="009C54DE">
        <w:rPr>
          <w:rFonts w:eastAsia="Times New Roman" w:cs="ProximaNova-Regular"/>
          <w:color w:val="232323"/>
          <w:szCs w:val="24"/>
        </w:rPr>
        <w:t xml:space="preserve">It is generally expected that GPs will pass increased costs onto patients, as many do already. But </w:t>
      </w:r>
      <w:proofErr w:type="spellStart"/>
      <w:r w:rsidR="005C5D95" w:rsidRPr="009C54DE">
        <w:rPr>
          <w:rFonts w:cs="Arial"/>
          <w:szCs w:val="24"/>
        </w:rPr>
        <w:t>ACCHOs</w:t>
      </w:r>
      <w:proofErr w:type="spellEnd"/>
      <w:r w:rsidR="005C5D95" w:rsidRPr="009C54DE">
        <w:rPr>
          <w:rFonts w:cs="Arial"/>
          <w:szCs w:val="24"/>
        </w:rPr>
        <w:t xml:space="preserve"> don’t pass on such costs—</w:t>
      </w:r>
      <w:r w:rsidRPr="009C54DE">
        <w:rPr>
          <w:rFonts w:cs="Arial"/>
          <w:szCs w:val="24"/>
        </w:rPr>
        <w:t xml:space="preserve">to ensure their services remain affordable (and therefore economically accessible) to Aboriginal and Torres Strait Islander people. At worst then the freeze could result in staff or service cuts.  Whatever its impact, it will be a disproportionate one on </w:t>
      </w:r>
      <w:proofErr w:type="spellStart"/>
      <w:r w:rsidRPr="009C54DE">
        <w:rPr>
          <w:rFonts w:cs="Arial"/>
          <w:szCs w:val="24"/>
        </w:rPr>
        <w:t>ACCHOs</w:t>
      </w:r>
      <w:proofErr w:type="spellEnd"/>
      <w:r w:rsidRPr="009C54DE">
        <w:rPr>
          <w:rFonts w:cs="Arial"/>
          <w:szCs w:val="24"/>
        </w:rPr>
        <w:t xml:space="preserve"> and the users of </w:t>
      </w:r>
      <w:proofErr w:type="spellStart"/>
      <w:r w:rsidRPr="009C54DE">
        <w:rPr>
          <w:rFonts w:cs="Arial"/>
          <w:szCs w:val="24"/>
        </w:rPr>
        <w:t>ACCHOs</w:t>
      </w:r>
      <w:proofErr w:type="spellEnd"/>
      <w:r w:rsidRPr="009C54DE">
        <w:rPr>
          <w:rFonts w:cs="Arial"/>
          <w:szCs w:val="24"/>
        </w:rPr>
        <w:t>, who are predominantly Aboriginal and Torres Strait Islander people, over other primary hea</w:t>
      </w:r>
      <w:r w:rsidR="00564A26" w:rsidRPr="009C54DE">
        <w:rPr>
          <w:rFonts w:cs="Arial"/>
          <w:szCs w:val="24"/>
        </w:rPr>
        <w:t>lth services and their clients.</w:t>
      </w:r>
    </w:p>
    <w:p w14:paraId="4E19B7DE" w14:textId="776BCEDA" w:rsidR="00221769" w:rsidRPr="009C54DE" w:rsidRDefault="00221769" w:rsidP="007C16E2">
      <w:pPr>
        <w:autoSpaceDE w:val="0"/>
        <w:autoSpaceDN w:val="0"/>
        <w:adjustRightInd w:val="0"/>
        <w:rPr>
          <w:rFonts w:eastAsia="Times New Roman" w:cs="Helvetica Neue"/>
          <w:color w:val="1A1A1A"/>
          <w:szCs w:val="24"/>
        </w:rPr>
      </w:pPr>
      <w:r w:rsidRPr="009C54DE">
        <w:rPr>
          <w:rFonts w:cs="Helvetica Neue"/>
          <w:szCs w:val="24"/>
        </w:rPr>
        <w:t xml:space="preserve">There are further risks on the horizon. </w:t>
      </w:r>
      <w:r w:rsidRPr="009C54DE">
        <w:rPr>
          <w:rFonts w:eastAsia="Times New Roman" w:cs="Helvetica Neue"/>
          <w:color w:val="1A1A1A"/>
          <w:szCs w:val="24"/>
        </w:rPr>
        <w:t>In April 2015, a Medicare Benefits Schedule (</w:t>
      </w:r>
      <w:proofErr w:type="spellStart"/>
      <w:r w:rsidRPr="009C54DE">
        <w:rPr>
          <w:rFonts w:eastAsia="Times New Roman" w:cs="Helvetica Neue"/>
          <w:color w:val="1A1A1A"/>
          <w:szCs w:val="24"/>
        </w:rPr>
        <w:t>MBS</w:t>
      </w:r>
      <w:proofErr w:type="spellEnd"/>
      <w:r w:rsidRPr="009C54DE">
        <w:rPr>
          <w:rFonts w:eastAsia="Times New Roman" w:cs="Helvetica Neue"/>
          <w:color w:val="1A1A1A"/>
          <w:szCs w:val="24"/>
        </w:rPr>
        <w:t xml:space="preserve">) Review Taskforce was established to consider how </w:t>
      </w:r>
      <w:proofErr w:type="spellStart"/>
      <w:r w:rsidRPr="009C54DE">
        <w:rPr>
          <w:rFonts w:eastAsia="Times New Roman" w:cs="Helvetica Neue"/>
          <w:color w:val="1A1A1A"/>
          <w:szCs w:val="24"/>
        </w:rPr>
        <w:t>MBS</w:t>
      </w:r>
      <w:proofErr w:type="spellEnd"/>
      <w:r w:rsidRPr="009C54DE">
        <w:rPr>
          <w:rFonts w:eastAsia="Times New Roman" w:cs="Helvetica Neue"/>
          <w:color w:val="1A1A1A"/>
          <w:szCs w:val="24"/>
        </w:rPr>
        <w:t xml:space="preserve"> items can be aligned with contemporary clinical evidence and practice and improve health outcomes for patients. While there are potential benefits that could accrue to Aboriginal and Torres Strait Islander people through the review, there are also risks th</w:t>
      </w:r>
      <w:r w:rsidR="00EE0B3D" w:rsidRPr="009C54DE">
        <w:rPr>
          <w:rFonts w:eastAsia="Times New Roman" w:cs="Helvetica Neue"/>
          <w:color w:val="1A1A1A"/>
          <w:szCs w:val="24"/>
        </w:rPr>
        <w:t xml:space="preserve">at items may be de-listed with </w:t>
      </w:r>
      <w:r w:rsidRPr="009C54DE">
        <w:rPr>
          <w:rFonts w:eastAsia="Times New Roman" w:cs="Helvetica Neue"/>
          <w:color w:val="1A1A1A"/>
          <w:szCs w:val="24"/>
        </w:rPr>
        <w:t>a disproportionate impact on Aboriginal and Torres Strait islander people. Similar risks attach to the ongoing roll out of the Primary Health Networks and a broad review of primary health care currently underway.</w:t>
      </w:r>
      <w:r w:rsidRPr="009C54DE">
        <w:rPr>
          <w:rStyle w:val="EndnoteReference"/>
          <w:rFonts w:eastAsia="Times New Roman" w:cs="Helvetica Neue"/>
          <w:color w:val="1A1A1A"/>
          <w:szCs w:val="24"/>
        </w:rPr>
        <w:endnoteReference w:id="117"/>
      </w:r>
    </w:p>
    <w:p w14:paraId="291653CD" w14:textId="3B67EF30" w:rsidR="00221769" w:rsidRPr="00561499" w:rsidRDefault="00221769" w:rsidP="007C16E2">
      <w:pPr>
        <w:autoSpaceDE w:val="0"/>
        <w:autoSpaceDN w:val="0"/>
        <w:adjustRightInd w:val="0"/>
        <w:rPr>
          <w:rFonts w:eastAsiaTheme="minorEastAsia" w:cs="Helvetica"/>
          <w:color w:val="1C1C1C"/>
          <w:lang w:val="en-AU" w:eastAsia="ja-JP"/>
        </w:rPr>
      </w:pPr>
      <w:r w:rsidRPr="00561499">
        <w:rPr>
          <w:rFonts w:eastAsiaTheme="minorEastAsia" w:cs="Helvetica"/>
          <w:color w:val="1C1C1C"/>
          <w:lang w:val="en-AU" w:eastAsia="ja-JP"/>
        </w:rPr>
        <w:t xml:space="preserve">In the 2015 </w:t>
      </w:r>
      <w:r w:rsidRPr="00564A26">
        <w:rPr>
          <w:rStyle w:val="Emphasis"/>
        </w:rPr>
        <w:t>Progress and Priorities Report</w:t>
      </w:r>
      <w:r w:rsidRPr="00561499">
        <w:rPr>
          <w:rFonts w:eastAsiaTheme="minorEastAsia" w:cs="Helvetica"/>
          <w:color w:val="1C1C1C"/>
          <w:lang w:val="en-AU" w:eastAsia="ja-JP"/>
        </w:rPr>
        <w:t>, the Campaign called for Aboriginal and Torres Strait Islander health impacts to be actively considered in all policies from design through to implementation. This would adequately reflect closing the gap as a national priority. While further work is required to ascertain the best mechanism and processes to achieve this go</w:t>
      </w:r>
      <w:r w:rsidR="00564A26">
        <w:rPr>
          <w:rFonts w:eastAsiaTheme="minorEastAsia" w:cs="Helvetica"/>
          <w:color w:val="1C1C1C"/>
          <w:lang w:val="en-AU" w:eastAsia="ja-JP"/>
        </w:rPr>
        <w:t>al, this call is repeated here.</w:t>
      </w:r>
    </w:p>
    <w:p w14:paraId="7DE466E3" w14:textId="1D4FDFB4" w:rsidR="00117695" w:rsidRPr="00564A26" w:rsidRDefault="00221769" w:rsidP="007C16E2">
      <w:pPr>
        <w:autoSpaceDE w:val="0"/>
        <w:autoSpaceDN w:val="0"/>
        <w:adjustRightInd w:val="0"/>
        <w:rPr>
          <w:rFonts w:cs="Calibri"/>
          <w:color w:val="000000" w:themeColor="text1"/>
          <w:lang w:val="en-AU"/>
        </w:rPr>
      </w:pPr>
      <w:r w:rsidRPr="00561499">
        <w:rPr>
          <w:rFonts w:cs="Calibri"/>
          <w:color w:val="000000" w:themeColor="text1"/>
          <w:lang w:val="en-AU"/>
        </w:rPr>
        <w:t xml:space="preserve">The Campaign Steering Committee will continue to monitor and report on the above and other general population health reforms initiated over the next year that could disproportionately impact on </w:t>
      </w:r>
      <w:proofErr w:type="spellStart"/>
      <w:r w:rsidRPr="00561499">
        <w:rPr>
          <w:rFonts w:cs="Calibri"/>
          <w:color w:val="000000" w:themeColor="text1"/>
          <w:lang w:val="en-AU"/>
        </w:rPr>
        <w:t>ACCHOs</w:t>
      </w:r>
      <w:proofErr w:type="spellEnd"/>
      <w:r w:rsidRPr="00561499">
        <w:rPr>
          <w:rFonts w:cs="Calibri"/>
          <w:color w:val="000000" w:themeColor="text1"/>
          <w:lang w:val="en-AU"/>
        </w:rPr>
        <w:t xml:space="preserve"> and Aboriginal and Torres Strait Islander people.</w:t>
      </w:r>
    </w:p>
    <w:p w14:paraId="2B7EA733" w14:textId="188F0B36" w:rsidR="00221769" w:rsidRPr="00561499" w:rsidRDefault="00564A26" w:rsidP="00564A26">
      <w:pPr>
        <w:pStyle w:val="Heading3"/>
      </w:pPr>
      <w:bookmarkStart w:id="13" w:name="_Toc315703406"/>
      <w:r>
        <w:lastRenderedPageBreak/>
        <w:t>2.2</w:t>
      </w:r>
      <w:r w:rsidR="00221769" w:rsidRPr="00561499">
        <w:t xml:space="preserve"> Blocks to service use, including racism and institutional racism in services</w:t>
      </w:r>
      <w:bookmarkEnd w:id="13"/>
    </w:p>
    <w:p w14:paraId="3884C04B" w14:textId="77777777" w:rsidR="00221769" w:rsidRPr="009C54DE" w:rsidRDefault="00221769" w:rsidP="00564A26">
      <w:pPr>
        <w:rPr>
          <w:szCs w:val="24"/>
        </w:rPr>
      </w:pPr>
      <w:r w:rsidRPr="009C54DE">
        <w:rPr>
          <w:szCs w:val="24"/>
        </w:rPr>
        <w:t xml:space="preserve">For respondents to the </w:t>
      </w:r>
      <w:proofErr w:type="spellStart"/>
      <w:r w:rsidRPr="009C54DE">
        <w:rPr>
          <w:szCs w:val="24"/>
        </w:rPr>
        <w:t>NATSIHS</w:t>
      </w:r>
      <w:proofErr w:type="spellEnd"/>
      <w:r w:rsidRPr="009C54DE">
        <w:rPr>
          <w:szCs w:val="24"/>
        </w:rPr>
        <w:t>, racism was both a common experience in daily life, and a barrier to health services: 16% of respondents reported being ‘treated badly because they are Aboriginal/ Torres Strait Islander’</w:t>
      </w:r>
      <w:r w:rsidRPr="009C54DE">
        <w:rPr>
          <w:rStyle w:val="EndnoteReference"/>
          <w:szCs w:val="24"/>
        </w:rPr>
        <w:endnoteReference w:id="118"/>
      </w:r>
      <w:r w:rsidRPr="009C54DE">
        <w:rPr>
          <w:szCs w:val="24"/>
        </w:rPr>
        <w:t xml:space="preserve"> in the previous 12 months.</w:t>
      </w:r>
      <w:r w:rsidRPr="009C54DE">
        <w:rPr>
          <w:rStyle w:val="EndnoteReference"/>
          <w:szCs w:val="24"/>
        </w:rPr>
        <w:endnoteReference w:id="119"/>
      </w:r>
      <w:r w:rsidRPr="009C54DE">
        <w:rPr>
          <w:szCs w:val="24"/>
        </w:rPr>
        <w:t xml:space="preserve"> Of this cohort, 8% reported this occu</w:t>
      </w:r>
      <w:r w:rsidR="006402CC" w:rsidRPr="009C54DE">
        <w:rPr>
          <w:szCs w:val="24"/>
        </w:rPr>
        <w:t>rred 2–</w:t>
      </w:r>
      <w:r w:rsidRPr="009C54DE">
        <w:rPr>
          <w:szCs w:val="24"/>
        </w:rPr>
        <w:t>3 times per week and 5% reported this was a daily occurrence.</w:t>
      </w:r>
      <w:r w:rsidRPr="009C54DE">
        <w:rPr>
          <w:rStyle w:val="EndnoteReference"/>
          <w:szCs w:val="24"/>
        </w:rPr>
        <w:endnoteReference w:id="120"/>
      </w:r>
      <w:r w:rsidRPr="009C54DE">
        <w:rPr>
          <w:szCs w:val="24"/>
        </w:rPr>
        <w:t xml:space="preserve"> The most common situation of racially discriminatory </w:t>
      </w:r>
      <w:proofErr w:type="spellStart"/>
      <w:r w:rsidRPr="009C54DE">
        <w:rPr>
          <w:szCs w:val="24"/>
        </w:rPr>
        <w:t>behaviour</w:t>
      </w:r>
      <w:proofErr w:type="spellEnd"/>
      <w:r w:rsidRPr="009C54DE">
        <w:rPr>
          <w:szCs w:val="24"/>
        </w:rPr>
        <w:t xml:space="preserve"> or racism was by members of the public (45%) and applying for work or while at work (29%).</w:t>
      </w:r>
      <w:r w:rsidRPr="009C54DE">
        <w:rPr>
          <w:rStyle w:val="EndnoteReference"/>
          <w:szCs w:val="24"/>
        </w:rPr>
        <w:endnoteReference w:id="121"/>
      </w:r>
    </w:p>
    <w:p w14:paraId="26B9C9BD" w14:textId="434753AC" w:rsidR="00221769" w:rsidRPr="009C54DE" w:rsidRDefault="00221769" w:rsidP="00564A26">
      <w:pPr>
        <w:rPr>
          <w:szCs w:val="24"/>
        </w:rPr>
      </w:pPr>
      <w:r w:rsidRPr="009C54DE">
        <w:rPr>
          <w:szCs w:val="24"/>
        </w:rPr>
        <w:t>Of the cohort reporting being ‘treated badly because they are Aboriginal/ Torres Strait Islander’</w:t>
      </w:r>
      <w:r w:rsidRPr="009C54DE">
        <w:rPr>
          <w:rStyle w:val="EndnoteReference"/>
          <w:szCs w:val="24"/>
        </w:rPr>
        <w:endnoteReference w:id="122"/>
      </w:r>
      <w:r w:rsidRPr="009C54DE">
        <w:rPr>
          <w:szCs w:val="24"/>
        </w:rPr>
        <w:t xml:space="preserve"> in the previous 12 months, 20% reported being treated in a racially discriminatory way by doctors, nurses or other staff in hospitals or doctors’ surgeries (about 3.2% of all respondents).</w:t>
      </w:r>
      <w:r w:rsidRPr="009C54DE">
        <w:rPr>
          <w:rStyle w:val="EndnoteReference"/>
          <w:szCs w:val="24"/>
        </w:rPr>
        <w:endnoteReference w:id="123"/>
      </w:r>
    </w:p>
    <w:p w14:paraId="407D1194" w14:textId="2261D7F6" w:rsidR="00221769" w:rsidRPr="009C54DE" w:rsidRDefault="00221769" w:rsidP="00564A26">
      <w:pPr>
        <w:rPr>
          <w:szCs w:val="24"/>
        </w:rPr>
      </w:pPr>
      <w:r w:rsidRPr="009C54DE">
        <w:rPr>
          <w:szCs w:val="24"/>
        </w:rPr>
        <w:t>About 7% of respondents reported that they had avoided seeking health care because they had been treated unfairly.</w:t>
      </w:r>
      <w:r w:rsidRPr="009C54DE">
        <w:rPr>
          <w:rStyle w:val="EndnoteReference"/>
          <w:szCs w:val="24"/>
        </w:rPr>
        <w:endnoteReference w:id="124"/>
      </w:r>
    </w:p>
    <w:p w14:paraId="36CDBCB9" w14:textId="7BBF27C4" w:rsidR="00221769" w:rsidRPr="009C54DE" w:rsidRDefault="00221769" w:rsidP="007E71A4">
      <w:pPr>
        <w:pStyle w:val="NormalWeb"/>
        <w:rPr>
          <w:rFonts w:ascii="Arial" w:hAnsi="Arial"/>
          <w:szCs w:val="24"/>
        </w:rPr>
      </w:pPr>
      <w:r w:rsidRPr="009C54DE">
        <w:rPr>
          <w:rFonts w:ascii="Arial" w:hAnsi="Arial" w:cs="Arial"/>
          <w:szCs w:val="24"/>
        </w:rPr>
        <w:t xml:space="preserve">The Campaign </w:t>
      </w:r>
      <w:r w:rsidR="005832DC" w:rsidRPr="009C54DE">
        <w:rPr>
          <w:rFonts w:ascii="Arial" w:hAnsi="Arial" w:cs="Arial"/>
          <w:szCs w:val="24"/>
        </w:rPr>
        <w:t xml:space="preserve">Steering Committee </w:t>
      </w:r>
      <w:r w:rsidRPr="009C54DE">
        <w:rPr>
          <w:rFonts w:ascii="Arial" w:hAnsi="Arial" w:cs="Arial"/>
          <w:szCs w:val="24"/>
        </w:rPr>
        <w:t xml:space="preserve">has long maintained that confronting racism in health services should be a priority for Australian governments. It is for this reason that part of the </w:t>
      </w:r>
      <w:r w:rsidRPr="009C54DE">
        <w:rPr>
          <w:rFonts w:ascii="Arial" w:hAnsi="Arial" w:cs="Arial"/>
          <w:i/>
          <w:szCs w:val="24"/>
        </w:rPr>
        <w:t>National Aboriginal and Torres Strait Islander Health Plan</w:t>
      </w:r>
      <w:r w:rsidRPr="009C54DE">
        <w:rPr>
          <w:rFonts w:ascii="Arial" w:hAnsi="Arial" w:cs="Arial"/>
          <w:szCs w:val="24"/>
        </w:rPr>
        <w:t xml:space="preserve">’s vision is for </w:t>
      </w:r>
      <w:r w:rsidRPr="009C54DE">
        <w:rPr>
          <w:rFonts w:ascii="Arial" w:hAnsi="Arial"/>
          <w:szCs w:val="24"/>
        </w:rPr>
        <w:t xml:space="preserve">‘a health system </w:t>
      </w:r>
      <w:r w:rsidR="00DA02C7" w:rsidRPr="009C54DE">
        <w:rPr>
          <w:rFonts w:ascii="Arial" w:hAnsi="Arial"/>
          <w:szCs w:val="24"/>
        </w:rPr>
        <w:t>…</w:t>
      </w:r>
      <w:r w:rsidRPr="009C54DE">
        <w:rPr>
          <w:rFonts w:ascii="Arial" w:hAnsi="Arial"/>
          <w:szCs w:val="24"/>
        </w:rPr>
        <w:t>free of racism and inequality.’</w:t>
      </w:r>
      <w:r w:rsidRPr="009C54DE">
        <w:rPr>
          <w:rStyle w:val="EndnoteReference"/>
          <w:szCs w:val="24"/>
        </w:rPr>
        <w:endnoteReference w:id="125"/>
      </w:r>
    </w:p>
    <w:p w14:paraId="2C71725D" w14:textId="24B53287" w:rsidR="00221769" w:rsidRPr="009C54DE" w:rsidRDefault="00221769" w:rsidP="00564A26">
      <w:pPr>
        <w:rPr>
          <w:szCs w:val="24"/>
        </w:rPr>
      </w:pPr>
      <w:r w:rsidRPr="009C54DE">
        <w:rPr>
          <w:szCs w:val="24"/>
        </w:rPr>
        <w:t xml:space="preserve">Otherwise, data collections suggest the presence of ‘institutional racism’ in the health system. This ‘refers to the ways in which racist beliefs or values have been built into the operations of social institutions’. A simple example is a monolingual service operating in multilingual area: it will inherently discriminate against those who do not speak the service-language unless it makes concerted efforts to overcome this barrier. Because it does not have to be overtly racist, institutional racism often goes </w:t>
      </w:r>
      <w:proofErr w:type="spellStart"/>
      <w:r w:rsidRPr="009C54DE">
        <w:rPr>
          <w:szCs w:val="24"/>
        </w:rPr>
        <w:t>unrecognised</w:t>
      </w:r>
      <w:proofErr w:type="spellEnd"/>
      <w:r w:rsidRPr="009C54DE">
        <w:rPr>
          <w:szCs w:val="24"/>
        </w:rPr>
        <w:t xml:space="preserve"> by services.</w:t>
      </w:r>
      <w:r w:rsidRPr="009C54DE">
        <w:rPr>
          <w:rStyle w:val="EndnoteReference"/>
          <w:rFonts w:cs="Verdana"/>
          <w:color w:val="1A1A1A"/>
          <w:szCs w:val="24"/>
        </w:rPr>
        <w:endnoteReference w:id="126"/>
      </w:r>
    </w:p>
    <w:p w14:paraId="1E65FBAB" w14:textId="4758601A" w:rsidR="00221769" w:rsidRPr="0025143E" w:rsidRDefault="00221769" w:rsidP="00564A26">
      <w:pPr>
        <w:autoSpaceDE w:val="0"/>
        <w:autoSpaceDN w:val="0"/>
        <w:adjustRightInd w:val="0"/>
        <w:rPr>
          <w:rFonts w:cs="Times"/>
          <w:szCs w:val="24"/>
        </w:rPr>
      </w:pPr>
      <w:r w:rsidRPr="0025143E">
        <w:rPr>
          <w:rFonts w:cs="Verdana"/>
          <w:color w:val="1A1A1A"/>
          <w:szCs w:val="24"/>
        </w:rPr>
        <w:t xml:space="preserve">A further example, often </w:t>
      </w:r>
      <w:proofErr w:type="spellStart"/>
      <w:r w:rsidRPr="0025143E">
        <w:rPr>
          <w:rFonts w:cs="Verdana"/>
          <w:color w:val="1A1A1A"/>
          <w:szCs w:val="24"/>
        </w:rPr>
        <w:t>unrecognised</w:t>
      </w:r>
      <w:proofErr w:type="spellEnd"/>
      <w:r w:rsidRPr="0025143E">
        <w:rPr>
          <w:rFonts w:cs="Verdana"/>
          <w:color w:val="1A1A1A"/>
          <w:szCs w:val="24"/>
        </w:rPr>
        <w:t xml:space="preserve"> as institutional racism, is provided by the failure of health services to ask patients whether they are Aboriginal and Torres Strait Islander either because they are assumed not to be, or else because the question is perceived as awkward to ask. This may explain why in the Bettering Evaluation and Care of Health (BEACH) survey of GP activity </w:t>
      </w:r>
      <w:r w:rsidRPr="0025143E">
        <w:rPr>
          <w:rFonts w:eastAsia="Times New Roman" w:cs="Arial"/>
          <w:szCs w:val="24"/>
        </w:rPr>
        <w:t xml:space="preserve">only 1.7% of patients were identified as Aboriginal and Torres Strait </w:t>
      </w:r>
      <w:r w:rsidR="003B25F3" w:rsidRPr="0025143E">
        <w:rPr>
          <w:rFonts w:eastAsia="Times New Roman" w:cs="Arial"/>
          <w:szCs w:val="24"/>
        </w:rPr>
        <w:t>I</w:t>
      </w:r>
      <w:r w:rsidRPr="0025143E">
        <w:rPr>
          <w:rFonts w:eastAsia="Times New Roman" w:cs="Arial"/>
          <w:szCs w:val="24"/>
        </w:rPr>
        <w:t>slander in 2014–2015. While up from 1% in 2005</w:t>
      </w:r>
      <w:r w:rsidR="009F517E" w:rsidRPr="0025143E">
        <w:rPr>
          <w:rFonts w:eastAsia="Times New Roman" w:cs="Arial"/>
          <w:szCs w:val="24"/>
        </w:rPr>
        <w:t>–</w:t>
      </w:r>
      <w:r w:rsidRPr="0025143E">
        <w:rPr>
          <w:rFonts w:eastAsia="Times New Roman" w:cs="Arial"/>
          <w:szCs w:val="24"/>
        </w:rPr>
        <w:t>2006, at face value this is still a significant under-representation given that 3% of the population were estimated to be Aboriginal and Torres Strait Islander at the time of the 2011 Census.</w:t>
      </w:r>
      <w:r w:rsidRPr="0025143E">
        <w:rPr>
          <w:rStyle w:val="EndnoteReference"/>
          <w:rFonts w:eastAsia="Times New Roman" w:cs="Arial"/>
          <w:szCs w:val="24"/>
        </w:rPr>
        <w:endnoteReference w:id="127"/>
      </w:r>
    </w:p>
    <w:p w14:paraId="15613DA7" w14:textId="0C524228" w:rsidR="00221769" w:rsidRPr="009C54DE" w:rsidRDefault="00221769" w:rsidP="009C54DE">
      <w:pPr>
        <w:rPr>
          <w:szCs w:val="24"/>
        </w:rPr>
      </w:pPr>
      <w:r w:rsidRPr="009C54DE">
        <w:rPr>
          <w:szCs w:val="24"/>
        </w:rPr>
        <w:lastRenderedPageBreak/>
        <w:t xml:space="preserve">In this report, the Campaign </w:t>
      </w:r>
      <w:r w:rsidR="005832DC" w:rsidRPr="009C54DE">
        <w:rPr>
          <w:szCs w:val="24"/>
        </w:rPr>
        <w:t xml:space="preserve">Steering Committee </w:t>
      </w:r>
      <w:r w:rsidRPr="009C54DE">
        <w:rPr>
          <w:szCs w:val="24"/>
        </w:rPr>
        <w:t>has already suggested that the gap in cancer survival might be indicat</w:t>
      </w:r>
      <w:r w:rsidR="005832DC" w:rsidRPr="009C54DE">
        <w:rPr>
          <w:szCs w:val="24"/>
        </w:rPr>
        <w:t>i</w:t>
      </w:r>
      <w:r w:rsidRPr="009C54DE">
        <w:rPr>
          <w:szCs w:val="24"/>
        </w:rPr>
        <w:t xml:space="preserve">ve of institutional racism. Further, </w:t>
      </w:r>
      <w:proofErr w:type="spellStart"/>
      <w:r w:rsidRPr="009C54DE">
        <w:rPr>
          <w:szCs w:val="24"/>
        </w:rPr>
        <w:t>AHMAC</w:t>
      </w:r>
      <w:proofErr w:type="spellEnd"/>
      <w:r w:rsidRPr="009C54DE">
        <w:rPr>
          <w:szCs w:val="24"/>
        </w:rPr>
        <w:t xml:space="preserve"> report that in the two years to June 2013, excluding care involving dialysis, 59% of hospital episodes for Aboriginal and Torres Strait Islander people had a procedure recorded, compared with 80% of hospital episodes for other Australians.</w:t>
      </w:r>
      <w:r w:rsidRPr="009C54DE">
        <w:rPr>
          <w:rStyle w:val="EndnoteReference"/>
          <w:szCs w:val="24"/>
        </w:rPr>
        <w:endnoteReference w:id="128"/>
      </w:r>
    </w:p>
    <w:p w14:paraId="2B73A9B2" w14:textId="400F9EED" w:rsidR="00221769" w:rsidRPr="009C54DE" w:rsidRDefault="00221769" w:rsidP="009C54DE">
      <w:pPr>
        <w:rPr>
          <w:szCs w:val="24"/>
        </w:rPr>
      </w:pPr>
      <w:r w:rsidRPr="009C54DE">
        <w:rPr>
          <w:szCs w:val="24"/>
        </w:rPr>
        <w:t xml:space="preserve">In other words, despite Aboriginal and Torres Strait Islander people having significantly worse health at the population level, and despite the fact that they are more likely to be </w:t>
      </w:r>
      <w:proofErr w:type="spellStart"/>
      <w:r w:rsidRPr="009C54DE">
        <w:rPr>
          <w:szCs w:val="24"/>
        </w:rPr>
        <w:t>hospitalised</w:t>
      </w:r>
      <w:proofErr w:type="spellEnd"/>
      <w:r w:rsidRPr="009C54DE">
        <w:rPr>
          <w:szCs w:val="24"/>
        </w:rPr>
        <w:t xml:space="preserve"> when compared to non-Indigenous people, they are </w:t>
      </w:r>
      <w:r w:rsidRPr="009C54DE">
        <w:rPr>
          <w:i/>
          <w:szCs w:val="24"/>
        </w:rPr>
        <w:t>less</w:t>
      </w:r>
      <w:r w:rsidRPr="009C54DE">
        <w:rPr>
          <w:szCs w:val="24"/>
        </w:rPr>
        <w:t xml:space="preserve"> likely to receive a medical or surgic</w:t>
      </w:r>
      <w:r w:rsidR="00564A26" w:rsidRPr="009C54DE">
        <w:rPr>
          <w:szCs w:val="24"/>
        </w:rPr>
        <w:t>al procedure while in hospital.</w:t>
      </w:r>
    </w:p>
    <w:p w14:paraId="6D8A55D4" w14:textId="7D890358" w:rsidR="00221769" w:rsidRPr="009C54DE" w:rsidRDefault="004E2B02" w:rsidP="009C54DE">
      <w:pPr>
        <w:rPr>
          <w:szCs w:val="24"/>
        </w:rPr>
      </w:pPr>
      <w:r w:rsidRPr="009C54DE">
        <w:rPr>
          <w:szCs w:val="24"/>
        </w:rPr>
        <w:t>In terms of improvements in access,</w:t>
      </w:r>
      <w:r w:rsidR="00221769" w:rsidRPr="009C54DE">
        <w:rPr>
          <w:szCs w:val="24"/>
        </w:rPr>
        <w:t xml:space="preserve"> there has been a significant increase in </w:t>
      </w:r>
      <w:r w:rsidR="003B25F3" w:rsidRPr="009C54DE">
        <w:rPr>
          <w:szCs w:val="24"/>
        </w:rPr>
        <w:t xml:space="preserve">Aboriginal and Torres Strait Islander </w:t>
      </w:r>
      <w:proofErr w:type="spellStart"/>
      <w:r w:rsidR="00221769" w:rsidRPr="009C54DE">
        <w:rPr>
          <w:szCs w:val="24"/>
        </w:rPr>
        <w:t>hospitalisation</w:t>
      </w:r>
      <w:proofErr w:type="spellEnd"/>
      <w:r w:rsidR="00221769" w:rsidRPr="009C54DE">
        <w:rPr>
          <w:szCs w:val="24"/>
        </w:rPr>
        <w:t xml:space="preserve"> rates with a procedure recorded between 2004–2005 and 2012–13 in NSW, Victoria, </w:t>
      </w:r>
      <w:proofErr w:type="spellStart"/>
      <w:r w:rsidR="00221769" w:rsidRPr="009C54DE">
        <w:rPr>
          <w:szCs w:val="24"/>
        </w:rPr>
        <w:t>Qld</w:t>
      </w:r>
      <w:proofErr w:type="spellEnd"/>
      <w:r w:rsidR="00221769" w:rsidRPr="009C54DE">
        <w:rPr>
          <w:szCs w:val="24"/>
        </w:rPr>
        <w:t>, WA, SA and the NT combined to the extent that the gap for those jurisdictions has halved.</w:t>
      </w:r>
      <w:r w:rsidR="00221769" w:rsidRPr="009C54DE">
        <w:rPr>
          <w:rStyle w:val="EndnoteReference"/>
          <w:szCs w:val="24"/>
        </w:rPr>
        <w:endnoteReference w:id="129"/>
      </w:r>
      <w:r w:rsidR="00221769" w:rsidRPr="009C54DE">
        <w:rPr>
          <w:szCs w:val="24"/>
        </w:rPr>
        <w:t xml:space="preserve"> Nonetheless, the current situation req</w:t>
      </w:r>
      <w:r w:rsidR="00EE0B3D" w:rsidRPr="009C54DE">
        <w:rPr>
          <w:szCs w:val="24"/>
        </w:rPr>
        <w:t>uires urgent attention. In all states and t</w:t>
      </w:r>
      <w:r w:rsidR="00221769" w:rsidRPr="009C54DE">
        <w:rPr>
          <w:szCs w:val="24"/>
        </w:rPr>
        <w:t>erritories, the current situation is that Aboriginal and Torres Strait Islander people remain less likely to receive a procedure, with the gap increasing with remoteness.</w:t>
      </w:r>
      <w:r w:rsidR="00221769" w:rsidRPr="009C54DE">
        <w:rPr>
          <w:rStyle w:val="EndnoteReference"/>
          <w:szCs w:val="24"/>
        </w:rPr>
        <w:endnoteReference w:id="130"/>
      </w:r>
    </w:p>
    <w:p w14:paraId="2A3723A6" w14:textId="6F635E3A" w:rsidR="00221769" w:rsidRPr="009C54DE" w:rsidRDefault="00221769" w:rsidP="009C54DE">
      <w:pPr>
        <w:rPr>
          <w:szCs w:val="24"/>
        </w:rPr>
      </w:pPr>
      <w:r w:rsidRPr="009C54DE">
        <w:rPr>
          <w:szCs w:val="24"/>
        </w:rPr>
        <w:t xml:space="preserve">This is of significant importance to closing the health gap. Between July 2011 and June 2013, among those </w:t>
      </w:r>
      <w:proofErr w:type="spellStart"/>
      <w:r w:rsidRPr="009C54DE">
        <w:rPr>
          <w:szCs w:val="24"/>
        </w:rPr>
        <w:t>hospitalised</w:t>
      </w:r>
      <w:proofErr w:type="spellEnd"/>
      <w:r w:rsidRPr="009C54DE">
        <w:rPr>
          <w:szCs w:val="24"/>
        </w:rPr>
        <w:t xml:space="preserve"> with coronary heart disease, Aboriginal and Torres Strait Islander people were nearly </w:t>
      </w:r>
      <w:r w:rsidRPr="009C54DE">
        <w:rPr>
          <w:rStyle w:val="Emphasis"/>
          <w:szCs w:val="24"/>
        </w:rPr>
        <w:t>half</w:t>
      </w:r>
      <w:r w:rsidRPr="009C54DE">
        <w:rPr>
          <w:szCs w:val="24"/>
        </w:rPr>
        <w:t xml:space="preserve"> as likely to receive coronary procedures as other Australians,</w:t>
      </w:r>
      <w:r w:rsidRPr="009C54DE">
        <w:rPr>
          <w:rStyle w:val="EndnoteReference"/>
          <w:szCs w:val="24"/>
        </w:rPr>
        <w:endnoteReference w:id="131"/>
      </w:r>
      <w:r w:rsidRPr="009C54DE">
        <w:rPr>
          <w:szCs w:val="24"/>
        </w:rPr>
        <w:t xml:space="preserve"> despite </w:t>
      </w:r>
      <w:proofErr w:type="spellStart"/>
      <w:r w:rsidRPr="009C54DE">
        <w:rPr>
          <w:szCs w:val="24"/>
        </w:rPr>
        <w:t>CVD</w:t>
      </w:r>
      <w:proofErr w:type="spellEnd"/>
      <w:r w:rsidRPr="009C54DE">
        <w:rPr>
          <w:szCs w:val="24"/>
        </w:rPr>
        <w:t xml:space="preserve"> being the single largest cause of death. For </w:t>
      </w:r>
      <w:proofErr w:type="spellStart"/>
      <w:r w:rsidRPr="009C54DE">
        <w:rPr>
          <w:szCs w:val="24"/>
        </w:rPr>
        <w:t>hospitalisations</w:t>
      </w:r>
      <w:proofErr w:type="spellEnd"/>
      <w:r w:rsidRPr="009C54DE">
        <w:rPr>
          <w:szCs w:val="24"/>
        </w:rPr>
        <w:t xml:space="preserve"> related to diseases of the digestive tract, Aboriginal and Torres Islander patients also received a corresponding procedure at significantly lower rates that their non-Indigenous peers.</w:t>
      </w:r>
      <w:r w:rsidRPr="009C54DE">
        <w:rPr>
          <w:rStyle w:val="EndnoteReference"/>
          <w:szCs w:val="24"/>
        </w:rPr>
        <w:endnoteReference w:id="132"/>
      </w:r>
    </w:p>
    <w:p w14:paraId="04F812FC" w14:textId="16E4052D" w:rsidR="00221769" w:rsidRPr="009C54DE" w:rsidRDefault="00221769" w:rsidP="009C54DE">
      <w:pPr>
        <w:rPr>
          <w:szCs w:val="24"/>
        </w:rPr>
      </w:pPr>
      <w:r w:rsidRPr="009C54DE">
        <w:rPr>
          <w:szCs w:val="24"/>
        </w:rPr>
        <w:t xml:space="preserve">At least </w:t>
      </w:r>
      <w:r w:rsidRPr="009C54DE">
        <w:rPr>
          <w:rStyle w:val="Emphasis"/>
          <w:szCs w:val="24"/>
        </w:rPr>
        <w:t>part</w:t>
      </w:r>
      <w:r w:rsidRPr="009C54DE">
        <w:rPr>
          <w:szCs w:val="24"/>
        </w:rPr>
        <w:t xml:space="preserve"> of the reason appears to be negative perceptions or experiences Aboriginal and Torres Strait Islander people have of and in hospitals. While specific reasons are not provided, between July 2011 and June 2013, </w:t>
      </w:r>
      <w:proofErr w:type="spellStart"/>
      <w:r w:rsidRPr="009C54DE">
        <w:rPr>
          <w:szCs w:val="24"/>
        </w:rPr>
        <w:t>AHMAC</w:t>
      </w:r>
      <w:proofErr w:type="spellEnd"/>
      <w:r w:rsidRPr="009C54DE">
        <w:rPr>
          <w:szCs w:val="24"/>
        </w:rPr>
        <w:t xml:space="preserve"> reports that </w:t>
      </w:r>
      <w:r w:rsidR="005832DC" w:rsidRPr="009C54DE">
        <w:rPr>
          <w:szCs w:val="24"/>
        </w:rPr>
        <w:t>5</w:t>
      </w:r>
      <w:r w:rsidRPr="009C54DE">
        <w:rPr>
          <w:szCs w:val="24"/>
        </w:rPr>
        <w:t xml:space="preserve">% of all </w:t>
      </w:r>
      <w:proofErr w:type="spellStart"/>
      <w:r w:rsidRPr="009C54DE">
        <w:rPr>
          <w:szCs w:val="24"/>
        </w:rPr>
        <w:t>hospitalised</w:t>
      </w:r>
      <w:proofErr w:type="spellEnd"/>
      <w:r w:rsidRPr="009C54DE">
        <w:rPr>
          <w:szCs w:val="24"/>
        </w:rPr>
        <w:t xml:space="preserve"> Aboriginal and Torres Strait Islander people left hospital against medical advice or were discharged at their own risk.</w:t>
      </w:r>
      <w:r w:rsidRPr="009C54DE">
        <w:rPr>
          <w:rStyle w:val="EndnoteReference"/>
          <w:szCs w:val="24"/>
        </w:rPr>
        <w:endnoteReference w:id="133"/>
      </w:r>
      <w:r w:rsidRPr="009C54DE">
        <w:rPr>
          <w:szCs w:val="24"/>
        </w:rPr>
        <w:t xml:space="preserve"> This compares with 0.5% for non-Indigenous people.</w:t>
      </w:r>
      <w:r w:rsidRPr="009C54DE">
        <w:rPr>
          <w:rStyle w:val="EndnoteReference"/>
          <w:szCs w:val="24"/>
        </w:rPr>
        <w:endnoteReference w:id="134"/>
      </w:r>
    </w:p>
    <w:p w14:paraId="73BB593F" w14:textId="60A15FFA" w:rsidR="00221769" w:rsidRPr="009C54DE" w:rsidRDefault="00221769" w:rsidP="00564A26">
      <w:pPr>
        <w:rPr>
          <w:rFonts w:cstheme="minorBidi"/>
          <w:szCs w:val="24"/>
        </w:rPr>
      </w:pPr>
      <w:r w:rsidRPr="009C54DE">
        <w:rPr>
          <w:szCs w:val="24"/>
        </w:rPr>
        <w:t xml:space="preserve">There is other evidence of a problem with hospitals and their relationship to Aboriginal and Torres Strait Islander people. Referring to the previously discussed </w:t>
      </w:r>
      <w:r w:rsidRPr="009C54DE">
        <w:rPr>
          <w:rFonts w:cstheme="minorBidi"/>
          <w:szCs w:val="24"/>
        </w:rPr>
        <w:t xml:space="preserve">30% of </w:t>
      </w:r>
      <w:proofErr w:type="spellStart"/>
      <w:r w:rsidRPr="009C54DE">
        <w:rPr>
          <w:rFonts w:cstheme="minorBidi"/>
          <w:szCs w:val="24"/>
        </w:rPr>
        <w:t>NATSIHS</w:t>
      </w:r>
      <w:proofErr w:type="spellEnd"/>
      <w:r w:rsidRPr="009C54DE">
        <w:rPr>
          <w:rFonts w:cstheme="minorBidi"/>
          <w:szCs w:val="24"/>
        </w:rPr>
        <w:t xml:space="preserve"> respondents who reported that they needed to but didn’t go to a health care provider in the previous 12 months, 27% reported barriers in relation to hospitals.</w:t>
      </w:r>
      <w:r w:rsidRPr="009C54DE">
        <w:rPr>
          <w:rStyle w:val="EndnoteReference"/>
          <w:rFonts w:cstheme="minorBidi"/>
          <w:szCs w:val="24"/>
        </w:rPr>
        <w:endnoteReference w:id="135"/>
      </w:r>
    </w:p>
    <w:p w14:paraId="5A6033BF" w14:textId="77777777" w:rsidR="003469D0" w:rsidRDefault="003469D0">
      <w:pPr>
        <w:keepLines w:val="0"/>
        <w:widowControl/>
        <w:spacing w:after="0" w:line="240" w:lineRule="auto"/>
        <w:rPr>
          <w:rFonts w:cstheme="minorBidi"/>
          <w:szCs w:val="24"/>
        </w:rPr>
      </w:pPr>
      <w:r>
        <w:rPr>
          <w:rFonts w:cstheme="minorBidi"/>
          <w:szCs w:val="24"/>
        </w:rPr>
        <w:br w:type="page"/>
      </w:r>
    </w:p>
    <w:p w14:paraId="5ABA49E6" w14:textId="4AC09D52" w:rsidR="00F85F30" w:rsidRPr="009C54DE" w:rsidRDefault="00221769" w:rsidP="003469D0">
      <w:pPr>
        <w:spacing w:after="400"/>
        <w:rPr>
          <w:rFonts w:cstheme="minorBidi"/>
          <w:szCs w:val="24"/>
        </w:rPr>
      </w:pPr>
      <w:r w:rsidRPr="009C54DE">
        <w:rPr>
          <w:rFonts w:cstheme="minorBidi"/>
          <w:szCs w:val="24"/>
        </w:rPr>
        <w:lastRenderedPageBreak/>
        <w:t>Based on the above discussion, the following recommendation is made.</w:t>
      </w:r>
    </w:p>
    <w:tbl>
      <w:tblPr>
        <w:tblStyle w:val="TableGrid"/>
        <w:tblW w:w="0" w:type="auto"/>
        <w:tblBorders>
          <w:top w:val="single" w:sz="8" w:space="0" w:color="007DA7"/>
          <w:left w:val="single" w:sz="8" w:space="0" w:color="007DA7"/>
          <w:bottom w:val="single" w:sz="8" w:space="0" w:color="007DA7"/>
          <w:right w:val="single" w:sz="8" w:space="0" w:color="007DA7"/>
          <w:insideH w:val="none" w:sz="0" w:space="0" w:color="auto"/>
          <w:insideV w:val="none" w:sz="0" w:space="0" w:color="auto"/>
        </w:tblBorders>
        <w:tblCellMar>
          <w:top w:w="227" w:type="dxa"/>
          <w:left w:w="227" w:type="dxa"/>
          <w:bottom w:w="227" w:type="dxa"/>
          <w:right w:w="227" w:type="dxa"/>
        </w:tblCellMar>
        <w:tblLook w:val="04A0" w:firstRow="1" w:lastRow="0" w:firstColumn="1" w:lastColumn="0" w:noHBand="0" w:noVBand="1"/>
      </w:tblPr>
      <w:tblGrid>
        <w:gridCol w:w="9060"/>
      </w:tblGrid>
      <w:tr w:rsidR="00221769" w:rsidRPr="00561499" w14:paraId="3C1EB681" w14:textId="77777777" w:rsidTr="00923627">
        <w:tc>
          <w:tcPr>
            <w:tcW w:w="9060" w:type="dxa"/>
            <w:shd w:val="clear" w:color="auto" w:fill="auto"/>
          </w:tcPr>
          <w:p w14:paraId="3F0A58A2" w14:textId="07452F80" w:rsidR="00221A61" w:rsidRDefault="00221A61" w:rsidP="00923627">
            <w:pPr>
              <w:pStyle w:val="Heading5"/>
              <w:spacing w:before="200" w:after="200"/>
              <w:outlineLvl w:val="4"/>
            </w:pPr>
            <w:r>
              <w:t>Recommendation</w:t>
            </w:r>
          </w:p>
          <w:p w14:paraId="37B1D3FF" w14:textId="3A5C9274" w:rsidR="00221769" w:rsidRPr="00561499" w:rsidRDefault="00221769" w:rsidP="00221A61">
            <w:pPr>
              <w:rPr>
                <w:b/>
              </w:rPr>
            </w:pPr>
            <w:r w:rsidRPr="00561499">
              <w:t>That a national inquiry into racism and institutional racism in health care settings, and hospitals in particular, and its contribution to Aboriginal and Torres Strait Islander health inequality, is undertaken by the Senate Select Committee on Health.</w:t>
            </w:r>
          </w:p>
        </w:tc>
      </w:tr>
    </w:tbl>
    <w:p w14:paraId="014C36AD" w14:textId="77777777" w:rsidR="003B25F3" w:rsidRPr="00561499" w:rsidRDefault="003B25F3" w:rsidP="00221A61"/>
    <w:p w14:paraId="48CC0E59" w14:textId="043C03E4" w:rsidR="00221769" w:rsidRPr="009C54DE" w:rsidRDefault="00221769" w:rsidP="00221A61">
      <w:pPr>
        <w:rPr>
          <w:szCs w:val="24"/>
        </w:rPr>
      </w:pPr>
      <w:r w:rsidRPr="009C54DE">
        <w:rPr>
          <w:szCs w:val="24"/>
        </w:rPr>
        <w:t xml:space="preserve">The Campaign </w:t>
      </w:r>
      <w:r w:rsidR="005832DC" w:rsidRPr="009C54DE">
        <w:rPr>
          <w:szCs w:val="24"/>
        </w:rPr>
        <w:t xml:space="preserve">Steering Committee </w:t>
      </w:r>
      <w:r w:rsidRPr="009C54DE">
        <w:rPr>
          <w:szCs w:val="24"/>
        </w:rPr>
        <w:t>notes that the presence of Aboriginal Health Workers has been shown to reduce the number of discharges from hospital by Aboriginal and Torres Strait Islander people against medical advice.</w:t>
      </w:r>
      <w:r w:rsidRPr="009C54DE">
        <w:rPr>
          <w:rStyle w:val="EndnoteReference"/>
          <w:szCs w:val="24"/>
        </w:rPr>
        <w:endnoteReference w:id="136"/>
      </w:r>
      <w:r w:rsidRPr="009C54DE">
        <w:rPr>
          <w:szCs w:val="24"/>
        </w:rPr>
        <w:t xml:space="preserve"> In particular, this has increased participation in cardiac rehabilitation, which, in turn, has been shown to have a significant impact on survival rates for </w:t>
      </w:r>
      <w:proofErr w:type="spellStart"/>
      <w:r w:rsidRPr="009C54DE">
        <w:rPr>
          <w:szCs w:val="24"/>
        </w:rPr>
        <w:t>CVD</w:t>
      </w:r>
      <w:proofErr w:type="spellEnd"/>
      <w:r w:rsidRPr="009C54DE">
        <w:rPr>
          <w:szCs w:val="24"/>
        </w:rPr>
        <w:t>.</w:t>
      </w:r>
      <w:r w:rsidRPr="009C54DE">
        <w:rPr>
          <w:rStyle w:val="EndnoteReference"/>
          <w:szCs w:val="24"/>
        </w:rPr>
        <w:endnoteReference w:id="137"/>
      </w:r>
      <w:r w:rsidRPr="009C54DE">
        <w:rPr>
          <w:szCs w:val="24"/>
        </w:rPr>
        <w:t xml:space="preserve"> How to improve Aboriginal and Torres Strait Islander people</w:t>
      </w:r>
      <w:r w:rsidR="003B25F3" w:rsidRPr="009C54DE">
        <w:rPr>
          <w:szCs w:val="24"/>
        </w:rPr>
        <w:t>’s</w:t>
      </w:r>
      <w:r w:rsidRPr="009C54DE">
        <w:rPr>
          <w:szCs w:val="24"/>
        </w:rPr>
        <w:t xml:space="preserve"> experience and perception of hospitals as well as other health services is discussed below.</w:t>
      </w:r>
    </w:p>
    <w:p w14:paraId="2CC286C5" w14:textId="4BD282A4" w:rsidR="00117695" w:rsidRPr="009C54DE" w:rsidRDefault="00B33E11" w:rsidP="00221A61">
      <w:pPr>
        <w:rPr>
          <w:szCs w:val="24"/>
        </w:rPr>
      </w:pPr>
      <w:r w:rsidRPr="009C54DE">
        <w:rPr>
          <w:szCs w:val="24"/>
        </w:rPr>
        <w:t>T</w:t>
      </w:r>
      <w:r w:rsidR="00221769" w:rsidRPr="009C54DE">
        <w:rPr>
          <w:szCs w:val="24"/>
        </w:rPr>
        <w:t xml:space="preserve">he Close the Gap Campaign welcomes the ongoing work of member </w:t>
      </w:r>
      <w:r w:rsidR="00221769" w:rsidRPr="009C54DE">
        <w:rPr>
          <w:rFonts w:cs="Eyswnevzlhphbsxxhevmqhptaur"/>
          <w:color w:val="092B36"/>
          <w:szCs w:val="24"/>
        </w:rPr>
        <w:t xml:space="preserve">the Australian Healthcare and Hospitals Association and its partners to validate the </w:t>
      </w:r>
      <w:proofErr w:type="spellStart"/>
      <w:r w:rsidR="00221769" w:rsidRPr="009C54DE">
        <w:rPr>
          <w:rFonts w:cs="Eyswnevzlhphbsxxhevmqhptaur"/>
          <w:color w:val="092B36"/>
          <w:szCs w:val="24"/>
        </w:rPr>
        <w:t>Marrie</w:t>
      </w:r>
      <w:proofErr w:type="spellEnd"/>
      <w:r w:rsidR="00221769" w:rsidRPr="009C54DE">
        <w:rPr>
          <w:rFonts w:cs="Eyswnevzlhphbsxxhevmqhptaur"/>
          <w:color w:val="092B36"/>
          <w:szCs w:val="24"/>
        </w:rPr>
        <w:t xml:space="preserve"> Institutional Racism Matrix (</w:t>
      </w:r>
      <w:proofErr w:type="spellStart"/>
      <w:r w:rsidR="00221769" w:rsidRPr="009C54DE">
        <w:rPr>
          <w:rFonts w:cs="Eyswnevzlhphbsxxhevmqhptaur"/>
          <w:color w:val="092B36"/>
          <w:szCs w:val="24"/>
        </w:rPr>
        <w:t>MIRM</w:t>
      </w:r>
      <w:proofErr w:type="spellEnd"/>
      <w:r w:rsidR="00221769" w:rsidRPr="009C54DE">
        <w:rPr>
          <w:rFonts w:cs="Eyswnevzlhphbsxxhevmqhptaur"/>
          <w:color w:val="092B36"/>
          <w:szCs w:val="24"/>
        </w:rPr>
        <w:t>).</w:t>
      </w:r>
      <w:r w:rsidR="00221769" w:rsidRPr="009C54DE">
        <w:rPr>
          <w:rStyle w:val="EndnoteReference"/>
          <w:rFonts w:cs="Eyswnevzlhphbsxxhevmqhptaur"/>
          <w:color w:val="092B36"/>
          <w:szCs w:val="24"/>
        </w:rPr>
        <w:endnoteReference w:id="138"/>
      </w:r>
      <w:r w:rsidR="00221769" w:rsidRPr="009C54DE">
        <w:rPr>
          <w:rFonts w:cs="Eyswnevzlhphbsxxhevmqhptaur"/>
          <w:color w:val="092B36"/>
          <w:szCs w:val="24"/>
        </w:rPr>
        <w:t xml:space="preserve"> This was </w:t>
      </w:r>
      <w:r w:rsidR="00221769" w:rsidRPr="009C54DE">
        <w:rPr>
          <w:rFonts w:cs="Eyswnevzlhphbsxxhevmqhptaur"/>
          <w:szCs w:val="24"/>
        </w:rPr>
        <w:t>developed in 2014 as ‘a tool for external assessment purposes to identify, measure and monitor racism in an institutional setting’ and ‘to provide a measure for public health sector engagement with Aboriginal and Torres Strait Islander people in the decision-making, planning, implementation and accountability processes regarding Aboriginal and Torres Strait Islander community healthcare needs and service delivery’.</w:t>
      </w:r>
      <w:r w:rsidR="00221769" w:rsidRPr="009C54DE">
        <w:rPr>
          <w:rStyle w:val="EndnoteReference"/>
          <w:rFonts w:cs="Eyswnevzlhphbsxxhevmqhptaur"/>
          <w:szCs w:val="24"/>
        </w:rPr>
        <w:endnoteReference w:id="139"/>
      </w:r>
      <w:r w:rsidR="003469D0">
        <w:rPr>
          <w:rFonts w:cs="Eyswnevzlhphbsxxhevmqhptaur"/>
          <w:szCs w:val="24"/>
        </w:rPr>
        <w:t xml:space="preserve"> </w:t>
      </w:r>
      <w:r w:rsidR="00221769" w:rsidRPr="009C54DE">
        <w:rPr>
          <w:rFonts w:cs="Eyswnevzlhphbsxxhevmqhptaur"/>
          <w:szCs w:val="24"/>
        </w:rPr>
        <w:t xml:space="preserve">It is hoped the </w:t>
      </w:r>
      <w:proofErr w:type="spellStart"/>
      <w:r w:rsidR="00221769" w:rsidRPr="009C54DE">
        <w:rPr>
          <w:rFonts w:cs="Eyswnevzlhphbsxxhevmqhptaur"/>
          <w:szCs w:val="24"/>
        </w:rPr>
        <w:t>MIRM</w:t>
      </w:r>
      <w:proofErr w:type="spellEnd"/>
      <w:r w:rsidR="00221769" w:rsidRPr="009C54DE">
        <w:rPr>
          <w:rFonts w:cs="Eyswnevzlhphbsxxhevmqhptaur"/>
          <w:szCs w:val="24"/>
        </w:rPr>
        <w:t xml:space="preserve"> will make a significant contribution to understanding institutional racism in health services over the next decade.</w:t>
      </w:r>
    </w:p>
    <w:p w14:paraId="324F9A6D" w14:textId="751CACD5" w:rsidR="00221769" w:rsidRPr="00561499" w:rsidRDefault="00221A61" w:rsidP="00221A61">
      <w:pPr>
        <w:pStyle w:val="Heading3"/>
      </w:pPr>
      <w:bookmarkStart w:id="14" w:name="_Toc315703407"/>
      <w:r>
        <w:t>2</w:t>
      </w:r>
      <w:r w:rsidR="00EF5E20" w:rsidRPr="00561499">
        <w:t>.</w:t>
      </w:r>
      <w:r>
        <w:t>3</w:t>
      </w:r>
      <w:r w:rsidR="00EF5E20" w:rsidRPr="00561499">
        <w:t xml:space="preserve"> </w:t>
      </w:r>
      <w:r w:rsidR="00EE0B3D" w:rsidRPr="00561499">
        <w:t>Cultural competence/</w:t>
      </w:r>
      <w:r w:rsidR="00221769" w:rsidRPr="00561499">
        <w:t>respect of services</w:t>
      </w:r>
      <w:bookmarkEnd w:id="14"/>
    </w:p>
    <w:p w14:paraId="60C0F5C0" w14:textId="10A5FEF8" w:rsidR="00A723C7" w:rsidRPr="00221A61" w:rsidRDefault="00A723C7" w:rsidP="00A723C7">
      <w:pPr>
        <w:autoSpaceDE w:val="0"/>
        <w:autoSpaceDN w:val="0"/>
        <w:adjustRightInd w:val="0"/>
      </w:pPr>
      <w:r w:rsidRPr="00561499">
        <w:rPr>
          <w:lang w:val="en-AU"/>
        </w:rPr>
        <w:t xml:space="preserve">The Australian Health Ministers’ Advisory Council developed the </w:t>
      </w:r>
      <w:r w:rsidR="00182AD6" w:rsidRPr="009C54DE">
        <w:rPr>
          <w:rStyle w:val="Emphasis"/>
        </w:rPr>
        <w:t>Australian Cultural Respect Framework for Aboriginal and Torres Strait Islander Health 2004–2009</w:t>
      </w:r>
      <w:r w:rsidRPr="00561499">
        <w:rPr>
          <w:i/>
          <w:lang w:val="en-AU"/>
        </w:rPr>
        <w:t xml:space="preserve"> </w:t>
      </w:r>
      <w:r w:rsidRPr="00561499">
        <w:rPr>
          <w:lang w:val="en-AU"/>
        </w:rPr>
        <w:t xml:space="preserve">as a guiding principle in policy construction and service delivery for use by different jurisdictions. </w:t>
      </w:r>
      <w:r w:rsidR="00182AD6" w:rsidRPr="00561499">
        <w:rPr>
          <w:lang w:val="en-AU"/>
        </w:rPr>
        <w:t xml:space="preserve">The Framework has seven </w:t>
      </w:r>
      <w:r w:rsidRPr="00561499">
        <w:rPr>
          <w:lang w:val="en-AU"/>
        </w:rPr>
        <w:t xml:space="preserve">guiding principles: a holistic approach, health sector responsibility, community control of primary health care services, working together, </w:t>
      </w:r>
      <w:r w:rsidR="00182AD6" w:rsidRPr="00561499">
        <w:rPr>
          <w:lang w:val="en-AU"/>
        </w:rPr>
        <w:t>and promoting</w:t>
      </w:r>
      <w:r w:rsidRPr="00561499">
        <w:rPr>
          <w:lang w:val="en-AU"/>
        </w:rPr>
        <w:t xml:space="preserve"> good health, building the capacity of health services and communities, and accountability for health outcomes. </w:t>
      </w:r>
      <w:r w:rsidR="00182AD6" w:rsidRPr="00561499">
        <w:rPr>
          <w:lang w:val="en-AU"/>
        </w:rPr>
        <w:t>It is</w:t>
      </w:r>
      <w:r w:rsidRPr="00561499">
        <w:rPr>
          <w:lang w:val="en-AU"/>
        </w:rPr>
        <w:t xml:space="preserve"> aimed to influence health services and their delivery </w:t>
      </w:r>
      <w:r w:rsidR="00182AD6" w:rsidRPr="00561499">
        <w:rPr>
          <w:lang w:val="en-AU"/>
        </w:rPr>
        <w:t>and covers</w:t>
      </w:r>
      <w:r w:rsidRPr="00561499">
        <w:rPr>
          <w:lang w:val="en-AU"/>
        </w:rPr>
        <w:t xml:space="preserve"> the four key areas of</w:t>
      </w:r>
      <w:r w:rsidR="00923627">
        <w:rPr>
          <w:lang w:val="en-AU"/>
        </w:rPr>
        <w:t>:</w:t>
      </w:r>
      <w:r w:rsidRPr="00561499">
        <w:rPr>
          <w:lang w:val="en-AU"/>
        </w:rPr>
        <w:t xml:space="preserve"> (1) </w:t>
      </w:r>
      <w:r w:rsidRPr="00561499">
        <w:t>improved outcomes and quality</w:t>
      </w:r>
      <w:r w:rsidR="00923627">
        <w:t>;</w:t>
      </w:r>
      <w:r w:rsidRPr="00561499">
        <w:t xml:space="preserve"> (2) more efficient and effective services</w:t>
      </w:r>
      <w:r w:rsidR="00923627">
        <w:t>;</w:t>
      </w:r>
      <w:r w:rsidRPr="00561499">
        <w:t xml:space="preserve"> (3) expenditure reduction</w:t>
      </w:r>
      <w:r w:rsidR="00923627">
        <w:t>;</w:t>
      </w:r>
      <w:r w:rsidRPr="00561499">
        <w:t xml:space="preserve"> and </w:t>
      </w:r>
      <w:r w:rsidR="00182AD6" w:rsidRPr="00561499">
        <w:t xml:space="preserve">(4) </w:t>
      </w:r>
      <w:r w:rsidRPr="00561499">
        <w:t>improved customer satisfaction.</w:t>
      </w:r>
    </w:p>
    <w:p w14:paraId="60097DD5" w14:textId="4349507A" w:rsidR="00A1381C" w:rsidRPr="00561499" w:rsidRDefault="00A1381C" w:rsidP="00A1381C">
      <w:pPr>
        <w:autoSpaceDE w:val="0"/>
        <w:autoSpaceDN w:val="0"/>
        <w:adjustRightInd w:val="0"/>
      </w:pPr>
      <w:r w:rsidRPr="00561499">
        <w:lastRenderedPageBreak/>
        <w:t>Preparing undergraduates and health professionals to deliver culturally respectful health services requires education programs that are evaluated for long-term improvements to practice.</w:t>
      </w:r>
      <w:r w:rsidR="007B772F" w:rsidRPr="00561499">
        <w:rPr>
          <w:rStyle w:val="EndnoteReference"/>
        </w:rPr>
        <w:endnoteReference w:id="140"/>
      </w:r>
      <w:r w:rsidRPr="00561499">
        <w:t xml:space="preserve"> Communities of practice such as the Leaders in Indigenous Medical Education are working to embed lifelong learning skills for cultural competency within medical curricula. Such training across the sector is critical to achieving the institutional, professional and personal commitment required for systemic change. Healthcare providers need to not only reflect on their own attitudes, but take the lead to work collect</w:t>
      </w:r>
      <w:r w:rsidR="007B772F" w:rsidRPr="00561499">
        <w:t>ively to effect systemic change.</w:t>
      </w:r>
      <w:r w:rsidR="007B772F" w:rsidRPr="00561499">
        <w:rPr>
          <w:rStyle w:val="EndnoteReference"/>
        </w:rPr>
        <w:endnoteReference w:id="141"/>
      </w:r>
      <w:r w:rsidR="00CE5B17">
        <w:t xml:space="preserve"> </w:t>
      </w:r>
      <w:r w:rsidRPr="00561499">
        <w:t>Self-reflection to eliminate bias, relationships with Aboriginal and Torres Strait Islander people and partnership building are seen as key to reducing health disparities</w:t>
      </w:r>
      <w:r w:rsidR="000D0136" w:rsidRPr="00561499">
        <w:t>.</w:t>
      </w:r>
      <w:r w:rsidR="005E36C2" w:rsidRPr="00561499">
        <w:rPr>
          <w:rStyle w:val="EndnoteReference"/>
        </w:rPr>
        <w:endnoteReference w:id="142"/>
      </w:r>
      <w:r w:rsidRPr="00561499">
        <w:t xml:space="preserve"> The importance of relationships can be the following study of health service cultural respect strategies.</w:t>
      </w:r>
    </w:p>
    <w:p w14:paraId="4FED76FE" w14:textId="291A6642" w:rsidR="00221769" w:rsidRPr="00561499" w:rsidRDefault="00182AD6" w:rsidP="007E71A4">
      <w:pPr>
        <w:autoSpaceDE w:val="0"/>
        <w:autoSpaceDN w:val="0"/>
        <w:adjustRightInd w:val="0"/>
      </w:pPr>
      <w:r w:rsidRPr="00561499">
        <w:t>A</w:t>
      </w:r>
      <w:r w:rsidR="00A1381C" w:rsidRPr="00561499">
        <w:t xml:space="preserve"> 2014 study involved six primary health care service providers including an </w:t>
      </w:r>
      <w:proofErr w:type="spellStart"/>
      <w:r w:rsidR="00A1381C" w:rsidRPr="00561499">
        <w:t>ACCHO</w:t>
      </w:r>
      <w:proofErr w:type="spellEnd"/>
      <w:r w:rsidR="00A1381C" w:rsidRPr="00561499">
        <w:t xml:space="preserve"> and a government-run Aboriginal Health Team being assessed for ‘cultural respect’: defined with reference to the </w:t>
      </w:r>
      <w:r w:rsidR="00A1381C" w:rsidRPr="00221A61">
        <w:rPr>
          <w:rStyle w:val="Emphasis"/>
        </w:rPr>
        <w:t>Australian Cultural Respect Framework for Aboriginal and Torres Strait Islander Health 2004</w:t>
      </w:r>
      <w:r w:rsidR="006402CC" w:rsidRPr="00221A61">
        <w:rPr>
          <w:rStyle w:val="Emphasis"/>
        </w:rPr>
        <w:t>–</w:t>
      </w:r>
      <w:r w:rsidR="00A1381C" w:rsidRPr="00221A61">
        <w:rPr>
          <w:rStyle w:val="Emphasis"/>
        </w:rPr>
        <w:t>2009</w:t>
      </w:r>
      <w:r w:rsidR="00A1381C" w:rsidRPr="00561499">
        <w:t xml:space="preserve"> as ‘the recognition, protection and continued advancement of the inherent rights, cultures and traditions of Aboriginal and Torres Strait Islander Peoples.’</w:t>
      </w:r>
      <w:r w:rsidR="000D0136" w:rsidRPr="00561499">
        <w:rPr>
          <w:rStyle w:val="EndnoteReference"/>
        </w:rPr>
        <w:endnoteReference w:id="143"/>
      </w:r>
      <w:r w:rsidR="00221A61">
        <w:t xml:space="preserve"> </w:t>
      </w:r>
      <w:r w:rsidR="00221769" w:rsidRPr="00561499">
        <w:t xml:space="preserve">Assessment included </w:t>
      </w:r>
      <w:r w:rsidR="00221769" w:rsidRPr="00561499">
        <w:rPr>
          <w:rFonts w:cs="Times"/>
          <w:color w:val="1A1718"/>
        </w:rPr>
        <w:t xml:space="preserve">Aboriginal and Torres Strait Islander </w:t>
      </w:r>
      <w:r w:rsidR="00221769" w:rsidRPr="00561499">
        <w:t>client feedback.</w:t>
      </w:r>
      <w:r w:rsidR="00221769" w:rsidRPr="00561499">
        <w:rPr>
          <w:rStyle w:val="EndnoteReference"/>
        </w:rPr>
        <w:endnoteReference w:id="144"/>
      </w:r>
    </w:p>
    <w:p w14:paraId="63FAC603" w14:textId="77777777" w:rsidR="0023765F" w:rsidRPr="00561499" w:rsidRDefault="00221769" w:rsidP="0023765F">
      <w:pPr>
        <w:autoSpaceDE w:val="0"/>
        <w:autoSpaceDN w:val="0"/>
        <w:adjustRightInd w:val="0"/>
        <w:rPr>
          <w:rFonts w:cs="Times"/>
          <w:color w:val="1A1718"/>
        </w:rPr>
      </w:pPr>
      <w:r w:rsidRPr="00561499">
        <w:t xml:space="preserve">By this method, contributors to ensuring a culturally respectful service </w:t>
      </w:r>
      <w:r w:rsidR="005C60F9" w:rsidRPr="00561499">
        <w:t>included</w:t>
      </w:r>
      <w:r w:rsidR="00FB45AC" w:rsidRPr="00561499">
        <w:t xml:space="preserve"> (but</w:t>
      </w:r>
      <w:r w:rsidR="00EE0B3D" w:rsidRPr="00561499">
        <w:t xml:space="preserve"> were</w:t>
      </w:r>
      <w:r w:rsidR="00FB45AC" w:rsidRPr="00561499">
        <w:t xml:space="preserve"> not limited to)</w:t>
      </w:r>
      <w:r w:rsidRPr="00561499">
        <w:t>:</w:t>
      </w:r>
    </w:p>
    <w:p w14:paraId="268B55D4" w14:textId="77777777" w:rsidR="00221769" w:rsidRPr="009C54DE" w:rsidRDefault="00221769" w:rsidP="0023765F">
      <w:pPr>
        <w:pStyle w:val="ListParagraph"/>
        <w:numPr>
          <w:ilvl w:val="0"/>
          <w:numId w:val="22"/>
        </w:numPr>
        <w:spacing w:before="120"/>
        <w:ind w:left="714" w:hanging="357"/>
        <w:contextualSpacing w:val="0"/>
        <w:rPr>
          <w:szCs w:val="24"/>
        </w:rPr>
      </w:pPr>
      <w:r w:rsidRPr="009C54DE">
        <w:rPr>
          <w:szCs w:val="24"/>
        </w:rPr>
        <w:t>A ‘social view’ of health that saw health and social problems as coterminous and services that could work with both.</w:t>
      </w:r>
    </w:p>
    <w:p w14:paraId="4A687FB4" w14:textId="2B51D2F8" w:rsidR="00221769" w:rsidRPr="009C54DE" w:rsidRDefault="00221769" w:rsidP="0023765F">
      <w:pPr>
        <w:pStyle w:val="ListParagraph"/>
        <w:numPr>
          <w:ilvl w:val="0"/>
          <w:numId w:val="22"/>
        </w:numPr>
        <w:spacing w:before="120"/>
        <w:ind w:left="714" w:hanging="357"/>
        <w:contextualSpacing w:val="0"/>
        <w:rPr>
          <w:szCs w:val="24"/>
        </w:rPr>
      </w:pPr>
      <w:r w:rsidRPr="009C54DE">
        <w:rPr>
          <w:szCs w:val="24"/>
        </w:rPr>
        <w:t>Ab</w:t>
      </w:r>
      <w:r w:rsidR="005C5D95" w:rsidRPr="009C54DE">
        <w:rPr>
          <w:szCs w:val="24"/>
        </w:rPr>
        <w:t>original health professionals—</w:t>
      </w:r>
      <w:r w:rsidRPr="009C54DE">
        <w:rPr>
          <w:szCs w:val="24"/>
        </w:rPr>
        <w:t>with which clients reported feeling more comfortable</w:t>
      </w:r>
      <w:r w:rsidR="00221A61" w:rsidRPr="009C54DE">
        <w:rPr>
          <w:szCs w:val="24"/>
        </w:rPr>
        <w:t xml:space="preserve"> talking about health problems.</w:t>
      </w:r>
    </w:p>
    <w:p w14:paraId="25F8067E" w14:textId="77777777" w:rsidR="00221769" w:rsidRPr="009C54DE" w:rsidRDefault="00221769" w:rsidP="0023765F">
      <w:pPr>
        <w:pStyle w:val="ListParagraph"/>
        <w:numPr>
          <w:ilvl w:val="0"/>
          <w:numId w:val="22"/>
        </w:numPr>
        <w:spacing w:before="120"/>
        <w:ind w:left="714" w:hanging="357"/>
        <w:contextualSpacing w:val="0"/>
        <w:rPr>
          <w:szCs w:val="24"/>
        </w:rPr>
      </w:pPr>
      <w:r w:rsidRPr="009C54DE">
        <w:rPr>
          <w:szCs w:val="24"/>
        </w:rPr>
        <w:t>Aboriginal health workers or liaison officers to accompany clients to external appointments and build confidence in external services. This was important to help mitigate the racism and poor treatment clients sometimes experienced in external services (as noted above, in hospitals).</w:t>
      </w:r>
    </w:p>
    <w:p w14:paraId="371DCB0B" w14:textId="7D4752D8" w:rsidR="00221769" w:rsidRPr="009C54DE" w:rsidRDefault="00221769" w:rsidP="0023765F">
      <w:pPr>
        <w:pStyle w:val="ListParagraph"/>
        <w:numPr>
          <w:ilvl w:val="0"/>
          <w:numId w:val="22"/>
        </w:numPr>
        <w:spacing w:before="120"/>
        <w:ind w:left="714" w:hanging="357"/>
        <w:contextualSpacing w:val="0"/>
        <w:rPr>
          <w:szCs w:val="24"/>
        </w:rPr>
      </w:pPr>
      <w:r w:rsidRPr="009C54DE">
        <w:rPr>
          <w:szCs w:val="24"/>
        </w:rPr>
        <w:t>Proactive</w:t>
      </w:r>
      <w:r w:rsidR="005C5D95" w:rsidRPr="009C54DE">
        <w:rPr>
          <w:szCs w:val="24"/>
        </w:rPr>
        <w:t xml:space="preserve"> strategies to support access—</w:t>
      </w:r>
      <w:r w:rsidRPr="009C54DE">
        <w:rPr>
          <w:szCs w:val="24"/>
        </w:rPr>
        <w:t>including by provision of t</w:t>
      </w:r>
      <w:r w:rsidR="00221A61" w:rsidRPr="009C54DE">
        <w:rPr>
          <w:szCs w:val="24"/>
        </w:rPr>
        <w:t>ransport and outreach services.</w:t>
      </w:r>
    </w:p>
    <w:p w14:paraId="0D03327A" w14:textId="77777777" w:rsidR="00221769" w:rsidRPr="009C54DE" w:rsidRDefault="00221769" w:rsidP="0023765F">
      <w:pPr>
        <w:pStyle w:val="ListParagraph"/>
        <w:numPr>
          <w:ilvl w:val="0"/>
          <w:numId w:val="22"/>
        </w:numPr>
        <w:spacing w:before="120"/>
        <w:ind w:left="714" w:hanging="357"/>
        <w:contextualSpacing w:val="0"/>
        <w:rPr>
          <w:szCs w:val="24"/>
        </w:rPr>
      </w:pPr>
      <w:r w:rsidRPr="009C54DE">
        <w:rPr>
          <w:szCs w:val="24"/>
        </w:rPr>
        <w:t>Cultural protocols and cultural advisory boards working with the governance framework of the service.</w:t>
      </w:r>
      <w:r w:rsidRPr="009C54DE">
        <w:rPr>
          <w:rStyle w:val="EndnoteReference"/>
          <w:rFonts w:eastAsia="Times New Roman" w:cs="Eyswnevzlhphbsxxhevmqhptaur"/>
          <w:szCs w:val="24"/>
          <w:lang w:val="en-AU" w:eastAsia="en-AU"/>
        </w:rPr>
        <w:endnoteReference w:id="145"/>
      </w:r>
    </w:p>
    <w:p w14:paraId="5286F453" w14:textId="68F1224C" w:rsidR="00221769" w:rsidRPr="00561499" w:rsidRDefault="00FB45AC" w:rsidP="007E71A4">
      <w:pPr>
        <w:autoSpaceDE w:val="0"/>
        <w:autoSpaceDN w:val="0"/>
        <w:adjustRightInd w:val="0"/>
        <w:rPr>
          <w:rFonts w:cs="Arial"/>
        </w:rPr>
      </w:pPr>
      <w:r w:rsidRPr="00561499">
        <w:rPr>
          <w:rFonts w:cs="Arial"/>
        </w:rPr>
        <w:t>The study found</w:t>
      </w:r>
      <w:r w:rsidR="00221769" w:rsidRPr="00561499">
        <w:rPr>
          <w:rFonts w:cs="Arial"/>
        </w:rPr>
        <w:t xml:space="preserve"> a particular strength of the community controlled model was the freedom and capacity of the service to respond to the local situation, and incorporate local </w:t>
      </w:r>
      <w:r w:rsidR="005C60F9" w:rsidRPr="00561499">
        <w:rPr>
          <w:rFonts w:cs="Arial"/>
        </w:rPr>
        <w:t xml:space="preserve">community and cultural </w:t>
      </w:r>
      <w:r w:rsidR="00221769" w:rsidRPr="00561499">
        <w:rPr>
          <w:rFonts w:cs="Arial"/>
        </w:rPr>
        <w:t>knowledge into program development and service delivery.</w:t>
      </w:r>
      <w:r w:rsidR="00221769" w:rsidRPr="00561499">
        <w:rPr>
          <w:rStyle w:val="EndnoteReference"/>
          <w:rFonts w:cs="Arial"/>
        </w:rPr>
        <w:endnoteReference w:id="146"/>
      </w:r>
    </w:p>
    <w:p w14:paraId="2D10096E" w14:textId="5A83CD9B" w:rsidR="00221769" w:rsidRPr="009C54DE" w:rsidRDefault="00221769" w:rsidP="007E71A4">
      <w:pPr>
        <w:autoSpaceDE w:val="0"/>
        <w:autoSpaceDN w:val="0"/>
        <w:adjustRightInd w:val="0"/>
        <w:rPr>
          <w:rFonts w:cs="Arial"/>
          <w:szCs w:val="24"/>
        </w:rPr>
      </w:pPr>
      <w:r w:rsidRPr="009C54DE">
        <w:rPr>
          <w:rFonts w:cs="Arial"/>
          <w:szCs w:val="24"/>
        </w:rPr>
        <w:lastRenderedPageBreak/>
        <w:t xml:space="preserve">As has been discussed, this is a primary reason for the Close the </w:t>
      </w:r>
      <w:r w:rsidR="00FB45AC" w:rsidRPr="009C54DE">
        <w:rPr>
          <w:rFonts w:cs="Arial"/>
          <w:szCs w:val="24"/>
        </w:rPr>
        <w:t xml:space="preserve">Gap Campaign’s support for </w:t>
      </w:r>
      <w:proofErr w:type="spellStart"/>
      <w:r w:rsidR="00FB45AC" w:rsidRPr="009C54DE">
        <w:rPr>
          <w:rFonts w:cs="Arial"/>
          <w:szCs w:val="24"/>
        </w:rPr>
        <w:t>ACCHO</w:t>
      </w:r>
      <w:r w:rsidRPr="009C54DE">
        <w:rPr>
          <w:rFonts w:cs="Arial"/>
          <w:szCs w:val="24"/>
        </w:rPr>
        <w:t>s</w:t>
      </w:r>
      <w:proofErr w:type="spellEnd"/>
      <w:r w:rsidRPr="009C54DE">
        <w:rPr>
          <w:rFonts w:cs="Arial"/>
          <w:szCs w:val="24"/>
        </w:rPr>
        <w:t xml:space="preserve"> above all other models of primary health service delivery in Aboriginal and Torres Strait Islander communities. But </w:t>
      </w:r>
      <w:proofErr w:type="spellStart"/>
      <w:r w:rsidRPr="009C54DE">
        <w:rPr>
          <w:rFonts w:cs="Arial"/>
          <w:szCs w:val="24"/>
        </w:rPr>
        <w:t>ACCH</w:t>
      </w:r>
      <w:r w:rsidR="005C60F9" w:rsidRPr="009C54DE">
        <w:rPr>
          <w:rFonts w:cs="Arial"/>
          <w:szCs w:val="24"/>
        </w:rPr>
        <w:t>Os</w:t>
      </w:r>
      <w:proofErr w:type="spellEnd"/>
      <w:r w:rsidRPr="009C54DE">
        <w:rPr>
          <w:rFonts w:cs="Arial"/>
          <w:szCs w:val="24"/>
        </w:rPr>
        <w:t xml:space="preserve"> are also able to meet h</w:t>
      </w:r>
      <w:r w:rsidR="006402CC" w:rsidRPr="009C54DE">
        <w:rPr>
          <w:rFonts w:cs="Arial"/>
          <w:szCs w:val="24"/>
        </w:rPr>
        <w:t>igh clinical standards: in 2013–</w:t>
      </w:r>
      <w:r w:rsidRPr="009C54DE">
        <w:rPr>
          <w:rFonts w:cs="Arial"/>
          <w:szCs w:val="24"/>
        </w:rPr>
        <w:t xml:space="preserve">2014, </w:t>
      </w:r>
      <w:r w:rsidRPr="009C54DE">
        <w:rPr>
          <w:szCs w:val="24"/>
        </w:rPr>
        <w:t xml:space="preserve">94% were accredited either with the </w:t>
      </w:r>
      <w:proofErr w:type="spellStart"/>
      <w:r w:rsidRPr="009C54DE">
        <w:rPr>
          <w:szCs w:val="24"/>
        </w:rPr>
        <w:t>RACGP</w:t>
      </w:r>
      <w:proofErr w:type="spellEnd"/>
      <w:r w:rsidRPr="009C54DE">
        <w:rPr>
          <w:szCs w:val="24"/>
        </w:rPr>
        <w:t xml:space="preserve"> or against </w:t>
      </w:r>
      <w:proofErr w:type="spellStart"/>
      <w:r w:rsidRPr="009C54DE">
        <w:rPr>
          <w:szCs w:val="24"/>
        </w:rPr>
        <w:t>organisational</w:t>
      </w:r>
      <w:proofErr w:type="spellEnd"/>
      <w:r w:rsidRPr="009C54DE">
        <w:rPr>
          <w:szCs w:val="24"/>
        </w:rPr>
        <w:t xml:space="preserve"> standards</w:t>
      </w:r>
      <w:r w:rsidR="00A1381C" w:rsidRPr="009C54DE">
        <w:rPr>
          <w:szCs w:val="24"/>
        </w:rPr>
        <w:t>.</w:t>
      </w:r>
      <w:r w:rsidRPr="009C54DE">
        <w:rPr>
          <w:rStyle w:val="EndnoteReference"/>
          <w:szCs w:val="24"/>
        </w:rPr>
        <w:endnoteReference w:id="147"/>
      </w:r>
    </w:p>
    <w:p w14:paraId="3ECA3ADA" w14:textId="0D73916C" w:rsidR="00221769" w:rsidRPr="009C54DE" w:rsidRDefault="00221769" w:rsidP="007E71A4">
      <w:pPr>
        <w:autoSpaceDE w:val="0"/>
        <w:autoSpaceDN w:val="0"/>
        <w:adjustRightInd w:val="0"/>
        <w:rPr>
          <w:rFonts w:cs="Times"/>
          <w:color w:val="1A1718"/>
          <w:szCs w:val="24"/>
        </w:rPr>
      </w:pPr>
      <w:r w:rsidRPr="009C54DE">
        <w:rPr>
          <w:rFonts w:cs="Arial"/>
          <w:szCs w:val="24"/>
        </w:rPr>
        <w:t>In other (non-community controlled) contexts, the study reported that the personal commitment of staff to cultural respect principles was critical.</w:t>
      </w:r>
      <w:r w:rsidRPr="009C54DE">
        <w:rPr>
          <w:rStyle w:val="EndnoteReference"/>
          <w:rFonts w:cs="Arial"/>
          <w:szCs w:val="24"/>
        </w:rPr>
        <w:endnoteReference w:id="148"/>
      </w:r>
      <w:r w:rsidRPr="009C54DE">
        <w:rPr>
          <w:rFonts w:cs="Arial"/>
          <w:szCs w:val="24"/>
        </w:rPr>
        <w:t xml:space="preserve"> </w:t>
      </w:r>
      <w:r w:rsidRPr="009C54DE">
        <w:rPr>
          <w:rFonts w:cs="Times"/>
          <w:color w:val="1A1718"/>
          <w:szCs w:val="24"/>
        </w:rPr>
        <w:t>As such, the employment of Aboriginal and Torres Strait Islander staff, particularly from the local community, was a central strategy for achieving cultural respect across all health services.</w:t>
      </w:r>
      <w:r w:rsidRPr="009C54DE">
        <w:rPr>
          <w:rStyle w:val="EndnoteReference"/>
          <w:rFonts w:cs="Times"/>
          <w:color w:val="1A1718"/>
          <w:szCs w:val="24"/>
        </w:rPr>
        <w:endnoteReference w:id="149"/>
      </w:r>
    </w:p>
    <w:p w14:paraId="1B708BA2" w14:textId="259E951B" w:rsidR="00221769" w:rsidRPr="009C54DE" w:rsidRDefault="00221769" w:rsidP="007E71A4">
      <w:pPr>
        <w:autoSpaceDE w:val="0"/>
        <w:autoSpaceDN w:val="0"/>
        <w:adjustRightInd w:val="0"/>
        <w:rPr>
          <w:szCs w:val="24"/>
        </w:rPr>
      </w:pPr>
      <w:r w:rsidRPr="009C54DE">
        <w:rPr>
          <w:rFonts w:cs="Times"/>
          <w:color w:val="1A1718"/>
          <w:szCs w:val="24"/>
        </w:rPr>
        <w:t xml:space="preserve">The Service Reports do not disaggregate employment data for </w:t>
      </w:r>
      <w:proofErr w:type="spellStart"/>
      <w:r w:rsidRPr="009C54DE">
        <w:rPr>
          <w:rFonts w:cs="Times"/>
          <w:color w:val="1A1718"/>
          <w:szCs w:val="24"/>
        </w:rPr>
        <w:t>ACCHOs</w:t>
      </w:r>
      <w:proofErr w:type="spellEnd"/>
      <w:r w:rsidRPr="009C54DE">
        <w:rPr>
          <w:rFonts w:cs="Times"/>
          <w:color w:val="1A1718"/>
          <w:szCs w:val="24"/>
        </w:rPr>
        <w:t xml:space="preserve">, but in Indigenous primary health care </w:t>
      </w:r>
      <w:proofErr w:type="spellStart"/>
      <w:r w:rsidRPr="009C54DE">
        <w:rPr>
          <w:rFonts w:cs="Times"/>
          <w:color w:val="1A1718"/>
          <w:szCs w:val="24"/>
        </w:rPr>
        <w:t>organisations</w:t>
      </w:r>
      <w:proofErr w:type="spellEnd"/>
      <w:r w:rsidRPr="009C54DE">
        <w:rPr>
          <w:rFonts w:cs="Times"/>
          <w:color w:val="1A1718"/>
          <w:szCs w:val="24"/>
        </w:rPr>
        <w:t xml:space="preserve"> overall </w:t>
      </w:r>
      <w:r w:rsidRPr="009C54DE">
        <w:rPr>
          <w:szCs w:val="24"/>
        </w:rPr>
        <w:t>53%</w:t>
      </w:r>
      <w:r w:rsidR="00FB45AC" w:rsidRPr="009C54DE">
        <w:rPr>
          <w:szCs w:val="24"/>
        </w:rPr>
        <w:t xml:space="preserve"> </w:t>
      </w:r>
      <w:r w:rsidRPr="009C54DE">
        <w:rPr>
          <w:szCs w:val="24"/>
        </w:rPr>
        <w:t xml:space="preserve">of </w:t>
      </w:r>
      <w:r w:rsidR="00A1381C" w:rsidRPr="009C54DE">
        <w:rPr>
          <w:szCs w:val="24"/>
        </w:rPr>
        <w:t xml:space="preserve">full time </w:t>
      </w:r>
      <w:r w:rsidRPr="009C54DE">
        <w:rPr>
          <w:szCs w:val="24"/>
        </w:rPr>
        <w:t xml:space="preserve">staff employed were </w:t>
      </w:r>
      <w:r w:rsidRPr="009C54DE">
        <w:rPr>
          <w:rFonts w:cs="Times"/>
          <w:color w:val="1A1718"/>
          <w:szCs w:val="24"/>
        </w:rPr>
        <w:t>Aboriginal and Torres Strait Islander</w:t>
      </w:r>
      <w:r w:rsidR="00FB45AC" w:rsidRPr="009C54DE">
        <w:rPr>
          <w:rFonts w:cs="Times"/>
          <w:color w:val="1A1718"/>
          <w:szCs w:val="24"/>
        </w:rPr>
        <w:t xml:space="preserve"> people</w:t>
      </w:r>
      <w:r w:rsidRPr="009C54DE">
        <w:rPr>
          <w:rFonts w:cs="Times"/>
          <w:color w:val="1A1718"/>
          <w:szCs w:val="24"/>
        </w:rPr>
        <w:t>.</w:t>
      </w:r>
      <w:r w:rsidRPr="009C54DE">
        <w:rPr>
          <w:rStyle w:val="EndnoteReference"/>
          <w:szCs w:val="24"/>
        </w:rPr>
        <w:endnoteReference w:id="150"/>
      </w:r>
      <w:r w:rsidRPr="009C54DE">
        <w:rPr>
          <w:szCs w:val="24"/>
        </w:rPr>
        <w:t xml:space="preserve"> While relatively few doctors and nurses were Aboriginal a</w:t>
      </w:r>
      <w:r w:rsidR="0029209E" w:rsidRPr="009C54DE">
        <w:rPr>
          <w:szCs w:val="24"/>
        </w:rPr>
        <w:t>nd Torres Strait Islander (7%</w:t>
      </w:r>
      <w:r w:rsidRPr="009C54DE">
        <w:rPr>
          <w:szCs w:val="24"/>
        </w:rPr>
        <w:t xml:space="preserve"> and 12% respectively)</w:t>
      </w:r>
      <w:r w:rsidR="00A723C7" w:rsidRPr="009C54DE">
        <w:rPr>
          <w:szCs w:val="24"/>
        </w:rPr>
        <w:t>,</w:t>
      </w:r>
      <w:r w:rsidRPr="009C54DE">
        <w:rPr>
          <w:rStyle w:val="EndnoteReference"/>
          <w:szCs w:val="24"/>
        </w:rPr>
        <w:endnoteReference w:id="151"/>
      </w:r>
      <w:r w:rsidRPr="009C54DE">
        <w:rPr>
          <w:szCs w:val="24"/>
        </w:rPr>
        <w:t xml:space="preserve"> about 99% of Aboriginal and Torres Strait Islander health workers were</w:t>
      </w:r>
      <w:r w:rsidR="00EE0B3D" w:rsidRPr="009C54DE">
        <w:rPr>
          <w:szCs w:val="24"/>
        </w:rPr>
        <w:t>,</w:t>
      </w:r>
      <w:r w:rsidRPr="009C54DE">
        <w:rPr>
          <w:rStyle w:val="EndnoteReference"/>
          <w:szCs w:val="24"/>
        </w:rPr>
        <w:endnoteReference w:id="152"/>
      </w:r>
      <w:r w:rsidRPr="009C54DE">
        <w:rPr>
          <w:szCs w:val="24"/>
        </w:rPr>
        <w:t xml:space="preserve"> as were 87% of drivers and field officers,</w:t>
      </w:r>
      <w:r w:rsidRPr="009C54DE">
        <w:rPr>
          <w:rStyle w:val="EndnoteReference"/>
          <w:szCs w:val="24"/>
        </w:rPr>
        <w:endnoteReference w:id="153"/>
      </w:r>
      <w:r w:rsidRPr="009C54DE">
        <w:rPr>
          <w:szCs w:val="24"/>
        </w:rPr>
        <w:t xml:space="preserve"> and 74% of those in other health positions.</w:t>
      </w:r>
      <w:r w:rsidRPr="009C54DE">
        <w:rPr>
          <w:rStyle w:val="EndnoteReference"/>
          <w:szCs w:val="24"/>
        </w:rPr>
        <w:endnoteReference w:id="154"/>
      </w:r>
    </w:p>
    <w:p w14:paraId="4FC22D98" w14:textId="77F8BBE5" w:rsidR="00221769" w:rsidRPr="009C54DE" w:rsidRDefault="00221769" w:rsidP="00221A61">
      <w:pPr>
        <w:pStyle w:val="NormalWeb"/>
        <w:rPr>
          <w:rFonts w:ascii="Arial" w:hAnsi="Arial"/>
          <w:szCs w:val="24"/>
        </w:rPr>
      </w:pPr>
      <w:r w:rsidRPr="009C54DE">
        <w:rPr>
          <w:rFonts w:ascii="Arial" w:hAnsi="Arial" w:cs="Arial"/>
          <w:szCs w:val="24"/>
        </w:rPr>
        <w:t xml:space="preserve">Otherwise, preparing non-Indigenous undergraduates and health professionals to deliver culturally competent health services, or effective health services across cultural boundaries requires training and placements in </w:t>
      </w:r>
      <w:proofErr w:type="spellStart"/>
      <w:r w:rsidRPr="009C54DE">
        <w:rPr>
          <w:rFonts w:ascii="Arial" w:hAnsi="Arial" w:cs="Arial"/>
          <w:szCs w:val="24"/>
        </w:rPr>
        <w:t>ACCH</w:t>
      </w:r>
      <w:r w:rsidR="00FB45AC" w:rsidRPr="009C54DE">
        <w:rPr>
          <w:rFonts w:ascii="Arial" w:hAnsi="Arial" w:cs="Arial"/>
          <w:szCs w:val="24"/>
        </w:rPr>
        <w:t>O</w:t>
      </w:r>
      <w:r w:rsidR="00A1381C" w:rsidRPr="009C54DE">
        <w:rPr>
          <w:rFonts w:ascii="Arial" w:hAnsi="Arial" w:cs="Arial"/>
          <w:szCs w:val="24"/>
        </w:rPr>
        <w:t>s</w:t>
      </w:r>
      <w:proofErr w:type="spellEnd"/>
      <w:r w:rsidRPr="009C54DE">
        <w:rPr>
          <w:rFonts w:ascii="Arial" w:hAnsi="Arial" w:cs="Arial"/>
          <w:szCs w:val="24"/>
        </w:rPr>
        <w:t>.</w:t>
      </w:r>
      <w:r w:rsidRPr="009C54DE">
        <w:rPr>
          <w:rStyle w:val="EndnoteReference"/>
          <w:rFonts w:cs="Arial"/>
          <w:szCs w:val="24"/>
        </w:rPr>
        <w:endnoteReference w:id="155"/>
      </w:r>
      <w:r w:rsidRPr="009C54DE">
        <w:rPr>
          <w:rFonts w:ascii="Arial" w:hAnsi="Arial" w:cs="Arial"/>
          <w:szCs w:val="24"/>
        </w:rPr>
        <w:t xml:space="preserve"> Such training across the sector is critical to achieving the</w:t>
      </w:r>
      <w:r w:rsidRPr="009C54DE">
        <w:rPr>
          <w:rFonts w:ascii="Arial" w:hAnsi="Arial"/>
          <w:szCs w:val="24"/>
        </w:rPr>
        <w:t xml:space="preserve"> institutional, professional and personal commitmen</w:t>
      </w:r>
      <w:r w:rsidR="00221A61" w:rsidRPr="009C54DE">
        <w:rPr>
          <w:rFonts w:ascii="Arial" w:hAnsi="Arial"/>
          <w:szCs w:val="24"/>
        </w:rPr>
        <w:t>t required for systemic change.</w:t>
      </w:r>
    </w:p>
    <w:p w14:paraId="675C0B97" w14:textId="61966EDA" w:rsidR="00221769" w:rsidRPr="00561499" w:rsidRDefault="00221A61" w:rsidP="00221A61">
      <w:pPr>
        <w:pStyle w:val="Heading3"/>
      </w:pPr>
      <w:bookmarkStart w:id="15" w:name="_Toc315703408"/>
      <w:r>
        <w:t>2.4</w:t>
      </w:r>
      <w:r w:rsidR="00221769" w:rsidRPr="00561499">
        <w:t xml:space="preserve"> Targeting the right mix of health services for closing the gap</w:t>
      </w:r>
      <w:bookmarkEnd w:id="15"/>
    </w:p>
    <w:p w14:paraId="0D36C012" w14:textId="2EF1831C" w:rsidR="00221769" w:rsidRPr="00561499" w:rsidRDefault="00221769" w:rsidP="007E71A4">
      <w:pPr>
        <w:autoSpaceDE w:val="0"/>
        <w:autoSpaceDN w:val="0"/>
        <w:adjustRightInd w:val="0"/>
        <w:rPr>
          <w:rFonts w:cs="Calibri Light"/>
          <w:color w:val="000000"/>
        </w:rPr>
      </w:pPr>
      <w:r w:rsidRPr="00561499">
        <w:rPr>
          <w:rFonts w:cs="Calibri Light"/>
          <w:color w:val="000000"/>
        </w:rPr>
        <w:t>The avoidable and preventable mortality gap w</w:t>
      </w:r>
      <w:r w:rsidR="00EE0B3D" w:rsidRPr="00561499">
        <w:rPr>
          <w:rFonts w:cs="Calibri Light"/>
          <w:color w:val="000000"/>
        </w:rPr>
        <w:t>as discussed in Part 1 of this R</w:t>
      </w:r>
      <w:r w:rsidRPr="00561499">
        <w:rPr>
          <w:rFonts w:cs="Calibri Light"/>
          <w:color w:val="000000"/>
        </w:rPr>
        <w:t xml:space="preserve">eport. Here the Campaign </w:t>
      </w:r>
      <w:r w:rsidR="005D2B5B" w:rsidRPr="00561499">
        <w:rPr>
          <w:rFonts w:cs="Calibri Light"/>
          <w:color w:val="000000"/>
        </w:rPr>
        <w:t xml:space="preserve">Steering Committee </w:t>
      </w:r>
      <w:r w:rsidRPr="00561499">
        <w:rPr>
          <w:rFonts w:cs="Calibri Light"/>
          <w:color w:val="000000"/>
        </w:rPr>
        <w:t>consider</w:t>
      </w:r>
      <w:r w:rsidR="005D2B5B" w:rsidRPr="00561499">
        <w:rPr>
          <w:rFonts w:cs="Calibri Light"/>
          <w:color w:val="000000"/>
        </w:rPr>
        <w:t>s</w:t>
      </w:r>
      <w:r w:rsidRPr="00561499">
        <w:rPr>
          <w:rFonts w:cs="Calibri Light"/>
          <w:color w:val="000000"/>
        </w:rPr>
        <w:t xml:space="preserve"> using this data to enable policy makers to focus on the kinds of health se</w:t>
      </w:r>
      <w:r w:rsidR="009C54DE">
        <w:rPr>
          <w:rFonts w:cs="Calibri Light"/>
          <w:color w:val="000000"/>
        </w:rPr>
        <w:t>rvices needed to close the gap.</w:t>
      </w:r>
    </w:p>
    <w:p w14:paraId="446C5A4A" w14:textId="77777777" w:rsidR="00221769" w:rsidRPr="00561499" w:rsidRDefault="00221769" w:rsidP="007E71A4">
      <w:pPr>
        <w:autoSpaceDE w:val="0"/>
        <w:autoSpaceDN w:val="0"/>
        <w:adjustRightInd w:val="0"/>
        <w:rPr>
          <w:rFonts w:cs="Calibri Light"/>
          <w:color w:val="000000"/>
        </w:rPr>
      </w:pPr>
      <w:r w:rsidRPr="00561499">
        <w:rPr>
          <w:rFonts w:cs="Calibri Light"/>
          <w:color w:val="000000"/>
        </w:rPr>
        <w:t xml:space="preserve">According to </w:t>
      </w:r>
      <w:proofErr w:type="spellStart"/>
      <w:r w:rsidRPr="00561499">
        <w:rPr>
          <w:rFonts w:cs="Calibri Light"/>
          <w:color w:val="000000"/>
        </w:rPr>
        <w:t>AHMAC</w:t>
      </w:r>
      <w:proofErr w:type="spellEnd"/>
      <w:r w:rsidRPr="00561499">
        <w:rPr>
          <w:rFonts w:cs="Calibri Light"/>
          <w:color w:val="000000"/>
        </w:rPr>
        <w:t>, over 2008</w:t>
      </w:r>
      <w:r w:rsidR="006402CC" w:rsidRPr="00561499">
        <w:rPr>
          <w:rFonts w:cs="Calibri Light"/>
          <w:color w:val="000000"/>
        </w:rPr>
        <w:t>–</w:t>
      </w:r>
      <w:r w:rsidRPr="00561499">
        <w:rPr>
          <w:rFonts w:cs="Calibri Light"/>
          <w:color w:val="000000"/>
        </w:rPr>
        <w:t>2012 the greatest contributors to the avoidable and preventable mortality gap were:</w:t>
      </w:r>
    </w:p>
    <w:p w14:paraId="0BD0A101" w14:textId="6EA1202D" w:rsidR="00221769" w:rsidRPr="00803DF1" w:rsidRDefault="005C5D95" w:rsidP="0023765F">
      <w:pPr>
        <w:pStyle w:val="ListParagraph"/>
        <w:numPr>
          <w:ilvl w:val="0"/>
          <w:numId w:val="22"/>
        </w:numPr>
        <w:spacing w:before="120"/>
        <w:ind w:left="714" w:hanging="357"/>
        <w:contextualSpacing w:val="0"/>
        <w:rPr>
          <w:szCs w:val="24"/>
        </w:rPr>
      </w:pPr>
      <w:r w:rsidRPr="00803DF1">
        <w:rPr>
          <w:szCs w:val="24"/>
        </w:rPr>
        <w:t>19% —</w:t>
      </w:r>
      <w:r w:rsidR="00221769" w:rsidRPr="00803DF1">
        <w:rPr>
          <w:szCs w:val="24"/>
        </w:rPr>
        <w:t xml:space="preserve"> </w:t>
      </w:r>
      <w:proofErr w:type="spellStart"/>
      <w:r w:rsidR="00221769" w:rsidRPr="00803DF1">
        <w:rPr>
          <w:szCs w:val="24"/>
        </w:rPr>
        <w:t>ischaemic</w:t>
      </w:r>
      <w:proofErr w:type="spellEnd"/>
      <w:r w:rsidR="00221769" w:rsidRPr="00803DF1">
        <w:rPr>
          <w:szCs w:val="24"/>
        </w:rPr>
        <w:t xml:space="preserve"> heart disease</w:t>
      </w:r>
      <w:r w:rsidR="00221769" w:rsidRPr="00803DF1">
        <w:rPr>
          <w:rStyle w:val="EndnoteReference"/>
          <w:rFonts w:eastAsia="Times New Roman"/>
          <w:color w:val="000000"/>
          <w:szCs w:val="24"/>
          <w:lang w:val="en-AU" w:eastAsia="en-AU"/>
        </w:rPr>
        <w:endnoteReference w:id="156"/>
      </w:r>
      <w:r w:rsidR="00221A61" w:rsidRPr="00803DF1">
        <w:rPr>
          <w:rStyle w:val="EndnoteReference"/>
          <w:rFonts w:eastAsia="Times New Roman"/>
          <w:color w:val="000000"/>
          <w:szCs w:val="24"/>
          <w:vertAlign w:val="baseline"/>
          <w:lang w:val="en-AU" w:eastAsia="en-AU"/>
        </w:rPr>
        <w:t xml:space="preserve"> </w:t>
      </w:r>
      <w:r w:rsidR="00221769" w:rsidRPr="00803DF1">
        <w:rPr>
          <w:szCs w:val="24"/>
        </w:rPr>
        <w:t>(22% of the gap);</w:t>
      </w:r>
      <w:r w:rsidR="00221769" w:rsidRPr="00803DF1">
        <w:rPr>
          <w:rStyle w:val="EndnoteReference"/>
          <w:rFonts w:eastAsia="Times New Roman"/>
          <w:color w:val="000000"/>
          <w:szCs w:val="24"/>
          <w:lang w:val="en-AU" w:eastAsia="en-AU"/>
        </w:rPr>
        <w:endnoteReference w:id="157"/>
      </w:r>
    </w:p>
    <w:p w14:paraId="5DBD47DA" w14:textId="77777777" w:rsidR="00221769" w:rsidRPr="00803DF1" w:rsidRDefault="005C5D95" w:rsidP="0023765F">
      <w:pPr>
        <w:pStyle w:val="ListParagraph"/>
        <w:numPr>
          <w:ilvl w:val="0"/>
          <w:numId w:val="22"/>
        </w:numPr>
        <w:spacing w:before="120"/>
        <w:ind w:left="714" w:hanging="357"/>
        <w:contextualSpacing w:val="0"/>
        <w:rPr>
          <w:szCs w:val="24"/>
        </w:rPr>
      </w:pPr>
      <w:r w:rsidRPr="00803DF1">
        <w:rPr>
          <w:szCs w:val="24"/>
        </w:rPr>
        <w:t>18% —</w:t>
      </w:r>
      <w:r w:rsidR="00221769" w:rsidRPr="00803DF1">
        <w:rPr>
          <w:szCs w:val="24"/>
        </w:rPr>
        <w:t xml:space="preserve"> cancer</w:t>
      </w:r>
      <w:r w:rsidR="00221769" w:rsidRPr="00803DF1">
        <w:rPr>
          <w:rStyle w:val="EndnoteReference"/>
          <w:rFonts w:eastAsia="Times New Roman"/>
          <w:color w:val="000000"/>
          <w:szCs w:val="24"/>
          <w:lang w:val="en-AU" w:eastAsia="en-AU"/>
        </w:rPr>
        <w:endnoteReference w:id="158"/>
      </w:r>
      <w:r w:rsidR="00221769" w:rsidRPr="00803DF1">
        <w:rPr>
          <w:szCs w:val="24"/>
        </w:rPr>
        <w:t xml:space="preserve"> (14% of the gap);</w:t>
      </w:r>
      <w:r w:rsidR="00221769" w:rsidRPr="00803DF1">
        <w:rPr>
          <w:rStyle w:val="EndnoteReference"/>
          <w:rFonts w:eastAsia="Times New Roman"/>
          <w:color w:val="000000"/>
          <w:szCs w:val="24"/>
          <w:lang w:val="en-AU" w:eastAsia="en-AU"/>
        </w:rPr>
        <w:endnoteReference w:id="159"/>
      </w:r>
      <w:r w:rsidR="00221769" w:rsidRPr="00803DF1">
        <w:rPr>
          <w:szCs w:val="24"/>
        </w:rPr>
        <w:t xml:space="preserve"> and</w:t>
      </w:r>
    </w:p>
    <w:p w14:paraId="0F00BC8E" w14:textId="01E65A75" w:rsidR="00221769" w:rsidRPr="00803DF1" w:rsidRDefault="005C5D95" w:rsidP="00221A61">
      <w:pPr>
        <w:pStyle w:val="ListParagraph"/>
        <w:numPr>
          <w:ilvl w:val="0"/>
          <w:numId w:val="22"/>
        </w:numPr>
        <w:spacing w:before="120"/>
        <w:ind w:left="714" w:hanging="357"/>
        <w:contextualSpacing w:val="0"/>
        <w:rPr>
          <w:szCs w:val="24"/>
        </w:rPr>
      </w:pPr>
      <w:r w:rsidRPr="00803DF1">
        <w:rPr>
          <w:szCs w:val="24"/>
        </w:rPr>
        <w:t>10% —</w:t>
      </w:r>
      <w:r w:rsidR="00221769" w:rsidRPr="00803DF1">
        <w:rPr>
          <w:szCs w:val="24"/>
        </w:rPr>
        <w:t xml:space="preserve"> diabetes</w:t>
      </w:r>
      <w:r w:rsidR="00221769" w:rsidRPr="00803DF1">
        <w:rPr>
          <w:rStyle w:val="EndnoteReference"/>
          <w:rFonts w:eastAsia="Times New Roman"/>
          <w:color w:val="000000"/>
          <w:szCs w:val="24"/>
          <w:lang w:val="en-AU" w:eastAsia="en-AU"/>
        </w:rPr>
        <w:endnoteReference w:id="160"/>
      </w:r>
      <w:r w:rsidR="00221769" w:rsidRPr="00803DF1">
        <w:rPr>
          <w:szCs w:val="24"/>
        </w:rPr>
        <w:t xml:space="preserve"> (17% of the gap).</w:t>
      </w:r>
      <w:r w:rsidR="00221769" w:rsidRPr="00803DF1">
        <w:rPr>
          <w:rStyle w:val="EndnoteReference"/>
          <w:rFonts w:eastAsia="Times New Roman"/>
          <w:color w:val="000000"/>
          <w:szCs w:val="24"/>
          <w:lang w:val="en-AU" w:eastAsia="en-AU"/>
        </w:rPr>
        <w:endnoteReference w:id="161"/>
      </w:r>
    </w:p>
    <w:p w14:paraId="23CFA35B" w14:textId="77777777" w:rsidR="00497226" w:rsidRDefault="00497226">
      <w:pPr>
        <w:keepLines w:val="0"/>
        <w:widowControl/>
        <w:spacing w:after="0" w:line="240" w:lineRule="auto"/>
        <w:rPr>
          <w:rFonts w:cs="Calibri Light"/>
          <w:color w:val="000000"/>
        </w:rPr>
      </w:pPr>
      <w:r>
        <w:rPr>
          <w:rFonts w:cs="Calibri Light"/>
          <w:color w:val="000000"/>
        </w:rPr>
        <w:br w:type="page"/>
      </w:r>
    </w:p>
    <w:p w14:paraId="2A4E3D3F" w14:textId="341EFCA9" w:rsidR="00221769" w:rsidRPr="00561499" w:rsidRDefault="00221769" w:rsidP="007E71A4">
      <w:pPr>
        <w:autoSpaceDE w:val="0"/>
        <w:autoSpaceDN w:val="0"/>
        <w:adjustRightInd w:val="0"/>
        <w:ind w:right="370"/>
        <w:rPr>
          <w:rFonts w:cs="Calibri Light"/>
          <w:color w:val="000000"/>
        </w:rPr>
      </w:pPr>
      <w:r w:rsidRPr="00561499">
        <w:rPr>
          <w:rFonts w:cs="Calibri Light"/>
          <w:color w:val="000000"/>
        </w:rPr>
        <w:lastRenderedPageBreak/>
        <w:t xml:space="preserve">As a result, </w:t>
      </w:r>
      <w:proofErr w:type="spellStart"/>
      <w:r w:rsidRPr="00561499">
        <w:rPr>
          <w:rFonts w:cs="Calibri Light"/>
          <w:color w:val="000000"/>
        </w:rPr>
        <w:t>AHMAC</w:t>
      </w:r>
      <w:proofErr w:type="spellEnd"/>
      <w:r w:rsidRPr="00561499">
        <w:rPr>
          <w:rFonts w:cs="Calibri Light"/>
          <w:color w:val="000000"/>
        </w:rPr>
        <w:t xml:space="preserve"> report that the greatest opportunities to reduce avoidable mortality for Aboriginal and Torres Strait Islander people relate to:</w:t>
      </w:r>
    </w:p>
    <w:p w14:paraId="1690736E" w14:textId="77777777" w:rsidR="00221769" w:rsidRPr="00803DF1" w:rsidRDefault="00221769" w:rsidP="0023765F">
      <w:pPr>
        <w:pStyle w:val="ListParagraph"/>
        <w:numPr>
          <w:ilvl w:val="0"/>
          <w:numId w:val="22"/>
        </w:numPr>
        <w:spacing w:before="120"/>
        <w:ind w:left="714" w:hanging="357"/>
        <w:contextualSpacing w:val="0"/>
        <w:rPr>
          <w:szCs w:val="24"/>
        </w:rPr>
      </w:pPr>
      <w:r w:rsidRPr="00803DF1">
        <w:rPr>
          <w:szCs w:val="24"/>
        </w:rPr>
        <w:t>primary prevention (53% of avoidable deaths);</w:t>
      </w:r>
    </w:p>
    <w:p w14:paraId="3EA8F8C3" w14:textId="77777777" w:rsidR="00221769" w:rsidRPr="00803DF1" w:rsidRDefault="00221769" w:rsidP="0023765F">
      <w:pPr>
        <w:pStyle w:val="ListParagraph"/>
        <w:numPr>
          <w:ilvl w:val="0"/>
          <w:numId w:val="22"/>
        </w:numPr>
        <w:spacing w:before="120"/>
        <w:ind w:left="714" w:hanging="357"/>
        <w:contextualSpacing w:val="0"/>
        <w:rPr>
          <w:szCs w:val="24"/>
        </w:rPr>
      </w:pPr>
      <w:r w:rsidRPr="00803DF1">
        <w:rPr>
          <w:szCs w:val="24"/>
        </w:rPr>
        <w:t>secondary interventions (24%); and</w:t>
      </w:r>
    </w:p>
    <w:p w14:paraId="735C1459" w14:textId="77777777" w:rsidR="00221769" w:rsidRPr="00803DF1" w:rsidRDefault="00221769" w:rsidP="0023765F">
      <w:pPr>
        <w:pStyle w:val="ListParagraph"/>
        <w:numPr>
          <w:ilvl w:val="0"/>
          <w:numId w:val="22"/>
        </w:numPr>
        <w:spacing w:before="120"/>
        <w:ind w:left="714" w:hanging="357"/>
        <w:contextualSpacing w:val="0"/>
        <w:rPr>
          <w:szCs w:val="24"/>
        </w:rPr>
      </w:pPr>
      <w:r w:rsidRPr="00803DF1">
        <w:rPr>
          <w:szCs w:val="24"/>
        </w:rPr>
        <w:t>tertiary interventions (23%).</w:t>
      </w:r>
      <w:r w:rsidRPr="00803DF1">
        <w:rPr>
          <w:rStyle w:val="EndnoteReference"/>
          <w:rFonts w:eastAsia="Times New Roman"/>
          <w:color w:val="000000"/>
          <w:szCs w:val="24"/>
          <w:lang w:val="en-AU" w:eastAsia="en-AU"/>
        </w:rPr>
        <w:endnoteReference w:id="162"/>
      </w:r>
    </w:p>
    <w:p w14:paraId="548F4213" w14:textId="0638BBB4" w:rsidR="00221769" w:rsidRPr="00803DF1" w:rsidRDefault="00221769" w:rsidP="00221A61">
      <w:pPr>
        <w:rPr>
          <w:szCs w:val="24"/>
        </w:rPr>
      </w:pPr>
      <w:proofErr w:type="spellStart"/>
      <w:r w:rsidRPr="00803DF1">
        <w:rPr>
          <w:szCs w:val="24"/>
        </w:rPr>
        <w:t>Hospitalisations</w:t>
      </w:r>
      <w:proofErr w:type="spellEnd"/>
      <w:r w:rsidRPr="00803DF1">
        <w:rPr>
          <w:szCs w:val="24"/>
        </w:rPr>
        <w:t xml:space="preserve"> for conditions that can be effectively treated in a non-hospital setting are referred to as ‘potentially preventable admissions’ in data collections. These include conditions for which </w:t>
      </w:r>
      <w:proofErr w:type="spellStart"/>
      <w:r w:rsidRPr="00803DF1">
        <w:rPr>
          <w:szCs w:val="24"/>
        </w:rPr>
        <w:t>hospitalisation</w:t>
      </w:r>
      <w:proofErr w:type="spellEnd"/>
      <w:r w:rsidRPr="00803DF1">
        <w:rPr>
          <w:szCs w:val="24"/>
        </w:rPr>
        <w:t xml:space="preserve"> could potentially be avoided through effective preventive measures or early diagnosis and treatment in primary health care.</w:t>
      </w:r>
      <w:r w:rsidRPr="00803DF1">
        <w:rPr>
          <w:rStyle w:val="EndnoteReference"/>
          <w:szCs w:val="24"/>
        </w:rPr>
        <w:endnoteReference w:id="163"/>
      </w:r>
    </w:p>
    <w:p w14:paraId="294474CB" w14:textId="0880A397" w:rsidR="00221769" w:rsidRPr="00803DF1" w:rsidRDefault="00221769" w:rsidP="00221A61">
      <w:pPr>
        <w:rPr>
          <w:szCs w:val="24"/>
        </w:rPr>
      </w:pPr>
      <w:r w:rsidRPr="00803DF1">
        <w:rPr>
          <w:szCs w:val="24"/>
        </w:rPr>
        <w:t xml:space="preserve">According to </w:t>
      </w:r>
      <w:proofErr w:type="spellStart"/>
      <w:r w:rsidRPr="00803DF1">
        <w:rPr>
          <w:szCs w:val="24"/>
        </w:rPr>
        <w:t>AHMAC</w:t>
      </w:r>
      <w:proofErr w:type="spellEnd"/>
      <w:r w:rsidRPr="00803DF1">
        <w:rPr>
          <w:szCs w:val="24"/>
        </w:rPr>
        <w:t xml:space="preserve">, from July 2011 </w:t>
      </w:r>
      <w:r w:rsidR="00407A7B" w:rsidRPr="00803DF1">
        <w:rPr>
          <w:szCs w:val="24"/>
        </w:rPr>
        <w:t>to</w:t>
      </w:r>
      <w:r w:rsidRPr="00803DF1">
        <w:rPr>
          <w:szCs w:val="24"/>
        </w:rPr>
        <w:t xml:space="preserve"> June 2013 </w:t>
      </w:r>
      <w:proofErr w:type="spellStart"/>
      <w:r w:rsidRPr="00803DF1">
        <w:rPr>
          <w:szCs w:val="24"/>
        </w:rPr>
        <w:t>hospitalisation</w:t>
      </w:r>
      <w:proofErr w:type="spellEnd"/>
      <w:r w:rsidRPr="00803DF1">
        <w:rPr>
          <w:szCs w:val="24"/>
        </w:rPr>
        <w:t xml:space="preserve"> rates for selected potentially preventable conditions were:</w:t>
      </w:r>
    </w:p>
    <w:p w14:paraId="42415DF9" w14:textId="75E982A1" w:rsidR="00221769" w:rsidRPr="00803DF1" w:rsidRDefault="00221769" w:rsidP="0023765F">
      <w:pPr>
        <w:pStyle w:val="ListParagraph"/>
        <w:numPr>
          <w:ilvl w:val="0"/>
          <w:numId w:val="22"/>
        </w:numPr>
        <w:spacing w:before="120"/>
        <w:ind w:left="714" w:hanging="357"/>
        <w:contextualSpacing w:val="0"/>
        <w:rPr>
          <w:szCs w:val="24"/>
        </w:rPr>
      </w:pPr>
      <w:r w:rsidRPr="00803DF1">
        <w:rPr>
          <w:szCs w:val="24"/>
        </w:rPr>
        <w:t>7.3 times as high for Aboriginal and Torres Strait Islander</w:t>
      </w:r>
      <w:r w:rsidR="00407A7B" w:rsidRPr="00803DF1">
        <w:rPr>
          <w:szCs w:val="24"/>
        </w:rPr>
        <w:t xml:space="preserve"> people living in remote areas;</w:t>
      </w:r>
    </w:p>
    <w:p w14:paraId="60BEE535" w14:textId="77777777" w:rsidR="00221769" w:rsidRPr="00803DF1" w:rsidRDefault="00221769" w:rsidP="0023765F">
      <w:pPr>
        <w:pStyle w:val="ListParagraph"/>
        <w:numPr>
          <w:ilvl w:val="0"/>
          <w:numId w:val="22"/>
        </w:numPr>
        <w:spacing w:before="120"/>
        <w:ind w:left="714" w:hanging="357"/>
        <w:contextualSpacing w:val="0"/>
        <w:rPr>
          <w:szCs w:val="24"/>
        </w:rPr>
      </w:pPr>
      <w:r w:rsidRPr="00803DF1">
        <w:rPr>
          <w:szCs w:val="24"/>
        </w:rPr>
        <w:t>3.5 times as high in very remote areas;</w:t>
      </w:r>
    </w:p>
    <w:p w14:paraId="166C1499" w14:textId="14A1E0B1" w:rsidR="00221769" w:rsidRPr="00803DF1" w:rsidRDefault="00221769" w:rsidP="0023765F">
      <w:pPr>
        <w:pStyle w:val="ListParagraph"/>
        <w:numPr>
          <w:ilvl w:val="0"/>
          <w:numId w:val="22"/>
        </w:numPr>
        <w:spacing w:before="120"/>
        <w:ind w:left="714" w:hanging="357"/>
        <w:contextualSpacing w:val="0"/>
        <w:rPr>
          <w:szCs w:val="24"/>
        </w:rPr>
      </w:pPr>
      <w:r w:rsidRPr="00803DF1">
        <w:rPr>
          <w:szCs w:val="24"/>
        </w:rPr>
        <w:t>2.8 times a</w:t>
      </w:r>
      <w:r w:rsidR="00407A7B" w:rsidRPr="00803DF1">
        <w:rPr>
          <w:szCs w:val="24"/>
        </w:rPr>
        <w:t>s high in outer regional areas;</w:t>
      </w:r>
    </w:p>
    <w:p w14:paraId="4B5EEC1A" w14:textId="77777777" w:rsidR="00221769" w:rsidRPr="00803DF1" w:rsidRDefault="00221769" w:rsidP="00590881">
      <w:pPr>
        <w:pStyle w:val="ListParagraph"/>
        <w:numPr>
          <w:ilvl w:val="0"/>
          <w:numId w:val="22"/>
        </w:numPr>
        <w:spacing w:before="120"/>
        <w:ind w:left="714" w:hanging="357"/>
        <w:contextualSpacing w:val="0"/>
        <w:rPr>
          <w:szCs w:val="24"/>
        </w:rPr>
      </w:pPr>
      <w:r w:rsidRPr="00803DF1">
        <w:rPr>
          <w:szCs w:val="24"/>
        </w:rPr>
        <w:t>2.7 times as high in major cities; and</w:t>
      </w:r>
    </w:p>
    <w:p w14:paraId="139475F8" w14:textId="1A454770" w:rsidR="00221769" w:rsidRPr="00803DF1" w:rsidRDefault="00221769" w:rsidP="00590881">
      <w:pPr>
        <w:pStyle w:val="ListParagraph"/>
        <w:numPr>
          <w:ilvl w:val="0"/>
          <w:numId w:val="22"/>
        </w:numPr>
        <w:spacing w:before="120"/>
        <w:ind w:left="714" w:hanging="357"/>
        <w:contextualSpacing w:val="0"/>
        <w:rPr>
          <w:szCs w:val="24"/>
        </w:rPr>
      </w:pPr>
      <w:r w:rsidRPr="00803DF1">
        <w:rPr>
          <w:szCs w:val="24"/>
        </w:rPr>
        <w:t>2.1 times as high in inner regional areas.</w:t>
      </w:r>
      <w:r w:rsidRPr="00803DF1">
        <w:rPr>
          <w:rStyle w:val="EndnoteReference"/>
          <w:rFonts w:eastAsia="Times New Roman"/>
          <w:color w:val="000000"/>
          <w:szCs w:val="24"/>
          <w:lang w:val="en-AU" w:eastAsia="en-AU"/>
        </w:rPr>
        <w:endnoteReference w:id="164"/>
      </w:r>
    </w:p>
    <w:p w14:paraId="57656DA1" w14:textId="1C4D3382" w:rsidR="00221769" w:rsidRPr="00803DF1" w:rsidRDefault="00221769" w:rsidP="00221A61">
      <w:pPr>
        <w:autoSpaceDE w:val="0"/>
        <w:autoSpaceDN w:val="0"/>
        <w:adjustRightInd w:val="0"/>
        <w:rPr>
          <w:szCs w:val="24"/>
        </w:rPr>
      </w:pPr>
      <w:r w:rsidRPr="00803DF1">
        <w:rPr>
          <w:szCs w:val="24"/>
        </w:rPr>
        <w:t xml:space="preserve">A recent spatial mapping exercise by </w:t>
      </w:r>
      <w:proofErr w:type="spellStart"/>
      <w:r w:rsidRPr="00803DF1">
        <w:rPr>
          <w:szCs w:val="24"/>
        </w:rPr>
        <w:t>AIHW</w:t>
      </w:r>
      <w:proofErr w:type="spellEnd"/>
      <w:r w:rsidRPr="00803DF1">
        <w:rPr>
          <w:szCs w:val="24"/>
        </w:rPr>
        <w:t xml:space="preserve"> confirmed that a significant number of Aboriginal and Torres Strait Islander communities are without access to any Indigenous-specific primary health services. The </w:t>
      </w:r>
      <w:proofErr w:type="spellStart"/>
      <w:r w:rsidRPr="00803DF1">
        <w:rPr>
          <w:szCs w:val="24"/>
        </w:rPr>
        <w:t>AIHW</w:t>
      </w:r>
      <w:proofErr w:type="spellEnd"/>
      <w:r w:rsidRPr="00803DF1">
        <w:rPr>
          <w:szCs w:val="24"/>
        </w:rPr>
        <w:t xml:space="preserve"> noted that 61% of these populations reported higher rates of potentially preventable </w:t>
      </w:r>
      <w:proofErr w:type="spellStart"/>
      <w:r w:rsidRPr="00803DF1">
        <w:rPr>
          <w:szCs w:val="24"/>
        </w:rPr>
        <w:t>hospitalisations</w:t>
      </w:r>
      <w:proofErr w:type="spellEnd"/>
      <w:r w:rsidRPr="00803DF1">
        <w:rPr>
          <w:szCs w:val="24"/>
        </w:rPr>
        <w:t>,</w:t>
      </w:r>
      <w:r w:rsidRPr="00803DF1">
        <w:rPr>
          <w:rStyle w:val="EndnoteReference"/>
          <w:szCs w:val="24"/>
        </w:rPr>
        <w:endnoteReference w:id="165"/>
      </w:r>
      <w:r w:rsidRPr="00803DF1">
        <w:rPr>
          <w:szCs w:val="24"/>
        </w:rPr>
        <w:t xml:space="preserve"> suggesting the impact of the absence of these services.</w:t>
      </w:r>
    </w:p>
    <w:p w14:paraId="489D253B" w14:textId="27E6E0A8" w:rsidR="00221769" w:rsidRPr="00803DF1" w:rsidRDefault="00C3385F" w:rsidP="007E71A4">
      <w:pPr>
        <w:autoSpaceDE w:val="0"/>
        <w:autoSpaceDN w:val="0"/>
        <w:adjustRightInd w:val="0"/>
        <w:rPr>
          <w:rFonts w:cs="Calibri Light"/>
          <w:color w:val="000000"/>
          <w:szCs w:val="24"/>
        </w:rPr>
      </w:pPr>
      <w:r w:rsidRPr="00803DF1">
        <w:rPr>
          <w:szCs w:val="24"/>
        </w:rPr>
        <w:t>T</w:t>
      </w:r>
      <w:r w:rsidR="00221769" w:rsidRPr="00803DF1">
        <w:rPr>
          <w:szCs w:val="24"/>
        </w:rPr>
        <w:t xml:space="preserve">he Campaign </w:t>
      </w:r>
      <w:r w:rsidR="005D2B5B" w:rsidRPr="00803DF1">
        <w:rPr>
          <w:szCs w:val="24"/>
        </w:rPr>
        <w:t xml:space="preserve">Steering Committee </w:t>
      </w:r>
      <w:r w:rsidR="00EE0B3D" w:rsidRPr="00803DF1">
        <w:rPr>
          <w:szCs w:val="24"/>
        </w:rPr>
        <w:t>also notes a 2014 study,</w:t>
      </w:r>
      <w:r w:rsidR="00221769" w:rsidRPr="00803DF1">
        <w:rPr>
          <w:szCs w:val="24"/>
        </w:rPr>
        <w:t xml:space="preserve"> </w:t>
      </w:r>
      <w:r w:rsidR="00221769" w:rsidRPr="00803DF1">
        <w:rPr>
          <w:rStyle w:val="Emphasis"/>
          <w:szCs w:val="24"/>
        </w:rPr>
        <w:t>The cost-effectiveness of primary care for Indigenous Australians with diabetes living in remote Northern Territory communities</w:t>
      </w:r>
      <w:r w:rsidR="00EE0B3D" w:rsidRPr="00803DF1">
        <w:rPr>
          <w:rFonts w:cs="Arial"/>
          <w:color w:val="1A1A1A"/>
          <w:szCs w:val="24"/>
        </w:rPr>
        <w:t>,</w:t>
      </w:r>
      <w:r w:rsidR="00221769" w:rsidRPr="00803DF1">
        <w:rPr>
          <w:rFonts w:cs="Arial"/>
          <w:color w:val="1A1A1A"/>
          <w:szCs w:val="24"/>
        </w:rPr>
        <w:t xml:space="preserve"> </w:t>
      </w:r>
      <w:r w:rsidR="00221769" w:rsidRPr="00803DF1">
        <w:rPr>
          <w:szCs w:val="24"/>
        </w:rPr>
        <w:t xml:space="preserve">demonstrates increased investment in primary health care could be expected to yield health and cost dividends. </w:t>
      </w:r>
      <w:r w:rsidR="00221769" w:rsidRPr="00803DF1">
        <w:rPr>
          <w:rFonts w:cs="Calibri Light"/>
          <w:color w:val="000000"/>
          <w:szCs w:val="24"/>
        </w:rPr>
        <w:t>As note</w:t>
      </w:r>
      <w:r w:rsidR="00EE0B3D" w:rsidRPr="00803DF1">
        <w:rPr>
          <w:rFonts w:cs="Calibri Light"/>
          <w:color w:val="000000"/>
          <w:szCs w:val="24"/>
        </w:rPr>
        <w:t>d, deaths due to diabetes were six</w:t>
      </w:r>
      <w:r w:rsidR="00221769" w:rsidRPr="00803DF1">
        <w:rPr>
          <w:rFonts w:cs="Calibri Light"/>
          <w:color w:val="000000"/>
          <w:szCs w:val="24"/>
        </w:rPr>
        <w:t xml:space="preserve"> times higher for Aboriginal and Torres Strait Islander people than non-Indigenous people, and the leading cause of the gap for females.</w:t>
      </w:r>
      <w:r w:rsidR="00221769" w:rsidRPr="00803DF1">
        <w:rPr>
          <w:rStyle w:val="EndnoteReference"/>
          <w:rFonts w:cs="Calibri Light"/>
          <w:color w:val="000000"/>
          <w:szCs w:val="24"/>
        </w:rPr>
        <w:endnoteReference w:id="166"/>
      </w:r>
      <w:r w:rsidR="00221769" w:rsidRPr="00803DF1">
        <w:rPr>
          <w:rFonts w:cs="Calibri Light"/>
          <w:color w:val="000000"/>
          <w:szCs w:val="24"/>
        </w:rPr>
        <w:t xml:space="preserve"> No significant absolute or relative changes were detected over 2008</w:t>
      </w:r>
      <w:r w:rsidR="006402CC" w:rsidRPr="00803DF1">
        <w:rPr>
          <w:rFonts w:cs="Calibri Light"/>
          <w:color w:val="000000"/>
          <w:szCs w:val="24"/>
        </w:rPr>
        <w:t>–</w:t>
      </w:r>
      <w:r w:rsidR="00221769" w:rsidRPr="00803DF1">
        <w:rPr>
          <w:rFonts w:cs="Calibri Light"/>
          <w:color w:val="000000"/>
          <w:szCs w:val="24"/>
        </w:rPr>
        <w:t>2012.</w:t>
      </w:r>
      <w:r w:rsidR="00221769" w:rsidRPr="00803DF1">
        <w:rPr>
          <w:rStyle w:val="EndnoteReference"/>
          <w:rFonts w:cs="Calibri Light"/>
          <w:color w:val="000000"/>
          <w:szCs w:val="24"/>
        </w:rPr>
        <w:endnoteReference w:id="167"/>
      </w:r>
    </w:p>
    <w:p w14:paraId="4B50DBDA" w14:textId="01636EE6" w:rsidR="00221769" w:rsidRPr="00561499" w:rsidRDefault="00221769" w:rsidP="00221A61">
      <w:pPr>
        <w:autoSpaceDE w:val="0"/>
        <w:autoSpaceDN w:val="0"/>
        <w:adjustRightInd w:val="0"/>
      </w:pPr>
      <w:r w:rsidRPr="00561499">
        <w:lastRenderedPageBreak/>
        <w:t xml:space="preserve">The 2014 study </w:t>
      </w:r>
      <w:r w:rsidRPr="00561499">
        <w:rPr>
          <w:rFonts w:cs="Arial"/>
          <w:color w:val="3F3F3F"/>
        </w:rPr>
        <w:t xml:space="preserve">reported that those who visited primary care 2–11 times per year had lower rates of death and </w:t>
      </w:r>
      <w:proofErr w:type="spellStart"/>
      <w:r w:rsidR="001116A1" w:rsidRPr="00561499">
        <w:rPr>
          <w:rFonts w:cs="Arial"/>
          <w:color w:val="3F3F3F"/>
        </w:rPr>
        <w:t>hospitalisations</w:t>
      </w:r>
      <w:proofErr w:type="spellEnd"/>
      <w:r w:rsidRPr="00561499">
        <w:rPr>
          <w:rFonts w:cs="Arial"/>
          <w:color w:val="3F3F3F"/>
        </w:rPr>
        <w:t xml:space="preserve"> than those who visited less than twice a year.</w:t>
      </w:r>
      <w:r w:rsidRPr="00561499">
        <w:rPr>
          <w:rStyle w:val="EndnoteReference"/>
          <w:rFonts w:cs="Arial"/>
          <w:color w:val="3F3F3F"/>
        </w:rPr>
        <w:endnoteReference w:id="168"/>
      </w:r>
      <w:r w:rsidRPr="00561499">
        <w:rPr>
          <w:rFonts w:cs="Arial"/>
          <w:color w:val="3F3F3F"/>
        </w:rPr>
        <w:t xml:space="preserve"> But further, </w:t>
      </w:r>
      <w:r w:rsidRPr="00561499">
        <w:t xml:space="preserve">investing $1 in medium-level primary care for people with diabetes in remote </w:t>
      </w:r>
      <w:r w:rsidR="005E1808" w:rsidRPr="00561499">
        <w:t xml:space="preserve">Aboriginal and Torres Strait Islander </w:t>
      </w:r>
      <w:r w:rsidRPr="00561499">
        <w:t xml:space="preserve">communities could save $12.90 in </w:t>
      </w:r>
      <w:proofErr w:type="spellStart"/>
      <w:r w:rsidRPr="00561499">
        <w:t>hospitalisation</w:t>
      </w:r>
      <w:proofErr w:type="spellEnd"/>
      <w:r w:rsidRPr="00561499">
        <w:t xml:space="preserve"> costs. </w:t>
      </w:r>
      <w:r w:rsidRPr="00221A61">
        <w:rPr>
          <w:b/>
        </w:rPr>
        <w:t>Investing $1 in high-level primary care use could save $4.20</w:t>
      </w:r>
      <w:r w:rsidRPr="00221A61">
        <w:t>.</w:t>
      </w:r>
      <w:r w:rsidRPr="00561499">
        <w:rPr>
          <w:rStyle w:val="EndnoteReference"/>
        </w:rPr>
        <w:endnoteReference w:id="169"/>
      </w:r>
    </w:p>
    <w:p w14:paraId="24449E9F" w14:textId="510567D2" w:rsidR="00CB6F31" w:rsidRPr="00561499" w:rsidRDefault="00221769" w:rsidP="00C8247F">
      <w:pPr>
        <w:spacing w:after="400"/>
      </w:pPr>
      <w:r w:rsidRPr="00561499">
        <w:t>The health and cost benefits, and the potential contributions to closing the health gap, from increasing Aboriginal and Torres Strait Islander peoples’ access to primary health care, particularly in relation to the effective detection, treatment and management of diabetes should not be underestimated.</w:t>
      </w:r>
    </w:p>
    <w:tbl>
      <w:tblPr>
        <w:tblStyle w:val="TableGrid"/>
        <w:tblW w:w="0" w:type="auto"/>
        <w:tblBorders>
          <w:top w:val="single" w:sz="8" w:space="0" w:color="007DA7"/>
          <w:left w:val="single" w:sz="8" w:space="0" w:color="007DA7"/>
          <w:bottom w:val="single" w:sz="8" w:space="0" w:color="007DA7"/>
          <w:right w:val="single" w:sz="8" w:space="0" w:color="007DA7"/>
          <w:insideH w:val="none" w:sz="0" w:space="0" w:color="auto"/>
          <w:insideV w:val="none" w:sz="0" w:space="0" w:color="auto"/>
        </w:tblBorders>
        <w:tblCellMar>
          <w:top w:w="227" w:type="dxa"/>
          <w:left w:w="227" w:type="dxa"/>
          <w:bottom w:w="227" w:type="dxa"/>
          <w:right w:w="227" w:type="dxa"/>
        </w:tblCellMar>
        <w:tblLook w:val="04A0" w:firstRow="1" w:lastRow="0" w:firstColumn="1" w:lastColumn="0" w:noHBand="0" w:noVBand="1"/>
      </w:tblPr>
      <w:tblGrid>
        <w:gridCol w:w="9216"/>
      </w:tblGrid>
      <w:tr w:rsidR="00221769" w:rsidRPr="00561499" w14:paraId="692FCE9B" w14:textId="77777777" w:rsidTr="00046A5E">
        <w:tc>
          <w:tcPr>
            <w:tcW w:w="9216" w:type="dxa"/>
            <w:shd w:val="clear" w:color="auto" w:fill="auto"/>
          </w:tcPr>
          <w:p w14:paraId="58AA776A" w14:textId="2EA14F22" w:rsidR="00221769" w:rsidRPr="00561499" w:rsidRDefault="00221769" w:rsidP="00590881">
            <w:pPr>
              <w:pStyle w:val="Heading5"/>
              <w:spacing w:before="200" w:after="200"/>
              <w:outlineLvl w:val="4"/>
            </w:pPr>
            <w:r w:rsidRPr="00561499">
              <w:t>The UN Sus</w:t>
            </w:r>
            <w:r w:rsidR="00221A61">
              <w:t>tainable Development Goals</w:t>
            </w:r>
          </w:p>
          <w:p w14:paraId="1EB41253" w14:textId="77777777" w:rsidR="00221769" w:rsidRPr="00561499" w:rsidRDefault="00221769" w:rsidP="005F6484">
            <w:pPr>
              <w:autoSpaceDE w:val="0"/>
              <w:autoSpaceDN w:val="0"/>
              <w:adjustRightInd w:val="0"/>
              <w:rPr>
                <w:rFonts w:cs="Arial"/>
                <w:color w:val="1A1A1A"/>
              </w:rPr>
            </w:pPr>
            <w:r w:rsidRPr="00561499">
              <w:rPr>
                <w:rFonts w:cs="Arial"/>
                <w:color w:val="1A1A1A"/>
              </w:rPr>
              <w:t xml:space="preserve">Delivering a </w:t>
            </w:r>
            <w:r w:rsidRPr="00221A61">
              <w:rPr>
                <w:rStyle w:val="Emphasis"/>
              </w:rPr>
              <w:t>National Statement</w:t>
            </w:r>
            <w:r w:rsidRPr="00561499">
              <w:rPr>
                <w:rFonts w:cs="Arial"/>
                <w:color w:val="1A1A1A"/>
              </w:rPr>
              <w:t xml:space="preserve"> to the UN General Assembly on 29 September 2015, Foreign Affairs Minister</w:t>
            </w:r>
            <w:r w:rsidR="00EE0B3D" w:rsidRPr="00561499">
              <w:rPr>
                <w:rFonts w:cs="Arial"/>
                <w:color w:val="1A1A1A"/>
              </w:rPr>
              <w:t>, The Hon Julie</w:t>
            </w:r>
            <w:r w:rsidRPr="00561499">
              <w:rPr>
                <w:rFonts w:cs="Arial"/>
                <w:color w:val="1A1A1A"/>
              </w:rPr>
              <w:t xml:space="preserve"> Bishop</w:t>
            </w:r>
            <w:r w:rsidR="00EE0B3D" w:rsidRPr="00561499">
              <w:rPr>
                <w:rFonts w:cs="Arial"/>
                <w:color w:val="1A1A1A"/>
              </w:rPr>
              <w:t xml:space="preserve"> MP,</w:t>
            </w:r>
            <w:r w:rsidRPr="00561499">
              <w:rPr>
                <w:rFonts w:cs="Arial"/>
                <w:color w:val="1A1A1A"/>
              </w:rPr>
              <w:t xml:space="preserve"> underscored her government’s support for the</w:t>
            </w:r>
            <w:r w:rsidR="00C3385F" w:rsidRPr="00561499">
              <w:rPr>
                <w:rFonts w:cs="Arial"/>
                <w:color w:val="1A1A1A"/>
              </w:rPr>
              <w:t xml:space="preserve"> Sustainable Development Goals</w:t>
            </w:r>
            <w:r w:rsidRPr="00561499">
              <w:rPr>
                <w:rFonts w:cs="Arial"/>
                <w:color w:val="1A1A1A"/>
              </w:rPr>
              <w:t xml:space="preserve"> </w:t>
            </w:r>
            <w:r w:rsidR="00C3385F" w:rsidRPr="00561499">
              <w:rPr>
                <w:rFonts w:cs="Arial"/>
                <w:color w:val="1A1A1A"/>
              </w:rPr>
              <w:t>(</w:t>
            </w:r>
            <w:proofErr w:type="spellStart"/>
            <w:r w:rsidRPr="00561499">
              <w:rPr>
                <w:rFonts w:cs="Arial"/>
                <w:color w:val="1A1A1A"/>
              </w:rPr>
              <w:t>SDGs</w:t>
            </w:r>
            <w:proofErr w:type="spellEnd"/>
            <w:r w:rsidR="00C3385F" w:rsidRPr="00561499">
              <w:rPr>
                <w:rFonts w:cs="Arial"/>
                <w:color w:val="1A1A1A"/>
              </w:rPr>
              <w:t>)</w:t>
            </w:r>
            <w:r w:rsidRPr="00561499">
              <w:rPr>
                <w:rFonts w:cs="Arial"/>
                <w:color w:val="1A1A1A"/>
              </w:rPr>
              <w:t>, reminding delegates of Australia’s crafting of Ar</w:t>
            </w:r>
            <w:r w:rsidR="00EE0B3D" w:rsidRPr="00561499">
              <w:rPr>
                <w:rFonts w:cs="Arial"/>
                <w:color w:val="1A1A1A"/>
              </w:rPr>
              <w:t>ticle 56 of the 1945 UN Charter,</w:t>
            </w:r>
            <w:r w:rsidRPr="00561499">
              <w:rPr>
                <w:rFonts w:cs="Arial"/>
                <w:color w:val="1A1A1A"/>
              </w:rPr>
              <w:t xml:space="preserve"> known as the ‘Australia Pledge’. By this, UN members commit to ‘achieve higher standards of living… solutions to international economic, social, health and related problems… and universal respect for and observance of human rights and fundamental freedoms.’</w:t>
            </w:r>
            <w:r w:rsidRPr="00561499">
              <w:rPr>
                <w:rStyle w:val="EndnoteReference"/>
                <w:rFonts w:cs="Arial"/>
                <w:color w:val="1A1A1A"/>
              </w:rPr>
              <w:endnoteReference w:id="170"/>
            </w:r>
            <w:r w:rsidRPr="00561499">
              <w:rPr>
                <w:rFonts w:cs="Arial"/>
                <w:color w:val="1A1A1A"/>
              </w:rPr>
              <w:t xml:space="preserve"> Minister Bishop continued:</w:t>
            </w:r>
          </w:p>
          <w:p w14:paraId="7D2FB471" w14:textId="260CC192" w:rsidR="00221769" w:rsidRPr="00561499" w:rsidRDefault="00221769" w:rsidP="00417260">
            <w:pPr>
              <w:autoSpaceDE w:val="0"/>
              <w:autoSpaceDN w:val="0"/>
              <w:adjustRightInd w:val="0"/>
              <w:ind w:left="720"/>
              <w:rPr>
                <w:rFonts w:cs="Arial"/>
                <w:i/>
                <w:color w:val="1A1A1A"/>
              </w:rPr>
            </w:pPr>
            <w:r w:rsidRPr="00221A61">
              <w:rPr>
                <w:rFonts w:cs="Arial"/>
                <w:color w:val="1A1A1A"/>
              </w:rPr>
              <w:t>Today I reiterate that pledge. The 2030 Agenda for Sustainable Development… is a manifestation of the Australia Pledge …</w:t>
            </w:r>
            <w:r w:rsidR="00803DF1">
              <w:rPr>
                <w:rFonts w:cs="Arial"/>
                <w:color w:val="1A1A1A"/>
              </w:rPr>
              <w:t xml:space="preserve"> </w:t>
            </w:r>
            <w:r w:rsidRPr="00221A61">
              <w:rPr>
                <w:rFonts w:cs="Helvetica Neue"/>
                <w:color w:val="262626"/>
              </w:rPr>
              <w:t>Should we realize all 17 Goals, we will transform our world for the betterment of humankind. We must ensure that the remarkable spirit of cooperation displayed during the negotiation process is maintained as we work to turn these ambitious Goals into reality.</w:t>
            </w:r>
            <w:r w:rsidRPr="00561499">
              <w:rPr>
                <w:rStyle w:val="EndnoteReference"/>
                <w:rFonts w:cs="Helvetica Neue"/>
                <w:color w:val="262626"/>
              </w:rPr>
              <w:endnoteReference w:id="171"/>
            </w:r>
          </w:p>
          <w:p w14:paraId="5B97CA11" w14:textId="064C74B0" w:rsidR="00221769" w:rsidRPr="00561499" w:rsidRDefault="00221769" w:rsidP="00221A61">
            <w:r w:rsidRPr="00561499">
              <w:t xml:space="preserve">In particular, the </w:t>
            </w:r>
            <w:proofErr w:type="spellStart"/>
            <w:r w:rsidRPr="00561499">
              <w:t>SDGs</w:t>
            </w:r>
            <w:proofErr w:type="spellEnd"/>
            <w:r w:rsidRPr="00561499">
              <w:t xml:space="preserve"> are directly relevant to the achievement of health equality for Aboriginal and Torres Strait Islander people</w:t>
            </w:r>
            <w:r w:rsidR="00C3385F" w:rsidRPr="00561499">
              <w:t>s</w:t>
            </w:r>
            <w:r w:rsidRPr="00561499">
              <w:t>. For example combining Goal 10 (to reduce inequality within nations) and Target 3.8 to ‘achieve universal health coverage, including… access to quality essential health-care services and access to safe, effective, quality and affordable essential medicines and vaccines for all’ is capable of driving domestic action to achieve health equality.</w:t>
            </w:r>
            <w:r w:rsidRPr="00561499">
              <w:rPr>
                <w:rStyle w:val="EndnoteReference"/>
              </w:rPr>
              <w:endnoteReference w:id="172"/>
            </w:r>
          </w:p>
        </w:tc>
      </w:tr>
    </w:tbl>
    <w:p w14:paraId="4EB1F601" w14:textId="77777777" w:rsidR="00CB6F31" w:rsidRDefault="00CB6F31" w:rsidP="00CB6F31"/>
    <w:p w14:paraId="3E254187" w14:textId="5251075E" w:rsidR="00CB6F31" w:rsidRPr="00561499" w:rsidRDefault="00C8247F" w:rsidP="00CB6F31">
      <w:r>
        <w:br w:type="column"/>
      </w:r>
    </w:p>
    <w:tbl>
      <w:tblPr>
        <w:tblStyle w:val="TableGrid"/>
        <w:tblW w:w="0" w:type="auto"/>
        <w:tblBorders>
          <w:top w:val="single" w:sz="8" w:space="0" w:color="007DA7"/>
          <w:left w:val="single" w:sz="8" w:space="0" w:color="007DA7"/>
          <w:bottom w:val="single" w:sz="8" w:space="0" w:color="007DA7"/>
          <w:right w:val="single" w:sz="8" w:space="0" w:color="007DA7"/>
          <w:insideH w:val="none" w:sz="0" w:space="0" w:color="auto"/>
          <w:insideV w:val="none" w:sz="0" w:space="0" w:color="auto"/>
        </w:tblBorders>
        <w:tblCellMar>
          <w:top w:w="227" w:type="dxa"/>
          <w:left w:w="227" w:type="dxa"/>
          <w:bottom w:w="227" w:type="dxa"/>
          <w:right w:w="227" w:type="dxa"/>
        </w:tblCellMar>
        <w:tblLook w:val="04A0" w:firstRow="1" w:lastRow="0" w:firstColumn="1" w:lastColumn="0" w:noHBand="0" w:noVBand="1"/>
      </w:tblPr>
      <w:tblGrid>
        <w:gridCol w:w="9216"/>
      </w:tblGrid>
      <w:tr w:rsidR="00CB6F31" w:rsidRPr="00561499" w14:paraId="542FA046" w14:textId="77777777" w:rsidTr="00CB6F31">
        <w:tc>
          <w:tcPr>
            <w:tcW w:w="9216" w:type="dxa"/>
            <w:shd w:val="clear" w:color="auto" w:fill="auto"/>
          </w:tcPr>
          <w:p w14:paraId="25E16D6C" w14:textId="77777777" w:rsidR="00CB6F31" w:rsidRPr="00561499" w:rsidRDefault="00CB6F31" w:rsidP="002E2D37">
            <w:pPr>
              <w:spacing w:after="0"/>
            </w:pPr>
            <w:r w:rsidRPr="00561499">
              <w:t xml:space="preserve">The Campaign Steering Committee welcomes the Australian Government’s commitment to the </w:t>
            </w:r>
            <w:proofErr w:type="spellStart"/>
            <w:r w:rsidRPr="00561499">
              <w:t>SDGs</w:t>
            </w:r>
            <w:proofErr w:type="spellEnd"/>
            <w:r w:rsidRPr="00561499">
              <w:t xml:space="preserve">, and looks forward to their domestic implementation as appropriate, and the further impetus they should provide to the </w:t>
            </w:r>
            <w:r w:rsidRPr="00221A61">
              <w:rPr>
                <w:rStyle w:val="Emphasis"/>
              </w:rPr>
              <w:t>Closing the Gap Strategy</w:t>
            </w:r>
            <w:r w:rsidRPr="00561499">
              <w:t xml:space="preserve"> and to closing the health inequality gap, as well as to the </w:t>
            </w:r>
            <w:r w:rsidRPr="00221A61">
              <w:rPr>
                <w:rStyle w:val="Emphasis"/>
              </w:rPr>
              <w:t>Indigenous Advancement Strategy</w:t>
            </w:r>
            <w:r w:rsidRPr="00561499">
              <w:t xml:space="preserve">. </w:t>
            </w:r>
            <w:r w:rsidRPr="00561499">
              <w:rPr>
                <w:rFonts w:cs="Arial"/>
              </w:rPr>
              <w:t xml:space="preserve">It highlights the Department of Foreign Affairs and Trade’s </w:t>
            </w:r>
            <w:r>
              <w:rPr>
                <w:rStyle w:val="Emphasis"/>
              </w:rPr>
              <w:t xml:space="preserve">Indigenous Peoples Strategy </w:t>
            </w:r>
            <w:r w:rsidRPr="00221A61">
              <w:rPr>
                <w:rStyle w:val="Emphasis"/>
              </w:rPr>
              <w:t>2015–2019: A framework for action</w:t>
            </w:r>
            <w:r w:rsidRPr="00561499">
              <w:rPr>
                <w:rFonts w:cs="Arial"/>
              </w:rPr>
              <w:t xml:space="preserve"> as a model for how implementation could be progressed.</w:t>
            </w:r>
          </w:p>
        </w:tc>
      </w:tr>
    </w:tbl>
    <w:p w14:paraId="422487AE" w14:textId="77777777" w:rsidR="00CB6F31" w:rsidRDefault="00CB6F31" w:rsidP="00CB6F31"/>
    <w:p w14:paraId="60450919" w14:textId="4AE0C2C5" w:rsidR="00497226" w:rsidRPr="00561499" w:rsidRDefault="00596DC9" w:rsidP="00CB6F31">
      <w:pPr>
        <w:pStyle w:val="Heading1"/>
      </w:pPr>
      <w:bookmarkStart w:id="16" w:name="_Toc315703409"/>
      <w:r w:rsidRPr="00561499">
        <w:lastRenderedPageBreak/>
        <w:t>P</w:t>
      </w:r>
      <w:r w:rsidR="00221769" w:rsidRPr="00561499">
        <w:t>art 3: Priorities for 2016 and the next term of Parliament</w:t>
      </w:r>
      <w:bookmarkEnd w:id="16"/>
    </w:p>
    <w:p w14:paraId="2C2E2857" w14:textId="2969318D" w:rsidR="00CB6F31" w:rsidRDefault="00011647" w:rsidP="00CB6F31">
      <w:r>
        <w:rPr>
          <w:noProof/>
        </w:rPr>
        <w:drawing>
          <wp:inline distT="0" distB="0" distL="0" distR="0" wp14:anchorId="66C50FA0" wp14:editId="2360F279">
            <wp:extent cx="5759450" cy="5815393"/>
            <wp:effectExtent l="0" t="0" r="6350" b="1270"/>
            <wp:docPr id="6" name="Picture 4" descr="Photo shows two woman standing in front of an Aboriginal flag. They are both smiling and holding two halves of the 'CLOSE THE GAP Demand Indigenous health equality' sign which has been torn into two parts, after the word 'THE' in the CLOSE THE GAP." title="Close the Gap Campaign Co-Chair, Jackie Hugg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5815393"/>
                    </a:xfrm>
                    <a:prstGeom prst="rect">
                      <a:avLst/>
                    </a:prstGeom>
                    <a:noFill/>
                    <a:ln>
                      <a:noFill/>
                    </a:ln>
                  </pic:spPr>
                </pic:pic>
              </a:graphicData>
            </a:graphic>
          </wp:inline>
        </w:drawing>
      </w:r>
    </w:p>
    <w:p w14:paraId="537AEC4E" w14:textId="77777777" w:rsidR="00497226" w:rsidRPr="00561499" w:rsidRDefault="00497226" w:rsidP="00497226">
      <w:pPr>
        <w:pStyle w:val="Photocaption"/>
      </w:pPr>
      <w:r w:rsidRPr="00561499">
        <w:t xml:space="preserve">Close the Gap Campaign Co-Chair Jackie Huggins at a campaign event at </w:t>
      </w:r>
      <w:proofErr w:type="spellStart"/>
      <w:r w:rsidRPr="00561499">
        <w:t>Allens</w:t>
      </w:r>
      <w:proofErr w:type="spellEnd"/>
      <w:r w:rsidRPr="00561499">
        <w:t xml:space="preserve"> Lawyers in Brisbane. Phot</w:t>
      </w:r>
      <w:r>
        <w:t xml:space="preserve">ograph: Jason </w:t>
      </w:r>
      <w:proofErr w:type="spellStart"/>
      <w:r>
        <w:t>Malouin</w:t>
      </w:r>
      <w:proofErr w:type="spellEnd"/>
      <w:r>
        <w:t>/</w:t>
      </w:r>
      <w:proofErr w:type="spellStart"/>
      <w:r>
        <w:t>OxfamAUS</w:t>
      </w:r>
      <w:proofErr w:type="spellEnd"/>
      <w:r>
        <w:t>.</w:t>
      </w:r>
    </w:p>
    <w:p w14:paraId="3AAF2391" w14:textId="77777777" w:rsidR="00CB6F31" w:rsidRDefault="00CB6F31">
      <w:pPr>
        <w:keepLines w:val="0"/>
        <w:widowControl/>
        <w:spacing w:after="0" w:line="240" w:lineRule="auto"/>
      </w:pPr>
      <w:r>
        <w:br w:type="page"/>
      </w:r>
    </w:p>
    <w:p w14:paraId="639A3E6F" w14:textId="2B9CD549" w:rsidR="00221769" w:rsidRPr="00561499" w:rsidRDefault="00221769" w:rsidP="007E71A4">
      <w:r w:rsidRPr="00561499">
        <w:lastRenderedPageBreak/>
        <w:t xml:space="preserve">This part of the report sets out the kind of action the Campaign </w:t>
      </w:r>
      <w:r w:rsidR="005A412B" w:rsidRPr="00561499">
        <w:t xml:space="preserve">Steering Committee </w:t>
      </w:r>
      <w:r w:rsidRPr="00561499">
        <w:t>would like to see take place over 2016, including in the 45</w:t>
      </w:r>
      <w:r w:rsidRPr="00561499">
        <w:rPr>
          <w:vertAlign w:val="superscript"/>
        </w:rPr>
        <w:t>th</w:t>
      </w:r>
      <w:r w:rsidRPr="00561499">
        <w:t xml:space="preserve"> Australian Parliament following </w:t>
      </w:r>
      <w:r w:rsidR="00E30508" w:rsidRPr="00561499">
        <w:t>the next</w:t>
      </w:r>
      <w:r w:rsidRPr="00561499">
        <w:t xml:space="preserve"> federal election.</w:t>
      </w:r>
    </w:p>
    <w:p w14:paraId="2F5A107A" w14:textId="16AA20E5" w:rsidR="00221769" w:rsidRPr="00561499" w:rsidRDefault="00221A61" w:rsidP="00221A61">
      <w:pPr>
        <w:pStyle w:val="Heading3"/>
      </w:pPr>
      <w:bookmarkStart w:id="17" w:name="_Toc315703410"/>
      <w:r>
        <w:t xml:space="preserve">3.1 </w:t>
      </w:r>
      <w:r w:rsidR="00221769" w:rsidRPr="00561499">
        <w:t xml:space="preserve">Staying on track for the longer term, and reinvigorating the </w:t>
      </w:r>
      <w:r w:rsidR="00221769" w:rsidRPr="00221A61">
        <w:rPr>
          <w:rStyle w:val="Emphasis"/>
        </w:rPr>
        <w:t>Closing the Gap Strategy</w:t>
      </w:r>
      <w:bookmarkEnd w:id="17"/>
    </w:p>
    <w:p w14:paraId="3B333E98" w14:textId="37F52F60" w:rsidR="00E17323" w:rsidRPr="00561499" w:rsidRDefault="00221769" w:rsidP="001116C1">
      <w:r w:rsidRPr="00561499">
        <w:t xml:space="preserve">The </w:t>
      </w:r>
      <w:r w:rsidRPr="00221A61">
        <w:rPr>
          <w:rStyle w:val="Emphasis"/>
        </w:rPr>
        <w:t>Closing the Gap Strategy</w:t>
      </w:r>
      <w:r w:rsidRPr="00561499">
        <w:t xml:space="preserve"> is founded on a bipartisan, intergenerational commitment that transcends the terms of governments and the vagaries of politics. It is critical that all Australian governments, regardless of their particular focuses, maintain their overall commitment to the </w:t>
      </w:r>
      <w:r w:rsidRPr="00221A61">
        <w:rPr>
          <w:rStyle w:val="Emphasis"/>
        </w:rPr>
        <w:t>Closing the Gap Strategy</w:t>
      </w:r>
      <w:r w:rsidRPr="00561499">
        <w:t>, and that all feel the importance of their respective contributions to what is in effect a ‘nation-building’ effort that requires su</w:t>
      </w:r>
      <w:r w:rsidR="00221A61">
        <w:t>stained attention over decades.</w:t>
      </w:r>
    </w:p>
    <w:p w14:paraId="02DF3485" w14:textId="099481F6" w:rsidR="00E17323" w:rsidRPr="003D07C5" w:rsidRDefault="00221769" w:rsidP="00C8247F">
      <w:pPr>
        <w:spacing w:after="400"/>
      </w:pPr>
      <w:r w:rsidRPr="00561499">
        <w:t xml:space="preserve">In the Campaign’s 2013 </w:t>
      </w:r>
      <w:r w:rsidRPr="00803DF1">
        <w:rPr>
          <w:rStyle w:val="Emphasis"/>
        </w:rPr>
        <w:t>Building on the Close the Gap platform: Commitments for an incoming government</w:t>
      </w:r>
      <w:r w:rsidRPr="00561499">
        <w:t>,</w:t>
      </w:r>
      <w:r w:rsidR="008016C5" w:rsidRPr="00561499">
        <w:t xml:space="preserve"> prepared for the Federal E</w:t>
      </w:r>
      <w:r w:rsidRPr="00561499">
        <w:t xml:space="preserve">lection that year, it set out an agenda for reinvigorating the </w:t>
      </w:r>
      <w:r w:rsidRPr="00C644F8">
        <w:rPr>
          <w:rStyle w:val="Emphasis"/>
        </w:rPr>
        <w:t>Closing the Gap Strategy</w:t>
      </w:r>
      <w:r w:rsidRPr="00561499">
        <w:t xml:space="preserve">. Many of these recommendations </w:t>
      </w:r>
      <w:r w:rsidR="00457570" w:rsidRPr="00561499">
        <w:t xml:space="preserve">remain </w:t>
      </w:r>
      <w:r w:rsidRPr="00561499">
        <w:t xml:space="preserve">relevant to the forthcoming election, as reflected in </w:t>
      </w:r>
      <w:r w:rsidR="00D769C5">
        <w:t>the r</w:t>
      </w:r>
      <w:r w:rsidRPr="00561499">
        <w:t>ecommendation</w:t>
      </w:r>
      <w:r w:rsidR="00D769C5">
        <w:t>s of this Report.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227" w:type="dxa"/>
          <w:bottom w:w="227" w:type="dxa"/>
          <w:right w:w="227" w:type="dxa"/>
        </w:tblCellMar>
        <w:tblLook w:val="04A0" w:firstRow="1" w:lastRow="0" w:firstColumn="1" w:lastColumn="0" w:noHBand="0" w:noVBand="1"/>
      </w:tblPr>
      <w:tblGrid>
        <w:gridCol w:w="9286"/>
      </w:tblGrid>
      <w:tr w:rsidR="00E17323" w:rsidRPr="00F82562" w14:paraId="234D9CE8" w14:textId="77777777" w:rsidTr="0025143E">
        <w:tc>
          <w:tcPr>
            <w:tcW w:w="9286" w:type="dxa"/>
            <w:shd w:val="clear" w:color="auto" w:fill="F2F2F2" w:themeFill="background1" w:themeFillShade="F2"/>
          </w:tcPr>
          <w:p w14:paraId="47EE7D66" w14:textId="77777777" w:rsidR="00E17323" w:rsidRPr="00A25155" w:rsidRDefault="00E17323" w:rsidP="00E17323">
            <w:pPr>
              <w:pStyle w:val="PullQuote"/>
              <w:rPr>
                <w:rStyle w:val="Strong"/>
                <w:b w:val="0"/>
                <w:bCs w:val="0"/>
              </w:rPr>
            </w:pPr>
            <w:r w:rsidRPr="003D07C5">
              <w:t xml:space="preserve">It is critical that all Australian governments, regardless of their particular focuses, maintain their overall commitment to the </w:t>
            </w:r>
            <w:r w:rsidRPr="003D07C5">
              <w:rPr>
                <w:rStyle w:val="Emphasis"/>
              </w:rPr>
              <w:t>Closing the Gap Strategy</w:t>
            </w:r>
            <w:r w:rsidRPr="003D07C5">
              <w:rPr>
                <w:rFonts w:cs="HelveticaNeueLT Pro 67 MdCn"/>
              </w:rPr>
              <w:t>, and that all feel the importance of their respective contributions to what is in effect a ‘nation-building’ effort that requires sustained attention over decades.</w:t>
            </w:r>
          </w:p>
        </w:tc>
      </w:tr>
    </w:tbl>
    <w:p w14:paraId="73893B82" w14:textId="77777777" w:rsidR="00E17323" w:rsidRDefault="00E17323" w:rsidP="00E17323"/>
    <w:p w14:paraId="59ACBBD9" w14:textId="7F940556" w:rsidR="00C3385F" w:rsidRPr="00561499" w:rsidRDefault="00221769" w:rsidP="00AC091D">
      <w:pPr>
        <w:pStyle w:val="NormalWeb"/>
        <w:rPr>
          <w:rFonts w:ascii="Arial" w:eastAsia="Times New Roman" w:hAnsi="Arial"/>
          <w:szCs w:val="24"/>
        </w:rPr>
      </w:pPr>
      <w:r w:rsidRPr="00561499">
        <w:rPr>
          <w:rFonts w:ascii="Arial" w:hAnsi="Arial"/>
        </w:rPr>
        <w:t xml:space="preserve">Further, the renewal of the </w:t>
      </w:r>
      <w:r w:rsidRPr="00C644F8">
        <w:rPr>
          <w:rStyle w:val="Emphasis"/>
        </w:rPr>
        <w:t>National Indigenous Reform Agreement</w:t>
      </w:r>
      <w:r w:rsidRPr="00561499">
        <w:rPr>
          <w:rFonts w:ascii="Arial" w:hAnsi="Arial"/>
        </w:rPr>
        <w:t xml:space="preserve"> (</w:t>
      </w:r>
      <w:proofErr w:type="spellStart"/>
      <w:r w:rsidRPr="00561499">
        <w:rPr>
          <w:rFonts w:ascii="Arial" w:hAnsi="Arial"/>
        </w:rPr>
        <w:t>NIRA</w:t>
      </w:r>
      <w:proofErr w:type="spellEnd"/>
      <w:r w:rsidRPr="00561499">
        <w:rPr>
          <w:rFonts w:ascii="Arial" w:hAnsi="Arial"/>
        </w:rPr>
        <w:t xml:space="preserve">) in 2018 provides opportunity for a reinvigoration of the </w:t>
      </w:r>
      <w:r w:rsidRPr="00C644F8">
        <w:rPr>
          <w:rStyle w:val="Emphasis"/>
        </w:rPr>
        <w:t>Closing the Gap Strategy</w:t>
      </w:r>
      <w:r w:rsidRPr="00561499">
        <w:rPr>
          <w:rFonts w:ascii="Arial" w:hAnsi="Arial"/>
        </w:rPr>
        <w:t xml:space="preserve">. As noted in the </w:t>
      </w:r>
      <w:proofErr w:type="spellStart"/>
      <w:r w:rsidRPr="00561499">
        <w:rPr>
          <w:rFonts w:ascii="Arial" w:hAnsi="Arial"/>
        </w:rPr>
        <w:t>NIRA</w:t>
      </w:r>
      <w:proofErr w:type="spellEnd"/>
      <w:r w:rsidRPr="00561499">
        <w:rPr>
          <w:rFonts w:ascii="Arial" w:hAnsi="Arial"/>
        </w:rPr>
        <w:t xml:space="preserve">, </w:t>
      </w:r>
      <w:r w:rsidRPr="00561499">
        <w:rPr>
          <w:rFonts w:ascii="Arial" w:eastAsia="Times New Roman" w:hAnsi="Arial"/>
          <w:szCs w:val="24"/>
        </w:rPr>
        <w:t>it is:</w:t>
      </w:r>
    </w:p>
    <w:p w14:paraId="2B63043A" w14:textId="77A7BC06" w:rsidR="00221769" w:rsidRPr="00C644F8" w:rsidRDefault="00221769" w:rsidP="00C644F8">
      <w:pPr>
        <w:pStyle w:val="NormalWeb"/>
        <w:ind w:left="720"/>
        <w:rPr>
          <w:rFonts w:ascii="Arial" w:eastAsia="Times New Roman" w:hAnsi="Arial"/>
        </w:rPr>
      </w:pPr>
      <w:r w:rsidRPr="00C644F8">
        <w:rPr>
          <w:rFonts w:ascii="Arial" w:eastAsia="Times New Roman" w:hAnsi="Arial"/>
        </w:rPr>
        <w:t xml:space="preserve"> …like other National Agreements… a living document subject to enhancement over time to reflect additions and changes to existing and new National Agreements and National Partnership agreements. As </w:t>
      </w:r>
      <w:proofErr w:type="spellStart"/>
      <w:r w:rsidRPr="00C644F8">
        <w:rPr>
          <w:rFonts w:ascii="Arial" w:eastAsia="Times New Roman" w:hAnsi="Arial"/>
        </w:rPr>
        <w:t>COAG</w:t>
      </w:r>
      <w:proofErr w:type="spellEnd"/>
      <w:r w:rsidRPr="00C644F8">
        <w:rPr>
          <w:rFonts w:ascii="Arial" w:eastAsia="Times New Roman" w:hAnsi="Arial"/>
        </w:rPr>
        <w:t xml:space="preserve"> agrees to additional reforms to Close the Gap in Indigenous disadvantage, these will be reflected in this Agreement</w:t>
      </w:r>
      <w:r w:rsidRPr="00561499">
        <w:rPr>
          <w:rFonts w:ascii="Arial" w:eastAsia="Times New Roman" w:hAnsi="Arial"/>
        </w:rPr>
        <w:t>.</w:t>
      </w:r>
      <w:r w:rsidRPr="00561499">
        <w:rPr>
          <w:rStyle w:val="EndnoteReference"/>
          <w:rFonts w:eastAsia="Times New Roman"/>
        </w:rPr>
        <w:endnoteReference w:id="173"/>
      </w:r>
    </w:p>
    <w:p w14:paraId="10A5E1FD" w14:textId="7A7CC9A8" w:rsidR="00221769" w:rsidRPr="00561499" w:rsidRDefault="00E9389C" w:rsidP="00E9389C">
      <w:pPr>
        <w:pStyle w:val="Heading4"/>
      </w:pPr>
      <w:r>
        <w:lastRenderedPageBreak/>
        <w:t>(</w:t>
      </w:r>
      <w:r w:rsidR="00221769" w:rsidRPr="00561499">
        <w:t>a</w:t>
      </w:r>
      <w:r>
        <w:t>)</w:t>
      </w:r>
      <w:r w:rsidR="00221769" w:rsidRPr="00561499">
        <w:t xml:space="preserve"> Ev</w:t>
      </w:r>
      <w:r w:rsidR="00D769C5">
        <w:t>aluation, m</w:t>
      </w:r>
      <w:r w:rsidR="00221769" w:rsidRPr="00561499">
        <w:t xml:space="preserve">onitoring and </w:t>
      </w:r>
      <w:r w:rsidR="00D769C5">
        <w:t>r</w:t>
      </w:r>
      <w:r w:rsidR="00221769" w:rsidRPr="00561499">
        <w:t>eporting</w:t>
      </w:r>
    </w:p>
    <w:p w14:paraId="658B4FE2" w14:textId="23D56CA4" w:rsidR="00221769" w:rsidRPr="00561499" w:rsidRDefault="00221769" w:rsidP="007E71A4">
      <w:r w:rsidRPr="00561499">
        <w:rPr>
          <w:rFonts w:cs="Calibri"/>
        </w:rPr>
        <w:t xml:space="preserve">The Campaign </w:t>
      </w:r>
      <w:r w:rsidR="005A412B" w:rsidRPr="00561499">
        <w:rPr>
          <w:rFonts w:cs="Calibri"/>
        </w:rPr>
        <w:t xml:space="preserve">Steering Committee </w:t>
      </w:r>
      <w:r w:rsidRPr="00561499">
        <w:rPr>
          <w:rFonts w:cs="Calibri"/>
        </w:rPr>
        <w:t xml:space="preserve">would like to see formal </w:t>
      </w:r>
      <w:r w:rsidR="009D34E9" w:rsidRPr="00561499">
        <w:rPr>
          <w:rFonts w:cs="Calibri"/>
        </w:rPr>
        <w:t xml:space="preserve">ongoing </w:t>
      </w:r>
      <w:r w:rsidRPr="00561499">
        <w:rPr>
          <w:rFonts w:cs="Calibri"/>
        </w:rPr>
        <w:t xml:space="preserve">processes for national </w:t>
      </w:r>
      <w:r w:rsidRPr="00561499">
        <w:t xml:space="preserve">monitoring and reporting on efforts to close the gap associated with </w:t>
      </w:r>
      <w:r w:rsidR="00D769C5" w:rsidRPr="00E9389C">
        <w:rPr>
          <w:rStyle w:val="Emphasis"/>
        </w:rPr>
        <w:t xml:space="preserve">Implementation Plan </w:t>
      </w:r>
      <w:r w:rsidR="00D769C5">
        <w:rPr>
          <w:rStyle w:val="Emphasis"/>
        </w:rPr>
        <w:t xml:space="preserve">for the </w:t>
      </w:r>
      <w:r w:rsidRPr="00E9389C">
        <w:rPr>
          <w:rStyle w:val="Emphasis"/>
        </w:rPr>
        <w:t xml:space="preserve">National Aboriginal and Torres Strait Islander Health Plan </w:t>
      </w:r>
      <w:r w:rsidRPr="00561499">
        <w:t>in accordance with benchmarks and targets</w:t>
      </w:r>
      <w:r w:rsidR="00D33ABE" w:rsidRPr="00561499">
        <w:t>—</w:t>
      </w:r>
      <w:r w:rsidRPr="00561499">
        <w:t>in association with formal management use of the information to progressively improve servi</w:t>
      </w:r>
      <w:r w:rsidR="00E9389C">
        <w:t>ce standards and effectiveness.</w:t>
      </w:r>
    </w:p>
    <w:p w14:paraId="6F6EEC90" w14:textId="42FF0601" w:rsidR="00221769" w:rsidRPr="00561499" w:rsidRDefault="00221769">
      <w:pPr>
        <w:rPr>
          <w:rFonts w:cs="Calibri"/>
        </w:rPr>
      </w:pPr>
      <w:r w:rsidRPr="00561499">
        <w:t>This should include a requirement for this process to be undertaken in partnership with Aboriginal and Torres Strait Islander people</w:t>
      </w:r>
      <w:r w:rsidR="00C3385F" w:rsidRPr="00561499">
        <w:t>s</w:t>
      </w:r>
      <w:r w:rsidRPr="00561499">
        <w:t xml:space="preserve"> and their representatives. If legislated, it should als</w:t>
      </w:r>
      <w:r w:rsidR="00D7224D" w:rsidRPr="00561499">
        <w:t>o have a sunset clause of 2031—</w:t>
      </w:r>
      <w:r w:rsidRPr="00561499">
        <w:t>the year after the date by which all parties have committed to close the gap in health equality</w:t>
      </w:r>
      <w:r w:rsidRPr="00561499">
        <w:rPr>
          <w:rFonts w:cs="Calibri"/>
        </w:rPr>
        <w:t>. This would have the added advantage of helping enshrin</w:t>
      </w:r>
      <w:r w:rsidR="008016C5" w:rsidRPr="00561499">
        <w:rPr>
          <w:rFonts w:cs="Calibri"/>
        </w:rPr>
        <w:t>e</w:t>
      </w:r>
      <w:r w:rsidRPr="00561499">
        <w:rPr>
          <w:rFonts w:cs="Calibri"/>
        </w:rPr>
        <w:t xml:space="preserve"> the </w:t>
      </w:r>
      <w:r w:rsidRPr="00E9389C">
        <w:rPr>
          <w:rStyle w:val="Emphasis"/>
        </w:rPr>
        <w:t>Closing the Gap Strategy</w:t>
      </w:r>
      <w:r w:rsidRPr="00561499">
        <w:rPr>
          <w:rFonts w:cs="Calibri"/>
        </w:rPr>
        <w:t xml:space="preserve"> over the next fifteen years, when sustained focus on achieving equality must be maintained, and the t</w:t>
      </w:r>
      <w:r w:rsidR="008016C5" w:rsidRPr="00561499">
        <w:rPr>
          <w:rFonts w:cs="Calibri"/>
        </w:rPr>
        <w:t>emptation to achieve short-term</w:t>
      </w:r>
      <w:r w:rsidRPr="00561499">
        <w:rPr>
          <w:rFonts w:cs="Calibri"/>
        </w:rPr>
        <w:t xml:space="preserve"> gains over longer term sustainable health and other gains resisted.</w:t>
      </w:r>
    </w:p>
    <w:p w14:paraId="0D76552A" w14:textId="77777777" w:rsidR="00221769" w:rsidRPr="00561499" w:rsidRDefault="006402CC">
      <w:pPr>
        <w:rPr>
          <w:rFonts w:cs="Calibri"/>
        </w:rPr>
      </w:pPr>
      <w:r w:rsidRPr="00561499">
        <w:rPr>
          <w:rFonts w:cs="Calibri"/>
        </w:rPr>
        <w:t>In its 2013–</w:t>
      </w:r>
      <w:r w:rsidR="00221769" w:rsidRPr="00561499">
        <w:rPr>
          <w:rFonts w:cs="Calibri"/>
        </w:rPr>
        <w:t xml:space="preserve">2014 Performance Assessment of the </w:t>
      </w:r>
      <w:proofErr w:type="spellStart"/>
      <w:r w:rsidR="00221769" w:rsidRPr="00561499">
        <w:rPr>
          <w:rFonts w:cs="Calibri"/>
        </w:rPr>
        <w:t>NIRA</w:t>
      </w:r>
      <w:proofErr w:type="spellEnd"/>
      <w:r w:rsidR="00221769" w:rsidRPr="00561499">
        <w:rPr>
          <w:rFonts w:cs="Calibri"/>
        </w:rPr>
        <w:t>, the Productivity Commission made the following findings:</w:t>
      </w:r>
    </w:p>
    <w:p w14:paraId="0FADE1AF" w14:textId="11EBFEB7" w:rsidR="00221769" w:rsidRPr="00561499" w:rsidRDefault="00221769" w:rsidP="0023765F">
      <w:pPr>
        <w:pStyle w:val="ListParagraph"/>
        <w:numPr>
          <w:ilvl w:val="0"/>
          <w:numId w:val="22"/>
        </w:numPr>
        <w:spacing w:before="120"/>
        <w:ind w:left="714" w:hanging="357"/>
        <w:contextualSpacing w:val="0"/>
      </w:pPr>
      <w:r w:rsidRPr="00561499">
        <w:t>While tracking progress towards an outcomes end point can inform policy making, it is not a substitute for examining the role of specific policies in reducing disadvantage, and assessing their cost effectiveness in absolute terms and relative to othe</w:t>
      </w:r>
      <w:r w:rsidR="00E9389C">
        <w:t>r approaches.</w:t>
      </w:r>
    </w:p>
    <w:p w14:paraId="1CB7BD9C" w14:textId="0221D148" w:rsidR="00221769" w:rsidRPr="00561499" w:rsidRDefault="00221769" w:rsidP="0023765F">
      <w:pPr>
        <w:pStyle w:val="ListParagraph"/>
        <w:numPr>
          <w:ilvl w:val="0"/>
          <w:numId w:val="22"/>
        </w:numPr>
        <w:spacing w:before="120"/>
        <w:ind w:left="714" w:hanging="357"/>
        <w:contextualSpacing w:val="0"/>
      </w:pPr>
      <w:r w:rsidRPr="00561499">
        <w:t xml:space="preserve">The critical role that robust policy evaluation could, and should, play in improving outcomes for Aboriginal and Torres Strait Islander </w:t>
      </w:r>
      <w:r w:rsidR="00457570" w:rsidRPr="00561499">
        <w:t xml:space="preserve">people </w:t>
      </w:r>
      <w:r w:rsidR="00E9389C">
        <w:t>is widely acknowledged.</w:t>
      </w:r>
    </w:p>
    <w:p w14:paraId="4FF1C4A4" w14:textId="043AA1D4" w:rsidR="00221769" w:rsidRPr="00561499" w:rsidRDefault="00221769" w:rsidP="0023765F">
      <w:pPr>
        <w:pStyle w:val="ListParagraph"/>
        <w:numPr>
          <w:ilvl w:val="0"/>
          <w:numId w:val="22"/>
        </w:numPr>
        <w:spacing w:before="120"/>
        <w:ind w:left="714" w:hanging="357"/>
        <w:contextualSpacing w:val="0"/>
      </w:pPr>
      <w:r w:rsidRPr="00561499">
        <w:t>Though such evaluation can be challenging, a much stronger evaluation culture in the Indigenous policy area should be promoted. It is important that such evaluations consider the effectiveness of mainstream services which account for 80</w:t>
      </w:r>
      <w:r w:rsidR="00442102" w:rsidRPr="00561499">
        <w:t>%</w:t>
      </w:r>
      <w:r w:rsidRPr="00561499">
        <w:t xml:space="preserve"> of </w:t>
      </w:r>
      <w:r w:rsidR="00457570" w:rsidRPr="00561499">
        <w:t xml:space="preserve">Aboriginal and Torres Strait Islander </w:t>
      </w:r>
      <w:r w:rsidR="00E9389C">
        <w:t>expenditure.</w:t>
      </w:r>
    </w:p>
    <w:p w14:paraId="04227AC8" w14:textId="045873B0" w:rsidR="00221769" w:rsidRPr="00561499" w:rsidRDefault="00221769" w:rsidP="00E9389C">
      <w:pPr>
        <w:pStyle w:val="ListParagraph"/>
        <w:numPr>
          <w:ilvl w:val="0"/>
          <w:numId w:val="22"/>
        </w:numPr>
        <w:spacing w:before="120"/>
        <w:ind w:left="714" w:hanging="357"/>
        <w:contextualSpacing w:val="0"/>
      </w:pPr>
      <w:r w:rsidRPr="00561499">
        <w:t xml:space="preserve">Options for invigorating evaluation include: an overarching review of policy evaluation in the Indigenous area; </w:t>
      </w:r>
      <w:proofErr w:type="spellStart"/>
      <w:r w:rsidRPr="00561499">
        <w:t>COAG</w:t>
      </w:r>
      <w:proofErr w:type="spellEnd"/>
      <w:r w:rsidRPr="00561499">
        <w:t xml:space="preserve"> committing to evaluating policy settings in a target area or a sub-set of policies in a particular area (say education); and adding a procedural, evaluation-focused target to the Closing the Gap initiative.</w:t>
      </w:r>
      <w:r w:rsidRPr="00561499">
        <w:rPr>
          <w:rStyle w:val="EndnoteReference"/>
        </w:rPr>
        <w:endnoteReference w:id="174"/>
      </w:r>
    </w:p>
    <w:p w14:paraId="065E25A0" w14:textId="7567BE5C" w:rsidR="00221769" w:rsidRDefault="00221769" w:rsidP="007E71A4">
      <w:pPr>
        <w:rPr>
          <w:rFonts w:cs="Calibri"/>
        </w:rPr>
      </w:pPr>
      <w:r w:rsidRPr="00561499">
        <w:rPr>
          <w:rFonts w:cs="Calibri"/>
        </w:rPr>
        <w:t>The Campaign supports these calls.</w:t>
      </w:r>
      <w:r w:rsidR="00233909" w:rsidRPr="00561499">
        <w:rPr>
          <w:rFonts w:cs="Calibri"/>
        </w:rPr>
        <w:t xml:space="preserve"> In particular, </w:t>
      </w:r>
      <w:r w:rsidR="00B970F5" w:rsidRPr="00561499">
        <w:rPr>
          <w:rFonts w:cs="Calibri"/>
        </w:rPr>
        <w:t>a greater focus on quality policy evaluation will be a significant step towards achieving thoroughly considered health impacts in all policies from design through to implementation</w:t>
      </w:r>
      <w:r w:rsidR="005C5D95" w:rsidRPr="00561499">
        <w:rPr>
          <w:rFonts w:cs="Calibri"/>
        </w:rPr>
        <w:t>—</w:t>
      </w:r>
      <w:r w:rsidR="00B970F5" w:rsidRPr="00561499">
        <w:rPr>
          <w:rFonts w:cs="Calibri"/>
        </w:rPr>
        <w:t>as called for in the 2015</w:t>
      </w:r>
      <w:r w:rsidR="008016C5" w:rsidRPr="00561499">
        <w:rPr>
          <w:rFonts w:cs="Calibri"/>
        </w:rPr>
        <w:t xml:space="preserve"> </w:t>
      </w:r>
      <w:r w:rsidR="008016C5" w:rsidRPr="00803DF1">
        <w:rPr>
          <w:rStyle w:val="Emphasis"/>
        </w:rPr>
        <w:t>Progress and Priorities</w:t>
      </w:r>
      <w:r w:rsidR="00B970F5" w:rsidRPr="00803DF1">
        <w:rPr>
          <w:rStyle w:val="Emphasis"/>
        </w:rPr>
        <w:t xml:space="preserve"> Report</w:t>
      </w:r>
      <w:r w:rsidR="00E9389C">
        <w:rPr>
          <w:rFonts w:cs="Calibri"/>
        </w:rPr>
        <w:t>.</w:t>
      </w:r>
    </w:p>
    <w:p w14:paraId="030EF739" w14:textId="150EA12A" w:rsidR="00497226" w:rsidRDefault="00011647" w:rsidP="00CB6F31">
      <w:pPr>
        <w:rPr>
          <w:rFonts w:cs="Calibri"/>
        </w:rPr>
      </w:pPr>
      <w:r>
        <w:rPr>
          <w:rFonts w:cs="Calibri"/>
          <w:noProof/>
        </w:rPr>
        <w:lastRenderedPageBreak/>
        <w:drawing>
          <wp:inline distT="0" distB="0" distL="0" distR="0" wp14:anchorId="2F9AB5EC" wp14:editId="032F4A12">
            <wp:extent cx="5759450" cy="3698860"/>
            <wp:effectExtent l="0" t="0" r="6350" b="10160"/>
            <wp:docPr id="8" name="Picture 5" descr="Willun is lying on his stomach on the grass and is holding a blue and white football which is printed with the words: KANGAROOS (AFL)." title="Will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3698860"/>
                    </a:xfrm>
                    <a:prstGeom prst="rect">
                      <a:avLst/>
                    </a:prstGeom>
                    <a:noFill/>
                    <a:ln>
                      <a:noFill/>
                    </a:ln>
                  </pic:spPr>
                </pic:pic>
              </a:graphicData>
            </a:graphic>
          </wp:inline>
        </w:drawing>
      </w:r>
    </w:p>
    <w:p w14:paraId="7E4FC923" w14:textId="4294C32D" w:rsidR="00CB6F31" w:rsidRPr="00561499" w:rsidRDefault="00CB6F31" w:rsidP="00CB6F31">
      <w:pPr>
        <w:pStyle w:val="Photocaption"/>
      </w:pPr>
      <w:proofErr w:type="spellStart"/>
      <w:r w:rsidRPr="00CB6F31">
        <w:t>Willun</w:t>
      </w:r>
      <w:proofErr w:type="spellEnd"/>
      <w:r w:rsidRPr="00CB6F31">
        <w:t xml:space="preserve">, aged 7, in </w:t>
      </w:r>
      <w:proofErr w:type="spellStart"/>
      <w:r w:rsidRPr="00CB6F31">
        <w:t>Thornbury</w:t>
      </w:r>
      <w:proofErr w:type="spellEnd"/>
      <w:r w:rsidRPr="00CB6F31">
        <w:t>, Victoria. Photograph: Bonnie Savage/</w:t>
      </w:r>
      <w:proofErr w:type="spellStart"/>
      <w:r w:rsidRPr="00CB6F31">
        <w:t>OxfamAUS</w:t>
      </w:r>
      <w:proofErr w:type="spellEnd"/>
      <w:r w:rsidRPr="00CB6F31">
        <w:t>.</w:t>
      </w:r>
    </w:p>
    <w:p w14:paraId="64D61BD4" w14:textId="35F346FB" w:rsidR="00221769" w:rsidRPr="00561499" w:rsidRDefault="00E9389C" w:rsidP="00E9389C">
      <w:pPr>
        <w:pStyle w:val="Heading4"/>
      </w:pPr>
      <w:r>
        <w:t>(b)</w:t>
      </w:r>
      <w:r w:rsidR="00221769" w:rsidRPr="00561499">
        <w:t xml:space="preserve"> Additional Closing the Gap Targets</w:t>
      </w:r>
    </w:p>
    <w:p w14:paraId="0D2A8D1C" w14:textId="5F2FA6E0" w:rsidR="00221769" w:rsidRPr="00561499" w:rsidRDefault="00221769" w:rsidP="007E71A4">
      <w:pPr>
        <w:rPr>
          <w:rFonts w:cs="Calibri"/>
        </w:rPr>
      </w:pPr>
      <w:r w:rsidRPr="00561499">
        <w:t xml:space="preserve">In 2013, the Campaign </w:t>
      </w:r>
      <w:r w:rsidR="00442102" w:rsidRPr="00561499">
        <w:t xml:space="preserve">Steering Committee </w:t>
      </w:r>
      <w:r w:rsidRPr="00561499">
        <w:t xml:space="preserve">proposed that </w:t>
      </w:r>
      <w:r w:rsidRPr="00561499">
        <w:rPr>
          <w:rFonts w:cs="Calibri"/>
        </w:rPr>
        <w:t>in partnership with Aboriginal and Torres Strait Islander people</w:t>
      </w:r>
      <w:r w:rsidR="009F7FBA" w:rsidRPr="00561499">
        <w:rPr>
          <w:rFonts w:cs="Calibri"/>
        </w:rPr>
        <w:t>s</w:t>
      </w:r>
      <w:r w:rsidRPr="00561499">
        <w:rPr>
          <w:rFonts w:cs="Calibri"/>
        </w:rPr>
        <w:t xml:space="preserve"> and their representatives, </w:t>
      </w:r>
      <w:proofErr w:type="spellStart"/>
      <w:r w:rsidRPr="00561499">
        <w:rPr>
          <w:rFonts w:cs="Calibri"/>
        </w:rPr>
        <w:t>COAG</w:t>
      </w:r>
      <w:proofErr w:type="spellEnd"/>
      <w:r w:rsidRPr="00561499">
        <w:rPr>
          <w:rFonts w:cs="Calibri"/>
        </w:rPr>
        <w:t xml:space="preserve"> develop additional Closing the Gap </w:t>
      </w:r>
      <w:r w:rsidR="00467DEF" w:rsidRPr="00561499">
        <w:rPr>
          <w:rFonts w:cs="Calibri"/>
        </w:rPr>
        <w:t>T</w:t>
      </w:r>
      <w:r w:rsidRPr="00561499">
        <w:rPr>
          <w:rFonts w:cs="Calibri"/>
        </w:rPr>
        <w:t>argets in relation to incarceration rates and community safety. These calls are</w:t>
      </w:r>
      <w:r w:rsidR="00467DEF" w:rsidRPr="00561499">
        <w:rPr>
          <w:rFonts w:cs="Calibri"/>
        </w:rPr>
        <w:t xml:space="preserve"> as</w:t>
      </w:r>
      <w:r w:rsidRPr="00561499">
        <w:rPr>
          <w:rFonts w:cs="Calibri"/>
        </w:rPr>
        <w:t xml:space="preserve"> relevant as ever in 2016. </w:t>
      </w:r>
      <w:r w:rsidRPr="00561499">
        <w:t xml:space="preserve">The 2015 adoption of a Closing the Gap Target for rates of school attendance by </w:t>
      </w:r>
      <w:proofErr w:type="spellStart"/>
      <w:r w:rsidRPr="00561499">
        <w:t>COAG</w:t>
      </w:r>
      <w:proofErr w:type="spellEnd"/>
      <w:r w:rsidRPr="00561499">
        <w:t xml:space="preserve"> shows the potential of adding other targets to the </w:t>
      </w:r>
      <w:r w:rsidRPr="00366F2E">
        <w:rPr>
          <w:rStyle w:val="Emphasis"/>
        </w:rPr>
        <w:t>Closing the Gap Strategy</w:t>
      </w:r>
      <w:r w:rsidRPr="00561499">
        <w:t>.</w:t>
      </w:r>
      <w:r w:rsidRPr="00561499">
        <w:rPr>
          <w:rStyle w:val="EndnoteReference"/>
        </w:rPr>
        <w:endnoteReference w:id="175"/>
      </w:r>
    </w:p>
    <w:p w14:paraId="65F695E8" w14:textId="0EFDDDD1" w:rsidR="00221769" w:rsidRPr="00366F2E" w:rsidRDefault="00221769" w:rsidP="007E71A4">
      <w:pPr>
        <w:rPr>
          <w:vertAlign w:val="superscript"/>
        </w:rPr>
      </w:pPr>
      <w:r w:rsidRPr="00561499">
        <w:rPr>
          <w:rFonts w:cs="Calibri"/>
        </w:rPr>
        <w:t>The Campaign remains particularly concerned about imprisonment rates</w:t>
      </w:r>
      <w:r w:rsidR="009F7FBA" w:rsidRPr="00561499">
        <w:rPr>
          <w:rFonts w:cs="Calibri"/>
        </w:rPr>
        <w:t xml:space="preserve"> and community safety (particularly family violence)</w:t>
      </w:r>
      <w:r w:rsidR="005C5D95" w:rsidRPr="00561499">
        <w:rPr>
          <w:rFonts w:cs="Calibri"/>
        </w:rPr>
        <w:t>—</w:t>
      </w:r>
      <w:r w:rsidRPr="00561499">
        <w:rPr>
          <w:rFonts w:cs="Calibri"/>
        </w:rPr>
        <w:t>which are only getting worse. In 2013, t</w:t>
      </w:r>
      <w:r w:rsidRPr="00561499">
        <w:t xml:space="preserve">he age </w:t>
      </w:r>
      <w:proofErr w:type="spellStart"/>
      <w:r w:rsidRPr="00561499">
        <w:t>standardised</w:t>
      </w:r>
      <w:proofErr w:type="spellEnd"/>
      <w:r w:rsidRPr="00561499">
        <w:t xml:space="preserve"> imprisonment rate for Aboriginal and Torres Strait Islander people was 13 times greater than for non-Indigenous Australians in 2015.</w:t>
      </w:r>
      <w:r w:rsidRPr="00561499">
        <w:rPr>
          <w:vertAlign w:val="superscript"/>
        </w:rPr>
        <w:endnoteReference w:id="176"/>
      </w:r>
      <w:r w:rsidRPr="00561499">
        <w:rPr>
          <w:vertAlign w:val="superscript"/>
        </w:rPr>
        <w:t xml:space="preserve"> </w:t>
      </w:r>
      <w:r w:rsidRPr="00561499">
        <w:t>The year 2016 marks a grim milestone in the numbers of Aboriginal and Torres Strait Islander people being held in custody. Under current projections, for the first time over 10,000 will be in custody on the night of the annual prison census, 30 June 2016, including over 1,000 women.</w:t>
      </w:r>
      <w:r w:rsidRPr="00561499">
        <w:rPr>
          <w:rStyle w:val="EndnoteReference"/>
        </w:rPr>
        <w:endnoteReference w:id="177"/>
      </w:r>
      <w:r w:rsidRPr="00561499">
        <w:t xml:space="preserve"> Currently, Aboriginal and Torres Strait Islander people comprise 27% of all sentenced prisoners,</w:t>
      </w:r>
      <w:r w:rsidRPr="00561499">
        <w:rPr>
          <w:vertAlign w:val="superscript"/>
        </w:rPr>
        <w:endnoteReference w:id="178"/>
      </w:r>
      <w:r w:rsidRPr="00366F2E">
        <w:t xml:space="preserve"> </w:t>
      </w:r>
      <w:r w:rsidRPr="00561499">
        <w:t>and 29</w:t>
      </w:r>
      <w:r w:rsidR="003A5188" w:rsidRPr="00561499">
        <w:t>%</w:t>
      </w:r>
      <w:r w:rsidR="00D0009F" w:rsidRPr="00561499">
        <w:t xml:space="preserve"> </w:t>
      </w:r>
      <w:r w:rsidRPr="00561499">
        <w:t>of un-sentenced prisoners,</w:t>
      </w:r>
      <w:r w:rsidRPr="00561499">
        <w:rPr>
          <w:vertAlign w:val="superscript"/>
        </w:rPr>
        <w:endnoteReference w:id="179"/>
      </w:r>
      <w:r w:rsidR="00803DF1" w:rsidRPr="00561499">
        <w:t xml:space="preserve"> </w:t>
      </w:r>
      <w:r w:rsidRPr="00561499">
        <w:t>despite being only 3% of the population.</w:t>
      </w:r>
      <w:r w:rsidRPr="00561499">
        <w:rPr>
          <w:vertAlign w:val="superscript"/>
        </w:rPr>
        <w:endnoteReference w:id="180"/>
      </w:r>
    </w:p>
    <w:p w14:paraId="53FA8816" w14:textId="41E6DD08" w:rsidR="00221769" w:rsidRPr="00366F2E" w:rsidRDefault="00221769" w:rsidP="00366F2E">
      <w:pPr>
        <w:autoSpaceDE w:val="0"/>
        <w:autoSpaceDN w:val="0"/>
        <w:adjustRightInd w:val="0"/>
        <w:rPr>
          <w:rFonts w:cs="Calibri Light"/>
          <w:color w:val="000000"/>
        </w:rPr>
      </w:pPr>
      <w:r w:rsidRPr="00561499">
        <w:rPr>
          <w:rFonts w:cs="Calibri Light"/>
          <w:color w:val="000000"/>
        </w:rPr>
        <w:t>The following recommendation also draws on earlier discussion about the need for input targets and indicators, rather than exclusive reliance on those for outcomes.</w:t>
      </w:r>
    </w:p>
    <w:p w14:paraId="7FFE4775" w14:textId="3C336568" w:rsidR="00D965C0" w:rsidRPr="00561499" w:rsidRDefault="00221769" w:rsidP="007E71A4">
      <w:r w:rsidRPr="00561499">
        <w:rPr>
          <w:color w:val="000000" w:themeColor="text1"/>
        </w:rPr>
        <w:lastRenderedPageBreak/>
        <w:t xml:space="preserve">The Campaign commends the </w:t>
      </w:r>
      <w:r w:rsidRPr="00561499">
        <w:rPr>
          <w:rFonts w:eastAsia="Times New Roman" w:cs="ProximaNovaT-Thin"/>
          <w:color w:val="000000" w:themeColor="text1"/>
        </w:rPr>
        <w:t xml:space="preserve">2015 </w:t>
      </w:r>
      <w:r w:rsidRPr="00561499">
        <w:rPr>
          <w:color w:val="000000" w:themeColor="text1"/>
        </w:rPr>
        <w:t>Australian Medical Association</w:t>
      </w:r>
      <w:r w:rsidRPr="00561499">
        <w:rPr>
          <w:rFonts w:eastAsia="Times New Roman" w:cs="ProximaNovaT-Thin"/>
          <w:color w:val="000000" w:themeColor="text1"/>
        </w:rPr>
        <w:t>’s</w:t>
      </w:r>
      <w:r w:rsidRPr="00561499">
        <w:rPr>
          <w:rFonts w:eastAsia="Times New Roman" w:cs="ProximaNovaT-Thin"/>
          <w:i/>
          <w:color w:val="000000" w:themeColor="text1"/>
        </w:rPr>
        <w:t xml:space="preserve"> </w:t>
      </w:r>
      <w:r w:rsidRPr="00366F2E">
        <w:rPr>
          <w:rStyle w:val="Emphasis"/>
        </w:rPr>
        <w:t>Rep</w:t>
      </w:r>
      <w:r w:rsidR="00992D4C" w:rsidRPr="00366F2E">
        <w:rPr>
          <w:rStyle w:val="Emphasis"/>
        </w:rPr>
        <w:t>ort Card on Indigenous Health—</w:t>
      </w:r>
      <w:r w:rsidRPr="00366F2E">
        <w:rPr>
          <w:rStyle w:val="Emphasis"/>
        </w:rPr>
        <w:t>Closing the Gap on Indigenous Imprisonment Rates</w:t>
      </w:r>
      <w:r w:rsidRPr="00561499">
        <w:rPr>
          <w:rFonts w:eastAsia="Times New Roman" w:cs="ProximaNovaT-Thin"/>
          <w:color w:val="000000" w:themeColor="text1"/>
        </w:rPr>
        <w:t xml:space="preserve"> </w:t>
      </w:r>
      <w:r w:rsidRPr="00561499">
        <w:rPr>
          <w:color w:val="000000" w:themeColor="text1"/>
        </w:rPr>
        <w:t xml:space="preserve">for </w:t>
      </w:r>
      <w:r w:rsidRPr="00561499">
        <w:t>its proposals around reducing imprisonment in part by addressing the health problems associated with incarceration, in particular mental health problems, substance abuse disorders and cognitive disabilities.</w:t>
      </w:r>
      <w:r w:rsidRPr="00561499">
        <w:rPr>
          <w:rStyle w:val="EndnoteReference"/>
        </w:rPr>
        <w:endnoteReference w:id="181"/>
      </w:r>
    </w:p>
    <w:p w14:paraId="16E6B9CC" w14:textId="1D6A0235" w:rsidR="00221769" w:rsidRPr="00561499" w:rsidRDefault="00406A1F" w:rsidP="00406A1F">
      <w:pPr>
        <w:pStyle w:val="Heading4"/>
      </w:pPr>
      <w:r>
        <w:t>(c)</w:t>
      </w:r>
      <w:r w:rsidR="00221769" w:rsidRPr="00561499">
        <w:t xml:space="preserve"> An increased focus on disability</w:t>
      </w:r>
    </w:p>
    <w:p w14:paraId="6920FF05" w14:textId="2A032E9E" w:rsidR="00221769" w:rsidRPr="00803DF1" w:rsidRDefault="00221769" w:rsidP="00040CF1">
      <w:pPr>
        <w:pStyle w:val="ListParagraph"/>
        <w:tabs>
          <w:tab w:val="left" w:pos="220"/>
          <w:tab w:val="left" w:pos="720"/>
        </w:tabs>
        <w:autoSpaceDE w:val="0"/>
        <w:autoSpaceDN w:val="0"/>
        <w:adjustRightInd w:val="0"/>
        <w:spacing w:after="293"/>
        <w:ind w:left="0"/>
        <w:rPr>
          <w:rFonts w:eastAsia="Times New Roman" w:cs="Times"/>
          <w:szCs w:val="24"/>
        </w:rPr>
      </w:pPr>
      <w:r w:rsidRPr="00803DF1">
        <w:rPr>
          <w:rFonts w:eastAsia="Times New Roman" w:cs="Times"/>
          <w:szCs w:val="24"/>
        </w:rPr>
        <w:t>The Campaign Steering Committee also supports the adoption of a Closing the Gap Target for access to the National Disability I</w:t>
      </w:r>
      <w:r w:rsidR="00992D4C" w:rsidRPr="00803DF1">
        <w:rPr>
          <w:rFonts w:eastAsia="Times New Roman" w:cs="Times"/>
          <w:szCs w:val="24"/>
        </w:rPr>
        <w:t>nsurance Scheme (</w:t>
      </w:r>
      <w:proofErr w:type="spellStart"/>
      <w:r w:rsidR="00992D4C" w:rsidRPr="00803DF1">
        <w:rPr>
          <w:rFonts w:eastAsia="Times New Roman" w:cs="Times"/>
          <w:szCs w:val="24"/>
        </w:rPr>
        <w:t>NDIS</w:t>
      </w:r>
      <w:proofErr w:type="spellEnd"/>
      <w:r w:rsidR="00992D4C" w:rsidRPr="00803DF1">
        <w:rPr>
          <w:rFonts w:eastAsia="Times New Roman" w:cs="Times"/>
          <w:szCs w:val="24"/>
        </w:rPr>
        <w:t>)—</w:t>
      </w:r>
      <w:r w:rsidRPr="00803DF1">
        <w:rPr>
          <w:rFonts w:eastAsia="Times New Roman" w:cs="Times"/>
          <w:szCs w:val="24"/>
        </w:rPr>
        <w:t xml:space="preserve">as first proposed by the (then) </w:t>
      </w:r>
      <w:r w:rsidRPr="00803DF1">
        <w:rPr>
          <w:rFonts w:eastAsia="Times New Roman" w:cs="Arial"/>
          <w:szCs w:val="24"/>
        </w:rPr>
        <w:t xml:space="preserve">Minister for Families, Community Services and Indigenous Affairs </w:t>
      </w:r>
      <w:r w:rsidRPr="00803DF1">
        <w:rPr>
          <w:rFonts w:eastAsia="Times New Roman" w:cs="Times"/>
          <w:szCs w:val="24"/>
        </w:rPr>
        <w:t>at the May 2013 launch of Campaign member First Peoples Disability Network’s (</w:t>
      </w:r>
      <w:proofErr w:type="spellStart"/>
      <w:r w:rsidRPr="00803DF1">
        <w:rPr>
          <w:rFonts w:eastAsia="Times New Roman" w:cs="Times"/>
          <w:szCs w:val="24"/>
        </w:rPr>
        <w:t>FPDN</w:t>
      </w:r>
      <w:proofErr w:type="spellEnd"/>
      <w:r w:rsidRPr="00803DF1">
        <w:rPr>
          <w:rFonts w:eastAsia="Times New Roman" w:cs="Times"/>
          <w:szCs w:val="24"/>
        </w:rPr>
        <w:t xml:space="preserve">) </w:t>
      </w:r>
      <w:r w:rsidRPr="00803DF1">
        <w:rPr>
          <w:rStyle w:val="Emphasis"/>
          <w:szCs w:val="24"/>
        </w:rPr>
        <w:t xml:space="preserve">Ten-point plan for the implementation of the </w:t>
      </w:r>
      <w:proofErr w:type="spellStart"/>
      <w:r w:rsidRPr="00803DF1">
        <w:rPr>
          <w:rStyle w:val="Emphasis"/>
          <w:szCs w:val="24"/>
        </w:rPr>
        <w:t>NDIS</w:t>
      </w:r>
      <w:proofErr w:type="spellEnd"/>
      <w:r w:rsidRPr="00803DF1">
        <w:rPr>
          <w:rStyle w:val="Emphasis"/>
          <w:szCs w:val="24"/>
        </w:rPr>
        <w:t xml:space="preserve"> in Aboriginal communities</w:t>
      </w:r>
      <w:r w:rsidRPr="00803DF1">
        <w:rPr>
          <w:rFonts w:eastAsia="Times New Roman" w:cs="Times"/>
          <w:szCs w:val="24"/>
        </w:rPr>
        <w:t>.</w:t>
      </w:r>
      <w:r w:rsidRPr="00803DF1">
        <w:rPr>
          <w:rStyle w:val="EndnoteReference"/>
          <w:rFonts w:eastAsia="Times New Roman" w:cs="Times"/>
          <w:szCs w:val="24"/>
        </w:rPr>
        <w:endnoteReference w:id="182"/>
      </w:r>
    </w:p>
    <w:p w14:paraId="31E4486C" w14:textId="77777777" w:rsidR="00221769" w:rsidRPr="00803DF1" w:rsidRDefault="00221769" w:rsidP="00406A1F">
      <w:pPr>
        <w:rPr>
          <w:szCs w:val="24"/>
        </w:rPr>
      </w:pPr>
      <w:r w:rsidRPr="00803DF1">
        <w:rPr>
          <w:szCs w:val="24"/>
        </w:rPr>
        <w:t xml:space="preserve">Developed by a working group led by the </w:t>
      </w:r>
      <w:proofErr w:type="spellStart"/>
      <w:r w:rsidRPr="00803DF1">
        <w:rPr>
          <w:szCs w:val="24"/>
        </w:rPr>
        <w:t>FPDN</w:t>
      </w:r>
      <w:proofErr w:type="spellEnd"/>
      <w:r w:rsidRPr="00803DF1">
        <w:rPr>
          <w:szCs w:val="24"/>
        </w:rPr>
        <w:t xml:space="preserve"> Executive Officer, a target that 90</w:t>
      </w:r>
      <w:r w:rsidR="00442102" w:rsidRPr="00803DF1">
        <w:rPr>
          <w:szCs w:val="24"/>
        </w:rPr>
        <w:t>%</w:t>
      </w:r>
      <w:r w:rsidRPr="00803DF1">
        <w:rPr>
          <w:szCs w:val="24"/>
        </w:rPr>
        <w:t xml:space="preserve"> of eligible Aboriginal and Torres Strait Islander people will be receiving funded support from the </w:t>
      </w:r>
      <w:proofErr w:type="spellStart"/>
      <w:r w:rsidRPr="00803DF1">
        <w:rPr>
          <w:szCs w:val="24"/>
        </w:rPr>
        <w:t>NDIS</w:t>
      </w:r>
      <w:proofErr w:type="spellEnd"/>
      <w:r w:rsidRPr="00803DF1">
        <w:rPr>
          <w:szCs w:val="24"/>
        </w:rPr>
        <w:t xml:space="preserve"> (then Disability Care Australia) by 2020 was eventually agreed,</w:t>
      </w:r>
      <w:r w:rsidRPr="00803DF1">
        <w:rPr>
          <w:rStyle w:val="EndnoteReference"/>
          <w:rFonts w:eastAsia="Times New Roman" w:cs="Helvetica Neue"/>
          <w:color w:val="2E2D2D"/>
          <w:szCs w:val="24"/>
        </w:rPr>
        <w:endnoteReference w:id="183"/>
      </w:r>
      <w:r w:rsidRPr="00803DF1">
        <w:rPr>
          <w:szCs w:val="24"/>
        </w:rPr>
        <w:t xml:space="preserve"> but never formally adopted.</w:t>
      </w:r>
    </w:p>
    <w:p w14:paraId="1DBB1667" w14:textId="32309808" w:rsidR="00221769" w:rsidRPr="00561499" w:rsidRDefault="00221769" w:rsidP="00DC21E3">
      <w:pPr>
        <w:autoSpaceDE w:val="0"/>
        <w:autoSpaceDN w:val="0"/>
        <w:adjustRightInd w:val="0"/>
        <w:spacing w:after="240"/>
        <w:rPr>
          <w:rFonts w:eastAsia="Times New Roman" w:cs="Helvetica Neue"/>
          <w:color w:val="2E2D2D"/>
        </w:rPr>
      </w:pPr>
      <w:r w:rsidRPr="00561499">
        <w:rPr>
          <w:rFonts w:eastAsia="Times New Roman" w:cs="Helvetica Neue"/>
          <w:color w:val="2E2D2D"/>
        </w:rPr>
        <w:t xml:space="preserve">The 2015 Aboriginal and Torres Strait Islander Social Justice Commissioner’s </w:t>
      </w:r>
      <w:r w:rsidRPr="00406A1F">
        <w:rPr>
          <w:rStyle w:val="Emphasis"/>
        </w:rPr>
        <w:t>Social Justice and Native Title Report</w:t>
      </w:r>
      <w:r w:rsidRPr="00561499">
        <w:rPr>
          <w:rFonts w:eastAsia="Times New Roman" w:cs="Helvetica Neue"/>
          <w:i/>
          <w:color w:val="2E2D2D"/>
        </w:rPr>
        <w:t xml:space="preserve"> </w:t>
      </w:r>
      <w:r w:rsidRPr="00561499">
        <w:rPr>
          <w:rFonts w:eastAsia="Times New Roman" w:cs="Helvetica Neue"/>
          <w:color w:val="2E2D2D"/>
        </w:rPr>
        <w:t xml:space="preserve">highlights the extent of disability in the Aboriginal and Torres Strait Islander population (as set out in </w:t>
      </w:r>
      <w:r w:rsidR="009D653D">
        <w:rPr>
          <w:rFonts w:eastAsia="Times New Roman" w:cs="Helvetica Neue"/>
          <w:color w:val="2E2D2D"/>
        </w:rPr>
        <w:t>the t</w:t>
      </w:r>
      <w:r w:rsidRPr="00561499">
        <w:rPr>
          <w:rFonts w:eastAsia="Times New Roman" w:cs="Helvetica Neue"/>
          <w:color w:val="2E2D2D"/>
        </w:rPr>
        <w:t xml:space="preserve">ext </w:t>
      </w:r>
      <w:r w:rsidR="009D653D">
        <w:rPr>
          <w:rFonts w:eastAsia="Times New Roman" w:cs="Helvetica Neue"/>
          <w:color w:val="2E2D2D"/>
        </w:rPr>
        <w:t>b</w:t>
      </w:r>
      <w:r w:rsidRPr="00561499">
        <w:rPr>
          <w:rFonts w:eastAsia="Times New Roman" w:cs="Helvetica Neue"/>
          <w:color w:val="2E2D2D"/>
        </w:rPr>
        <w:t xml:space="preserve">ox below). It describes the work of the </w:t>
      </w:r>
      <w:proofErr w:type="spellStart"/>
      <w:r w:rsidRPr="00561499">
        <w:rPr>
          <w:rFonts w:eastAsia="Times New Roman" w:cs="Helvetica Neue"/>
          <w:color w:val="2E2D2D"/>
        </w:rPr>
        <w:t>FPDN</w:t>
      </w:r>
      <w:proofErr w:type="spellEnd"/>
      <w:r w:rsidRPr="00561499">
        <w:rPr>
          <w:rFonts w:eastAsia="Times New Roman" w:cs="Helvetica Neue"/>
          <w:color w:val="2E2D2D"/>
        </w:rPr>
        <w:t xml:space="preserve"> in this space and it considers the challenges in this space particularly in relation to the </w:t>
      </w:r>
      <w:proofErr w:type="spellStart"/>
      <w:r w:rsidRPr="00561499">
        <w:rPr>
          <w:rFonts w:eastAsia="Times New Roman" w:cs="Helvetica Neue"/>
          <w:color w:val="2E2D2D"/>
        </w:rPr>
        <w:t>NDIS</w:t>
      </w:r>
      <w:proofErr w:type="spellEnd"/>
      <w:r w:rsidRPr="00561499">
        <w:rPr>
          <w:rFonts w:eastAsia="Times New Roman" w:cs="Helvetica Neue"/>
          <w:color w:val="2E2D2D"/>
        </w:rPr>
        <w:t xml:space="preserve">. In particular, the Campaign supports the recommendations made in this report. </w:t>
      </w:r>
      <w:r w:rsidR="00DC21E3" w:rsidRPr="00561499">
        <w:rPr>
          <w:rFonts w:eastAsia="Times New Roman" w:cs="Helvetica Neue"/>
          <w:color w:val="2E2D2D"/>
        </w:rPr>
        <w:t>The Campaign Steering Committee calls for the inclusion of a target for Aboriginal and Torres Strait Islander people with disability in 2016 and also calls on the Australian Government to</w:t>
      </w:r>
      <w:r w:rsidR="005C5D95" w:rsidRPr="00561499">
        <w:rPr>
          <w:rFonts w:eastAsia="Times New Roman" w:cs="Helvetica Neue"/>
          <w:color w:val="2E2D2D"/>
        </w:rPr>
        <w:t xml:space="preserve"> act on the recommendations (11–</w:t>
      </w:r>
      <w:r w:rsidR="00DC21E3" w:rsidRPr="00561499">
        <w:rPr>
          <w:rFonts w:eastAsia="Times New Roman" w:cs="Helvetica Neue"/>
          <w:color w:val="2E2D2D"/>
        </w:rPr>
        <w:t>16) of the 2015</w:t>
      </w:r>
      <w:r w:rsidR="00DC21E3" w:rsidRPr="00561499">
        <w:rPr>
          <w:rFonts w:eastAsia="Times New Roman" w:cs="Helvetica Neue"/>
          <w:i/>
          <w:color w:val="2E2D2D"/>
        </w:rPr>
        <w:t xml:space="preserve"> </w:t>
      </w:r>
      <w:r w:rsidR="00DC21E3" w:rsidRPr="00406A1F">
        <w:rPr>
          <w:rStyle w:val="Emphasis"/>
        </w:rPr>
        <w:t xml:space="preserve">Social </w:t>
      </w:r>
      <w:r w:rsidR="008016C5" w:rsidRPr="00406A1F">
        <w:rPr>
          <w:rStyle w:val="Emphasis"/>
        </w:rPr>
        <w:t>Justice and Native Title Report</w:t>
      </w:r>
      <w:r w:rsidRPr="00561499">
        <w:rPr>
          <w:rFonts w:eastAsia="Times New Roman" w:cs="Helvetica Neue"/>
          <w:color w:val="2E2D2D"/>
        </w:rPr>
        <w:t>.</w:t>
      </w:r>
      <w:r w:rsidRPr="00561499">
        <w:rPr>
          <w:rStyle w:val="EndnoteReference"/>
          <w:rFonts w:eastAsia="Times New Roman" w:cs="Helvetica Neue"/>
          <w:color w:val="2E2D2D"/>
        </w:rPr>
        <w:endnoteReference w:id="184"/>
      </w:r>
    </w:p>
    <w:p w14:paraId="034ADAB8" w14:textId="57202A81" w:rsidR="008016C5" w:rsidRPr="00406A1F" w:rsidRDefault="00221769" w:rsidP="008016C5">
      <w:r w:rsidRPr="00561499">
        <w:t>Recommendation 14</w:t>
      </w:r>
      <w:r w:rsidR="00030F98" w:rsidRPr="00561499">
        <w:t xml:space="preserve"> of that Report</w:t>
      </w:r>
      <w:r w:rsidRPr="00561499">
        <w:t xml:space="preserve"> is about Disability Support </w:t>
      </w:r>
      <w:proofErr w:type="spellStart"/>
      <w:r w:rsidRPr="00561499">
        <w:t>Organisations</w:t>
      </w:r>
      <w:proofErr w:type="spellEnd"/>
      <w:r w:rsidRPr="00561499">
        <w:t xml:space="preserve"> (DSOs) that the National Disability Insurance Agency </w:t>
      </w:r>
      <w:r w:rsidR="00030F98" w:rsidRPr="00561499">
        <w:t>is</w:t>
      </w:r>
      <w:r w:rsidRPr="00561499">
        <w:t xml:space="preserve"> funded </w:t>
      </w:r>
      <w:r w:rsidRPr="00561499">
        <w:rPr>
          <w:rFonts w:eastAsia="Times New Roman" w:cs="Helvetica Neue"/>
          <w:color w:val="2E2D2D"/>
        </w:rPr>
        <w:t xml:space="preserve">to assist </w:t>
      </w:r>
      <w:proofErr w:type="spellStart"/>
      <w:r w:rsidRPr="00561499">
        <w:rPr>
          <w:rFonts w:eastAsia="Times New Roman" w:cs="Helvetica Neue"/>
          <w:color w:val="2E2D2D"/>
        </w:rPr>
        <w:t>NDIS</w:t>
      </w:r>
      <w:proofErr w:type="spellEnd"/>
      <w:r w:rsidRPr="00561499">
        <w:rPr>
          <w:rFonts w:eastAsia="Times New Roman" w:cs="Helvetica Neue"/>
          <w:color w:val="2E2D2D"/>
        </w:rPr>
        <w:t xml:space="preserve"> participants</w:t>
      </w:r>
      <w:r w:rsidR="00030F98" w:rsidRPr="00561499">
        <w:rPr>
          <w:rFonts w:eastAsia="Times New Roman" w:cs="Helvetica Neue"/>
          <w:color w:val="2E2D2D"/>
        </w:rPr>
        <w:t xml:space="preserve">, and their families and </w:t>
      </w:r>
      <w:proofErr w:type="spellStart"/>
      <w:r w:rsidR="00030F98" w:rsidRPr="00561499">
        <w:rPr>
          <w:rFonts w:eastAsia="Times New Roman" w:cs="Helvetica Neue"/>
          <w:color w:val="2E2D2D"/>
        </w:rPr>
        <w:t>carers</w:t>
      </w:r>
      <w:proofErr w:type="spellEnd"/>
      <w:r w:rsidR="00030F98" w:rsidRPr="00561499">
        <w:rPr>
          <w:rFonts w:eastAsia="Times New Roman" w:cs="Helvetica Neue"/>
          <w:color w:val="2E2D2D"/>
        </w:rPr>
        <w:t xml:space="preserve"> to</w:t>
      </w:r>
      <w:r w:rsidRPr="00561499">
        <w:rPr>
          <w:rFonts w:eastAsia="Times New Roman" w:cs="Helvetica Neue"/>
          <w:color w:val="2E2D2D"/>
        </w:rPr>
        <w:t xml:space="preserve"> engage with the </w:t>
      </w:r>
      <w:proofErr w:type="spellStart"/>
      <w:r w:rsidRPr="00561499">
        <w:rPr>
          <w:rFonts w:eastAsia="Times New Roman" w:cs="Helvetica Neue"/>
          <w:color w:val="2E2D2D"/>
        </w:rPr>
        <w:t>NDIS</w:t>
      </w:r>
      <w:proofErr w:type="spellEnd"/>
      <w:r w:rsidRPr="00561499">
        <w:rPr>
          <w:rFonts w:eastAsia="Times New Roman" w:cs="Helvetica Neue"/>
          <w:color w:val="2E2D2D"/>
        </w:rPr>
        <w:t xml:space="preserve"> by providing information and support. So far, </w:t>
      </w:r>
      <w:r w:rsidRPr="00561499">
        <w:t xml:space="preserve">18 community </w:t>
      </w:r>
      <w:proofErr w:type="spellStart"/>
      <w:r w:rsidRPr="00561499">
        <w:t>organisations</w:t>
      </w:r>
      <w:proofErr w:type="spellEnd"/>
      <w:r w:rsidRPr="00561499">
        <w:t xml:space="preserve">, including the </w:t>
      </w:r>
      <w:proofErr w:type="spellStart"/>
      <w:r w:rsidRPr="00561499">
        <w:t>FPDN</w:t>
      </w:r>
      <w:proofErr w:type="spellEnd"/>
      <w:r w:rsidRPr="00561499">
        <w:t xml:space="preserve"> and the Aboriginal Disability Network NSW have been funded to act as DSOs. </w:t>
      </w:r>
      <w:r w:rsidRPr="00561499">
        <w:rPr>
          <w:rFonts w:eastAsia="Times New Roman" w:cs="Helvetica Neue"/>
          <w:color w:val="2E2D2D"/>
        </w:rPr>
        <w:t xml:space="preserve">Each operates </w:t>
      </w:r>
      <w:r w:rsidR="008016C5" w:rsidRPr="00561499">
        <w:rPr>
          <w:rFonts w:eastAsia="Times New Roman" w:cs="Helvetica Neue"/>
          <w:color w:val="2E2D2D"/>
        </w:rPr>
        <w:t xml:space="preserve">up to 20 local support groups. </w:t>
      </w:r>
      <w:r w:rsidRPr="00561499">
        <w:t>The Campaig</w:t>
      </w:r>
      <w:r w:rsidR="00030F98" w:rsidRPr="00561499">
        <w:t xml:space="preserve">n, in turn, recommends that services for Aboriginal and Torres Strait Islander people with disabilities </w:t>
      </w:r>
      <w:r w:rsidRPr="00561499">
        <w:t>are implemented as a priority.</w:t>
      </w:r>
    </w:p>
    <w:p w14:paraId="2778EEB4" w14:textId="683FEB86" w:rsidR="00C86B5A" w:rsidRPr="00561499" w:rsidRDefault="00221769" w:rsidP="00C8247F">
      <w:pPr>
        <w:spacing w:after="400"/>
      </w:pPr>
      <w:r w:rsidRPr="00561499">
        <w:lastRenderedPageBreak/>
        <w:t xml:space="preserve">Significantly, for the </w:t>
      </w:r>
      <w:r w:rsidRPr="00406A1F">
        <w:rPr>
          <w:rStyle w:val="Emphasis"/>
        </w:rPr>
        <w:t>Closing the Gap</w:t>
      </w:r>
      <w:r w:rsidR="0001351F">
        <w:rPr>
          <w:rStyle w:val="Emphasis"/>
        </w:rPr>
        <w:t xml:space="preserve"> Strategy</w:t>
      </w:r>
      <w:r w:rsidR="0001351F" w:rsidRPr="0001351F">
        <w:rPr>
          <w:rStyle w:val="Emphasis"/>
          <w:i w:val="0"/>
        </w:rPr>
        <w:t xml:space="preserve"> </w:t>
      </w:r>
      <w:r w:rsidR="0001351F">
        <w:t xml:space="preserve">and the </w:t>
      </w:r>
      <w:proofErr w:type="spellStart"/>
      <w:r w:rsidR="0001351F">
        <w:t>IAS</w:t>
      </w:r>
      <w:proofErr w:type="spellEnd"/>
      <w:r w:rsidR="0001351F">
        <w:t>,</w:t>
      </w:r>
      <w:r w:rsidRPr="00561499">
        <w:t xml:space="preserve"> severe and profound disability in particular is associated with both lower educational attainment and higher rates of unemployment. The data suggests that any attempt to improve outcomes in these areas will need to substantially address disability as a determinant of lower educational attainment and unemployment, as well as being a significant contribu</w:t>
      </w:r>
      <w:r w:rsidR="00803DF1">
        <w:t>tor to the health equality gap.</w:t>
      </w:r>
    </w:p>
    <w:tbl>
      <w:tblPr>
        <w:tblStyle w:val="TableGrid"/>
        <w:tblW w:w="0" w:type="auto"/>
        <w:tblBorders>
          <w:top w:val="single" w:sz="8" w:space="0" w:color="007DA7"/>
          <w:left w:val="single" w:sz="8" w:space="0" w:color="007DA7"/>
          <w:bottom w:val="single" w:sz="8" w:space="0" w:color="007DA7"/>
          <w:right w:val="single" w:sz="8" w:space="0" w:color="007DA7"/>
          <w:insideH w:val="none" w:sz="0" w:space="0" w:color="auto"/>
          <w:insideV w:val="none" w:sz="0" w:space="0" w:color="auto"/>
        </w:tblBorders>
        <w:tblCellMar>
          <w:top w:w="227" w:type="dxa"/>
          <w:left w:w="227" w:type="dxa"/>
          <w:bottom w:w="227" w:type="dxa"/>
          <w:right w:w="227" w:type="dxa"/>
        </w:tblCellMar>
        <w:tblLook w:val="04A0" w:firstRow="1" w:lastRow="0" w:firstColumn="1" w:lastColumn="0" w:noHBand="0" w:noVBand="1"/>
      </w:tblPr>
      <w:tblGrid>
        <w:gridCol w:w="9060"/>
      </w:tblGrid>
      <w:tr w:rsidR="00221769" w:rsidRPr="00561499" w14:paraId="0E564C1F" w14:textId="77777777" w:rsidTr="00046A5E">
        <w:tc>
          <w:tcPr>
            <w:tcW w:w="9060" w:type="dxa"/>
            <w:shd w:val="clear" w:color="auto" w:fill="auto"/>
          </w:tcPr>
          <w:p w14:paraId="731A84D9" w14:textId="13A1EDB2" w:rsidR="00221769" w:rsidRPr="001325F4" w:rsidRDefault="00221769" w:rsidP="0001351F">
            <w:pPr>
              <w:pStyle w:val="Heading5"/>
              <w:spacing w:before="200" w:after="200"/>
              <w:outlineLvl w:val="4"/>
            </w:pPr>
            <w:r w:rsidRPr="001325F4">
              <w:t>A snapshot of the rates of disability among Aboriginal an</w:t>
            </w:r>
            <w:r w:rsidR="0001351F" w:rsidRPr="001325F4">
              <w:t>d Torres Strait Islander people</w:t>
            </w:r>
          </w:p>
          <w:p w14:paraId="2870847D" w14:textId="77777777" w:rsidR="00221769" w:rsidRPr="001325F4" w:rsidRDefault="00221769" w:rsidP="00040CF1">
            <w:pPr>
              <w:tabs>
                <w:tab w:val="left" w:pos="220"/>
                <w:tab w:val="left" w:pos="720"/>
              </w:tabs>
              <w:autoSpaceDE w:val="0"/>
              <w:autoSpaceDN w:val="0"/>
              <w:adjustRightInd w:val="0"/>
              <w:spacing w:after="0"/>
              <w:rPr>
                <w:szCs w:val="24"/>
              </w:rPr>
            </w:pPr>
            <w:r w:rsidRPr="001325F4">
              <w:rPr>
                <w:szCs w:val="24"/>
              </w:rPr>
              <w:t xml:space="preserve">The Australian Institute of Health and Welfare </w:t>
            </w:r>
            <w:proofErr w:type="spellStart"/>
            <w:r w:rsidRPr="001325F4">
              <w:rPr>
                <w:szCs w:val="24"/>
              </w:rPr>
              <w:t>conceptualises</w:t>
            </w:r>
            <w:proofErr w:type="spellEnd"/>
            <w:r w:rsidRPr="001325F4">
              <w:rPr>
                <w:szCs w:val="24"/>
              </w:rPr>
              <w:t xml:space="preserve"> disability as ‘an impairment of body structure or function, a limitation in undertaking activities and/or a restriction in participation in life situations’.</w:t>
            </w:r>
            <w:r w:rsidRPr="001325F4">
              <w:rPr>
                <w:rStyle w:val="EndnoteReference"/>
                <w:rFonts w:eastAsia="Times New Roman" w:cs="Times"/>
                <w:szCs w:val="24"/>
              </w:rPr>
              <w:endnoteReference w:id="185"/>
            </w:r>
            <w:r w:rsidRPr="001325F4">
              <w:rPr>
                <w:rFonts w:eastAsia="Times New Roman" w:cs="Times"/>
                <w:szCs w:val="24"/>
              </w:rPr>
              <w:t xml:space="preserve"> </w:t>
            </w:r>
            <w:r w:rsidRPr="001325F4">
              <w:rPr>
                <w:szCs w:val="24"/>
              </w:rPr>
              <w:t>In the Australian Aboriginal and Torres Strait Islander Health Survey</w:t>
            </w:r>
            <w:r w:rsidR="00BC60CD" w:rsidRPr="001325F4">
              <w:rPr>
                <w:szCs w:val="24"/>
              </w:rPr>
              <w:t xml:space="preserve"> (</w:t>
            </w:r>
            <w:proofErr w:type="spellStart"/>
            <w:r w:rsidR="00BC60CD" w:rsidRPr="001325F4">
              <w:rPr>
                <w:szCs w:val="24"/>
              </w:rPr>
              <w:t>AATSIHS</w:t>
            </w:r>
            <w:proofErr w:type="spellEnd"/>
            <w:r w:rsidR="00BC60CD" w:rsidRPr="001325F4">
              <w:rPr>
                <w:szCs w:val="24"/>
              </w:rPr>
              <w:t>)</w:t>
            </w:r>
            <w:r w:rsidR="00992D4C" w:rsidRPr="001325F4">
              <w:rPr>
                <w:szCs w:val="24"/>
              </w:rPr>
              <w:t xml:space="preserve"> 2012–</w:t>
            </w:r>
            <w:r w:rsidRPr="001325F4">
              <w:rPr>
                <w:szCs w:val="24"/>
              </w:rPr>
              <w:t>13, among Aboriginal and Torres Strait Islander respondents:</w:t>
            </w:r>
          </w:p>
          <w:p w14:paraId="7F9774A4" w14:textId="28D869EA" w:rsidR="00221769" w:rsidRPr="001325F4" w:rsidRDefault="00221769" w:rsidP="00417260">
            <w:pPr>
              <w:pStyle w:val="ListParagraph"/>
              <w:numPr>
                <w:ilvl w:val="0"/>
                <w:numId w:val="22"/>
              </w:numPr>
              <w:spacing w:before="120" w:after="120"/>
              <w:ind w:left="714" w:hanging="357"/>
              <w:contextualSpacing w:val="0"/>
              <w:rPr>
                <w:szCs w:val="24"/>
              </w:rPr>
            </w:pPr>
            <w:r w:rsidRPr="001325F4">
              <w:rPr>
                <w:szCs w:val="24"/>
              </w:rPr>
              <w:t>36% (equivalent to about 228,000 peopl</w:t>
            </w:r>
            <w:r w:rsidR="00F0620F" w:rsidRPr="001325F4">
              <w:rPr>
                <w:szCs w:val="24"/>
              </w:rPr>
              <w:t>e) had some form of disability.</w:t>
            </w:r>
          </w:p>
          <w:p w14:paraId="7062B17C" w14:textId="29FDCB18" w:rsidR="00221769" w:rsidRPr="001325F4" w:rsidRDefault="00221769" w:rsidP="00417260">
            <w:pPr>
              <w:pStyle w:val="ListParagraph"/>
              <w:numPr>
                <w:ilvl w:val="0"/>
                <w:numId w:val="22"/>
              </w:numPr>
              <w:spacing w:before="120" w:after="120"/>
              <w:ind w:left="714" w:hanging="357"/>
              <w:contextualSpacing w:val="0"/>
              <w:rPr>
                <w:szCs w:val="24"/>
              </w:rPr>
            </w:pPr>
            <w:r w:rsidRPr="001325F4">
              <w:rPr>
                <w:szCs w:val="24"/>
              </w:rPr>
              <w:t>6.4% (equivalent to about 41,000</w:t>
            </w:r>
            <w:r w:rsidR="00BC60CD" w:rsidRPr="001325F4">
              <w:rPr>
                <w:szCs w:val="24"/>
              </w:rPr>
              <w:t xml:space="preserve"> people</w:t>
            </w:r>
            <w:r w:rsidRPr="001325F4">
              <w:rPr>
                <w:szCs w:val="24"/>
              </w:rPr>
              <w:t>) had severe or profound disability, with rates spread relatively evenly over remote and non-remote areas.</w:t>
            </w:r>
            <w:r w:rsidRPr="001325F4">
              <w:rPr>
                <w:rStyle w:val="EndnoteReference"/>
                <w:rFonts w:eastAsia="Times New Roman" w:cs="Times"/>
                <w:szCs w:val="24"/>
              </w:rPr>
              <w:endnoteReference w:id="186"/>
            </w:r>
            <w:r w:rsidRPr="001325F4">
              <w:rPr>
                <w:rStyle w:val="EndnoteReference"/>
                <w:rFonts w:eastAsia="Times New Roman" w:cs="MS Gothic"/>
                <w:szCs w:val="24"/>
                <w:vertAlign w:val="baseline"/>
              </w:rPr>
              <w:t> </w:t>
            </w:r>
            <w:r w:rsidRPr="001325F4">
              <w:rPr>
                <w:szCs w:val="24"/>
              </w:rPr>
              <w:t>As such, Aboriginal and Torres Strait Islander people were twice as likely as non-Indigenous Australians to have severe or profound disability.</w:t>
            </w:r>
            <w:r w:rsidRPr="001325F4">
              <w:rPr>
                <w:rStyle w:val="EndnoteReference"/>
                <w:rFonts w:eastAsia="Times New Roman" w:cs="Times"/>
                <w:szCs w:val="24"/>
              </w:rPr>
              <w:endnoteReference w:id="187"/>
            </w:r>
            <w:r w:rsidRPr="001325F4">
              <w:rPr>
                <w:rStyle w:val="EndnoteReference"/>
                <w:rFonts w:eastAsia="Times New Roman" w:cs="Times"/>
                <w:szCs w:val="24"/>
                <w:vertAlign w:val="baseline"/>
              </w:rPr>
              <w:t xml:space="preserve"> </w:t>
            </w:r>
            <w:r w:rsidRPr="001325F4">
              <w:rPr>
                <w:szCs w:val="24"/>
              </w:rPr>
              <w:t>Rates were significantly higher in all age groups except those aged under 15 and those aged 65 and over</w:t>
            </w:r>
            <w:r w:rsidR="00F0620F" w:rsidRPr="001325F4">
              <w:rPr>
                <w:szCs w:val="24"/>
              </w:rPr>
              <w:t>.</w:t>
            </w:r>
            <w:r w:rsidRPr="001325F4">
              <w:rPr>
                <w:rStyle w:val="EndnoteReference"/>
                <w:rFonts w:eastAsia="Times New Roman" w:cs="Times"/>
                <w:szCs w:val="24"/>
              </w:rPr>
              <w:endnoteReference w:id="188"/>
            </w:r>
          </w:p>
          <w:p w14:paraId="153FD045" w14:textId="77777777" w:rsidR="00221769" w:rsidRPr="001325F4" w:rsidRDefault="00221769" w:rsidP="00417260">
            <w:pPr>
              <w:pStyle w:val="ListParagraph"/>
              <w:numPr>
                <w:ilvl w:val="0"/>
                <w:numId w:val="22"/>
              </w:numPr>
              <w:spacing w:before="120" w:after="120"/>
              <w:ind w:left="714" w:hanging="357"/>
              <w:contextualSpacing w:val="0"/>
              <w:rPr>
                <w:szCs w:val="24"/>
              </w:rPr>
            </w:pPr>
            <w:r w:rsidRPr="001325F4">
              <w:rPr>
                <w:szCs w:val="24"/>
              </w:rPr>
              <w:t>The most common disability types among those with severe or profound disability were physical disability (70%) and sight, hearing or speech-related disabilities (53%).</w:t>
            </w:r>
            <w:r w:rsidRPr="001325F4">
              <w:rPr>
                <w:rStyle w:val="EndnoteReference"/>
                <w:rFonts w:eastAsia="Times New Roman" w:cs="Times"/>
                <w:szCs w:val="24"/>
              </w:rPr>
              <w:endnoteReference w:id="189"/>
            </w:r>
          </w:p>
          <w:p w14:paraId="4C25A209" w14:textId="7E8A8A78" w:rsidR="00221769" w:rsidRPr="001325F4" w:rsidRDefault="003F1954" w:rsidP="00040CF1">
            <w:pPr>
              <w:autoSpaceDE w:val="0"/>
              <w:autoSpaceDN w:val="0"/>
              <w:adjustRightInd w:val="0"/>
              <w:spacing w:after="0"/>
              <w:rPr>
                <w:rFonts w:eastAsia="Times New Roman" w:cs="Times"/>
                <w:szCs w:val="24"/>
              </w:rPr>
            </w:pPr>
            <w:r w:rsidRPr="001325F4">
              <w:rPr>
                <w:szCs w:val="24"/>
              </w:rPr>
              <w:t>I</w:t>
            </w:r>
            <w:r w:rsidR="00992D4C" w:rsidRPr="001325F4">
              <w:rPr>
                <w:szCs w:val="24"/>
              </w:rPr>
              <w:t xml:space="preserve">n the </w:t>
            </w:r>
            <w:proofErr w:type="spellStart"/>
            <w:r w:rsidR="00992D4C" w:rsidRPr="001325F4">
              <w:rPr>
                <w:szCs w:val="24"/>
              </w:rPr>
              <w:t>AATSIHS</w:t>
            </w:r>
            <w:proofErr w:type="spellEnd"/>
            <w:r w:rsidR="00992D4C" w:rsidRPr="001325F4">
              <w:rPr>
                <w:szCs w:val="24"/>
              </w:rPr>
              <w:t xml:space="preserve"> 2012–</w:t>
            </w:r>
            <w:r w:rsidR="00221769" w:rsidRPr="001325F4">
              <w:rPr>
                <w:szCs w:val="24"/>
              </w:rPr>
              <w:t xml:space="preserve">13, </w:t>
            </w:r>
            <w:r w:rsidR="00221769" w:rsidRPr="001325F4">
              <w:rPr>
                <w:rFonts w:eastAsia="Times New Roman" w:cs="Times"/>
                <w:szCs w:val="24"/>
              </w:rPr>
              <w:t xml:space="preserve">among respondents aged 20 and over, Year 12 </w:t>
            </w:r>
            <w:r w:rsidR="00F0620F" w:rsidRPr="001325F4">
              <w:rPr>
                <w:rFonts w:eastAsia="Times New Roman" w:cs="Times"/>
                <w:szCs w:val="24"/>
              </w:rPr>
              <w:t>or equivalent completion rates:</w:t>
            </w:r>
          </w:p>
          <w:p w14:paraId="5AC60B3C" w14:textId="77777777" w:rsidR="00221769" w:rsidRPr="001325F4" w:rsidRDefault="00221769" w:rsidP="00417260">
            <w:pPr>
              <w:pStyle w:val="ListParagraph"/>
              <w:numPr>
                <w:ilvl w:val="0"/>
                <w:numId w:val="22"/>
              </w:numPr>
              <w:spacing w:before="120" w:after="120"/>
              <w:ind w:left="714" w:hanging="357"/>
              <w:contextualSpacing w:val="0"/>
              <w:rPr>
                <w:szCs w:val="24"/>
              </w:rPr>
            </w:pPr>
            <w:r w:rsidRPr="001325F4">
              <w:rPr>
                <w:szCs w:val="24"/>
              </w:rPr>
              <w:t>were significantly lower among those with a severe or profound disability (19%) than among those people who did not (26%);</w:t>
            </w:r>
            <w:r w:rsidRPr="001325F4">
              <w:rPr>
                <w:rStyle w:val="EndnoteReference"/>
                <w:rFonts w:eastAsia="Times New Roman" w:cs="Times"/>
                <w:szCs w:val="24"/>
              </w:rPr>
              <w:endnoteReference w:id="190"/>
            </w:r>
            <w:r w:rsidRPr="001325F4">
              <w:rPr>
                <w:rStyle w:val="EndnoteReference"/>
                <w:rFonts w:eastAsia="Times New Roman" w:cs="Times"/>
                <w:szCs w:val="24"/>
                <w:vertAlign w:val="baseline"/>
              </w:rPr>
              <w:t xml:space="preserve"> </w:t>
            </w:r>
            <w:r w:rsidRPr="001325F4">
              <w:rPr>
                <w:szCs w:val="24"/>
              </w:rPr>
              <w:t>and</w:t>
            </w:r>
            <w:r w:rsidRPr="001325F4">
              <w:rPr>
                <w:rFonts w:eastAsia="MS Gothic" w:cs="MS Gothic"/>
                <w:szCs w:val="24"/>
              </w:rPr>
              <w:t> </w:t>
            </w:r>
          </w:p>
          <w:p w14:paraId="4B621F44" w14:textId="164DEA10" w:rsidR="00221769" w:rsidRPr="00CB6F31" w:rsidRDefault="00221769" w:rsidP="00417260">
            <w:pPr>
              <w:pStyle w:val="ListParagraph"/>
              <w:numPr>
                <w:ilvl w:val="0"/>
                <w:numId w:val="22"/>
              </w:numPr>
              <w:spacing w:before="120" w:after="120"/>
              <w:ind w:left="714" w:hanging="357"/>
              <w:contextualSpacing w:val="0"/>
              <w:rPr>
                <w:szCs w:val="24"/>
              </w:rPr>
            </w:pPr>
            <w:r w:rsidRPr="001325F4">
              <w:rPr>
                <w:szCs w:val="24"/>
              </w:rPr>
              <w:t>were significantly lower among those with severe or profound disability than all Australians with severe or profound disability (19 and 29% respectively).</w:t>
            </w:r>
            <w:r w:rsidRPr="001325F4">
              <w:rPr>
                <w:rStyle w:val="EndnoteReference"/>
                <w:rFonts w:eastAsia="Times New Roman" w:cs="Times"/>
                <w:szCs w:val="24"/>
              </w:rPr>
              <w:endnoteReference w:id="191"/>
            </w:r>
          </w:p>
        </w:tc>
      </w:tr>
    </w:tbl>
    <w:p w14:paraId="1FB301A1" w14:textId="77777777" w:rsidR="008016C5" w:rsidRDefault="008016C5" w:rsidP="00CB6F31"/>
    <w:p w14:paraId="60187EB6" w14:textId="46191EE2" w:rsidR="00CB6F31" w:rsidRDefault="00CB6F31">
      <w:pPr>
        <w:keepLines w:val="0"/>
        <w:widowControl/>
        <w:spacing w:after="0" w:line="240" w:lineRule="auto"/>
      </w:pPr>
      <w:r>
        <w:br w:type="page"/>
      </w:r>
    </w:p>
    <w:p w14:paraId="4CC2B159" w14:textId="77777777" w:rsidR="00CB6F31" w:rsidRPr="00561499" w:rsidRDefault="00CB6F31" w:rsidP="00CB6F31">
      <w:pPr>
        <w:autoSpaceDE w:val="0"/>
        <w:autoSpaceDN w:val="0"/>
        <w:adjustRightInd w:val="0"/>
        <w:spacing w:after="240"/>
      </w:pPr>
    </w:p>
    <w:tbl>
      <w:tblPr>
        <w:tblStyle w:val="TableGrid"/>
        <w:tblW w:w="0" w:type="auto"/>
        <w:tblBorders>
          <w:top w:val="single" w:sz="8" w:space="0" w:color="007DA7"/>
          <w:left w:val="single" w:sz="8" w:space="0" w:color="007DA7"/>
          <w:bottom w:val="single" w:sz="8" w:space="0" w:color="007DA7"/>
          <w:right w:val="single" w:sz="8" w:space="0" w:color="007DA7"/>
          <w:insideH w:val="none" w:sz="0" w:space="0" w:color="auto"/>
          <w:insideV w:val="none" w:sz="0" w:space="0" w:color="auto"/>
        </w:tblBorders>
        <w:tblCellMar>
          <w:top w:w="227" w:type="dxa"/>
          <w:left w:w="227" w:type="dxa"/>
          <w:bottom w:w="227" w:type="dxa"/>
          <w:right w:w="227" w:type="dxa"/>
        </w:tblCellMar>
        <w:tblLook w:val="04A0" w:firstRow="1" w:lastRow="0" w:firstColumn="1" w:lastColumn="0" w:noHBand="0" w:noVBand="1"/>
      </w:tblPr>
      <w:tblGrid>
        <w:gridCol w:w="9060"/>
      </w:tblGrid>
      <w:tr w:rsidR="00CB6F31" w:rsidRPr="00561499" w14:paraId="4431583A" w14:textId="77777777" w:rsidTr="00CB6F31">
        <w:tc>
          <w:tcPr>
            <w:tcW w:w="9060" w:type="dxa"/>
            <w:shd w:val="clear" w:color="auto" w:fill="auto"/>
          </w:tcPr>
          <w:p w14:paraId="52422974" w14:textId="77777777" w:rsidR="00CB6F31" w:rsidRPr="001325F4" w:rsidRDefault="00CB6F31" w:rsidP="00CB6F31">
            <w:pPr>
              <w:autoSpaceDE w:val="0"/>
              <w:autoSpaceDN w:val="0"/>
              <w:adjustRightInd w:val="0"/>
              <w:rPr>
                <w:rFonts w:eastAsia="Times New Roman" w:cs="Times"/>
                <w:szCs w:val="24"/>
              </w:rPr>
            </w:pPr>
            <w:r w:rsidRPr="001325F4">
              <w:rPr>
                <w:rFonts w:eastAsia="Times New Roman" w:cs="Times"/>
                <w:szCs w:val="24"/>
              </w:rPr>
              <w:t>Further, among respondents aged 15 to 64, employment-to-population ratios:</w:t>
            </w:r>
          </w:p>
          <w:p w14:paraId="4F3D1EBB" w14:textId="77777777" w:rsidR="00CB6F31" w:rsidRPr="001325F4" w:rsidRDefault="00CB6F31" w:rsidP="00CB6F31">
            <w:pPr>
              <w:pStyle w:val="ListParagraph"/>
              <w:numPr>
                <w:ilvl w:val="0"/>
                <w:numId w:val="22"/>
              </w:numPr>
              <w:spacing w:before="120" w:after="120"/>
              <w:ind w:left="714" w:hanging="357"/>
              <w:contextualSpacing w:val="0"/>
              <w:rPr>
                <w:szCs w:val="24"/>
              </w:rPr>
            </w:pPr>
            <w:r w:rsidRPr="001325F4">
              <w:rPr>
                <w:szCs w:val="24"/>
              </w:rPr>
              <w:t>were significantly lower among respondents who had severe or profound disability (21%) than among those who did not (50%);</w:t>
            </w:r>
            <w:r w:rsidRPr="001325F4">
              <w:rPr>
                <w:rStyle w:val="EndnoteReference"/>
                <w:rFonts w:eastAsia="Times New Roman" w:cs="Times"/>
                <w:szCs w:val="24"/>
              </w:rPr>
              <w:endnoteReference w:id="192"/>
            </w:r>
            <w:r w:rsidRPr="001325F4">
              <w:rPr>
                <w:rStyle w:val="EndnoteReference"/>
                <w:rFonts w:eastAsia="Times New Roman" w:cs="Times"/>
                <w:szCs w:val="24"/>
                <w:vertAlign w:val="baseline"/>
              </w:rPr>
              <w:t xml:space="preserve"> </w:t>
            </w:r>
            <w:r w:rsidRPr="001325F4">
              <w:rPr>
                <w:szCs w:val="24"/>
              </w:rPr>
              <w:t>and</w:t>
            </w:r>
          </w:p>
          <w:p w14:paraId="76D0D2BB" w14:textId="77777777" w:rsidR="00CB6F31" w:rsidRPr="001325F4" w:rsidRDefault="00CB6F31" w:rsidP="00CB6F31">
            <w:pPr>
              <w:pStyle w:val="ListParagraph"/>
              <w:numPr>
                <w:ilvl w:val="0"/>
                <w:numId w:val="22"/>
              </w:numPr>
              <w:spacing w:before="120" w:after="120"/>
              <w:ind w:left="714" w:hanging="357"/>
              <w:contextualSpacing w:val="0"/>
              <w:rPr>
                <w:rFonts w:eastAsia="Times New Roman" w:cs="Times"/>
                <w:szCs w:val="24"/>
              </w:rPr>
            </w:pPr>
            <w:r w:rsidRPr="001325F4">
              <w:rPr>
                <w:szCs w:val="24"/>
              </w:rPr>
              <w:t>were significantly lower among respondents with severe or profound disability than all Australians with severe or profound disability (21% and 38%, respectively).</w:t>
            </w:r>
            <w:r w:rsidRPr="001325F4">
              <w:rPr>
                <w:rStyle w:val="EndnoteReference"/>
                <w:rFonts w:eastAsia="Times New Roman" w:cs="Times"/>
                <w:szCs w:val="24"/>
              </w:rPr>
              <w:endnoteReference w:id="193"/>
            </w:r>
          </w:p>
        </w:tc>
      </w:tr>
    </w:tbl>
    <w:p w14:paraId="01ACDFF6" w14:textId="77777777" w:rsidR="00CB6F31" w:rsidRPr="00C8247F" w:rsidRDefault="00CB6F31" w:rsidP="00C8247F"/>
    <w:p w14:paraId="39586377" w14:textId="1C1AC2CE" w:rsidR="006A2A38" w:rsidRPr="00F0620F" w:rsidRDefault="00F0620F" w:rsidP="00F0620F">
      <w:pPr>
        <w:pStyle w:val="Heading4"/>
      </w:pPr>
      <w:r>
        <w:t>(d) Social and emotional w</w:t>
      </w:r>
      <w:r w:rsidR="006A2A38" w:rsidRPr="00561499">
        <w:t xml:space="preserve">ellbeing and </w:t>
      </w:r>
      <w:r>
        <w:t>m</w:t>
      </w:r>
      <w:r w:rsidR="006A2A38" w:rsidRPr="00561499">
        <w:t xml:space="preserve">ental </w:t>
      </w:r>
      <w:r>
        <w:t>h</w:t>
      </w:r>
      <w:r w:rsidR="006A2A38" w:rsidRPr="00561499">
        <w:t>ealth</w:t>
      </w:r>
    </w:p>
    <w:p w14:paraId="2416DB78" w14:textId="5FE8FF28" w:rsidR="006A2A38" w:rsidRPr="00F0620F" w:rsidRDefault="006A2A38" w:rsidP="006A2A38">
      <w:r w:rsidRPr="00561499">
        <w:t xml:space="preserve">The Campaign Steering Committee also notes the recurrent theme of social and emotional wellbeing and mental health continuing to be highlighted by services, evaluation and policy reviewers as a significant service gap. We note the recommendations contained within the 2015 Mental Health Commissions Report </w:t>
      </w:r>
      <w:r w:rsidRPr="00F0620F">
        <w:rPr>
          <w:rStyle w:val="Emphasis"/>
        </w:rPr>
        <w:t xml:space="preserve">Contributing Lives, Thriving Communities </w:t>
      </w:r>
      <w:r w:rsidR="00F0620F" w:rsidRPr="00F0620F">
        <w:rPr>
          <w:rStyle w:val="Emphasis"/>
        </w:rPr>
        <w:t>–</w:t>
      </w:r>
      <w:r w:rsidRPr="00F0620F">
        <w:rPr>
          <w:rStyle w:val="Emphasis"/>
        </w:rPr>
        <w:t xml:space="preserve"> Review of Mental Health </w:t>
      </w:r>
      <w:proofErr w:type="spellStart"/>
      <w:r w:rsidRPr="00F0620F">
        <w:rPr>
          <w:rStyle w:val="Emphasis"/>
        </w:rPr>
        <w:t>Programmes</w:t>
      </w:r>
      <w:proofErr w:type="spellEnd"/>
      <w:r w:rsidRPr="00F0620F">
        <w:rPr>
          <w:rStyle w:val="Emphasis"/>
        </w:rPr>
        <w:t xml:space="preserve"> and Services, 2015</w:t>
      </w:r>
      <w:r w:rsidRPr="00561499">
        <w:rPr>
          <w:i/>
        </w:rPr>
        <w:t>.</w:t>
      </w:r>
      <w:r w:rsidRPr="00561499">
        <w:t xml:space="preserve"> The Report highlighted that there is a significant mental health gap between Aboriginal and Torres Strait Islander peoples and non-Indigenous people, with Aboriginal and Torres Strait Islander people more likely to experience psychological distress, </w:t>
      </w:r>
      <w:proofErr w:type="spellStart"/>
      <w:r w:rsidRPr="00561499">
        <w:t>hospitalisation</w:t>
      </w:r>
      <w:proofErr w:type="spellEnd"/>
      <w:r w:rsidRPr="00561499">
        <w:t xml:space="preserve"> for mental illnesses and death from intentional self-ha</w:t>
      </w:r>
      <w:r w:rsidR="002632C5" w:rsidRPr="00561499">
        <w:t>rm. Despite having greater needs,</w:t>
      </w:r>
      <w:r w:rsidRPr="00561499">
        <w:t xml:space="preserve"> Aboriginal and Torres Strait Islander people experience lower access to mental health services t</w:t>
      </w:r>
      <w:r w:rsidR="00F0620F">
        <w:t>han the rest of the population.</w:t>
      </w:r>
    </w:p>
    <w:p w14:paraId="1BEE47E3" w14:textId="77777777" w:rsidR="006A2A38" w:rsidRPr="00561499" w:rsidRDefault="006A2A38" w:rsidP="006A2A38">
      <w:r w:rsidRPr="00561499">
        <w:t>The Campaign</w:t>
      </w:r>
      <w:r w:rsidR="002632C5" w:rsidRPr="00561499">
        <w:t xml:space="preserve"> Steering Committee</w:t>
      </w:r>
      <w:r w:rsidRPr="00561499">
        <w:t xml:space="preserve"> supports the Mental Health Commission’s recommendations</w:t>
      </w:r>
      <w:r w:rsidR="002632C5" w:rsidRPr="00561499">
        <w:t>:</w:t>
      </w:r>
    </w:p>
    <w:p w14:paraId="1F489946" w14:textId="3E9323BC" w:rsidR="006A2A38" w:rsidRPr="00561499" w:rsidRDefault="002632C5" w:rsidP="006A2A38">
      <w:pPr>
        <w:pStyle w:val="ListParagraph"/>
        <w:numPr>
          <w:ilvl w:val="0"/>
          <w:numId w:val="22"/>
        </w:numPr>
        <w:spacing w:before="120"/>
        <w:ind w:left="714" w:hanging="357"/>
        <w:contextualSpacing w:val="0"/>
      </w:pPr>
      <w:r w:rsidRPr="00537038">
        <w:rPr>
          <w:b/>
        </w:rPr>
        <w:t>Recommendation</w:t>
      </w:r>
      <w:r w:rsidR="006A2A38" w:rsidRPr="00537038">
        <w:rPr>
          <w:b/>
        </w:rPr>
        <w:t xml:space="preserve"> 5</w:t>
      </w:r>
      <w:r w:rsidR="006A2A38" w:rsidRPr="00561499">
        <w:t xml:space="preserve"> </w:t>
      </w:r>
      <w:r w:rsidR="00537038">
        <w:t>–</w:t>
      </w:r>
      <w:r w:rsidR="006A2A38" w:rsidRPr="00561499">
        <w:t xml:space="preserve"> Make Aboriginal and Torres Strait Islander mental health a national priority and agree an additional </w:t>
      </w:r>
      <w:proofErr w:type="spellStart"/>
      <w:r w:rsidR="006A2A38" w:rsidRPr="00561499">
        <w:t>COAG</w:t>
      </w:r>
      <w:proofErr w:type="spellEnd"/>
      <w:r w:rsidR="006A2A38" w:rsidRPr="00561499">
        <w:t xml:space="preserve"> Closing the Gap target specifically for mental health.</w:t>
      </w:r>
    </w:p>
    <w:p w14:paraId="33358C84" w14:textId="7006D034" w:rsidR="006A2A38" w:rsidRPr="00F0620F" w:rsidRDefault="002632C5" w:rsidP="00D0009F">
      <w:pPr>
        <w:pStyle w:val="ListParagraph"/>
        <w:numPr>
          <w:ilvl w:val="0"/>
          <w:numId w:val="22"/>
        </w:numPr>
        <w:spacing w:before="120"/>
        <w:ind w:left="714" w:hanging="357"/>
        <w:contextualSpacing w:val="0"/>
      </w:pPr>
      <w:r w:rsidRPr="00537038">
        <w:rPr>
          <w:b/>
        </w:rPr>
        <w:t>Recommendation</w:t>
      </w:r>
      <w:r w:rsidR="006A2A38" w:rsidRPr="00537038">
        <w:rPr>
          <w:b/>
        </w:rPr>
        <w:t xml:space="preserve"> 18</w:t>
      </w:r>
      <w:r w:rsidRPr="00561499">
        <w:t xml:space="preserve"> </w:t>
      </w:r>
      <w:r w:rsidR="00537038">
        <w:t>–</w:t>
      </w:r>
      <w:r w:rsidR="006A2A38" w:rsidRPr="00561499">
        <w:t xml:space="preserve"> Establish mental health and social and emotional wellbeing teams in Indigenous Primary Health Care </w:t>
      </w:r>
      <w:proofErr w:type="spellStart"/>
      <w:r w:rsidR="006A2A38" w:rsidRPr="00561499">
        <w:t>Organisations</w:t>
      </w:r>
      <w:proofErr w:type="spellEnd"/>
      <w:r w:rsidR="006A2A38" w:rsidRPr="00561499">
        <w:t xml:space="preserve"> (including Aboriginal Community Controlled Health Services), linked to Aboriginal and Torres Strait Islander specialist mental health services.</w:t>
      </w:r>
    </w:p>
    <w:p w14:paraId="285C6EBC" w14:textId="277F6DD9" w:rsidR="00221769" w:rsidRPr="00561499" w:rsidRDefault="00F0620F" w:rsidP="00F0620F">
      <w:pPr>
        <w:pStyle w:val="Heading4"/>
      </w:pPr>
      <w:r>
        <w:lastRenderedPageBreak/>
        <w:t>(</w:t>
      </w:r>
      <w:r w:rsidR="006A2A38" w:rsidRPr="00561499">
        <w:t>e</w:t>
      </w:r>
      <w:r>
        <w:t>)</w:t>
      </w:r>
      <w:r w:rsidR="00D0009F" w:rsidRPr="00561499">
        <w:t xml:space="preserve"> </w:t>
      </w:r>
      <w:r w:rsidR="00221769" w:rsidRPr="00561499">
        <w:t>New approaches to funding based on equitable principles</w:t>
      </w:r>
    </w:p>
    <w:p w14:paraId="0B7E0C3E" w14:textId="77777777" w:rsidR="00221769" w:rsidRPr="00561499" w:rsidRDefault="00221769" w:rsidP="007E71A4">
      <w:r w:rsidRPr="00561499">
        <w:t xml:space="preserve">Long-term policy requires long-term funding models. In a time of fiscal constraint, the Campaign </w:t>
      </w:r>
      <w:r w:rsidR="00631D21" w:rsidRPr="00561499">
        <w:t xml:space="preserve">Steering Committee </w:t>
      </w:r>
      <w:r w:rsidRPr="00561499">
        <w:t xml:space="preserve">repeats its 2013 calls for the securing of an equitable share of mainstream funding to contribute to closing the health gap and reinvigorate the </w:t>
      </w:r>
      <w:r w:rsidRPr="00F0620F">
        <w:rPr>
          <w:rStyle w:val="Emphasis"/>
        </w:rPr>
        <w:t>Closing the Gap Strategy</w:t>
      </w:r>
      <w:r w:rsidRPr="00561499">
        <w:t>.</w:t>
      </w:r>
    </w:p>
    <w:p w14:paraId="5A0CF5E4" w14:textId="656A4A5A" w:rsidR="00221769" w:rsidRPr="00561499" w:rsidRDefault="00221769" w:rsidP="007E71A4">
      <w:r w:rsidRPr="00561499">
        <w:t xml:space="preserve">This will require the development of a new mechanism to determine the appropriate Aboriginal and Torres Strait Islander share of mainstream health programs on a basis that reflects both the population size and an index of need and the adoption of the public policy principle that services be provided by agencies that can deliver the best results in terms of access and quality. Given that the available evidence indicates that </w:t>
      </w:r>
      <w:proofErr w:type="spellStart"/>
      <w:r w:rsidRPr="00561499">
        <w:t>A</w:t>
      </w:r>
      <w:r w:rsidR="00BC60CD" w:rsidRPr="00561499">
        <w:t>CCHOs</w:t>
      </w:r>
      <w:proofErr w:type="spellEnd"/>
      <w:r w:rsidR="00BC60CD" w:rsidRPr="00561499">
        <w:t xml:space="preserve"> </w:t>
      </w:r>
      <w:r w:rsidRPr="00561499">
        <w:t xml:space="preserve">outperform mainstream services in terms of identification of risk and service provision, the implication is that funds should be directed through </w:t>
      </w:r>
      <w:proofErr w:type="spellStart"/>
      <w:r w:rsidRPr="00561499">
        <w:t>ACCH</w:t>
      </w:r>
      <w:r w:rsidR="00BC60CD" w:rsidRPr="00561499">
        <w:t>O</w:t>
      </w:r>
      <w:r w:rsidRPr="00561499">
        <w:t>s</w:t>
      </w:r>
      <w:proofErr w:type="spellEnd"/>
      <w:r w:rsidRPr="00561499">
        <w:t>, unless it can be shown that other services could provide better results, also taking into account employment and ca</w:t>
      </w:r>
      <w:r w:rsidR="00F0620F">
        <w:t>pacity building in wider terms.</w:t>
      </w:r>
    </w:p>
    <w:p w14:paraId="0A16324D" w14:textId="08B18879" w:rsidR="00221769" w:rsidRPr="001325F4" w:rsidRDefault="00221769" w:rsidP="00C606A4">
      <w:pPr>
        <w:autoSpaceDE w:val="0"/>
        <w:autoSpaceDN w:val="0"/>
        <w:adjustRightInd w:val="0"/>
        <w:rPr>
          <w:rFonts w:eastAsia="Times New Roman" w:cs="Verdana"/>
          <w:color w:val="1083FF"/>
          <w:szCs w:val="24"/>
        </w:rPr>
      </w:pPr>
      <w:r w:rsidRPr="001325F4">
        <w:rPr>
          <w:rFonts w:eastAsia="Times New Roman" w:cs="Verdana"/>
          <w:color w:val="1A1A1A"/>
          <w:szCs w:val="24"/>
        </w:rPr>
        <w:t xml:space="preserve">As has been discussed, it is critical to focus on health inputs as much as outcomes in the effort to achieve Aboriginal and Torre Strait Islander health equality. Further, that complaints about the effectiveness of the </w:t>
      </w:r>
      <w:r w:rsidRPr="001325F4">
        <w:rPr>
          <w:rStyle w:val="Emphasis"/>
          <w:szCs w:val="24"/>
        </w:rPr>
        <w:t>Closing the Gap Strategy</w:t>
      </w:r>
      <w:r w:rsidRPr="001325F4">
        <w:rPr>
          <w:rFonts w:eastAsia="Times New Roman" w:cs="Verdana"/>
          <w:color w:val="1A1A1A"/>
          <w:szCs w:val="24"/>
        </w:rPr>
        <w:t xml:space="preserve"> often neglect the economic framework in which it is operating. While it may be stating the obvious, it is critical to grasp that outcomes from a system, including a health system, will depend on the quantum and quality of inputs. As highlighted by Alford in her 2015 critiq</w:t>
      </w:r>
      <w:r w:rsidRPr="001325F4">
        <w:rPr>
          <w:rFonts w:eastAsia="Times New Roman" w:cs="Verdana"/>
          <w:color w:val="000000" w:themeColor="text1"/>
          <w:szCs w:val="24"/>
        </w:rPr>
        <w:t>ue, this disconnect in policy is demonstrated by the fact that nearly a third of health system performance indicators of the 2015 World Health Organization’s 100 core health indicators relate to expenditure.</w:t>
      </w:r>
      <w:r w:rsidRPr="001325F4">
        <w:rPr>
          <w:rStyle w:val="EndnoteReference"/>
          <w:rFonts w:eastAsia="Times New Roman" w:cs="Verdana"/>
          <w:color w:val="000000" w:themeColor="text1"/>
          <w:szCs w:val="24"/>
        </w:rPr>
        <w:endnoteReference w:id="194"/>
      </w:r>
      <w:r w:rsidR="00537038" w:rsidRPr="001325F4">
        <w:rPr>
          <w:rFonts w:eastAsia="Times New Roman" w:cs="Verdana"/>
          <w:color w:val="000000" w:themeColor="text1"/>
          <w:szCs w:val="24"/>
        </w:rPr>
        <w:t xml:space="preserve"> </w:t>
      </w:r>
      <w:r w:rsidRPr="001325F4">
        <w:rPr>
          <w:rFonts w:eastAsia="Times New Roman" w:cs="Verdana"/>
          <w:color w:val="000000" w:themeColor="text1"/>
          <w:szCs w:val="24"/>
        </w:rPr>
        <w:t xml:space="preserve">In contrast, the </w:t>
      </w:r>
      <w:r w:rsidRPr="001325F4">
        <w:rPr>
          <w:rStyle w:val="Emphasis"/>
          <w:szCs w:val="24"/>
        </w:rPr>
        <w:t>Aboriginal and Torres Strait Islander Health Performance Framework</w:t>
      </w:r>
      <w:r w:rsidRPr="001325F4">
        <w:rPr>
          <w:rFonts w:eastAsia="Times New Roman" w:cs="Verdana"/>
          <w:color w:val="000000" w:themeColor="text1"/>
          <w:szCs w:val="24"/>
        </w:rPr>
        <w:t xml:space="preserve"> has only one indicator dedicated to expenditure.</w:t>
      </w:r>
    </w:p>
    <w:p w14:paraId="269F6BFB" w14:textId="14FCC6B5" w:rsidR="00221769" w:rsidRPr="00561499" w:rsidRDefault="00221769" w:rsidP="00C54433">
      <w:pPr>
        <w:autoSpaceDE w:val="0"/>
        <w:autoSpaceDN w:val="0"/>
        <w:adjustRightInd w:val="0"/>
        <w:rPr>
          <w:rFonts w:eastAsia="Times New Roman" w:cs="Verdana"/>
          <w:color w:val="1A1A1A"/>
        </w:rPr>
      </w:pPr>
      <w:r w:rsidRPr="00561499">
        <w:rPr>
          <w:rFonts w:eastAsia="Times New Roman" w:cs="Verdana"/>
          <w:color w:val="1A1A1A"/>
        </w:rPr>
        <w:t>As Alford highlights, Australian governments have failed to maintain Aboriginal and Torres Strait Islander health expenditure over time, in line with the rapid growth of the Aboriginal and Torres Strait Islander population, as recorded in the 2011 Census. While Aust</w:t>
      </w:r>
      <w:r w:rsidR="008016C5" w:rsidRPr="00561499">
        <w:rPr>
          <w:rFonts w:eastAsia="Times New Roman" w:cs="Verdana"/>
          <w:color w:val="1A1A1A"/>
        </w:rPr>
        <w:t>ralian G</w:t>
      </w:r>
      <w:r w:rsidRPr="00561499">
        <w:rPr>
          <w:rFonts w:eastAsia="Times New Roman" w:cs="Verdana"/>
          <w:color w:val="1A1A1A"/>
        </w:rPr>
        <w:t>overnment health expenditure is expected to increase by 8% over the two years to 2015–16</w:t>
      </w:r>
      <w:r w:rsidR="00631D21" w:rsidRPr="00561499">
        <w:rPr>
          <w:rFonts w:eastAsia="Times New Roman" w:cs="Verdana"/>
          <w:color w:val="1A1A1A"/>
        </w:rPr>
        <w:t>,</w:t>
      </w:r>
      <w:r w:rsidR="00030F98" w:rsidRPr="00561499">
        <w:rPr>
          <w:rFonts w:eastAsia="Times New Roman" w:cs="Verdana"/>
          <w:color w:val="1A1A1A"/>
        </w:rPr>
        <w:t xml:space="preserve"> </w:t>
      </w:r>
      <w:r w:rsidR="00631D21" w:rsidRPr="00561499">
        <w:rPr>
          <w:rFonts w:eastAsia="Times New Roman" w:cs="Verdana"/>
          <w:color w:val="1A1A1A"/>
        </w:rPr>
        <w:t>t</w:t>
      </w:r>
      <w:r w:rsidRPr="00561499">
        <w:rPr>
          <w:rFonts w:eastAsia="Times New Roman" w:cs="Verdana"/>
          <w:color w:val="1A1A1A"/>
        </w:rPr>
        <w:t>he Aboriginal and Torres Strait Islander</w:t>
      </w:r>
      <w:r w:rsidR="00F147A1" w:rsidRPr="00561499">
        <w:rPr>
          <w:rFonts w:eastAsia="Times New Roman" w:cs="Verdana"/>
          <w:color w:val="1A1A1A"/>
        </w:rPr>
        <w:t xml:space="preserve"> funding</w:t>
      </w:r>
      <w:r w:rsidRPr="00561499">
        <w:rPr>
          <w:rFonts w:eastAsia="Times New Roman" w:cs="Verdana"/>
          <w:color w:val="1A1A1A"/>
        </w:rPr>
        <w:t xml:space="preserve"> proportion will fall by 2%, a cut of $88 million in real terms. As a result, the proportion of the health budget allocated to </w:t>
      </w:r>
      <w:r w:rsidR="00F147A1" w:rsidRPr="00561499">
        <w:rPr>
          <w:rFonts w:eastAsia="Times New Roman" w:cs="Verdana"/>
          <w:color w:val="1A1A1A"/>
        </w:rPr>
        <w:t xml:space="preserve">Aboriginal and Torres Strait Islander </w:t>
      </w:r>
      <w:r w:rsidRPr="00561499">
        <w:rPr>
          <w:rFonts w:eastAsia="Times New Roman" w:cs="Verdana"/>
          <w:color w:val="1A1A1A"/>
        </w:rPr>
        <w:t>health will shrink, from 1.18% in 2013–14 to 1.07% in 2015–16.</w:t>
      </w:r>
      <w:r w:rsidRPr="00561499">
        <w:rPr>
          <w:rStyle w:val="EndnoteReference"/>
          <w:rFonts w:eastAsia="Times New Roman" w:cs="Verdana"/>
          <w:color w:val="1A1A1A"/>
        </w:rPr>
        <w:endnoteReference w:id="195"/>
      </w:r>
    </w:p>
    <w:p w14:paraId="39B34C2B" w14:textId="4BB18438" w:rsidR="00C86B5A" w:rsidRPr="00561499" w:rsidRDefault="00221769" w:rsidP="00C8247F">
      <w:pPr>
        <w:autoSpaceDE w:val="0"/>
        <w:autoSpaceDN w:val="0"/>
        <w:adjustRightInd w:val="0"/>
        <w:spacing w:after="400"/>
        <w:rPr>
          <w:rFonts w:eastAsia="Times New Roman" w:cs="Verdana"/>
          <w:color w:val="1A1A1A"/>
        </w:rPr>
      </w:pPr>
      <w:r w:rsidRPr="00561499">
        <w:rPr>
          <w:rFonts w:eastAsia="Times New Roman" w:cs="Verdana"/>
          <w:color w:val="1A1A1A"/>
        </w:rPr>
        <w:lastRenderedPageBreak/>
        <w:t xml:space="preserve">As the Campaign </w:t>
      </w:r>
      <w:r w:rsidR="00631D21" w:rsidRPr="00561499">
        <w:rPr>
          <w:rFonts w:eastAsia="Times New Roman" w:cs="Verdana"/>
          <w:color w:val="1A1A1A"/>
        </w:rPr>
        <w:t xml:space="preserve">Steering Committee </w:t>
      </w:r>
      <w:r w:rsidRPr="00561499">
        <w:rPr>
          <w:rFonts w:eastAsia="Times New Roman" w:cs="Verdana"/>
          <w:color w:val="1A1A1A"/>
        </w:rPr>
        <w:t>ha</w:t>
      </w:r>
      <w:r w:rsidR="00631D21" w:rsidRPr="00561499">
        <w:rPr>
          <w:rFonts w:eastAsia="Times New Roman" w:cs="Verdana"/>
          <w:color w:val="1A1A1A"/>
        </w:rPr>
        <w:t>s</w:t>
      </w:r>
      <w:r w:rsidRPr="00561499">
        <w:rPr>
          <w:rFonts w:eastAsia="Times New Roman" w:cs="Verdana"/>
          <w:color w:val="1A1A1A"/>
        </w:rPr>
        <w:t xml:space="preserve"> highlighted in previous reports, government expenditure is not commensurate with the substantially greater and more complex health needs of Aboriginal and Torres Strait Islander people and should be indexed to reflect these needs</w:t>
      </w:r>
      <w:r w:rsidR="00CD310C" w:rsidRPr="00561499">
        <w:t xml:space="preserve"> </w:t>
      </w:r>
      <w:r w:rsidR="00CD310C" w:rsidRPr="00561499">
        <w:rPr>
          <w:rFonts w:eastAsia="Times New Roman" w:cs="Verdana"/>
          <w:color w:val="1A1A1A"/>
        </w:rPr>
        <w:t>and the critical shortfall is in the circuit breaking field of primary health care</w:t>
      </w:r>
      <w:r w:rsidRPr="00561499">
        <w:rPr>
          <w:rFonts w:eastAsia="Times New Roman" w:cs="Verdana"/>
          <w:color w:val="1A1A1A"/>
        </w:rPr>
        <w:t>. While the average health expenditure per Aboriginal and Torres Strait Islander person is 1.47 times that for non-Indigenous people, an expenditure index of (at least) double may appropriately reflect greater health needs.</w:t>
      </w:r>
    </w:p>
    <w:tbl>
      <w:tblPr>
        <w:tblStyle w:val="TableGrid"/>
        <w:tblW w:w="0" w:type="auto"/>
        <w:tblBorders>
          <w:top w:val="single" w:sz="8" w:space="0" w:color="007DA7"/>
          <w:left w:val="single" w:sz="8" w:space="0" w:color="007DA7"/>
          <w:bottom w:val="single" w:sz="8" w:space="0" w:color="007DA7"/>
          <w:right w:val="single" w:sz="8" w:space="0" w:color="007DA7"/>
          <w:insideH w:val="none" w:sz="0" w:space="0" w:color="auto"/>
          <w:insideV w:val="none" w:sz="0" w:space="0" w:color="auto"/>
        </w:tblBorders>
        <w:tblCellMar>
          <w:top w:w="227" w:type="dxa"/>
          <w:left w:w="227" w:type="dxa"/>
          <w:bottom w:w="227" w:type="dxa"/>
          <w:right w:w="227" w:type="dxa"/>
        </w:tblCellMar>
        <w:tblLook w:val="04A0" w:firstRow="1" w:lastRow="0" w:firstColumn="1" w:lastColumn="0" w:noHBand="0" w:noVBand="1"/>
      </w:tblPr>
      <w:tblGrid>
        <w:gridCol w:w="9216"/>
      </w:tblGrid>
      <w:tr w:rsidR="00D0009F" w:rsidRPr="00561499" w14:paraId="17D85BC8" w14:textId="77777777" w:rsidTr="0062574E">
        <w:tc>
          <w:tcPr>
            <w:tcW w:w="9216" w:type="dxa"/>
            <w:shd w:val="clear" w:color="auto" w:fill="auto"/>
          </w:tcPr>
          <w:p w14:paraId="344E2890" w14:textId="042FD0DC" w:rsidR="00930414" w:rsidRDefault="00D0009F" w:rsidP="0062574E">
            <w:pPr>
              <w:pStyle w:val="Heading5"/>
              <w:spacing w:before="0"/>
              <w:outlineLvl w:val="4"/>
            </w:pPr>
            <w:r w:rsidRPr="00561499">
              <w:t>Recommendation</w:t>
            </w:r>
          </w:p>
          <w:p w14:paraId="661CFFDD" w14:textId="3576F747" w:rsidR="00D0009F" w:rsidRPr="00561499" w:rsidRDefault="00D0009F" w:rsidP="0062574E">
            <w:pPr>
              <w:spacing w:before="120" w:after="120"/>
              <w:rPr>
                <w:b/>
                <w:lang w:val="en-AU"/>
              </w:rPr>
            </w:pPr>
            <w:r w:rsidRPr="00561499">
              <w:rPr>
                <w:lang w:val="en-AU"/>
              </w:rPr>
              <w:t>That each political party prior to the 2016 Federal Election, commit to:</w:t>
            </w:r>
          </w:p>
          <w:p w14:paraId="0190B79A" w14:textId="76280231" w:rsidR="00D0009F" w:rsidRPr="00561499" w:rsidRDefault="00D0009F" w:rsidP="00D0009F">
            <w:pPr>
              <w:pStyle w:val="ListParagraph"/>
              <w:numPr>
                <w:ilvl w:val="0"/>
                <w:numId w:val="22"/>
              </w:numPr>
              <w:spacing w:before="120" w:after="120"/>
              <w:ind w:left="714" w:hanging="357"/>
              <w:contextualSpacing w:val="0"/>
            </w:pPr>
            <w:r w:rsidRPr="00561499">
              <w:t xml:space="preserve">Make Aboriginal and Torres Strait Islander health and wellbeing a major priority for their election policy platforms, and </w:t>
            </w:r>
            <w:r w:rsidR="00A27957" w:rsidRPr="00561499">
              <w:rPr>
                <w:lang w:val="en-AU"/>
              </w:rPr>
              <w:t xml:space="preserve">fund the </w:t>
            </w:r>
            <w:r w:rsidR="0001351F" w:rsidRPr="00930414">
              <w:rPr>
                <w:rStyle w:val="Emphasis"/>
              </w:rPr>
              <w:t xml:space="preserve">Implementation Plan </w:t>
            </w:r>
            <w:r w:rsidR="0001351F">
              <w:rPr>
                <w:rStyle w:val="Emphasis"/>
              </w:rPr>
              <w:t xml:space="preserve">for the </w:t>
            </w:r>
            <w:r w:rsidR="00A27957" w:rsidRPr="00930414">
              <w:rPr>
                <w:rStyle w:val="Emphasis"/>
              </w:rPr>
              <w:t>National Aboriginal and Torres Strait Islander Health Plan (2013–2023)</w:t>
            </w:r>
            <w:r w:rsidR="00A27957" w:rsidRPr="00561499">
              <w:t xml:space="preserve"> </w:t>
            </w:r>
            <w:r w:rsidR="00A27957" w:rsidRPr="00561499">
              <w:rPr>
                <w:lang w:val="en-AU"/>
              </w:rPr>
              <w:t>until it expires in 2023.</w:t>
            </w:r>
          </w:p>
          <w:p w14:paraId="27E03B28" w14:textId="07499414" w:rsidR="00D0009F" w:rsidRPr="00561499" w:rsidRDefault="00D0009F" w:rsidP="00D0009F">
            <w:pPr>
              <w:pStyle w:val="ListParagraph"/>
              <w:numPr>
                <w:ilvl w:val="0"/>
                <w:numId w:val="22"/>
              </w:numPr>
              <w:spacing w:before="120" w:after="120"/>
              <w:ind w:left="714" w:hanging="357"/>
              <w:contextualSpacing w:val="0"/>
              <w:rPr>
                <w:b/>
              </w:rPr>
            </w:pPr>
            <w:r w:rsidRPr="00561499">
              <w:t xml:space="preserve">An additional </w:t>
            </w:r>
            <w:proofErr w:type="spellStart"/>
            <w:r w:rsidRPr="00561499">
              <w:t>COAG</w:t>
            </w:r>
            <w:proofErr w:type="spellEnd"/>
            <w:r w:rsidRPr="00561499">
              <w:t xml:space="preserve"> Closing the Gap Target to reduce imprisonment rates and increase community safety.</w:t>
            </w:r>
          </w:p>
          <w:p w14:paraId="604A2773" w14:textId="7C4D9D63" w:rsidR="00D0009F" w:rsidRPr="00561499" w:rsidRDefault="00D0009F" w:rsidP="00D0009F">
            <w:pPr>
              <w:pStyle w:val="ListParagraph"/>
              <w:numPr>
                <w:ilvl w:val="0"/>
                <w:numId w:val="22"/>
              </w:numPr>
              <w:spacing w:before="120" w:after="120"/>
              <w:ind w:left="714" w:hanging="357"/>
              <w:contextualSpacing w:val="0"/>
              <w:rPr>
                <w:b/>
              </w:rPr>
            </w:pPr>
            <w:r w:rsidRPr="00561499">
              <w:rPr>
                <w:lang w:val="en-AU"/>
              </w:rPr>
              <w:t xml:space="preserve">Working with </w:t>
            </w:r>
            <w:proofErr w:type="spellStart"/>
            <w:r w:rsidRPr="00561499">
              <w:rPr>
                <w:lang w:val="en-AU"/>
              </w:rPr>
              <w:t>COAG</w:t>
            </w:r>
            <w:proofErr w:type="spellEnd"/>
            <w:r w:rsidRPr="00561499">
              <w:rPr>
                <w:lang w:val="en-AU"/>
              </w:rPr>
              <w:t xml:space="preserve"> to introduce a target for Aboriginal and Torres Strait Islander people with disability as part of the Closing the Gap framework. The Australian Government should introduce this target in conjunction with the Disability Recommendations 11, 12, 14, 15 and 16 of the Aboriginal and Torres Strait Islander Soc</w:t>
            </w:r>
            <w:r w:rsidR="0001351F">
              <w:rPr>
                <w:lang w:val="en-AU"/>
              </w:rPr>
              <w:t xml:space="preserve">ial Justice Commissioner’s </w:t>
            </w:r>
            <w:r w:rsidRPr="0001351F">
              <w:rPr>
                <w:rStyle w:val="Emphasis"/>
              </w:rPr>
              <w:t>Social Justice and Native Title Report</w:t>
            </w:r>
            <w:r w:rsidR="0001351F" w:rsidRPr="0001351F">
              <w:rPr>
                <w:rStyle w:val="Emphasis"/>
              </w:rPr>
              <w:t xml:space="preserve"> 2015</w:t>
            </w:r>
            <w:r w:rsidRPr="00561499">
              <w:rPr>
                <w:lang w:val="en-AU"/>
              </w:rPr>
              <w:t>.</w:t>
            </w:r>
          </w:p>
        </w:tc>
      </w:tr>
    </w:tbl>
    <w:p w14:paraId="6245C027" w14:textId="77777777" w:rsidR="00D0009F" w:rsidRPr="00561499" w:rsidRDefault="00D0009F" w:rsidP="00C8247F"/>
    <w:p w14:paraId="28E9705C" w14:textId="1EA7E820" w:rsidR="00221769" w:rsidRPr="00561499" w:rsidRDefault="00930414" w:rsidP="00930414">
      <w:pPr>
        <w:pStyle w:val="Heading4"/>
      </w:pPr>
      <w:r>
        <w:t>(</w:t>
      </w:r>
      <w:r w:rsidR="006A2A38" w:rsidRPr="00561499">
        <w:t>f</w:t>
      </w:r>
      <w:r>
        <w:t>)</w:t>
      </w:r>
      <w:r w:rsidR="00221769" w:rsidRPr="00561499">
        <w:t xml:space="preserve"> Connections to the </w:t>
      </w:r>
      <w:r w:rsidR="0001351F">
        <w:t>Indigenous Advancement Strategy</w:t>
      </w:r>
    </w:p>
    <w:p w14:paraId="1E884B3F" w14:textId="07D76CC5" w:rsidR="00221769" w:rsidRPr="00561499" w:rsidRDefault="00221769" w:rsidP="007E71A4">
      <w:pPr>
        <w:autoSpaceDE w:val="0"/>
        <w:autoSpaceDN w:val="0"/>
        <w:adjustRightInd w:val="0"/>
        <w:spacing w:before="240" w:after="240"/>
        <w:rPr>
          <w:rFonts w:cs="Calibri"/>
          <w:bCs/>
          <w:color w:val="000000"/>
        </w:rPr>
      </w:pPr>
      <w:r w:rsidRPr="00561499">
        <w:t xml:space="preserve">In the 2015 </w:t>
      </w:r>
      <w:r w:rsidRPr="00930414">
        <w:rPr>
          <w:rStyle w:val="Emphasis"/>
        </w:rPr>
        <w:t>Progress and Priorities Report</w:t>
      </w:r>
      <w:r w:rsidRPr="00561499">
        <w:t xml:space="preserve">, the Campaign </w:t>
      </w:r>
      <w:r w:rsidR="00631D21" w:rsidRPr="00561499">
        <w:t xml:space="preserve">Steering Committee </w:t>
      </w:r>
      <w:r w:rsidRPr="00561499">
        <w:t xml:space="preserve">called for greater connections from </w:t>
      </w:r>
      <w:r w:rsidRPr="0001351F">
        <w:t xml:space="preserve">the </w:t>
      </w:r>
      <w:proofErr w:type="spellStart"/>
      <w:r w:rsidR="0001351F">
        <w:rPr>
          <w:rStyle w:val="Emphasis"/>
          <w:i w:val="0"/>
        </w:rPr>
        <w:t>IAS</w:t>
      </w:r>
      <w:proofErr w:type="spellEnd"/>
      <w:r w:rsidRPr="0001351F">
        <w:rPr>
          <w:rStyle w:val="Emphasis"/>
          <w:i w:val="0"/>
        </w:rPr>
        <w:t xml:space="preserve"> to the</w:t>
      </w:r>
      <w:r w:rsidRPr="00930414">
        <w:rPr>
          <w:rStyle w:val="Emphasis"/>
        </w:rPr>
        <w:t xml:space="preserve"> Closing the Gap Strategy</w:t>
      </w:r>
      <w:r w:rsidRPr="00561499">
        <w:t>. It argued that such connections will bring advantages to both, contributing to</w:t>
      </w:r>
      <w:r w:rsidRPr="00561499">
        <w:rPr>
          <w:rFonts w:cs="Calibri"/>
          <w:bCs/>
          <w:color w:val="000000"/>
        </w:rPr>
        <w:t xml:space="preserve"> a broader, holistic approach that includes health a</w:t>
      </w:r>
      <w:r w:rsidR="006D14ED">
        <w:rPr>
          <w:rFonts w:cs="Calibri"/>
          <w:bCs/>
          <w:color w:val="000000"/>
        </w:rPr>
        <w:t>nd social determinants equally.</w:t>
      </w:r>
    </w:p>
    <w:p w14:paraId="4AE5212E" w14:textId="278CF1EC" w:rsidR="00221769" w:rsidRPr="00561499" w:rsidRDefault="00221769" w:rsidP="007E71A4">
      <w:pPr>
        <w:pStyle w:val="NormalWeb"/>
        <w:rPr>
          <w:rFonts w:ascii="Arial" w:hAnsi="Arial" w:cstheme="minorBidi"/>
        </w:rPr>
      </w:pPr>
      <w:r w:rsidRPr="00561499">
        <w:rPr>
          <w:rFonts w:ascii="Arial" w:hAnsi="Arial" w:cstheme="minorBidi"/>
        </w:rPr>
        <w:t xml:space="preserve">The Campaign </w:t>
      </w:r>
      <w:r w:rsidR="00631D21" w:rsidRPr="00561499">
        <w:rPr>
          <w:rFonts w:ascii="Arial" w:hAnsi="Arial" w:cstheme="minorBidi"/>
        </w:rPr>
        <w:t xml:space="preserve">Steering Committee </w:t>
      </w:r>
      <w:r w:rsidRPr="00561499">
        <w:rPr>
          <w:rFonts w:ascii="Arial" w:hAnsi="Arial" w:cstheme="minorBidi"/>
        </w:rPr>
        <w:t xml:space="preserve">has always appreciated the contribution of negative social determinants to health inequality. A commitment in the </w:t>
      </w:r>
      <w:r w:rsidRPr="00930414">
        <w:rPr>
          <w:rStyle w:val="Emphasis"/>
        </w:rPr>
        <w:t>Close the Gap Statement of Intent</w:t>
      </w:r>
      <w:r w:rsidRPr="00561499">
        <w:rPr>
          <w:rFonts w:ascii="Arial" w:hAnsi="Arial" w:cstheme="minorBidi"/>
        </w:rPr>
        <w:t xml:space="preserve"> is to: ‘[work] collectively to systematically address the social determinants that impact on achieving health equality for Aboriginal and Torres Strait Islander peoples’ (see previously in this report). For this reason it views the </w:t>
      </w:r>
      <w:proofErr w:type="spellStart"/>
      <w:r w:rsidRPr="00561499">
        <w:rPr>
          <w:rFonts w:ascii="Arial" w:hAnsi="Arial" w:cstheme="minorBidi"/>
        </w:rPr>
        <w:t>IAS</w:t>
      </w:r>
      <w:proofErr w:type="spellEnd"/>
      <w:r w:rsidRPr="00561499">
        <w:rPr>
          <w:rFonts w:ascii="Arial" w:hAnsi="Arial" w:cstheme="minorBidi"/>
        </w:rPr>
        <w:t xml:space="preserve"> as being entirely compatible with the achievement of health equality and the Closing the Gap Strategy.</w:t>
      </w:r>
    </w:p>
    <w:p w14:paraId="5336AE5D" w14:textId="6529A8D9" w:rsidR="00221769" w:rsidRPr="00561499" w:rsidRDefault="00221769" w:rsidP="007E71A4">
      <w:pPr>
        <w:pStyle w:val="NormalWeb"/>
        <w:rPr>
          <w:rFonts w:ascii="Arial" w:hAnsi="Arial"/>
        </w:rPr>
      </w:pPr>
      <w:r w:rsidRPr="00561499">
        <w:rPr>
          <w:rFonts w:ascii="Arial" w:hAnsi="Arial" w:cstheme="minorBidi"/>
        </w:rPr>
        <w:lastRenderedPageBreak/>
        <w:t xml:space="preserve">In fact, the </w:t>
      </w:r>
      <w:r w:rsidRPr="00930414">
        <w:rPr>
          <w:rStyle w:val="Emphasis"/>
        </w:rPr>
        <w:t>Closing the Gap Strategy</w:t>
      </w:r>
      <w:r w:rsidRPr="00561499">
        <w:rPr>
          <w:rFonts w:ascii="Arial" w:hAnsi="Arial" w:cstheme="minorBidi"/>
        </w:rPr>
        <w:t xml:space="preserve"> already works in areas that overlap with the </w:t>
      </w:r>
      <w:proofErr w:type="spellStart"/>
      <w:r w:rsidRPr="00561499">
        <w:rPr>
          <w:rFonts w:ascii="Arial" w:hAnsi="Arial" w:cstheme="minorBidi"/>
        </w:rPr>
        <w:t>IAS</w:t>
      </w:r>
      <w:proofErr w:type="spellEnd"/>
      <w:r w:rsidRPr="00561499">
        <w:rPr>
          <w:rFonts w:ascii="Arial" w:hAnsi="Arial" w:cstheme="minorBidi"/>
        </w:rPr>
        <w:t xml:space="preserve">, but more holistically, through its seven ‘building blocks’ model that includes: </w:t>
      </w:r>
      <w:r w:rsidRPr="00561499">
        <w:rPr>
          <w:rFonts w:ascii="Arial" w:hAnsi="Arial"/>
        </w:rPr>
        <w:t xml:space="preserve">Early Childhood; </w:t>
      </w:r>
      <w:r w:rsidRPr="00561499">
        <w:rPr>
          <w:rFonts w:ascii="Arial" w:hAnsi="Arial" w:cstheme="minorBidi"/>
        </w:rPr>
        <w:t>Schooling; Healthy Homes; Safe Communities; Economic Participation; and Governance and Leadership</w:t>
      </w:r>
      <w:r w:rsidRPr="00561499">
        <w:rPr>
          <w:rFonts w:ascii="Arial" w:hAnsi="Arial"/>
        </w:rPr>
        <w:t xml:space="preserve"> and Health. The model is intended to achieve not only better health outcomes, but better outcomes in all seven building block areas, </w:t>
      </w:r>
      <w:proofErr w:type="spellStart"/>
      <w:r w:rsidRPr="00561499">
        <w:rPr>
          <w:rFonts w:ascii="Arial" w:hAnsi="Arial"/>
        </w:rPr>
        <w:t>recognising</w:t>
      </w:r>
      <w:proofErr w:type="spellEnd"/>
      <w:r w:rsidRPr="00561499">
        <w:rPr>
          <w:rFonts w:ascii="Arial" w:hAnsi="Arial"/>
        </w:rPr>
        <w:t xml:space="preserve"> their interdependence.</w:t>
      </w:r>
      <w:r w:rsidRPr="00561499">
        <w:rPr>
          <w:rStyle w:val="EndnoteReference"/>
        </w:rPr>
        <w:endnoteReference w:id="196"/>
      </w:r>
    </w:p>
    <w:p w14:paraId="730F1AD2" w14:textId="77777777" w:rsidR="00221769" w:rsidRPr="001325F4" w:rsidRDefault="008016C5" w:rsidP="006D14ED">
      <w:pPr>
        <w:rPr>
          <w:szCs w:val="24"/>
        </w:rPr>
      </w:pPr>
      <w:r w:rsidRPr="001325F4">
        <w:rPr>
          <w:szCs w:val="24"/>
        </w:rPr>
        <w:t>In 2014,</w:t>
      </w:r>
      <w:r w:rsidR="00221769" w:rsidRPr="001325F4">
        <w:rPr>
          <w:szCs w:val="24"/>
        </w:rPr>
        <w:t xml:space="preserve"> </w:t>
      </w:r>
      <w:proofErr w:type="spellStart"/>
      <w:r w:rsidR="00221769" w:rsidRPr="001325F4">
        <w:rPr>
          <w:szCs w:val="24"/>
        </w:rPr>
        <w:t>AIHW</w:t>
      </w:r>
      <w:proofErr w:type="spellEnd"/>
      <w:r w:rsidR="00221769" w:rsidRPr="001325F4">
        <w:rPr>
          <w:szCs w:val="24"/>
        </w:rPr>
        <w:t xml:space="preserve"> undertook a review of research into the underlying causes of the Aboriginal and Torres Strait Islander health equality gap. They also conducted their own evaluations using health survey data and models. They estimated that social determinants and </w:t>
      </w:r>
      <w:proofErr w:type="spellStart"/>
      <w:r w:rsidR="00221769" w:rsidRPr="001325F4">
        <w:rPr>
          <w:szCs w:val="24"/>
        </w:rPr>
        <w:t>behavioural</w:t>
      </w:r>
      <w:proofErr w:type="spellEnd"/>
      <w:r w:rsidR="00221769" w:rsidRPr="001325F4">
        <w:rPr>
          <w:szCs w:val="24"/>
        </w:rPr>
        <w:t xml:space="preserve"> risk factors accounted for up to 57% of the health gap.</w:t>
      </w:r>
      <w:r w:rsidR="00221769" w:rsidRPr="001325F4">
        <w:rPr>
          <w:rStyle w:val="EndnoteReference"/>
          <w:szCs w:val="24"/>
        </w:rPr>
        <w:endnoteReference w:id="197"/>
      </w:r>
      <w:r w:rsidR="00221769" w:rsidRPr="001325F4">
        <w:rPr>
          <w:szCs w:val="24"/>
        </w:rPr>
        <w:t xml:space="preserve"> That is:</w:t>
      </w:r>
    </w:p>
    <w:p w14:paraId="2584E9BE" w14:textId="226584B4" w:rsidR="00221769" w:rsidRPr="001325F4" w:rsidRDefault="00992D4C" w:rsidP="0023765F">
      <w:pPr>
        <w:pStyle w:val="ListParagraph"/>
        <w:numPr>
          <w:ilvl w:val="0"/>
          <w:numId w:val="22"/>
        </w:numPr>
        <w:spacing w:before="120"/>
        <w:ind w:left="714" w:hanging="357"/>
        <w:contextualSpacing w:val="0"/>
        <w:rPr>
          <w:szCs w:val="24"/>
        </w:rPr>
      </w:pPr>
      <w:r w:rsidRPr="001325F4">
        <w:rPr>
          <w:rStyle w:val="Strong"/>
          <w:szCs w:val="24"/>
        </w:rPr>
        <w:t>Social determinant</w:t>
      </w:r>
      <w:r w:rsidRPr="001325F4">
        <w:rPr>
          <w:szCs w:val="24"/>
        </w:rPr>
        <w:t>—</w:t>
      </w:r>
      <w:r w:rsidR="00221769" w:rsidRPr="001325F4">
        <w:rPr>
          <w:szCs w:val="24"/>
        </w:rPr>
        <w:t>one-third (31%) of the gap.</w:t>
      </w:r>
      <w:r w:rsidR="00221769" w:rsidRPr="001325F4">
        <w:rPr>
          <w:rStyle w:val="EndnoteReference"/>
          <w:rFonts w:eastAsia="Times New Roman"/>
          <w:color w:val="000000"/>
          <w:szCs w:val="24"/>
          <w:lang w:val="en-AU" w:eastAsia="en-AU"/>
        </w:rPr>
        <w:endnoteReference w:id="198"/>
      </w:r>
      <w:r w:rsidR="00C8247F" w:rsidRPr="001325F4">
        <w:rPr>
          <w:rStyle w:val="EndnoteReference"/>
          <w:rFonts w:eastAsia="Times New Roman"/>
          <w:color w:val="000000"/>
          <w:szCs w:val="24"/>
          <w:vertAlign w:val="baseline"/>
          <w:lang w:val="en-AU" w:eastAsia="en-AU"/>
        </w:rPr>
        <w:t xml:space="preserve"> </w:t>
      </w:r>
      <w:r w:rsidR="00221769" w:rsidRPr="001325F4">
        <w:rPr>
          <w:szCs w:val="24"/>
        </w:rPr>
        <w:t>Household income, highest level of school, and employment status had the largest estimated impact.</w:t>
      </w:r>
      <w:r w:rsidR="00221769" w:rsidRPr="001325F4">
        <w:rPr>
          <w:rStyle w:val="EndnoteReference"/>
          <w:rFonts w:eastAsia="Times New Roman"/>
          <w:color w:val="000000"/>
          <w:szCs w:val="24"/>
          <w:lang w:val="en-AU" w:eastAsia="en-AU"/>
        </w:rPr>
        <w:endnoteReference w:id="199"/>
      </w:r>
    </w:p>
    <w:p w14:paraId="7707F6CF" w14:textId="39052B8C" w:rsidR="00221769" w:rsidRPr="001325F4" w:rsidRDefault="00992D4C" w:rsidP="0023765F">
      <w:pPr>
        <w:pStyle w:val="ListParagraph"/>
        <w:numPr>
          <w:ilvl w:val="0"/>
          <w:numId w:val="22"/>
        </w:numPr>
        <w:spacing w:before="120"/>
        <w:ind w:left="714" w:hanging="357"/>
        <w:contextualSpacing w:val="0"/>
        <w:rPr>
          <w:szCs w:val="24"/>
        </w:rPr>
      </w:pPr>
      <w:proofErr w:type="spellStart"/>
      <w:r w:rsidRPr="001325F4">
        <w:rPr>
          <w:rStyle w:val="Strong"/>
          <w:szCs w:val="24"/>
        </w:rPr>
        <w:t>Behavioural</w:t>
      </w:r>
      <w:proofErr w:type="spellEnd"/>
      <w:r w:rsidRPr="001325F4">
        <w:rPr>
          <w:rStyle w:val="Strong"/>
          <w:szCs w:val="24"/>
        </w:rPr>
        <w:t xml:space="preserve"> factors</w:t>
      </w:r>
      <w:r w:rsidRPr="001325F4">
        <w:rPr>
          <w:szCs w:val="24"/>
        </w:rPr>
        <w:t>—</w:t>
      </w:r>
      <w:r w:rsidR="00221769" w:rsidRPr="001325F4">
        <w:rPr>
          <w:szCs w:val="24"/>
        </w:rPr>
        <w:t>11% of the gap.</w:t>
      </w:r>
      <w:r w:rsidR="00221769" w:rsidRPr="001325F4">
        <w:rPr>
          <w:rStyle w:val="EndnoteReference"/>
          <w:rFonts w:eastAsia="Times New Roman"/>
          <w:color w:val="000000"/>
          <w:szCs w:val="24"/>
          <w:lang w:val="en-AU" w:eastAsia="en-AU"/>
        </w:rPr>
        <w:endnoteReference w:id="200"/>
      </w:r>
      <w:r w:rsidR="00221769" w:rsidRPr="001325F4">
        <w:rPr>
          <w:rStyle w:val="EndnoteReference"/>
          <w:rFonts w:eastAsia="Times New Roman"/>
          <w:color w:val="000000"/>
          <w:szCs w:val="24"/>
          <w:vertAlign w:val="baseline"/>
          <w:lang w:val="en-AU" w:eastAsia="en-AU"/>
        </w:rPr>
        <w:t xml:space="preserve"> </w:t>
      </w:r>
      <w:r w:rsidR="00221769" w:rsidRPr="001325F4">
        <w:rPr>
          <w:szCs w:val="24"/>
        </w:rPr>
        <w:t>Smoking status, body mass index, and binge drinking were the most important.</w:t>
      </w:r>
      <w:r w:rsidR="00221769" w:rsidRPr="001325F4">
        <w:rPr>
          <w:rStyle w:val="EndnoteReference"/>
          <w:rFonts w:eastAsia="Times New Roman"/>
          <w:color w:val="000000"/>
          <w:szCs w:val="24"/>
          <w:lang w:val="en-AU" w:eastAsia="en-AU"/>
        </w:rPr>
        <w:endnoteReference w:id="201"/>
      </w:r>
    </w:p>
    <w:p w14:paraId="07946CC5" w14:textId="233B8E99" w:rsidR="00221769" w:rsidRPr="001325F4" w:rsidRDefault="00221769" w:rsidP="0023765F">
      <w:pPr>
        <w:pStyle w:val="ListParagraph"/>
        <w:numPr>
          <w:ilvl w:val="0"/>
          <w:numId w:val="22"/>
        </w:numPr>
        <w:spacing w:before="120"/>
        <w:ind w:left="714" w:hanging="357"/>
        <w:contextualSpacing w:val="0"/>
        <w:rPr>
          <w:szCs w:val="24"/>
        </w:rPr>
      </w:pPr>
      <w:r w:rsidRPr="001325F4">
        <w:rPr>
          <w:rStyle w:val="Strong"/>
          <w:szCs w:val="24"/>
        </w:rPr>
        <w:t>Interactions between social determinant</w:t>
      </w:r>
      <w:r w:rsidR="00992D4C" w:rsidRPr="001325F4">
        <w:rPr>
          <w:rStyle w:val="Strong"/>
          <w:szCs w:val="24"/>
        </w:rPr>
        <w:t xml:space="preserve">s and </w:t>
      </w:r>
      <w:proofErr w:type="spellStart"/>
      <w:r w:rsidR="00992D4C" w:rsidRPr="001325F4">
        <w:rPr>
          <w:rStyle w:val="Strong"/>
          <w:szCs w:val="24"/>
        </w:rPr>
        <w:t>behaviours</w:t>
      </w:r>
      <w:proofErr w:type="spellEnd"/>
      <w:r w:rsidR="00992D4C" w:rsidRPr="001325F4">
        <w:rPr>
          <w:rStyle w:val="Strong"/>
          <w:szCs w:val="24"/>
        </w:rPr>
        <w:t xml:space="preserve"> risk factors</w:t>
      </w:r>
      <w:r w:rsidR="00992D4C" w:rsidRPr="001325F4">
        <w:rPr>
          <w:szCs w:val="24"/>
        </w:rPr>
        <w:t>—</w:t>
      </w:r>
      <w:r w:rsidRPr="001325F4">
        <w:rPr>
          <w:szCs w:val="24"/>
        </w:rPr>
        <w:t>additional 15% of the health gap.</w:t>
      </w:r>
      <w:r w:rsidRPr="001325F4">
        <w:rPr>
          <w:rStyle w:val="EndnoteReference"/>
          <w:rFonts w:eastAsia="Times New Roman"/>
          <w:color w:val="000000"/>
          <w:szCs w:val="24"/>
          <w:lang w:val="en-AU" w:eastAsia="en-AU"/>
        </w:rPr>
        <w:endnoteReference w:id="202"/>
      </w:r>
    </w:p>
    <w:p w14:paraId="47E3CDF5" w14:textId="2A6CC594" w:rsidR="00221769" w:rsidRPr="00561499" w:rsidRDefault="00221769" w:rsidP="006D14ED">
      <w:r w:rsidRPr="00561499">
        <w:t xml:space="preserve">Other factors, and particularly </w:t>
      </w:r>
      <w:r w:rsidRPr="001325F4">
        <w:rPr>
          <w:rStyle w:val="Strong"/>
        </w:rPr>
        <w:t>access to health services, accounted for 43% of the health gap</w:t>
      </w:r>
      <w:r w:rsidRPr="001325F4">
        <w:t xml:space="preserve">. </w:t>
      </w:r>
      <w:r w:rsidRPr="00561499">
        <w:t xml:space="preserve">However, the </w:t>
      </w:r>
      <w:proofErr w:type="spellStart"/>
      <w:r w:rsidRPr="00561499">
        <w:t>AIHW</w:t>
      </w:r>
      <w:proofErr w:type="spellEnd"/>
      <w:r w:rsidRPr="00561499">
        <w:t xml:space="preserve"> cautioned that the ‘complex relationship between health service access, social disadvantage, health </w:t>
      </w:r>
      <w:proofErr w:type="spellStart"/>
      <w:r w:rsidRPr="00561499">
        <w:t>behaviours</w:t>
      </w:r>
      <w:proofErr w:type="spellEnd"/>
      <w:r w:rsidRPr="00561499">
        <w:t>, and health outcomes’ should be noted when considering their estimations.</w:t>
      </w:r>
      <w:r w:rsidRPr="00561499">
        <w:rPr>
          <w:rStyle w:val="EndnoteReference"/>
        </w:rPr>
        <w:endnoteReference w:id="203"/>
      </w:r>
      <w:r w:rsidRPr="00561499">
        <w:t xml:space="preserve"> In other words, low income (a social determinant) could dissuade people from ‘out of pocket’ health service or medication use, for example. Indeed, as cited in Part 2 of this report, in the </w:t>
      </w:r>
      <w:proofErr w:type="spellStart"/>
      <w:r w:rsidRPr="00561499">
        <w:t>N</w:t>
      </w:r>
      <w:r w:rsidR="00992D4C" w:rsidRPr="00561499">
        <w:t>ATSIHS</w:t>
      </w:r>
      <w:proofErr w:type="spellEnd"/>
      <w:r w:rsidR="00992D4C" w:rsidRPr="00561499">
        <w:t xml:space="preserve"> 2012–</w:t>
      </w:r>
      <w:r w:rsidRPr="00561499">
        <w:t>2013 30% of respondents who indicated they needed to go a health service didn’t go. Of these, cos</w:t>
      </w:r>
      <w:r w:rsidR="006D14ED">
        <w:t>t was cited by 13% as a reason.</w:t>
      </w:r>
    </w:p>
    <w:p w14:paraId="6BAC4AAA" w14:textId="29E48859" w:rsidR="00221769" w:rsidRPr="006D14ED" w:rsidRDefault="00221769" w:rsidP="006D14ED">
      <w:pPr>
        <w:autoSpaceDE w:val="0"/>
        <w:autoSpaceDN w:val="0"/>
        <w:adjustRightInd w:val="0"/>
      </w:pPr>
      <w:r w:rsidRPr="00561499">
        <w:t xml:space="preserve">Further, as noted in the 2015 </w:t>
      </w:r>
      <w:r w:rsidRPr="006D14ED">
        <w:rPr>
          <w:rStyle w:val="Emphasis"/>
        </w:rPr>
        <w:t>Progress and Priorities Report</w:t>
      </w:r>
      <w:r w:rsidRPr="00561499">
        <w:rPr>
          <w:rFonts w:cs="Times"/>
        </w:rPr>
        <w:t>:</w:t>
      </w:r>
    </w:p>
    <w:p w14:paraId="4BB9409C" w14:textId="77777777" w:rsidR="00221769" w:rsidRPr="00561499" w:rsidRDefault="00221769" w:rsidP="007E71A4">
      <w:pPr>
        <w:autoSpaceDE w:val="0"/>
        <w:autoSpaceDN w:val="0"/>
        <w:adjustRightInd w:val="0"/>
        <w:ind w:left="720"/>
        <w:rPr>
          <w:rFonts w:cs="Times"/>
          <w:i/>
          <w:color w:val="1A1718"/>
        </w:rPr>
      </w:pPr>
      <w:r w:rsidRPr="006D14ED">
        <w:rPr>
          <w:rFonts w:cs="Times"/>
          <w:color w:val="1A1718"/>
        </w:rPr>
        <w:t>If the significance of education is indicative of the capacity to access and act on health information, health promotion initiatives that provide information about healthy lifestyles and encourage increased engagement with primary care services should aid in [ill-health] prevention...</w:t>
      </w:r>
      <w:r w:rsidRPr="00561499">
        <w:rPr>
          <w:rStyle w:val="EndnoteReference"/>
          <w:rFonts w:cs="Times"/>
          <w:color w:val="1A1718"/>
        </w:rPr>
        <w:endnoteReference w:id="204"/>
      </w:r>
    </w:p>
    <w:p w14:paraId="1D24B12E" w14:textId="3BBA59F4" w:rsidR="00221769" w:rsidRPr="00ED17E4" w:rsidRDefault="00221769" w:rsidP="00ED17E4">
      <w:pPr>
        <w:autoSpaceDE w:val="0"/>
        <w:autoSpaceDN w:val="0"/>
        <w:adjustRightInd w:val="0"/>
        <w:rPr>
          <w:rFonts w:cs="Times"/>
          <w:color w:val="1A1718"/>
        </w:rPr>
      </w:pPr>
      <w:r w:rsidRPr="00561499">
        <w:rPr>
          <w:rFonts w:cs="Times"/>
          <w:color w:val="1A1718"/>
        </w:rPr>
        <w:t xml:space="preserve">The connectedness of income/employment and education (both </w:t>
      </w:r>
      <w:proofErr w:type="spellStart"/>
      <w:r w:rsidRPr="00561499">
        <w:rPr>
          <w:rFonts w:cs="Times"/>
          <w:color w:val="1A1718"/>
        </w:rPr>
        <w:t>IAS</w:t>
      </w:r>
      <w:proofErr w:type="spellEnd"/>
      <w:r w:rsidRPr="00561499">
        <w:rPr>
          <w:rFonts w:cs="Times"/>
          <w:color w:val="1A1718"/>
        </w:rPr>
        <w:t xml:space="preserve"> priorities) to health and vice versa (good health being a pre-requisite for effective participation in the workforce and in education) underscores the need to develop and expand the linkages between the </w:t>
      </w:r>
      <w:proofErr w:type="spellStart"/>
      <w:r w:rsidRPr="00561499">
        <w:rPr>
          <w:rFonts w:cs="Times"/>
          <w:color w:val="1A1718"/>
        </w:rPr>
        <w:t>IAS</w:t>
      </w:r>
      <w:proofErr w:type="spellEnd"/>
      <w:r w:rsidRPr="00561499">
        <w:rPr>
          <w:rFonts w:cs="Times"/>
          <w:color w:val="1A1718"/>
        </w:rPr>
        <w:t xml:space="preserve"> and the </w:t>
      </w:r>
      <w:r w:rsidRPr="00ED17E4">
        <w:rPr>
          <w:rStyle w:val="Emphasis"/>
        </w:rPr>
        <w:t>Closing the Gap Strategy</w:t>
      </w:r>
      <w:r w:rsidRPr="00561499">
        <w:rPr>
          <w:rFonts w:cs="Times"/>
          <w:color w:val="1A1718"/>
        </w:rPr>
        <w:t xml:space="preserve"> for the enhancement of both.</w:t>
      </w:r>
    </w:p>
    <w:p w14:paraId="524E91F3" w14:textId="2BA0C1D6" w:rsidR="00497226" w:rsidRDefault="00221769" w:rsidP="00C8247F">
      <w:pPr>
        <w:pStyle w:val="NormalWeb"/>
        <w:spacing w:after="400"/>
        <w:rPr>
          <w:rFonts w:ascii="Arial" w:hAnsi="Arial" w:cstheme="minorBidi"/>
        </w:rPr>
      </w:pPr>
      <w:r w:rsidRPr="00561499">
        <w:rPr>
          <w:rFonts w:ascii="Arial" w:hAnsi="Arial" w:cstheme="minorBidi"/>
        </w:rPr>
        <w:lastRenderedPageBreak/>
        <w:t xml:space="preserve">Regardless of the precise contributions of social determinants and the lack of access to health services to the health gap, there is no doubt that both contribute to health inequality. As such, the Campaign </w:t>
      </w:r>
      <w:r w:rsidR="00631D21" w:rsidRPr="00561499">
        <w:rPr>
          <w:rFonts w:ascii="Arial" w:hAnsi="Arial" w:cstheme="minorBidi"/>
        </w:rPr>
        <w:t xml:space="preserve">Steering Committee </w:t>
      </w:r>
      <w:r w:rsidRPr="00561499">
        <w:rPr>
          <w:rFonts w:ascii="Arial" w:hAnsi="Arial" w:cstheme="minorBidi"/>
        </w:rPr>
        <w:t>has always maintained that both</w:t>
      </w:r>
      <w:r w:rsidRPr="00561499">
        <w:rPr>
          <w:rFonts w:ascii="Arial" w:hAnsi="Arial" w:cs="Arial"/>
          <w:color w:val="3F3F3F"/>
        </w:rPr>
        <w:t xml:space="preserve"> sustained investment in primary health care and health services </w:t>
      </w:r>
      <w:r w:rsidRPr="004D0B36">
        <w:rPr>
          <w:rStyle w:val="Emphasis"/>
        </w:rPr>
        <w:t>and</w:t>
      </w:r>
      <w:r w:rsidRPr="00561499">
        <w:rPr>
          <w:rFonts w:ascii="Arial" w:hAnsi="Arial" w:cs="Arial"/>
          <w:color w:val="3F3F3F"/>
        </w:rPr>
        <w:t xml:space="preserve"> action on the social determinants is a critical for closing the gap.</w:t>
      </w:r>
      <w:r w:rsidRPr="00561499">
        <w:rPr>
          <w:rStyle w:val="EndnoteReference"/>
          <w:rFonts w:cs="Arial"/>
          <w:color w:val="3F3F3F"/>
        </w:rPr>
        <w:endnoteReference w:id="205"/>
      </w:r>
    </w:p>
    <w:p w14:paraId="2B41FE01" w14:textId="72EE2C1D" w:rsidR="00497226" w:rsidRDefault="00011647" w:rsidP="007E71A4">
      <w:pPr>
        <w:pStyle w:val="NormalWeb"/>
        <w:rPr>
          <w:rFonts w:ascii="Arial" w:hAnsi="Arial" w:cstheme="minorBidi"/>
        </w:rPr>
      </w:pPr>
      <w:r>
        <w:rPr>
          <w:rFonts w:ascii="Arial" w:hAnsi="Arial" w:cstheme="minorBidi"/>
          <w:noProof/>
        </w:rPr>
        <w:drawing>
          <wp:inline distT="0" distB="0" distL="0" distR="0" wp14:anchorId="05722A45" wp14:editId="74B6FC77">
            <wp:extent cx="5759450" cy="3634455"/>
            <wp:effectExtent l="0" t="0" r="6350" b="0"/>
            <wp:docPr id="10" name="Picture 6" descr="Kirstie Parker and Mick Gooda are standing in a park surrounded by many different coloured hand cut-outs which appear to be coming up out of the grass (as if they were flowers)." title="2015 Close the Gap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3634455"/>
                    </a:xfrm>
                    <a:prstGeom prst="rect">
                      <a:avLst/>
                    </a:prstGeom>
                    <a:noFill/>
                    <a:ln>
                      <a:noFill/>
                    </a:ln>
                  </pic:spPr>
                </pic:pic>
              </a:graphicData>
            </a:graphic>
          </wp:inline>
        </w:drawing>
      </w:r>
    </w:p>
    <w:p w14:paraId="765CD12B" w14:textId="77777777" w:rsidR="00497226" w:rsidRPr="00561499" w:rsidRDefault="00497226" w:rsidP="00497226">
      <w:pPr>
        <w:pStyle w:val="Photocaption"/>
        <w:rPr>
          <w:rFonts w:cs="Arial"/>
          <w:color w:val="000000" w:themeColor="text1"/>
        </w:rPr>
      </w:pPr>
      <w:r w:rsidRPr="00561499">
        <w:t xml:space="preserve">Former Co-Chair </w:t>
      </w:r>
      <w:proofErr w:type="spellStart"/>
      <w:r w:rsidRPr="00561499">
        <w:t>Kirstie</w:t>
      </w:r>
      <w:proofErr w:type="spellEnd"/>
      <w:r w:rsidRPr="00561499">
        <w:t xml:space="preserve"> Parker and current Co-Chair Mick </w:t>
      </w:r>
      <w:proofErr w:type="spellStart"/>
      <w:r w:rsidRPr="00561499">
        <w:t>Gooda</w:t>
      </w:r>
      <w:proofErr w:type="spellEnd"/>
      <w:r w:rsidRPr="00561499">
        <w:t xml:space="preserve"> at the 2015 National Close the Gap Day event in Sydney. Photograph: Australian Human Rights Commission.</w:t>
      </w:r>
    </w:p>
    <w:p w14:paraId="0E4F28A0" w14:textId="77777777" w:rsidR="00497226" w:rsidRDefault="00497226" w:rsidP="00C8247F"/>
    <w:p w14:paraId="0EA970B5" w14:textId="75823752" w:rsidR="00221769" w:rsidRPr="00561499" w:rsidRDefault="00221769" w:rsidP="007E71A4">
      <w:pPr>
        <w:pStyle w:val="NormalWeb"/>
        <w:rPr>
          <w:rFonts w:ascii="Arial" w:hAnsi="Arial" w:cstheme="minorBidi"/>
        </w:rPr>
      </w:pPr>
      <w:proofErr w:type="spellStart"/>
      <w:r w:rsidRPr="00561499">
        <w:rPr>
          <w:rFonts w:ascii="Arial" w:hAnsi="Arial" w:cstheme="minorBidi"/>
        </w:rPr>
        <w:t>Griew’s</w:t>
      </w:r>
      <w:proofErr w:type="spellEnd"/>
      <w:r w:rsidRPr="00561499">
        <w:rPr>
          <w:rFonts w:ascii="Arial" w:hAnsi="Arial" w:cstheme="minorBidi"/>
        </w:rPr>
        <w:t xml:space="preserve"> 2008 analysis of </w:t>
      </w:r>
      <w:r w:rsidRPr="004D0B36">
        <w:rPr>
          <w:rStyle w:val="Emphasis"/>
        </w:rPr>
        <w:t>The link between primary health care and health outcomes for Aboriginal and Torres Strait Islander Australians</w:t>
      </w:r>
      <w:r w:rsidRPr="00561499">
        <w:rPr>
          <w:rFonts w:ascii="Arial" w:hAnsi="Arial" w:cs="Arial"/>
          <w:bCs/>
          <w:color w:val="3F3F3F"/>
        </w:rPr>
        <w:t xml:space="preserve"> for the (then) Office of Aboriginal and Torres Strait Islander Health reminds us that an exclusive focus on social determinants is misguided: ‘</w:t>
      </w:r>
      <w:r w:rsidRPr="00561499">
        <w:rPr>
          <w:rFonts w:ascii="Arial" w:hAnsi="Arial" w:cs="Arial"/>
          <w:color w:val="3F3F3F"/>
        </w:rPr>
        <w:t>notwithstanding the powerful effects of the broader social determinants of health and socioeconomic factors in particular, health systems do have a significant effect on the health of populations.’</w:t>
      </w:r>
      <w:r w:rsidRPr="00561499">
        <w:rPr>
          <w:rStyle w:val="EndnoteReference"/>
          <w:rFonts w:cs="Arial"/>
          <w:color w:val="3F3F3F"/>
        </w:rPr>
        <w:endnoteReference w:id="206"/>
      </w:r>
    </w:p>
    <w:p w14:paraId="0F66DFC7" w14:textId="1F9147FE" w:rsidR="00221769" w:rsidRPr="00561499" w:rsidRDefault="00221769" w:rsidP="007E71A4">
      <w:pPr>
        <w:pStyle w:val="NormalWeb"/>
        <w:rPr>
          <w:rFonts w:ascii="Arial" w:hAnsi="Arial" w:cs="Arial"/>
          <w:color w:val="3F3F3F"/>
        </w:rPr>
      </w:pPr>
      <w:r w:rsidRPr="00561499">
        <w:rPr>
          <w:rFonts w:ascii="Arial" w:hAnsi="Arial" w:cstheme="minorBidi"/>
        </w:rPr>
        <w:t xml:space="preserve">Further, what is often overlooked in the arguments for universal primary health care is that </w:t>
      </w:r>
      <w:r w:rsidRPr="00561499">
        <w:rPr>
          <w:rFonts w:ascii="Arial" w:hAnsi="Arial" w:cs="Arial"/>
          <w:color w:val="3F3F3F"/>
        </w:rPr>
        <w:t>‘increased primary health care resources are… able to offset some of the harmful health effects of socioeconomic disadvantage and inequality.’</w:t>
      </w:r>
      <w:r w:rsidRPr="00561499">
        <w:rPr>
          <w:rStyle w:val="EndnoteReference"/>
          <w:rFonts w:cs="Arial"/>
          <w:color w:val="3F3F3F"/>
        </w:rPr>
        <w:endnoteReference w:id="207"/>
      </w:r>
    </w:p>
    <w:p w14:paraId="35863672" w14:textId="7EC2A7C7" w:rsidR="00221769" w:rsidRDefault="00221769" w:rsidP="00266620">
      <w:pPr>
        <w:pStyle w:val="NormalWeb"/>
        <w:rPr>
          <w:rFonts w:ascii="Arial" w:hAnsi="Arial" w:cs="Arial"/>
          <w:color w:val="000000" w:themeColor="text1"/>
        </w:rPr>
      </w:pPr>
      <w:r w:rsidRPr="00561499">
        <w:rPr>
          <w:rFonts w:ascii="Arial" w:hAnsi="Arial" w:cs="Arial"/>
          <w:color w:val="3F3F3F"/>
        </w:rPr>
        <w:t xml:space="preserve">The Campaign believes that connections between the </w:t>
      </w:r>
      <w:r w:rsidRPr="004D0B36">
        <w:rPr>
          <w:rStyle w:val="Emphasis"/>
        </w:rPr>
        <w:t>Closing the Gap Strategy</w:t>
      </w:r>
      <w:r w:rsidRPr="00561499">
        <w:rPr>
          <w:rFonts w:ascii="Arial" w:hAnsi="Arial" w:cs="Arial"/>
          <w:color w:val="3F3F3F"/>
        </w:rPr>
        <w:t xml:space="preserve"> (and the achievement of health equality in particular), and the </w:t>
      </w:r>
      <w:proofErr w:type="spellStart"/>
      <w:r w:rsidRPr="00561499">
        <w:rPr>
          <w:rFonts w:ascii="Arial" w:hAnsi="Arial" w:cs="Arial"/>
          <w:color w:val="3F3F3F"/>
        </w:rPr>
        <w:t>IAS</w:t>
      </w:r>
      <w:proofErr w:type="spellEnd"/>
      <w:r w:rsidRPr="00561499">
        <w:rPr>
          <w:rFonts w:ascii="Arial" w:hAnsi="Arial" w:cs="Arial"/>
          <w:color w:val="3F3F3F"/>
        </w:rPr>
        <w:t xml:space="preserve"> should be articulated to make both more effective and </w:t>
      </w:r>
      <w:r w:rsidRPr="00561499">
        <w:rPr>
          <w:rFonts w:ascii="Arial" w:hAnsi="Arial" w:cs="Arial"/>
          <w:color w:val="000000" w:themeColor="text1"/>
        </w:rPr>
        <w:t>holistic overall response to Aboriginal and Torres Strait Islander disadvantage.</w:t>
      </w:r>
    </w:p>
    <w:p w14:paraId="77616AE1" w14:textId="77777777" w:rsidR="003D07C5" w:rsidRPr="003D07C5" w:rsidRDefault="003D07C5" w:rsidP="003D07C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227" w:type="dxa"/>
          <w:bottom w:w="227" w:type="dxa"/>
          <w:right w:w="227" w:type="dxa"/>
        </w:tblCellMar>
        <w:tblLook w:val="04A0" w:firstRow="1" w:lastRow="0" w:firstColumn="1" w:lastColumn="0" w:noHBand="0" w:noVBand="1"/>
      </w:tblPr>
      <w:tblGrid>
        <w:gridCol w:w="9286"/>
      </w:tblGrid>
      <w:tr w:rsidR="003D07C5" w:rsidRPr="00F82562" w14:paraId="27E65ABB" w14:textId="77777777" w:rsidTr="0025143E">
        <w:tc>
          <w:tcPr>
            <w:tcW w:w="9286" w:type="dxa"/>
            <w:shd w:val="clear" w:color="auto" w:fill="F2F2F2" w:themeFill="background1" w:themeFillShade="F2"/>
          </w:tcPr>
          <w:p w14:paraId="13E8671C" w14:textId="24D672F1" w:rsidR="003D07C5" w:rsidRPr="003D07C5" w:rsidRDefault="003D07C5" w:rsidP="003D07C5">
            <w:pPr>
              <w:pStyle w:val="PullQuote"/>
            </w:pPr>
            <w:r w:rsidRPr="003D07C5">
              <w:t>‘increased primary health care resources are… able to offset some of the harmful health effects of socioeconomi</w:t>
            </w:r>
            <w:r w:rsidR="00C86B5A">
              <w:t>c disadvantage and inequality.’</w:t>
            </w:r>
          </w:p>
          <w:p w14:paraId="6F4E3F7C" w14:textId="55C86540" w:rsidR="003D07C5" w:rsidRPr="00A25155" w:rsidRDefault="003D07C5" w:rsidP="00E17323">
            <w:pPr>
              <w:pStyle w:val="PullQuoteCredit"/>
              <w:rPr>
                <w:rStyle w:val="Strong"/>
                <w:b/>
                <w:bCs w:val="0"/>
              </w:rPr>
            </w:pPr>
            <w:r w:rsidRPr="003D07C5">
              <w:t xml:space="preserve">Robert </w:t>
            </w:r>
            <w:proofErr w:type="spellStart"/>
            <w:r w:rsidRPr="003D07C5">
              <w:t>Griew</w:t>
            </w:r>
            <w:proofErr w:type="spellEnd"/>
            <w:r w:rsidRPr="003D07C5">
              <w:t>, 2008</w:t>
            </w:r>
          </w:p>
        </w:tc>
      </w:tr>
    </w:tbl>
    <w:p w14:paraId="0CCB895D" w14:textId="77777777" w:rsidR="003D07C5" w:rsidRPr="00561499" w:rsidRDefault="003D07C5" w:rsidP="00C8247F"/>
    <w:p w14:paraId="4AE2DCFA" w14:textId="73F998B7" w:rsidR="00221769" w:rsidRPr="007653DD" w:rsidRDefault="007653DD" w:rsidP="007653DD">
      <w:pPr>
        <w:pStyle w:val="Heading3"/>
      </w:pPr>
      <w:bookmarkStart w:id="18" w:name="_Toc315703411"/>
      <w:r>
        <w:t xml:space="preserve">3.2 </w:t>
      </w:r>
      <w:r w:rsidR="00A57E9E" w:rsidRPr="00561499">
        <w:t>Implementation Plan</w:t>
      </w:r>
      <w:r w:rsidR="00221769" w:rsidRPr="00561499">
        <w:t xml:space="preserve"> </w:t>
      </w:r>
      <w:r w:rsidR="000730D7">
        <w:t xml:space="preserve">for the </w:t>
      </w:r>
      <w:r w:rsidR="00221769" w:rsidRPr="00561499">
        <w:t>National Aboriginal and Torres Stra</w:t>
      </w:r>
      <w:r w:rsidR="00A57E9E">
        <w:t>it Islander Health Plan</w:t>
      </w:r>
      <w:bookmarkEnd w:id="18"/>
    </w:p>
    <w:p w14:paraId="61E0652B" w14:textId="2DAA2E97" w:rsidR="00221769" w:rsidRPr="007653DD" w:rsidRDefault="00221769" w:rsidP="00266620">
      <w:pPr>
        <w:rPr>
          <w:rFonts w:eastAsia="Times New Roman" w:cs="Arial"/>
          <w:color w:val="000000" w:themeColor="text1"/>
          <w:lang w:eastAsia="en-AU"/>
        </w:rPr>
      </w:pPr>
      <w:r w:rsidRPr="00561499">
        <w:rPr>
          <w:color w:val="000000" w:themeColor="text1"/>
        </w:rPr>
        <w:t xml:space="preserve">In previous reports, the Close the Gap Campaign welcomed </w:t>
      </w:r>
      <w:r w:rsidRPr="00561499">
        <w:rPr>
          <w:rFonts w:cs="Arial"/>
          <w:color w:val="000000" w:themeColor="text1"/>
        </w:rPr>
        <w:t xml:space="preserve">the July 2013 the </w:t>
      </w:r>
      <w:r w:rsidRPr="007653DD">
        <w:rPr>
          <w:rStyle w:val="Emphasis"/>
        </w:rPr>
        <w:t>National Aboriginal and Torres Strait Islander Health Plan</w:t>
      </w:r>
      <w:r w:rsidRPr="007653DD">
        <w:t xml:space="preserve"> </w:t>
      </w:r>
      <w:r w:rsidRPr="00561499">
        <w:rPr>
          <w:rFonts w:cs="Arial"/>
          <w:color w:val="000000" w:themeColor="text1"/>
        </w:rPr>
        <w:t xml:space="preserve">(Health Plan) </w:t>
      </w:r>
      <w:r w:rsidR="000A5C13" w:rsidRPr="00561499">
        <w:rPr>
          <w:rFonts w:cs="Arial"/>
          <w:color w:val="000000" w:themeColor="text1"/>
        </w:rPr>
        <w:t xml:space="preserve">jointly launched </w:t>
      </w:r>
      <w:r w:rsidRPr="00561499">
        <w:rPr>
          <w:rFonts w:eastAsia="Times New Roman" w:cs="Arial"/>
          <w:color w:val="000000" w:themeColor="text1"/>
          <w:lang w:eastAsia="en-AU"/>
        </w:rPr>
        <w:t>by then Indigenous Health Minister</w:t>
      </w:r>
      <w:r w:rsidR="008016C5" w:rsidRPr="00561499">
        <w:rPr>
          <w:rFonts w:eastAsia="Times New Roman" w:cs="Arial"/>
          <w:color w:val="000000" w:themeColor="text1"/>
          <w:lang w:eastAsia="en-AU"/>
        </w:rPr>
        <w:t>, The Hon</w:t>
      </w:r>
      <w:r w:rsidRPr="00561499">
        <w:rPr>
          <w:rFonts w:eastAsia="Times New Roman" w:cs="Arial"/>
          <w:color w:val="000000" w:themeColor="text1"/>
          <w:lang w:eastAsia="en-AU"/>
        </w:rPr>
        <w:t xml:space="preserve"> Warren </w:t>
      </w:r>
      <w:proofErr w:type="spellStart"/>
      <w:r w:rsidRPr="00561499">
        <w:rPr>
          <w:rFonts w:eastAsia="Times New Roman" w:cs="Arial"/>
          <w:color w:val="000000" w:themeColor="text1"/>
          <w:lang w:eastAsia="en-AU"/>
        </w:rPr>
        <w:t>Snowdon</w:t>
      </w:r>
      <w:proofErr w:type="spellEnd"/>
      <w:r w:rsidR="008016C5" w:rsidRPr="00561499">
        <w:rPr>
          <w:rFonts w:eastAsia="Times New Roman" w:cs="Arial"/>
          <w:color w:val="000000" w:themeColor="text1"/>
          <w:lang w:eastAsia="en-AU"/>
        </w:rPr>
        <w:t xml:space="preserve"> MP</w:t>
      </w:r>
      <w:r w:rsidR="000A5C13" w:rsidRPr="00561499">
        <w:rPr>
          <w:rFonts w:eastAsia="Times New Roman" w:cs="Arial"/>
          <w:color w:val="000000" w:themeColor="text1"/>
          <w:lang w:eastAsia="en-AU"/>
        </w:rPr>
        <w:t xml:space="preserve"> and the then National Health Leadership Forum Chair Jody Broun</w:t>
      </w:r>
      <w:r w:rsidRPr="00561499">
        <w:rPr>
          <w:rFonts w:cs="Arial"/>
          <w:i/>
          <w:color w:val="000000" w:themeColor="text1"/>
        </w:rPr>
        <w:t>.</w:t>
      </w:r>
      <w:r w:rsidRPr="00561499">
        <w:rPr>
          <w:color w:val="000000" w:themeColor="text1"/>
        </w:rPr>
        <w:t xml:space="preserve"> As discussed, the Health Plan was developed by </w:t>
      </w:r>
      <w:r w:rsidRPr="00561499">
        <w:rPr>
          <w:rFonts w:eastAsia="Times New Roman" w:cs="Arial"/>
          <w:color w:val="000000" w:themeColor="text1"/>
          <w:lang w:eastAsia="en-AU"/>
        </w:rPr>
        <w:t xml:space="preserve">the Aboriginal and Torres Strait Islander health peaks of the </w:t>
      </w:r>
      <w:proofErr w:type="spellStart"/>
      <w:r w:rsidRPr="00561499">
        <w:rPr>
          <w:rFonts w:eastAsia="Times New Roman" w:cs="Arial"/>
          <w:color w:val="000000" w:themeColor="text1"/>
          <w:lang w:eastAsia="en-AU"/>
        </w:rPr>
        <w:t>NHLF</w:t>
      </w:r>
      <w:proofErr w:type="spellEnd"/>
      <w:r w:rsidRPr="00561499">
        <w:rPr>
          <w:rStyle w:val="EndnoteReference"/>
          <w:color w:val="000000" w:themeColor="text1"/>
          <w:sz w:val="22"/>
        </w:rPr>
        <w:t xml:space="preserve"> </w:t>
      </w:r>
      <w:r w:rsidRPr="00561499">
        <w:rPr>
          <w:rFonts w:eastAsia="Times New Roman" w:cs="Arial"/>
          <w:color w:val="000000" w:themeColor="text1"/>
          <w:lang w:eastAsia="en-AU"/>
        </w:rPr>
        <w:t>working in partnership with the Australian Government.</w:t>
      </w:r>
    </w:p>
    <w:p w14:paraId="6232AE9C" w14:textId="5BDAE95C" w:rsidR="00E17323" w:rsidRDefault="00221769" w:rsidP="00C8247F">
      <w:pPr>
        <w:spacing w:after="0"/>
        <w:rPr>
          <w:rFonts w:eastAsia="Times New Roman" w:cs="Arial"/>
          <w:lang w:eastAsia="en-AU"/>
        </w:rPr>
      </w:pPr>
      <w:r w:rsidRPr="00561499">
        <w:rPr>
          <w:rFonts w:eastAsia="Times New Roman" w:cs="Arial"/>
          <w:lang w:eastAsia="en-AU"/>
        </w:rPr>
        <w:t>From</w:t>
      </w:r>
      <w:r w:rsidRPr="00561499">
        <w:t xml:space="preserve"> mid-2014 through to October 2015, the </w:t>
      </w:r>
      <w:proofErr w:type="spellStart"/>
      <w:r w:rsidRPr="00561499">
        <w:t>NHLF</w:t>
      </w:r>
      <w:proofErr w:type="spellEnd"/>
      <w:r w:rsidRPr="00561499">
        <w:t xml:space="preserve"> and the Australian Government led by </w:t>
      </w:r>
      <w:r w:rsidRPr="00561499">
        <w:rPr>
          <w:rFonts w:eastAsia="Times New Roman" w:cs="Arial"/>
          <w:lang w:eastAsia="en-AU"/>
        </w:rPr>
        <w:t>Rural Health Minister</w:t>
      </w:r>
      <w:r w:rsidR="008016C5" w:rsidRPr="00561499">
        <w:rPr>
          <w:rFonts w:eastAsia="Times New Roman" w:cs="Arial"/>
          <w:lang w:eastAsia="en-AU"/>
        </w:rPr>
        <w:t>, Senator the Hon</w:t>
      </w:r>
      <w:r w:rsidRPr="00561499">
        <w:rPr>
          <w:rFonts w:eastAsia="Times New Roman" w:cs="Arial"/>
          <w:lang w:eastAsia="en-AU"/>
        </w:rPr>
        <w:t xml:space="preserve"> Fiona Nash</w:t>
      </w:r>
      <w:r w:rsidR="008016C5" w:rsidRPr="00561499">
        <w:rPr>
          <w:rFonts w:eastAsia="Times New Roman" w:cs="Arial"/>
          <w:lang w:eastAsia="en-AU"/>
        </w:rPr>
        <w:t>,</w:t>
      </w:r>
      <w:r w:rsidRPr="00561499">
        <w:t xml:space="preserve"> again worked in partnership to develop an implementation component. </w:t>
      </w:r>
      <w:r w:rsidRPr="00561499">
        <w:rPr>
          <w:rFonts w:eastAsia="Times New Roman" w:cs="Arial"/>
          <w:lang w:eastAsia="en-AU"/>
        </w:rPr>
        <w:t>On 22 October 2015, Minister Nash</w:t>
      </w:r>
      <w:r w:rsidR="000A5C13" w:rsidRPr="00561499">
        <w:rPr>
          <w:rFonts w:eastAsia="Times New Roman" w:cs="Arial"/>
          <w:lang w:eastAsia="en-AU"/>
        </w:rPr>
        <w:t xml:space="preserve"> and </w:t>
      </w:r>
      <w:proofErr w:type="spellStart"/>
      <w:r w:rsidR="000A5C13" w:rsidRPr="00561499">
        <w:rPr>
          <w:rFonts w:eastAsia="Times New Roman" w:cs="Arial"/>
          <w:lang w:eastAsia="en-AU"/>
        </w:rPr>
        <w:t>NHLF</w:t>
      </w:r>
      <w:proofErr w:type="spellEnd"/>
      <w:r w:rsidR="000A5C13" w:rsidRPr="00561499">
        <w:rPr>
          <w:rFonts w:eastAsia="Times New Roman" w:cs="Arial"/>
          <w:lang w:eastAsia="en-AU"/>
        </w:rPr>
        <w:t xml:space="preserve"> Chair, </w:t>
      </w:r>
      <w:proofErr w:type="spellStart"/>
      <w:r w:rsidR="000A5C13" w:rsidRPr="00561499">
        <w:rPr>
          <w:rFonts w:eastAsia="Times New Roman" w:cs="Arial"/>
          <w:lang w:eastAsia="en-AU"/>
        </w:rPr>
        <w:t>Romlie</w:t>
      </w:r>
      <w:proofErr w:type="spellEnd"/>
      <w:r w:rsidR="000A5C13" w:rsidRPr="00561499">
        <w:rPr>
          <w:rFonts w:eastAsia="Times New Roman" w:cs="Arial"/>
          <w:lang w:eastAsia="en-AU"/>
        </w:rPr>
        <w:t xml:space="preserve"> </w:t>
      </w:r>
      <w:proofErr w:type="spellStart"/>
      <w:r w:rsidR="000A5C13" w:rsidRPr="00561499">
        <w:rPr>
          <w:rFonts w:eastAsia="Times New Roman" w:cs="Arial"/>
          <w:lang w:eastAsia="en-AU"/>
        </w:rPr>
        <w:t>Mokak</w:t>
      </w:r>
      <w:proofErr w:type="spellEnd"/>
      <w:r w:rsidR="000A5C13" w:rsidRPr="00561499">
        <w:rPr>
          <w:rFonts w:eastAsia="Times New Roman" w:cs="Arial"/>
          <w:lang w:eastAsia="en-AU"/>
        </w:rPr>
        <w:t>,</w:t>
      </w:r>
      <w:r w:rsidRPr="00561499">
        <w:rPr>
          <w:rFonts w:eastAsia="Times New Roman" w:cs="Arial"/>
          <w:lang w:eastAsia="en-AU"/>
        </w:rPr>
        <w:t xml:space="preserve"> launched the </w:t>
      </w:r>
      <w:r w:rsidRPr="007653DD">
        <w:rPr>
          <w:rStyle w:val="Emphasis"/>
        </w:rPr>
        <w:t>National Aboriginal and Torres Strait Island</w:t>
      </w:r>
      <w:r w:rsidR="0028289A" w:rsidRPr="007653DD">
        <w:rPr>
          <w:rStyle w:val="Emphasis"/>
        </w:rPr>
        <w:t>er</w:t>
      </w:r>
      <w:r w:rsidRPr="007653DD">
        <w:rPr>
          <w:rStyle w:val="Emphasis"/>
        </w:rPr>
        <w:t xml:space="preserve"> Health Implementation Plan</w:t>
      </w:r>
      <w:r w:rsidRPr="00561499">
        <w:rPr>
          <w:rFonts w:eastAsia="Times New Roman" w:cs="Arial"/>
          <w:lang w:eastAsia="en-AU"/>
        </w:rPr>
        <w:t xml:space="preserve">. </w:t>
      </w:r>
      <w:r w:rsidR="004C4C0D" w:rsidRPr="00561499">
        <w:rPr>
          <w:rFonts w:eastAsia="Times New Roman" w:cs="Arial"/>
          <w:lang w:eastAsia="en-AU"/>
        </w:rPr>
        <w:t xml:space="preserve">The Campaign </w:t>
      </w:r>
      <w:r w:rsidR="00713DC8" w:rsidRPr="00561499">
        <w:rPr>
          <w:rFonts w:eastAsia="Times New Roman" w:cs="Arial"/>
          <w:lang w:eastAsia="en-AU"/>
        </w:rPr>
        <w:t xml:space="preserve">Steering Committee </w:t>
      </w:r>
      <w:r w:rsidR="004C4C0D" w:rsidRPr="00561499">
        <w:rPr>
          <w:rFonts w:eastAsia="Times New Roman" w:cs="Arial"/>
          <w:lang w:eastAsia="en-AU"/>
        </w:rPr>
        <w:t xml:space="preserve">considers the work in partnership between the </w:t>
      </w:r>
      <w:proofErr w:type="spellStart"/>
      <w:r w:rsidR="004C4C0D" w:rsidRPr="00561499">
        <w:rPr>
          <w:rFonts w:eastAsia="Times New Roman" w:cs="Arial"/>
          <w:lang w:eastAsia="en-AU"/>
        </w:rPr>
        <w:t>NHLF</w:t>
      </w:r>
      <w:proofErr w:type="spellEnd"/>
      <w:r w:rsidR="004C4C0D" w:rsidRPr="00561499">
        <w:rPr>
          <w:rFonts w:eastAsia="Times New Roman" w:cs="Arial"/>
          <w:lang w:eastAsia="en-AU"/>
        </w:rPr>
        <w:t xml:space="preserve"> and the previous two governments in the development of the Health Plan and the </w:t>
      </w:r>
      <w:r w:rsidR="0028289A" w:rsidRPr="00561499">
        <w:rPr>
          <w:rFonts w:eastAsia="Times New Roman" w:cs="Arial"/>
          <w:lang w:eastAsia="en-AU"/>
        </w:rPr>
        <w:t>Implementation Plan is</w:t>
      </w:r>
      <w:r w:rsidR="004C4C0D" w:rsidRPr="00561499">
        <w:rPr>
          <w:rFonts w:eastAsia="Times New Roman" w:cs="Arial"/>
          <w:lang w:eastAsia="en-AU"/>
        </w:rPr>
        <w:t xml:space="preserve"> a </w:t>
      </w:r>
      <w:r w:rsidR="000E6D9A" w:rsidRPr="00561499">
        <w:rPr>
          <w:rFonts w:eastAsia="Times New Roman" w:cs="Arial"/>
          <w:lang w:eastAsia="en-AU"/>
        </w:rPr>
        <w:t>good model for policy development in this space.</w:t>
      </w:r>
    </w:p>
    <w:p w14:paraId="783761E2" w14:textId="77777777" w:rsidR="00C8247F" w:rsidRPr="00C8247F" w:rsidRDefault="00C8247F" w:rsidP="00C8247F">
      <w:pPr>
        <w:rPr>
          <w:lang w:eastAsia="en-AU"/>
        </w:rPr>
      </w:pPr>
    </w:p>
    <w:p w14:paraId="52045939" w14:textId="0BDFB91A" w:rsidR="00C86B5A" w:rsidRDefault="00C86B5A">
      <w:pPr>
        <w:keepLines w:val="0"/>
        <w:widowControl/>
        <w:spacing w:after="0" w:line="240" w:lineRule="auto"/>
      </w:pPr>
      <w:r>
        <w:br w:type="page"/>
      </w:r>
    </w:p>
    <w:p w14:paraId="20CCC24F" w14:textId="77777777" w:rsidR="00C86B5A" w:rsidRPr="003D07C5" w:rsidRDefault="00C86B5A" w:rsidP="00E1732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227" w:type="dxa"/>
          <w:bottom w:w="227" w:type="dxa"/>
          <w:right w:w="227" w:type="dxa"/>
        </w:tblCellMar>
        <w:tblLook w:val="04A0" w:firstRow="1" w:lastRow="0" w:firstColumn="1" w:lastColumn="0" w:noHBand="0" w:noVBand="1"/>
      </w:tblPr>
      <w:tblGrid>
        <w:gridCol w:w="9286"/>
      </w:tblGrid>
      <w:tr w:rsidR="00E17323" w:rsidRPr="00F82562" w14:paraId="31A41B0B" w14:textId="77777777" w:rsidTr="0025143E">
        <w:tc>
          <w:tcPr>
            <w:tcW w:w="9286" w:type="dxa"/>
            <w:shd w:val="clear" w:color="auto" w:fill="F2F2F2" w:themeFill="background1" w:themeFillShade="F2"/>
          </w:tcPr>
          <w:p w14:paraId="347E3871" w14:textId="77777777" w:rsidR="00E17323" w:rsidRPr="00D954AF" w:rsidRDefault="00E17323" w:rsidP="00E17323">
            <w:pPr>
              <w:pStyle w:val="PullQuote"/>
            </w:pPr>
            <w:r w:rsidRPr="00D954AF">
              <w:t>‘The Government, through Minister Nash, has worked in genuine partnership with Aboriginal and Torres Strait Islander people to develop an effective plan for achieving better health outcomes for our people…From here, we must all ensure implementation of the plan, including addressing the wider social and cultural determinants of health and wellbeing.’</w:t>
            </w:r>
          </w:p>
          <w:p w14:paraId="4D6187D0" w14:textId="6948114D" w:rsidR="00E17323" w:rsidRPr="00E17323" w:rsidRDefault="00E17323" w:rsidP="00E17323">
            <w:pPr>
              <w:pStyle w:val="PullQuoteCredit"/>
              <w:rPr>
                <w:rStyle w:val="Strong"/>
                <w:b/>
                <w:bCs w:val="0"/>
              </w:rPr>
            </w:pPr>
            <w:proofErr w:type="spellStart"/>
            <w:r w:rsidRPr="00E17323">
              <w:rPr>
                <w:rStyle w:val="Strong"/>
                <w:b/>
              </w:rPr>
              <w:t>Romlie</w:t>
            </w:r>
            <w:proofErr w:type="spellEnd"/>
            <w:r w:rsidRPr="00E17323">
              <w:rPr>
                <w:rStyle w:val="Strong"/>
                <w:b/>
              </w:rPr>
              <w:t xml:space="preserve"> </w:t>
            </w:r>
            <w:proofErr w:type="spellStart"/>
            <w:r w:rsidRPr="00E17323">
              <w:rPr>
                <w:rStyle w:val="Strong"/>
                <w:b/>
              </w:rPr>
              <w:t>Mokak</w:t>
            </w:r>
            <w:proofErr w:type="spellEnd"/>
            <w:r w:rsidRPr="00E17323">
              <w:rPr>
                <w:rStyle w:val="Strong"/>
                <w:b/>
              </w:rPr>
              <w:t>, Chair, National Health Leadership Forum</w:t>
            </w:r>
          </w:p>
        </w:tc>
      </w:tr>
    </w:tbl>
    <w:p w14:paraId="72BCD226" w14:textId="77777777" w:rsidR="00E17323" w:rsidRDefault="00E17323" w:rsidP="00096CE8">
      <w:pPr>
        <w:rPr>
          <w:rFonts w:eastAsia="Times New Roman" w:cs="Arial"/>
          <w:lang w:eastAsia="en-AU"/>
        </w:rPr>
      </w:pPr>
    </w:p>
    <w:p w14:paraId="086C0D8E" w14:textId="77777777" w:rsidR="00221769" w:rsidRPr="00561499" w:rsidRDefault="00221769" w:rsidP="00266620">
      <w:pPr>
        <w:rPr>
          <w:rFonts w:eastAsia="Times New Roman" w:cs="Arial"/>
          <w:color w:val="000000" w:themeColor="text1"/>
          <w:lang w:eastAsia="en-AU"/>
        </w:rPr>
      </w:pPr>
      <w:r w:rsidRPr="00561499">
        <w:rPr>
          <w:rFonts w:eastAsia="Times New Roman" w:cs="Arial"/>
          <w:color w:val="000000" w:themeColor="text1"/>
          <w:lang w:eastAsia="en-AU"/>
        </w:rPr>
        <w:t>Looking forward, the Campaign</w:t>
      </w:r>
      <w:r w:rsidR="00631D21" w:rsidRPr="00561499">
        <w:rPr>
          <w:rFonts w:eastAsia="Times New Roman" w:cs="Arial"/>
          <w:color w:val="000000" w:themeColor="text1"/>
          <w:lang w:eastAsia="en-AU"/>
        </w:rPr>
        <w:t xml:space="preserve"> Steering Committee</w:t>
      </w:r>
      <w:r w:rsidRPr="00561499">
        <w:rPr>
          <w:rFonts w:eastAsia="Times New Roman" w:cs="Arial"/>
          <w:color w:val="000000" w:themeColor="text1"/>
          <w:lang w:eastAsia="en-AU"/>
        </w:rPr>
        <w:t xml:space="preserve"> identify the following as challenges in the ongoing implementation process:</w:t>
      </w:r>
    </w:p>
    <w:p w14:paraId="3450A501" w14:textId="071AA39F" w:rsidR="00221769" w:rsidRPr="00561499" w:rsidRDefault="00221769" w:rsidP="000B2FD5">
      <w:pPr>
        <w:pStyle w:val="ListParagraph"/>
        <w:numPr>
          <w:ilvl w:val="0"/>
          <w:numId w:val="22"/>
        </w:numPr>
        <w:spacing w:before="120"/>
        <w:contextualSpacing w:val="0"/>
      </w:pPr>
      <w:r w:rsidRPr="007653DD">
        <w:rPr>
          <w:b/>
        </w:rPr>
        <w:t>Identifying areas with relatively poor health and not enough services</w:t>
      </w:r>
      <w:r w:rsidRPr="00561499">
        <w:t xml:space="preserve">. This is in order to make capacity building of services in those areas a priority. This includes for </w:t>
      </w:r>
      <w:proofErr w:type="spellStart"/>
      <w:r w:rsidRPr="00561499">
        <w:t>ACCHOs</w:t>
      </w:r>
      <w:proofErr w:type="spellEnd"/>
      <w:r w:rsidRPr="00561499">
        <w:t xml:space="preserve"> that, as highlighted above, </w:t>
      </w:r>
      <w:r w:rsidR="00C75B44" w:rsidRPr="00561499">
        <w:t xml:space="preserve">service gaps for mothers and babies, </w:t>
      </w:r>
      <w:r w:rsidRPr="00561499">
        <w:t xml:space="preserve">mental health, chronic disease </w:t>
      </w:r>
      <w:r w:rsidR="00C75B44" w:rsidRPr="00561499">
        <w:t>and</w:t>
      </w:r>
      <w:r w:rsidR="000B2FD5" w:rsidRPr="00561499">
        <w:t xml:space="preserve"> youth, drug and alcohol.</w:t>
      </w:r>
    </w:p>
    <w:p w14:paraId="14D6D57B" w14:textId="6491A680" w:rsidR="00221769" w:rsidRPr="00561499" w:rsidRDefault="00221769" w:rsidP="0023765F">
      <w:pPr>
        <w:pStyle w:val="ListParagraph"/>
        <w:numPr>
          <w:ilvl w:val="0"/>
          <w:numId w:val="22"/>
        </w:numPr>
        <w:spacing w:before="120"/>
        <w:ind w:left="714" w:hanging="357"/>
        <w:contextualSpacing w:val="0"/>
      </w:pPr>
      <w:r w:rsidRPr="00561499">
        <w:t>Defining the core services and associated workforce and funding strategies needed to close the gap. Once in place, there is a need to (a) develop the right funding models to support the services and (b) focus on education and training of the health workforce to meet the additional service needs including across all p</w:t>
      </w:r>
      <w:r w:rsidR="001009B1">
        <w:t xml:space="preserve">rofessions and </w:t>
      </w:r>
      <w:proofErr w:type="spellStart"/>
      <w:r w:rsidR="001009B1">
        <w:t>specialisations</w:t>
      </w:r>
      <w:proofErr w:type="spellEnd"/>
      <w:r w:rsidR="001009B1">
        <w:t>.</w:t>
      </w:r>
    </w:p>
    <w:p w14:paraId="10C8996B" w14:textId="77777777" w:rsidR="00221769" w:rsidRPr="00561499" w:rsidRDefault="00221769" w:rsidP="0023765F">
      <w:pPr>
        <w:pStyle w:val="ListParagraph"/>
        <w:numPr>
          <w:ilvl w:val="0"/>
          <w:numId w:val="22"/>
        </w:numPr>
        <w:spacing w:before="120"/>
        <w:ind w:left="714" w:hanging="357"/>
        <w:contextualSpacing w:val="0"/>
      </w:pPr>
      <w:r w:rsidRPr="00561499">
        <w:t>Continuous Quality Improvement (</w:t>
      </w:r>
      <w:proofErr w:type="spellStart"/>
      <w:r w:rsidRPr="00561499">
        <w:t>CQI</w:t>
      </w:r>
      <w:proofErr w:type="spellEnd"/>
      <w:r w:rsidRPr="00561499">
        <w:t xml:space="preserve">) processes. Getting everyone, and all services involved, to understand and implement </w:t>
      </w:r>
      <w:proofErr w:type="spellStart"/>
      <w:r w:rsidRPr="00561499">
        <w:t>CQI</w:t>
      </w:r>
      <w:proofErr w:type="spellEnd"/>
      <w:r w:rsidRPr="00561499">
        <w:t xml:space="preserve"> within the above service model development and refinement process.</w:t>
      </w:r>
    </w:p>
    <w:p w14:paraId="7AB24727" w14:textId="77777777" w:rsidR="00221769" w:rsidRPr="00561499" w:rsidRDefault="00221769" w:rsidP="000B2FD5">
      <w:pPr>
        <w:pStyle w:val="ListParagraph"/>
        <w:numPr>
          <w:ilvl w:val="0"/>
          <w:numId w:val="22"/>
        </w:numPr>
        <w:spacing w:before="120"/>
        <w:contextualSpacing w:val="0"/>
      </w:pPr>
      <w:r w:rsidRPr="00561499">
        <w:t xml:space="preserve">Improving management and information processes. Ensuring </w:t>
      </w:r>
      <w:proofErr w:type="spellStart"/>
      <w:r w:rsidRPr="00561499">
        <w:t>eHealth</w:t>
      </w:r>
      <w:proofErr w:type="spellEnd"/>
      <w:r w:rsidRPr="00561499">
        <w:t xml:space="preserve"> technology is used in an equitable and needs based fashion to support</w:t>
      </w:r>
      <w:r w:rsidR="000B2FD5" w:rsidRPr="00561499">
        <w:t xml:space="preserve"> the monitoring and improvement of quality and</w:t>
      </w:r>
      <w:r w:rsidRPr="00561499">
        <w:t xml:space="preserve"> continuity of care for clients as they transition across the health system.</w:t>
      </w:r>
    </w:p>
    <w:p w14:paraId="030C7E82" w14:textId="132CCCD3" w:rsidR="00221769" w:rsidRPr="00D954AF" w:rsidRDefault="00221769" w:rsidP="00266620">
      <w:pPr>
        <w:shd w:val="clear" w:color="auto" w:fill="FFFFFF"/>
        <w:rPr>
          <w:rFonts w:cs="Arial"/>
          <w:color w:val="000000" w:themeColor="text1"/>
          <w:szCs w:val="24"/>
        </w:rPr>
      </w:pPr>
      <w:r w:rsidRPr="00D954AF">
        <w:rPr>
          <w:rFonts w:eastAsia="Times New Roman" w:cs="Arial"/>
          <w:color w:val="000000" w:themeColor="text1"/>
          <w:szCs w:val="24"/>
          <w:lang w:eastAsia="en-AU"/>
        </w:rPr>
        <w:lastRenderedPageBreak/>
        <w:t xml:space="preserve">A further critical challenge is to develop an appropriate set of targets to support achieving health equality. The Campaign </w:t>
      </w:r>
      <w:r w:rsidR="000D7EE0" w:rsidRPr="00D954AF">
        <w:rPr>
          <w:rFonts w:eastAsia="Times New Roman" w:cs="Arial"/>
          <w:color w:val="000000" w:themeColor="text1"/>
          <w:szCs w:val="24"/>
          <w:lang w:eastAsia="en-AU"/>
        </w:rPr>
        <w:t xml:space="preserve">Steering Committee </w:t>
      </w:r>
      <w:r w:rsidRPr="00D954AF">
        <w:rPr>
          <w:rFonts w:eastAsia="Times New Roman" w:cs="Arial"/>
          <w:color w:val="000000" w:themeColor="text1"/>
          <w:szCs w:val="24"/>
          <w:lang w:eastAsia="en-AU"/>
        </w:rPr>
        <w:t>ha</w:t>
      </w:r>
      <w:r w:rsidR="000D7EE0" w:rsidRPr="00D954AF">
        <w:rPr>
          <w:rFonts w:eastAsia="Times New Roman" w:cs="Arial"/>
          <w:color w:val="000000" w:themeColor="text1"/>
          <w:szCs w:val="24"/>
          <w:lang w:eastAsia="en-AU"/>
        </w:rPr>
        <w:t>s</w:t>
      </w:r>
      <w:r w:rsidRPr="00D954AF">
        <w:rPr>
          <w:rFonts w:eastAsia="Times New Roman" w:cs="Arial"/>
          <w:color w:val="000000" w:themeColor="text1"/>
          <w:szCs w:val="24"/>
          <w:lang w:eastAsia="en-AU"/>
        </w:rPr>
        <w:t xml:space="preserve"> consistently supported the use of targets in the national effort to close the gap, noting that their use is a hallmark of the human rights</w:t>
      </w:r>
      <w:r w:rsidR="000A399D" w:rsidRPr="00D954AF">
        <w:rPr>
          <w:rFonts w:eastAsia="Times New Roman" w:cs="Arial"/>
          <w:color w:val="000000" w:themeColor="text1"/>
          <w:szCs w:val="24"/>
          <w:lang w:eastAsia="en-AU"/>
        </w:rPr>
        <w:t>-based</w:t>
      </w:r>
      <w:r w:rsidRPr="00D954AF">
        <w:rPr>
          <w:rFonts w:eastAsia="Times New Roman" w:cs="Arial"/>
          <w:color w:val="000000" w:themeColor="text1"/>
          <w:szCs w:val="24"/>
          <w:lang w:eastAsia="en-AU"/>
        </w:rPr>
        <w:t xml:space="preserve"> approach to eradicating poverty and inequality. To that end, the Campaign </w:t>
      </w:r>
      <w:r w:rsidR="000D7EE0" w:rsidRPr="00D954AF">
        <w:rPr>
          <w:rFonts w:eastAsia="Times New Roman" w:cs="Arial"/>
          <w:color w:val="000000" w:themeColor="text1"/>
          <w:szCs w:val="24"/>
          <w:lang w:eastAsia="en-AU"/>
        </w:rPr>
        <w:t xml:space="preserve">Steering Committee </w:t>
      </w:r>
      <w:r w:rsidRPr="00D954AF">
        <w:rPr>
          <w:rFonts w:eastAsia="Times New Roman" w:cs="Arial"/>
          <w:color w:val="000000" w:themeColor="text1"/>
          <w:szCs w:val="24"/>
          <w:lang w:eastAsia="en-AU"/>
        </w:rPr>
        <w:t xml:space="preserve">developed the 2008 </w:t>
      </w:r>
      <w:r w:rsidRPr="00D954AF">
        <w:rPr>
          <w:rStyle w:val="Emphasis"/>
          <w:szCs w:val="24"/>
        </w:rPr>
        <w:t>National Indigenous Health Equality Targets</w:t>
      </w:r>
      <w:r w:rsidRPr="00D954AF">
        <w:rPr>
          <w:rFonts w:eastAsia="Times New Roman" w:cs="Arial"/>
          <w:color w:val="000000" w:themeColor="text1"/>
          <w:szCs w:val="24"/>
          <w:lang w:eastAsia="en-AU"/>
        </w:rPr>
        <w:t>;</w:t>
      </w:r>
      <w:r w:rsidRPr="00D954AF">
        <w:rPr>
          <w:rStyle w:val="EndnoteReference"/>
          <w:rFonts w:eastAsia="Times New Roman" w:cs="Arial"/>
          <w:color w:val="000000" w:themeColor="text1"/>
          <w:szCs w:val="24"/>
          <w:lang w:eastAsia="en-AU"/>
        </w:rPr>
        <w:endnoteReference w:id="208"/>
      </w:r>
      <w:r w:rsidRPr="00D954AF">
        <w:rPr>
          <w:rFonts w:eastAsia="Times New Roman" w:cs="Arial"/>
          <w:color w:val="000000" w:themeColor="text1"/>
          <w:szCs w:val="24"/>
          <w:lang w:eastAsia="en-AU"/>
        </w:rPr>
        <w:t xml:space="preserve"> and the </w:t>
      </w:r>
      <w:r w:rsidRPr="00D954AF">
        <w:rPr>
          <w:rStyle w:val="Emphasis"/>
          <w:szCs w:val="24"/>
        </w:rPr>
        <w:t>Close the Gap Statement of Intent</w:t>
      </w:r>
      <w:r w:rsidRPr="00D954AF">
        <w:rPr>
          <w:rFonts w:eastAsia="Times New Roman" w:cs="Arial"/>
          <w:i/>
          <w:color w:val="000000" w:themeColor="text1"/>
          <w:szCs w:val="24"/>
          <w:lang w:eastAsia="en-AU"/>
        </w:rPr>
        <w:t xml:space="preserve"> </w:t>
      </w:r>
      <w:r w:rsidRPr="00D954AF">
        <w:rPr>
          <w:rFonts w:eastAsia="Times New Roman" w:cs="Arial"/>
          <w:color w:val="000000" w:themeColor="text1"/>
          <w:szCs w:val="24"/>
          <w:lang w:eastAsia="en-AU"/>
        </w:rPr>
        <w:t xml:space="preserve">includes a commitment to </w:t>
      </w:r>
      <w:r w:rsidRPr="00D954AF">
        <w:rPr>
          <w:rFonts w:cs="Arial"/>
          <w:color w:val="000000" w:themeColor="text1"/>
          <w:szCs w:val="24"/>
        </w:rPr>
        <w:t xml:space="preserve">‘measure, monitor, and report on our joint efforts, in accordance with benchmarks and targets, to ensure that we are progressively </w:t>
      </w:r>
      <w:proofErr w:type="spellStart"/>
      <w:r w:rsidRPr="00D954AF">
        <w:rPr>
          <w:rFonts w:cs="Arial"/>
          <w:color w:val="000000" w:themeColor="text1"/>
          <w:szCs w:val="24"/>
        </w:rPr>
        <w:t>r</w:t>
      </w:r>
      <w:r w:rsidR="00096CE8" w:rsidRPr="00D954AF">
        <w:rPr>
          <w:rFonts w:cs="Arial"/>
          <w:color w:val="000000" w:themeColor="text1"/>
          <w:szCs w:val="24"/>
        </w:rPr>
        <w:t>ealising</w:t>
      </w:r>
      <w:proofErr w:type="spellEnd"/>
      <w:r w:rsidR="00096CE8" w:rsidRPr="00D954AF">
        <w:rPr>
          <w:rFonts w:cs="Arial"/>
          <w:color w:val="000000" w:themeColor="text1"/>
          <w:szCs w:val="24"/>
        </w:rPr>
        <w:t xml:space="preserve"> our shared ambitions’.</w:t>
      </w:r>
    </w:p>
    <w:p w14:paraId="5BF1B588" w14:textId="38BA789E" w:rsidR="00221769" w:rsidRPr="00D954AF" w:rsidRDefault="00221769" w:rsidP="00266620">
      <w:pPr>
        <w:shd w:val="clear" w:color="auto" w:fill="FFFFFF"/>
        <w:rPr>
          <w:rFonts w:eastAsia="Times New Roman" w:cs="Arial"/>
          <w:color w:val="000000" w:themeColor="text1"/>
          <w:szCs w:val="24"/>
          <w:lang w:eastAsia="en-AU"/>
        </w:rPr>
      </w:pPr>
      <w:r w:rsidRPr="00D954AF">
        <w:rPr>
          <w:rFonts w:eastAsia="Times New Roman" w:cs="Arial"/>
          <w:color w:val="000000" w:themeColor="text1"/>
          <w:szCs w:val="24"/>
          <w:lang w:eastAsia="en-AU"/>
        </w:rPr>
        <w:t>As discussed in this and previous Campaign reports, targets should not just measure outcomes, but should be used to back the increase in inputs needed to support the implementation of new service models and expansion of existing services. And such should in particular focus on health expenditure.</w:t>
      </w:r>
      <w:r w:rsidR="000B2FD5" w:rsidRPr="00D954AF">
        <w:rPr>
          <w:rFonts w:eastAsia="Times New Roman" w:cs="Arial"/>
          <w:color w:val="000000" w:themeColor="text1"/>
          <w:szCs w:val="24"/>
          <w:lang w:eastAsia="en-AU"/>
        </w:rPr>
        <w:t xml:space="preserve"> Targets for service capacity, workforce and funding in line need to be developed within twelve months.</w:t>
      </w:r>
    </w:p>
    <w:p w14:paraId="13167147" w14:textId="4B1D6AE6" w:rsidR="00221769" w:rsidRPr="00D954AF" w:rsidRDefault="00221769" w:rsidP="00266620">
      <w:pPr>
        <w:shd w:val="clear" w:color="auto" w:fill="FFFFFF"/>
        <w:rPr>
          <w:rFonts w:eastAsia="Times New Roman" w:cs="Arial"/>
          <w:color w:val="000000" w:themeColor="text1"/>
          <w:szCs w:val="24"/>
          <w:lang w:eastAsia="en-AU"/>
        </w:rPr>
      </w:pPr>
      <w:r w:rsidRPr="00D954AF">
        <w:rPr>
          <w:rFonts w:eastAsia="Times New Roman" w:cs="Arial"/>
          <w:color w:val="000000" w:themeColor="text1"/>
          <w:szCs w:val="24"/>
          <w:lang w:eastAsia="en-AU"/>
        </w:rPr>
        <w:t xml:space="preserve">There is also a need for public servants, administrators and clinicians to be trained to be provide the necessary skills to implement the </w:t>
      </w:r>
      <w:r w:rsidR="001009B1" w:rsidRPr="00D954AF">
        <w:rPr>
          <w:rStyle w:val="Emphasis"/>
          <w:szCs w:val="24"/>
        </w:rPr>
        <w:t xml:space="preserve">Implementation Plan for the </w:t>
      </w:r>
      <w:r w:rsidRPr="00D954AF">
        <w:rPr>
          <w:rStyle w:val="Emphasis"/>
          <w:szCs w:val="24"/>
        </w:rPr>
        <w:t>National Aboriginal and Torres Health Plan</w:t>
      </w:r>
      <w:r w:rsidRPr="00D954AF">
        <w:rPr>
          <w:rFonts w:eastAsia="Times New Roman" w:cs="Arial"/>
          <w:color w:val="000000" w:themeColor="text1"/>
          <w:szCs w:val="24"/>
          <w:lang w:eastAsia="en-AU"/>
        </w:rPr>
        <w:t>. This includes, but is not limited to, cultural respect training as discusse</w:t>
      </w:r>
      <w:r w:rsidR="00CC6863" w:rsidRPr="00D954AF">
        <w:rPr>
          <w:rFonts w:eastAsia="Times New Roman" w:cs="Arial"/>
          <w:color w:val="000000" w:themeColor="text1"/>
          <w:szCs w:val="24"/>
          <w:lang w:eastAsia="en-AU"/>
        </w:rPr>
        <w:t>d in Part 2 of this R</w:t>
      </w:r>
      <w:r w:rsidRPr="00D954AF">
        <w:rPr>
          <w:rFonts w:eastAsia="Times New Roman" w:cs="Arial"/>
          <w:color w:val="000000" w:themeColor="text1"/>
          <w:szCs w:val="24"/>
          <w:lang w:eastAsia="en-AU"/>
        </w:rPr>
        <w:t>eport. Also critical, is the employment of Aboriginal and Torres Strait Islander public servants, administrators and clinicians, including at the highest levels of the Department of Health, to help implement it.</w:t>
      </w:r>
    </w:p>
    <w:p w14:paraId="47EECC93" w14:textId="58C0BEF1" w:rsidR="00221769" w:rsidRPr="00043311" w:rsidRDefault="00043311" w:rsidP="00043311">
      <w:pPr>
        <w:pStyle w:val="Heading3"/>
      </w:pPr>
      <w:bookmarkStart w:id="19" w:name="_Toc315703412"/>
      <w:r>
        <w:t xml:space="preserve">3.3 </w:t>
      </w:r>
      <w:r w:rsidR="00221769" w:rsidRPr="00561499">
        <w:t xml:space="preserve">Primary Health Networks </w:t>
      </w:r>
      <w:r w:rsidR="00E60D1D" w:rsidRPr="00561499">
        <w:t>that support Community Controlled health</w:t>
      </w:r>
      <w:bookmarkEnd w:id="19"/>
    </w:p>
    <w:p w14:paraId="1CBB424C" w14:textId="7F27AB9E" w:rsidR="00221769" w:rsidRPr="00D954AF" w:rsidRDefault="00221769" w:rsidP="00266620">
      <w:pPr>
        <w:autoSpaceDE w:val="0"/>
        <w:autoSpaceDN w:val="0"/>
        <w:adjustRightInd w:val="0"/>
        <w:rPr>
          <w:rFonts w:eastAsia="MS Mincho" w:cs="MS Mincho"/>
          <w:color w:val="000000" w:themeColor="text1"/>
          <w:szCs w:val="24"/>
        </w:rPr>
      </w:pPr>
      <w:r w:rsidRPr="00D954AF">
        <w:rPr>
          <w:rFonts w:eastAsia="Times New Roman" w:cs="Times"/>
          <w:color w:val="000000" w:themeColor="text1"/>
          <w:szCs w:val="24"/>
        </w:rPr>
        <w:t>Australia’s health system has a history of weak coordination between primary health providers including GPs, pharmacists, nurses, al</w:t>
      </w:r>
      <w:r w:rsidR="00E60D1D" w:rsidRPr="00D954AF">
        <w:rPr>
          <w:rFonts w:eastAsia="Times New Roman" w:cs="Times"/>
          <w:color w:val="000000" w:themeColor="text1"/>
          <w:szCs w:val="24"/>
        </w:rPr>
        <w:t xml:space="preserve">lied health professionals, </w:t>
      </w:r>
      <w:proofErr w:type="spellStart"/>
      <w:r w:rsidR="00E60D1D" w:rsidRPr="00D954AF">
        <w:rPr>
          <w:rFonts w:eastAsia="Times New Roman" w:cs="Times"/>
          <w:color w:val="000000" w:themeColor="text1"/>
          <w:szCs w:val="24"/>
        </w:rPr>
        <w:t>ACCHO</w:t>
      </w:r>
      <w:r w:rsidRPr="00D954AF">
        <w:rPr>
          <w:rFonts w:eastAsia="Times New Roman" w:cs="Times"/>
          <w:color w:val="000000" w:themeColor="text1"/>
          <w:szCs w:val="24"/>
        </w:rPr>
        <w:t>s</w:t>
      </w:r>
      <w:proofErr w:type="spellEnd"/>
      <w:r w:rsidRPr="00D954AF">
        <w:rPr>
          <w:rFonts w:eastAsia="Times New Roman" w:cs="Times"/>
          <w:color w:val="000000" w:themeColor="text1"/>
          <w:szCs w:val="24"/>
        </w:rPr>
        <w:t xml:space="preserve">; and between primary health and secondary and acute health care. </w:t>
      </w:r>
      <w:r w:rsidRPr="00D954AF">
        <w:rPr>
          <w:rFonts w:eastAsia="MS Mincho" w:cs="MS Mincho"/>
          <w:color w:val="000000" w:themeColor="text1"/>
          <w:szCs w:val="24"/>
        </w:rPr>
        <w:t>Such an uncoordinated approach has implications for the coordination of patient care,</w:t>
      </w:r>
      <w:r w:rsidRPr="00D954AF">
        <w:rPr>
          <w:rStyle w:val="EndnoteReference"/>
          <w:rFonts w:eastAsia="Times New Roman" w:cs="Times"/>
          <w:color w:val="000000" w:themeColor="text1"/>
          <w:szCs w:val="24"/>
        </w:rPr>
        <w:endnoteReference w:id="209"/>
      </w:r>
      <w:r w:rsidRPr="00D954AF">
        <w:rPr>
          <w:rFonts w:eastAsia="MS Mincho" w:cs="MS Mincho"/>
          <w:color w:val="000000" w:themeColor="text1"/>
          <w:szCs w:val="24"/>
        </w:rPr>
        <w:t xml:space="preserve"> which is particularly important for Aboriginal and Torres Strait Islander people with chronic disease. It also creates inefficiencies and waste across the health system as a whole: resources that could be better invested, including in Aboriginal and Torres Strait Islander health.</w:t>
      </w:r>
    </w:p>
    <w:p w14:paraId="13E42031" w14:textId="1AE2A037" w:rsidR="00221769" w:rsidRPr="00D954AF" w:rsidRDefault="00221769" w:rsidP="00266620">
      <w:pPr>
        <w:autoSpaceDE w:val="0"/>
        <w:autoSpaceDN w:val="0"/>
        <w:adjustRightInd w:val="0"/>
        <w:rPr>
          <w:rFonts w:eastAsia="Times New Roman" w:cs="Times"/>
          <w:color w:val="000000" w:themeColor="text1"/>
          <w:szCs w:val="24"/>
        </w:rPr>
      </w:pPr>
      <w:r w:rsidRPr="00D954AF">
        <w:rPr>
          <w:rFonts w:eastAsia="Times New Roman" w:cs="Times"/>
          <w:color w:val="000000" w:themeColor="text1"/>
          <w:szCs w:val="24"/>
        </w:rPr>
        <w:t xml:space="preserve">Successive Australian governments have taken steps to rectify this. In the </w:t>
      </w:r>
      <w:proofErr w:type="spellStart"/>
      <w:r w:rsidRPr="00D954AF">
        <w:rPr>
          <w:rFonts w:eastAsia="Times New Roman" w:cs="Times"/>
          <w:color w:val="000000" w:themeColor="text1"/>
          <w:szCs w:val="24"/>
        </w:rPr>
        <w:t>1990s</w:t>
      </w:r>
      <w:proofErr w:type="spellEnd"/>
      <w:r w:rsidRPr="00D954AF">
        <w:rPr>
          <w:rFonts w:eastAsia="Times New Roman" w:cs="Times"/>
          <w:color w:val="000000" w:themeColor="text1"/>
          <w:szCs w:val="24"/>
        </w:rPr>
        <w:t>, 110 Divisions of General Practice were introduced to promote the better coordination of G</w:t>
      </w:r>
      <w:r w:rsidR="00992D4C" w:rsidRPr="00D954AF">
        <w:rPr>
          <w:rFonts w:eastAsia="Times New Roman" w:cs="Times"/>
          <w:color w:val="000000" w:themeColor="text1"/>
          <w:szCs w:val="24"/>
        </w:rPr>
        <w:t>Ps. These were replaced in 2011–</w:t>
      </w:r>
      <w:r w:rsidRPr="00D954AF">
        <w:rPr>
          <w:rFonts w:eastAsia="Times New Roman" w:cs="Times"/>
          <w:color w:val="000000" w:themeColor="text1"/>
          <w:szCs w:val="24"/>
        </w:rPr>
        <w:t xml:space="preserve">2012 by </w:t>
      </w:r>
      <w:r w:rsidRPr="00D954AF">
        <w:rPr>
          <w:rFonts w:eastAsia="Times New Roman" w:cs="Lucida Grande"/>
          <w:color w:val="000000" w:themeColor="text1"/>
          <w:szCs w:val="24"/>
        </w:rPr>
        <w:t>61 Medicare Locals focused on integration of services and joint Commonwealth and State government planning for service delivery and access.</w:t>
      </w:r>
      <w:r w:rsidRPr="00D954AF">
        <w:rPr>
          <w:rStyle w:val="EndnoteReference"/>
          <w:rFonts w:eastAsia="Times New Roman" w:cs="Lucida Grande"/>
          <w:color w:val="000000" w:themeColor="text1"/>
          <w:szCs w:val="24"/>
        </w:rPr>
        <w:endnoteReference w:id="210"/>
      </w:r>
    </w:p>
    <w:p w14:paraId="56652174" w14:textId="03292577" w:rsidR="00221769" w:rsidRPr="00561499" w:rsidRDefault="00221769" w:rsidP="00266620">
      <w:pPr>
        <w:autoSpaceDE w:val="0"/>
        <w:autoSpaceDN w:val="0"/>
        <w:adjustRightInd w:val="0"/>
        <w:rPr>
          <w:rFonts w:eastAsia="Times New Roman" w:cs="Lucida Grande"/>
          <w:color w:val="000000" w:themeColor="text1"/>
        </w:rPr>
      </w:pPr>
      <w:r w:rsidRPr="00561499">
        <w:rPr>
          <w:rFonts w:eastAsia="Times New Roman" w:cs="Lucida Grande"/>
          <w:color w:val="000000" w:themeColor="text1"/>
        </w:rPr>
        <w:lastRenderedPageBreak/>
        <w:t>Medicare Locals (</w:t>
      </w:r>
      <w:proofErr w:type="spellStart"/>
      <w:r w:rsidRPr="00561499">
        <w:rPr>
          <w:rFonts w:eastAsia="Times New Roman" w:cs="Lucida Grande"/>
          <w:color w:val="000000" w:themeColor="text1"/>
        </w:rPr>
        <w:t>MLs</w:t>
      </w:r>
      <w:proofErr w:type="spellEnd"/>
      <w:r w:rsidRPr="00561499">
        <w:rPr>
          <w:rFonts w:eastAsia="Times New Roman" w:cs="Lucida Grande"/>
          <w:color w:val="000000" w:themeColor="text1"/>
        </w:rPr>
        <w:t xml:space="preserve">) were non-profit companies that operated independently. They were designed to take an active role in identifying gaps in primary health care and developing strategies to meet these gaps including by partnerships and collaboration between health service providers in their area, including </w:t>
      </w:r>
      <w:proofErr w:type="spellStart"/>
      <w:r w:rsidRPr="00561499">
        <w:rPr>
          <w:rFonts w:eastAsia="Times New Roman" w:cs="Lucida Grande"/>
          <w:color w:val="000000" w:themeColor="text1"/>
        </w:rPr>
        <w:t>ACCH</w:t>
      </w:r>
      <w:r w:rsidR="00713DC8" w:rsidRPr="00561499">
        <w:rPr>
          <w:rFonts w:eastAsia="Times New Roman" w:cs="Lucida Grande"/>
          <w:color w:val="000000" w:themeColor="text1"/>
        </w:rPr>
        <w:t>O</w:t>
      </w:r>
      <w:r w:rsidRPr="00561499">
        <w:rPr>
          <w:rFonts w:eastAsia="Times New Roman" w:cs="Lucida Grande"/>
          <w:color w:val="000000" w:themeColor="text1"/>
        </w:rPr>
        <w:t>s</w:t>
      </w:r>
      <w:proofErr w:type="spellEnd"/>
      <w:r w:rsidRPr="00561499">
        <w:rPr>
          <w:rFonts w:eastAsia="Times New Roman" w:cs="Lucida Grande"/>
          <w:color w:val="000000" w:themeColor="text1"/>
        </w:rPr>
        <w:t>. A particular focus was to plan for and support local after hours GP services. They also worked closely with Local Hospital Networks (</w:t>
      </w:r>
      <w:proofErr w:type="spellStart"/>
      <w:r w:rsidRPr="00561499">
        <w:rPr>
          <w:rFonts w:eastAsia="Times New Roman" w:cs="Lucida Grande"/>
          <w:color w:val="000000" w:themeColor="text1"/>
        </w:rPr>
        <w:t>LHNs</w:t>
      </w:r>
      <w:proofErr w:type="spellEnd"/>
      <w:r w:rsidRPr="00561499">
        <w:rPr>
          <w:rFonts w:eastAsia="Times New Roman" w:cs="Lucida Grande"/>
          <w:color w:val="000000" w:themeColor="text1"/>
        </w:rPr>
        <w:t>) and aged care services for better patient transitions across the entire health care system.</w:t>
      </w:r>
    </w:p>
    <w:p w14:paraId="10D619CC" w14:textId="67AE0591" w:rsidR="00221769" w:rsidRPr="00561499" w:rsidRDefault="00221769" w:rsidP="00266620">
      <w:pPr>
        <w:autoSpaceDE w:val="0"/>
        <w:autoSpaceDN w:val="0"/>
        <w:adjustRightInd w:val="0"/>
        <w:rPr>
          <w:rFonts w:eastAsia="Times New Roman" w:cs="Lucida Grande"/>
          <w:color w:val="000000" w:themeColor="text1"/>
        </w:rPr>
      </w:pPr>
      <w:r w:rsidRPr="00561499">
        <w:rPr>
          <w:rFonts w:eastAsia="Times New Roman" w:cs="Lucida Grande"/>
          <w:color w:val="000000" w:themeColor="text1"/>
        </w:rPr>
        <w:t xml:space="preserve">In December 2013, the Australian Government announced a review into the </w:t>
      </w:r>
      <w:proofErr w:type="spellStart"/>
      <w:r w:rsidRPr="00561499">
        <w:rPr>
          <w:rFonts w:eastAsia="Times New Roman" w:cs="Lucida Grande"/>
          <w:color w:val="000000" w:themeColor="text1"/>
        </w:rPr>
        <w:t>MLs</w:t>
      </w:r>
      <w:proofErr w:type="spellEnd"/>
      <w:r w:rsidRPr="00561499">
        <w:rPr>
          <w:rFonts w:eastAsia="Times New Roman" w:cs="Lucida Grande"/>
          <w:color w:val="000000" w:themeColor="text1"/>
        </w:rPr>
        <w:t>. Reporting in March 2014, the Australian Government’s response to the review was announced in the 20</w:t>
      </w:r>
      <w:r w:rsidR="00992D4C" w:rsidRPr="00561499">
        <w:rPr>
          <w:rFonts w:eastAsia="Times New Roman" w:cs="Lucida Grande"/>
          <w:color w:val="000000" w:themeColor="text1"/>
        </w:rPr>
        <w:t>14–</w:t>
      </w:r>
      <w:r w:rsidR="00D954AF">
        <w:rPr>
          <w:rFonts w:eastAsia="Times New Roman" w:cs="Lucida Grande"/>
          <w:color w:val="000000" w:themeColor="text1"/>
        </w:rPr>
        <w:t xml:space="preserve">15 Budget: </w:t>
      </w:r>
      <w:proofErr w:type="spellStart"/>
      <w:r w:rsidRPr="00561499">
        <w:rPr>
          <w:rFonts w:eastAsia="Times New Roman" w:cs="Lucida Grande"/>
          <w:color w:val="000000" w:themeColor="text1"/>
        </w:rPr>
        <w:t>MLs</w:t>
      </w:r>
      <w:proofErr w:type="spellEnd"/>
      <w:r w:rsidRPr="00561499">
        <w:rPr>
          <w:rFonts w:eastAsia="Times New Roman" w:cs="Lucida Grande"/>
          <w:color w:val="000000" w:themeColor="text1"/>
        </w:rPr>
        <w:t xml:space="preserve"> would be replaced by Primary Health Networks (</w:t>
      </w:r>
      <w:proofErr w:type="spellStart"/>
      <w:r w:rsidRPr="00561499">
        <w:rPr>
          <w:rFonts w:eastAsia="Times New Roman" w:cs="Lucida Grande"/>
          <w:color w:val="000000" w:themeColor="text1"/>
        </w:rPr>
        <w:t>PHNs</w:t>
      </w:r>
      <w:proofErr w:type="spellEnd"/>
      <w:r w:rsidRPr="00561499">
        <w:rPr>
          <w:rFonts w:eastAsia="Times New Roman" w:cs="Lucida Grande"/>
          <w:color w:val="000000" w:themeColor="text1"/>
        </w:rPr>
        <w:t>).</w:t>
      </w:r>
    </w:p>
    <w:p w14:paraId="00A85FE9" w14:textId="77777777" w:rsidR="00221769" w:rsidRPr="00561499" w:rsidRDefault="00221769" w:rsidP="00266620">
      <w:pPr>
        <w:autoSpaceDE w:val="0"/>
        <w:autoSpaceDN w:val="0"/>
        <w:adjustRightInd w:val="0"/>
        <w:rPr>
          <w:rFonts w:eastAsia="Times New Roman" w:cs="Times"/>
          <w:color w:val="000000" w:themeColor="text1"/>
        </w:rPr>
      </w:pPr>
      <w:r w:rsidRPr="00561499">
        <w:rPr>
          <w:rFonts w:eastAsia="Times New Roman" w:cs="Times"/>
          <w:color w:val="000000" w:themeColor="text1"/>
        </w:rPr>
        <w:t xml:space="preserve">The </w:t>
      </w:r>
      <w:proofErr w:type="spellStart"/>
      <w:r w:rsidRPr="00561499">
        <w:rPr>
          <w:rFonts w:eastAsia="Times New Roman" w:cs="Times"/>
          <w:color w:val="000000" w:themeColor="text1"/>
        </w:rPr>
        <w:t>PHNs</w:t>
      </w:r>
      <w:proofErr w:type="spellEnd"/>
      <w:r w:rsidRPr="00561499">
        <w:rPr>
          <w:rFonts w:eastAsia="Times New Roman" w:cs="Times"/>
          <w:color w:val="000000" w:themeColor="text1"/>
        </w:rPr>
        <w:t xml:space="preserve"> will do broadly similar work to the Medicare Locals, but with some differences:</w:t>
      </w:r>
    </w:p>
    <w:p w14:paraId="5674207B" w14:textId="77777777" w:rsidR="00221769" w:rsidRPr="00D954AF" w:rsidRDefault="00221769" w:rsidP="0023765F">
      <w:pPr>
        <w:pStyle w:val="ListParagraph"/>
        <w:numPr>
          <w:ilvl w:val="0"/>
          <w:numId w:val="22"/>
        </w:numPr>
        <w:spacing w:before="120"/>
        <w:ind w:left="714" w:hanging="357"/>
        <w:contextualSpacing w:val="0"/>
        <w:rPr>
          <w:szCs w:val="24"/>
        </w:rPr>
      </w:pPr>
      <w:r w:rsidRPr="00D954AF">
        <w:rPr>
          <w:szCs w:val="24"/>
        </w:rPr>
        <w:t xml:space="preserve">There are about half the number of </w:t>
      </w:r>
      <w:proofErr w:type="spellStart"/>
      <w:r w:rsidRPr="00D954AF">
        <w:rPr>
          <w:szCs w:val="24"/>
        </w:rPr>
        <w:t>PHNs</w:t>
      </w:r>
      <w:proofErr w:type="spellEnd"/>
      <w:r w:rsidRPr="00D954AF">
        <w:rPr>
          <w:szCs w:val="24"/>
        </w:rPr>
        <w:t xml:space="preserve"> (31) when compared to </w:t>
      </w:r>
      <w:proofErr w:type="spellStart"/>
      <w:r w:rsidRPr="00D954AF">
        <w:rPr>
          <w:szCs w:val="24"/>
        </w:rPr>
        <w:t>MLs</w:t>
      </w:r>
      <w:proofErr w:type="spellEnd"/>
      <w:r w:rsidRPr="00D954AF">
        <w:rPr>
          <w:szCs w:val="24"/>
        </w:rPr>
        <w:t xml:space="preserve"> (61). As was the case with </w:t>
      </w:r>
      <w:proofErr w:type="spellStart"/>
      <w:r w:rsidRPr="00D954AF">
        <w:rPr>
          <w:szCs w:val="24"/>
        </w:rPr>
        <w:t>MLs</w:t>
      </w:r>
      <w:proofErr w:type="spellEnd"/>
      <w:r w:rsidRPr="00D954AF">
        <w:rPr>
          <w:szCs w:val="24"/>
        </w:rPr>
        <w:t xml:space="preserve">, some </w:t>
      </w:r>
      <w:proofErr w:type="spellStart"/>
      <w:r w:rsidRPr="00D954AF">
        <w:rPr>
          <w:szCs w:val="24"/>
        </w:rPr>
        <w:t>PHNs</w:t>
      </w:r>
      <w:proofErr w:type="spellEnd"/>
      <w:r w:rsidRPr="00D954AF">
        <w:rPr>
          <w:szCs w:val="24"/>
        </w:rPr>
        <w:t xml:space="preserve"> have enormous jurisdictions encompassing many Aboriginal and Torres Strai</w:t>
      </w:r>
      <w:r w:rsidR="00E60D1D" w:rsidRPr="00D954AF">
        <w:rPr>
          <w:szCs w:val="24"/>
        </w:rPr>
        <w:t xml:space="preserve">t Islander communities and </w:t>
      </w:r>
      <w:proofErr w:type="spellStart"/>
      <w:r w:rsidR="00E60D1D" w:rsidRPr="00D954AF">
        <w:rPr>
          <w:szCs w:val="24"/>
        </w:rPr>
        <w:t>ACCHO</w:t>
      </w:r>
      <w:r w:rsidRPr="00D954AF">
        <w:rPr>
          <w:szCs w:val="24"/>
        </w:rPr>
        <w:t>s</w:t>
      </w:r>
      <w:proofErr w:type="spellEnd"/>
      <w:r w:rsidRPr="00D954AF">
        <w:rPr>
          <w:szCs w:val="24"/>
        </w:rPr>
        <w:t>.</w:t>
      </w:r>
    </w:p>
    <w:p w14:paraId="400F0509" w14:textId="77777777" w:rsidR="00221769" w:rsidRPr="00D954AF" w:rsidRDefault="00221769" w:rsidP="0023765F">
      <w:pPr>
        <w:pStyle w:val="ListParagraph"/>
        <w:numPr>
          <w:ilvl w:val="0"/>
          <w:numId w:val="22"/>
        </w:numPr>
        <w:spacing w:before="120"/>
        <w:ind w:left="714" w:hanging="357"/>
        <w:contextualSpacing w:val="0"/>
        <w:rPr>
          <w:szCs w:val="24"/>
        </w:rPr>
      </w:pPr>
      <w:r w:rsidRPr="00D954AF">
        <w:rPr>
          <w:szCs w:val="24"/>
        </w:rPr>
        <w:t xml:space="preserve">The </w:t>
      </w:r>
      <w:proofErr w:type="spellStart"/>
      <w:r w:rsidRPr="00D954AF">
        <w:rPr>
          <w:szCs w:val="24"/>
        </w:rPr>
        <w:t>PHN</w:t>
      </w:r>
      <w:proofErr w:type="spellEnd"/>
      <w:r w:rsidRPr="00D954AF">
        <w:rPr>
          <w:szCs w:val="24"/>
        </w:rPr>
        <w:t xml:space="preserve"> jurisdictions are broadly </w:t>
      </w:r>
      <w:r w:rsidR="005C5D95" w:rsidRPr="00D954AF">
        <w:rPr>
          <w:szCs w:val="24"/>
        </w:rPr>
        <w:t xml:space="preserve">aligned with that of the </w:t>
      </w:r>
      <w:proofErr w:type="spellStart"/>
      <w:r w:rsidR="005C5D95" w:rsidRPr="00D954AF">
        <w:rPr>
          <w:szCs w:val="24"/>
        </w:rPr>
        <w:t>LHNs</w:t>
      </w:r>
      <w:proofErr w:type="spellEnd"/>
      <w:r w:rsidR="005C5D95" w:rsidRPr="00D954AF">
        <w:rPr>
          <w:szCs w:val="24"/>
        </w:rPr>
        <w:t>—</w:t>
      </w:r>
      <w:r w:rsidRPr="00D954AF">
        <w:rPr>
          <w:szCs w:val="24"/>
        </w:rPr>
        <w:t>these are responsible for hospital performance within their jurisdictions.</w:t>
      </w:r>
    </w:p>
    <w:p w14:paraId="268FABA2" w14:textId="113D8AFA" w:rsidR="00221769" w:rsidRPr="00D954AF" w:rsidRDefault="00221769" w:rsidP="00043311">
      <w:pPr>
        <w:pStyle w:val="ListParagraph"/>
        <w:numPr>
          <w:ilvl w:val="0"/>
          <w:numId w:val="22"/>
        </w:numPr>
        <w:spacing w:before="120"/>
        <w:ind w:left="714" w:hanging="357"/>
        <w:contextualSpacing w:val="0"/>
        <w:rPr>
          <w:rFonts w:eastAsia="Times New Roman" w:cs="Verdana"/>
          <w:color w:val="000000" w:themeColor="text1"/>
          <w:szCs w:val="24"/>
        </w:rPr>
      </w:pPr>
      <w:r w:rsidRPr="00D954AF">
        <w:rPr>
          <w:szCs w:val="24"/>
        </w:rPr>
        <w:t xml:space="preserve">Rather than directly providing services themselves, </w:t>
      </w:r>
      <w:proofErr w:type="spellStart"/>
      <w:r w:rsidRPr="00D954AF">
        <w:rPr>
          <w:szCs w:val="24"/>
        </w:rPr>
        <w:t>PHNs</w:t>
      </w:r>
      <w:proofErr w:type="spellEnd"/>
      <w:r w:rsidRPr="00D954AF">
        <w:rPr>
          <w:szCs w:val="24"/>
        </w:rPr>
        <w:t xml:space="preserve"> will primarily be commissioning </w:t>
      </w:r>
      <w:proofErr w:type="spellStart"/>
      <w:r w:rsidRPr="00D954AF">
        <w:rPr>
          <w:szCs w:val="24"/>
        </w:rPr>
        <w:t>organisations</w:t>
      </w:r>
      <w:proofErr w:type="spellEnd"/>
      <w:r w:rsidRPr="00D954AF">
        <w:rPr>
          <w:szCs w:val="24"/>
        </w:rPr>
        <w:t>, purchasing services in response to gaps and shortages.</w:t>
      </w:r>
      <w:r w:rsidRPr="00D954AF">
        <w:rPr>
          <w:rStyle w:val="EndnoteReference"/>
          <w:rFonts w:eastAsia="Times New Roman" w:cs="Lucida Grande"/>
          <w:color w:val="000000" w:themeColor="text1"/>
          <w:szCs w:val="24"/>
        </w:rPr>
        <w:endnoteReference w:id="211"/>
      </w:r>
      <w:r w:rsidRPr="00D954AF">
        <w:rPr>
          <w:szCs w:val="24"/>
        </w:rPr>
        <w:t xml:space="preserve"> Where it is not possible to purchase services due to market failure, with permission of the Commonwealth Department of Health, a </w:t>
      </w:r>
      <w:proofErr w:type="spellStart"/>
      <w:r w:rsidRPr="00D954AF">
        <w:rPr>
          <w:szCs w:val="24"/>
        </w:rPr>
        <w:t>PHN</w:t>
      </w:r>
      <w:proofErr w:type="spellEnd"/>
      <w:r w:rsidRPr="00D954AF">
        <w:rPr>
          <w:szCs w:val="24"/>
        </w:rPr>
        <w:t xml:space="preserve"> may provide services. </w:t>
      </w:r>
      <w:proofErr w:type="spellStart"/>
      <w:r w:rsidRPr="00D954AF">
        <w:rPr>
          <w:szCs w:val="24"/>
        </w:rPr>
        <w:t>PHNs</w:t>
      </w:r>
      <w:proofErr w:type="spellEnd"/>
      <w:r w:rsidRPr="00D954AF">
        <w:rPr>
          <w:szCs w:val="24"/>
        </w:rPr>
        <w:t xml:space="preserve"> may also provide some services for a short period as part of the transition from Medicare Locals.</w:t>
      </w:r>
      <w:r w:rsidRPr="00D954AF">
        <w:rPr>
          <w:rStyle w:val="EndnoteReference"/>
          <w:rFonts w:eastAsia="Times New Roman" w:cs="Lucida Grande"/>
          <w:color w:val="000000" w:themeColor="text1"/>
          <w:szCs w:val="24"/>
        </w:rPr>
        <w:endnoteReference w:id="212"/>
      </w:r>
    </w:p>
    <w:p w14:paraId="6420411F" w14:textId="1A1888A9" w:rsidR="00221769" w:rsidRPr="00D954AF" w:rsidRDefault="00221769" w:rsidP="00266620">
      <w:pPr>
        <w:autoSpaceDE w:val="0"/>
        <w:autoSpaceDN w:val="0"/>
        <w:adjustRightInd w:val="0"/>
        <w:rPr>
          <w:rStyle w:val="EndnoteReference"/>
          <w:rFonts w:eastAsia="Times New Roman" w:cs="Helvetica Neue"/>
          <w:color w:val="000000" w:themeColor="text1"/>
          <w:szCs w:val="24"/>
        </w:rPr>
      </w:pPr>
      <w:r w:rsidRPr="00D954AF">
        <w:rPr>
          <w:rFonts w:eastAsia="Times New Roman" w:cs="Times"/>
          <w:color w:val="000000" w:themeColor="text1"/>
          <w:szCs w:val="24"/>
        </w:rPr>
        <w:t xml:space="preserve">In July 2015, following a tender process </w:t>
      </w:r>
      <w:proofErr w:type="spellStart"/>
      <w:r w:rsidRPr="00D954AF">
        <w:rPr>
          <w:rFonts w:eastAsia="Times New Roman" w:cs="Times"/>
          <w:color w:val="000000" w:themeColor="text1"/>
          <w:szCs w:val="24"/>
        </w:rPr>
        <w:t>PHNs</w:t>
      </w:r>
      <w:proofErr w:type="spellEnd"/>
      <w:r w:rsidRPr="00D954AF">
        <w:rPr>
          <w:rFonts w:eastAsia="Times New Roman" w:cs="Times"/>
          <w:color w:val="000000" w:themeColor="text1"/>
          <w:szCs w:val="24"/>
        </w:rPr>
        <w:t xml:space="preserve"> began operating. </w:t>
      </w:r>
      <w:r w:rsidRPr="00D954AF">
        <w:rPr>
          <w:rFonts w:eastAsia="Times New Roman" w:cs="Helvetica Neue"/>
          <w:color w:val="000000" w:themeColor="text1"/>
          <w:szCs w:val="24"/>
        </w:rPr>
        <w:t xml:space="preserve">The majority of the successful bidders were either consortia of former </w:t>
      </w:r>
      <w:proofErr w:type="spellStart"/>
      <w:r w:rsidRPr="00D954AF">
        <w:rPr>
          <w:rFonts w:eastAsia="Times New Roman" w:cs="Helvetica Neue"/>
          <w:color w:val="000000" w:themeColor="text1"/>
          <w:szCs w:val="24"/>
        </w:rPr>
        <w:t>MLs</w:t>
      </w:r>
      <w:proofErr w:type="spellEnd"/>
      <w:r w:rsidRPr="00D954AF">
        <w:rPr>
          <w:rFonts w:eastAsia="Times New Roman" w:cs="Helvetica Neue"/>
          <w:color w:val="000000" w:themeColor="text1"/>
          <w:szCs w:val="24"/>
        </w:rPr>
        <w:t xml:space="preserve"> or have a ML as the lead applicant. In fact, in the ACT, Tasmania and Northern Territory Medicare Locals will simply have a name change to </w:t>
      </w:r>
      <w:proofErr w:type="spellStart"/>
      <w:r w:rsidRPr="00D954AF">
        <w:rPr>
          <w:rFonts w:eastAsia="Times New Roman" w:cs="Helvetica Neue"/>
          <w:color w:val="000000" w:themeColor="text1"/>
          <w:szCs w:val="24"/>
        </w:rPr>
        <w:t>PHN</w:t>
      </w:r>
      <w:proofErr w:type="spellEnd"/>
      <w:r w:rsidRPr="00D954AF">
        <w:rPr>
          <w:rFonts w:eastAsia="Times New Roman" w:cs="Helvetica Neue"/>
          <w:color w:val="000000" w:themeColor="text1"/>
          <w:szCs w:val="24"/>
        </w:rPr>
        <w:t xml:space="preserve">. In Queensland, several </w:t>
      </w:r>
      <w:proofErr w:type="spellStart"/>
      <w:r w:rsidRPr="00D954AF">
        <w:rPr>
          <w:rFonts w:eastAsia="Times New Roman" w:cs="Helvetica Neue"/>
          <w:color w:val="000000" w:themeColor="text1"/>
          <w:szCs w:val="24"/>
        </w:rPr>
        <w:t>PHNs</w:t>
      </w:r>
      <w:proofErr w:type="spellEnd"/>
      <w:r w:rsidRPr="00D954AF">
        <w:rPr>
          <w:rFonts w:eastAsia="Times New Roman" w:cs="Helvetica Neue"/>
          <w:color w:val="000000" w:themeColor="text1"/>
          <w:szCs w:val="24"/>
        </w:rPr>
        <w:t xml:space="preserve"> have been won by local Hospital and Health Services rather than </w:t>
      </w:r>
      <w:proofErr w:type="spellStart"/>
      <w:r w:rsidRPr="00D954AF">
        <w:rPr>
          <w:rFonts w:eastAsia="Times New Roman" w:cs="Helvetica Neue"/>
          <w:color w:val="000000" w:themeColor="text1"/>
          <w:szCs w:val="24"/>
        </w:rPr>
        <w:t>MLs</w:t>
      </w:r>
      <w:proofErr w:type="spellEnd"/>
      <w:r w:rsidRPr="00D954AF">
        <w:rPr>
          <w:rFonts w:eastAsia="Times New Roman" w:cs="Helvetica Neue"/>
          <w:color w:val="000000" w:themeColor="text1"/>
          <w:szCs w:val="24"/>
        </w:rPr>
        <w:t xml:space="preserve">, including Northern and Western Queensland </w:t>
      </w:r>
      <w:proofErr w:type="spellStart"/>
      <w:r w:rsidRPr="00D954AF">
        <w:rPr>
          <w:rFonts w:eastAsia="Times New Roman" w:cs="Helvetica Neue"/>
          <w:color w:val="000000" w:themeColor="text1"/>
          <w:szCs w:val="24"/>
        </w:rPr>
        <w:t>PHNs</w:t>
      </w:r>
      <w:proofErr w:type="spellEnd"/>
      <w:r w:rsidRPr="00D954AF">
        <w:rPr>
          <w:rFonts w:eastAsia="Times New Roman" w:cs="Helvetica Neue"/>
          <w:color w:val="000000" w:themeColor="text1"/>
          <w:szCs w:val="24"/>
        </w:rPr>
        <w:t>.</w:t>
      </w:r>
      <w:r w:rsidRPr="00D954AF">
        <w:rPr>
          <w:rStyle w:val="EndnoteReference"/>
          <w:rFonts w:eastAsia="Times New Roman" w:cs="Helvetica Neue"/>
          <w:color w:val="000000" w:themeColor="text1"/>
          <w:szCs w:val="24"/>
        </w:rPr>
        <w:endnoteReference w:id="213"/>
      </w:r>
    </w:p>
    <w:p w14:paraId="797E361C" w14:textId="640EF99E" w:rsidR="00221769" w:rsidRPr="00D954AF" w:rsidRDefault="00221769" w:rsidP="00043311">
      <w:pPr>
        <w:autoSpaceDE w:val="0"/>
        <w:autoSpaceDN w:val="0"/>
        <w:adjustRightInd w:val="0"/>
        <w:rPr>
          <w:rFonts w:eastAsia="Times New Roman" w:cs="Helvetica Neue"/>
          <w:color w:val="000000" w:themeColor="text1"/>
          <w:szCs w:val="24"/>
        </w:rPr>
      </w:pPr>
      <w:r w:rsidRPr="00D954AF">
        <w:rPr>
          <w:rFonts w:eastAsia="Times New Roman" w:cs="Helvetica Neue"/>
          <w:color w:val="000000" w:themeColor="text1"/>
          <w:szCs w:val="24"/>
        </w:rPr>
        <w:t>The</w:t>
      </w:r>
      <w:r w:rsidR="000A399D" w:rsidRPr="00D954AF">
        <w:rPr>
          <w:rFonts w:eastAsia="Times New Roman" w:cs="Helvetica Neue"/>
          <w:color w:val="000000" w:themeColor="text1"/>
          <w:szCs w:val="24"/>
        </w:rPr>
        <w:t xml:space="preserve"> Australian</w:t>
      </w:r>
      <w:r w:rsidRPr="00D954AF">
        <w:rPr>
          <w:rFonts w:eastAsia="Times New Roman" w:cs="Helvetica Neue"/>
          <w:color w:val="000000" w:themeColor="text1"/>
          <w:szCs w:val="24"/>
        </w:rPr>
        <w:t xml:space="preserve"> Government has set six priority areas for address by </w:t>
      </w:r>
      <w:proofErr w:type="spellStart"/>
      <w:r w:rsidRPr="00D954AF">
        <w:rPr>
          <w:rFonts w:eastAsia="Times New Roman" w:cs="Helvetica Neue"/>
          <w:color w:val="000000" w:themeColor="text1"/>
          <w:szCs w:val="24"/>
        </w:rPr>
        <w:t>PHNs</w:t>
      </w:r>
      <w:proofErr w:type="spellEnd"/>
      <w:r w:rsidRPr="00D954AF">
        <w:rPr>
          <w:rFonts w:eastAsia="Times New Roman" w:cs="Helvetica Neue"/>
          <w:color w:val="000000" w:themeColor="text1"/>
          <w:szCs w:val="24"/>
        </w:rPr>
        <w:t xml:space="preserve">: mental health, Aboriginal and Torres Strait Islander health, population health, health workforce, </w:t>
      </w:r>
      <w:proofErr w:type="spellStart"/>
      <w:r w:rsidRPr="00D954AF">
        <w:rPr>
          <w:rFonts w:eastAsia="Times New Roman" w:cs="Helvetica Neue"/>
          <w:color w:val="000000" w:themeColor="text1"/>
          <w:szCs w:val="24"/>
        </w:rPr>
        <w:t>eHealth</w:t>
      </w:r>
      <w:proofErr w:type="spellEnd"/>
      <w:r w:rsidRPr="00D954AF">
        <w:rPr>
          <w:rFonts w:eastAsia="Times New Roman" w:cs="Helvetica Neue"/>
          <w:color w:val="000000" w:themeColor="text1"/>
          <w:szCs w:val="24"/>
        </w:rPr>
        <w:t xml:space="preserve"> and aged care.</w:t>
      </w:r>
      <w:r w:rsidRPr="00D954AF">
        <w:rPr>
          <w:rStyle w:val="EndnoteReference"/>
          <w:color w:val="000000" w:themeColor="text1"/>
          <w:szCs w:val="24"/>
        </w:rPr>
        <w:endnoteReference w:id="214"/>
      </w:r>
    </w:p>
    <w:p w14:paraId="57781EBF" w14:textId="6AE77E2C" w:rsidR="00221769" w:rsidRPr="00D954AF" w:rsidRDefault="00221769" w:rsidP="00266620">
      <w:pPr>
        <w:autoSpaceDE w:val="0"/>
        <w:autoSpaceDN w:val="0"/>
        <w:adjustRightInd w:val="0"/>
        <w:rPr>
          <w:rFonts w:cs="Times"/>
          <w:color w:val="000000" w:themeColor="text1"/>
          <w:szCs w:val="24"/>
          <w:lang w:eastAsia="en-AU"/>
        </w:rPr>
      </w:pPr>
      <w:r w:rsidRPr="00D954AF">
        <w:rPr>
          <w:rFonts w:eastAsia="Times New Roman" w:cs="Helvetica Neue"/>
          <w:color w:val="000000" w:themeColor="text1"/>
          <w:szCs w:val="24"/>
        </w:rPr>
        <w:lastRenderedPageBreak/>
        <w:t xml:space="preserve">Certainly, </w:t>
      </w:r>
      <w:proofErr w:type="spellStart"/>
      <w:r w:rsidRPr="00D954AF">
        <w:rPr>
          <w:rFonts w:eastAsia="Times New Roman" w:cs="Helvetica Neue"/>
          <w:color w:val="000000" w:themeColor="text1"/>
          <w:szCs w:val="24"/>
        </w:rPr>
        <w:t>PHNs</w:t>
      </w:r>
      <w:proofErr w:type="spellEnd"/>
      <w:r w:rsidRPr="00D954AF">
        <w:rPr>
          <w:rFonts w:eastAsia="Times New Roman" w:cs="Helvetica Neue"/>
          <w:color w:val="000000" w:themeColor="text1"/>
          <w:szCs w:val="24"/>
        </w:rPr>
        <w:t xml:space="preserve"> have been placed at the </w:t>
      </w:r>
      <w:proofErr w:type="spellStart"/>
      <w:r w:rsidRPr="00D954AF">
        <w:rPr>
          <w:rFonts w:eastAsia="Times New Roman" w:cs="Helvetica Neue"/>
          <w:color w:val="000000" w:themeColor="text1"/>
          <w:szCs w:val="24"/>
        </w:rPr>
        <w:t>centre</w:t>
      </w:r>
      <w:proofErr w:type="spellEnd"/>
      <w:r w:rsidRPr="00D954AF">
        <w:rPr>
          <w:rFonts w:eastAsia="Times New Roman" w:cs="Helvetica Neue"/>
          <w:color w:val="000000" w:themeColor="text1"/>
          <w:szCs w:val="24"/>
        </w:rPr>
        <w:t xml:space="preserve"> of primary mental health care delivery. In November 2015, the </w:t>
      </w:r>
      <w:r w:rsidRPr="00D954AF">
        <w:rPr>
          <w:rFonts w:eastAsia="MS MinNew Roman"/>
          <w:color w:val="000000" w:themeColor="text1"/>
          <w:szCs w:val="24"/>
        </w:rPr>
        <w:t xml:space="preserve">Australian Government response to the National Review of Mental Health </w:t>
      </w:r>
      <w:proofErr w:type="spellStart"/>
      <w:r w:rsidRPr="00D954AF">
        <w:rPr>
          <w:rFonts w:eastAsia="MS MinNew Roman"/>
          <w:color w:val="000000" w:themeColor="text1"/>
          <w:szCs w:val="24"/>
        </w:rPr>
        <w:t>Programmes</w:t>
      </w:r>
      <w:proofErr w:type="spellEnd"/>
      <w:r w:rsidRPr="00D954AF">
        <w:rPr>
          <w:rFonts w:eastAsia="MS MinNew Roman"/>
          <w:color w:val="000000" w:themeColor="text1"/>
          <w:szCs w:val="24"/>
        </w:rPr>
        <w:t xml:space="preserve"> and Services was announced. A key element is the shift towards r</w:t>
      </w:r>
      <w:r w:rsidRPr="00D954AF">
        <w:rPr>
          <w:rFonts w:cs="Times"/>
          <w:color w:val="000000" w:themeColor="text1"/>
          <w:szCs w:val="24"/>
          <w:lang w:eastAsia="en-AU"/>
        </w:rPr>
        <w:t xml:space="preserve">egional mental health service integration by </w:t>
      </w:r>
      <w:proofErr w:type="spellStart"/>
      <w:r w:rsidRPr="00D954AF">
        <w:rPr>
          <w:rFonts w:cs="Times"/>
          <w:color w:val="000000" w:themeColor="text1"/>
          <w:szCs w:val="24"/>
          <w:lang w:eastAsia="en-AU"/>
        </w:rPr>
        <w:t>PHNs</w:t>
      </w:r>
      <w:proofErr w:type="spellEnd"/>
      <w:r w:rsidRPr="00D954AF">
        <w:rPr>
          <w:rFonts w:cs="Arial"/>
          <w:color w:val="000000" w:themeColor="text1"/>
          <w:szCs w:val="24"/>
          <w:lang w:eastAsia="en-AU"/>
        </w:rPr>
        <w:t>. In</w:t>
      </w:r>
      <w:r w:rsidRPr="00D954AF">
        <w:rPr>
          <w:rFonts w:cs="Times"/>
          <w:color w:val="000000" w:themeColor="text1"/>
          <w:szCs w:val="24"/>
          <w:lang w:eastAsia="en-AU"/>
        </w:rPr>
        <w:t xml:space="preserve"> addition to their wider responsibilities, </w:t>
      </w:r>
      <w:proofErr w:type="spellStart"/>
      <w:r w:rsidRPr="00D954AF">
        <w:rPr>
          <w:rFonts w:cs="Times"/>
          <w:color w:val="000000" w:themeColor="text1"/>
          <w:szCs w:val="24"/>
          <w:lang w:eastAsia="en-AU"/>
        </w:rPr>
        <w:t>PHNs</w:t>
      </w:r>
      <w:proofErr w:type="spellEnd"/>
      <w:r w:rsidRPr="00D954AF">
        <w:rPr>
          <w:rFonts w:cs="Times"/>
          <w:color w:val="000000" w:themeColor="text1"/>
          <w:szCs w:val="24"/>
          <w:lang w:eastAsia="en-AU"/>
        </w:rPr>
        <w:t xml:space="preserve"> will be responsible for mental health planning and integration, and the commissioning of services to meet needs gaps.</w:t>
      </w:r>
      <w:r w:rsidRPr="00D954AF">
        <w:rPr>
          <w:rFonts w:cs="Times"/>
          <w:color w:val="000000" w:themeColor="text1"/>
          <w:szCs w:val="24"/>
        </w:rPr>
        <w:t xml:space="preserve"> These activities will be guided by a </w:t>
      </w:r>
      <w:r w:rsidRPr="00D954AF">
        <w:rPr>
          <w:rStyle w:val="Emphasis"/>
          <w:szCs w:val="24"/>
        </w:rPr>
        <w:t>National Service Planning Framework</w:t>
      </w:r>
      <w:r w:rsidRPr="00D954AF">
        <w:rPr>
          <w:rFonts w:cs="Times"/>
          <w:color w:val="000000" w:themeColor="text1"/>
          <w:szCs w:val="24"/>
        </w:rPr>
        <w:t>, and stepped model of mental health care.</w:t>
      </w:r>
      <w:r w:rsidRPr="00D954AF">
        <w:rPr>
          <w:rStyle w:val="EndnoteReference"/>
          <w:rFonts w:eastAsia="MS MinNew Roman"/>
          <w:color w:val="000000" w:themeColor="text1"/>
          <w:szCs w:val="24"/>
        </w:rPr>
        <w:endnoteReference w:id="215"/>
      </w:r>
      <w:r w:rsidRPr="00D954AF">
        <w:rPr>
          <w:rFonts w:eastAsia="MS MinNew Roman"/>
          <w:color w:val="000000" w:themeColor="text1"/>
          <w:szCs w:val="24"/>
        </w:rPr>
        <w:t xml:space="preserve"> </w:t>
      </w:r>
      <w:r w:rsidRPr="00D954AF">
        <w:rPr>
          <w:rFonts w:cs="Times"/>
          <w:color w:val="000000" w:themeColor="text1"/>
          <w:szCs w:val="24"/>
        </w:rPr>
        <w:t xml:space="preserve">The </w:t>
      </w:r>
      <w:proofErr w:type="spellStart"/>
      <w:r w:rsidRPr="00D954AF">
        <w:rPr>
          <w:rFonts w:cs="Times"/>
          <w:color w:val="000000" w:themeColor="text1"/>
          <w:szCs w:val="24"/>
          <w:lang w:eastAsia="en-AU"/>
        </w:rPr>
        <w:t>PHNs</w:t>
      </w:r>
      <w:proofErr w:type="spellEnd"/>
      <w:r w:rsidRPr="00D954AF">
        <w:rPr>
          <w:rFonts w:cs="Times"/>
          <w:color w:val="000000" w:themeColor="text1"/>
          <w:szCs w:val="24"/>
          <w:lang w:eastAsia="en-AU"/>
        </w:rPr>
        <w:t xml:space="preserve"> are also required to prepare</w:t>
      </w:r>
      <w:r w:rsidRPr="00D954AF">
        <w:rPr>
          <w:rFonts w:cs="Arial"/>
          <w:color w:val="000000" w:themeColor="text1"/>
          <w:szCs w:val="24"/>
          <w:lang w:eastAsia="en-AU"/>
        </w:rPr>
        <w:t xml:space="preserve"> </w:t>
      </w:r>
      <w:r w:rsidRPr="00D954AF">
        <w:rPr>
          <w:rFonts w:cs="Times"/>
          <w:color w:val="000000" w:themeColor="text1"/>
          <w:szCs w:val="24"/>
          <w:lang w:eastAsia="en-AU"/>
        </w:rPr>
        <w:t>a mental health service plan for Aboriginal and Torres Strait Islander people</w:t>
      </w:r>
      <w:r w:rsidR="00A945FA" w:rsidRPr="00D954AF">
        <w:rPr>
          <w:rFonts w:cs="Times"/>
          <w:color w:val="000000" w:themeColor="text1"/>
          <w:szCs w:val="24"/>
          <w:lang w:eastAsia="en-AU"/>
        </w:rPr>
        <w:t>s</w:t>
      </w:r>
      <w:r w:rsidRPr="00D954AF">
        <w:rPr>
          <w:rFonts w:cs="Times"/>
          <w:color w:val="000000" w:themeColor="text1"/>
          <w:szCs w:val="24"/>
          <w:lang w:eastAsia="en-AU"/>
        </w:rPr>
        <w:t xml:space="preserve"> as a part of their overall responsibilities.</w:t>
      </w:r>
      <w:r w:rsidRPr="00D954AF">
        <w:rPr>
          <w:rStyle w:val="EndnoteReference"/>
          <w:color w:val="000000" w:themeColor="text1"/>
          <w:szCs w:val="24"/>
        </w:rPr>
        <w:endnoteReference w:id="216"/>
      </w:r>
    </w:p>
    <w:p w14:paraId="5DD44E47" w14:textId="16FFB5AB" w:rsidR="00221769" w:rsidRPr="00D954AF" w:rsidRDefault="00221769" w:rsidP="00266620">
      <w:pPr>
        <w:pStyle w:val="NormalWeb"/>
        <w:rPr>
          <w:rFonts w:ascii="Arial" w:eastAsia="Times New Roman" w:hAnsi="Arial"/>
          <w:color w:val="000000" w:themeColor="text1"/>
          <w:szCs w:val="24"/>
        </w:rPr>
      </w:pPr>
      <w:r w:rsidRPr="00D954AF">
        <w:rPr>
          <w:rFonts w:ascii="Arial" w:eastAsia="MS Minngs" w:hAnsi="Arial" w:cs="Times"/>
          <w:color w:val="000000" w:themeColor="text1"/>
          <w:kern w:val="2"/>
          <w:szCs w:val="24"/>
          <w:lang w:eastAsia="zh-CN"/>
        </w:rPr>
        <w:t xml:space="preserve">Further, in its response to the report of the National Ice Taskforce, </w:t>
      </w:r>
      <w:proofErr w:type="spellStart"/>
      <w:r w:rsidRPr="00D954AF">
        <w:rPr>
          <w:rFonts w:ascii="Arial" w:eastAsia="MS Minngs" w:hAnsi="Arial" w:cs="Times"/>
          <w:color w:val="000000" w:themeColor="text1"/>
          <w:kern w:val="2"/>
          <w:szCs w:val="24"/>
          <w:lang w:eastAsia="zh-CN"/>
        </w:rPr>
        <w:t>PHNs</w:t>
      </w:r>
      <w:proofErr w:type="spellEnd"/>
      <w:r w:rsidRPr="00D954AF">
        <w:rPr>
          <w:rFonts w:ascii="Arial" w:eastAsia="MS Minngs" w:hAnsi="Arial" w:cs="Times"/>
          <w:color w:val="000000" w:themeColor="text1"/>
          <w:kern w:val="2"/>
          <w:szCs w:val="24"/>
          <w:lang w:eastAsia="zh-CN"/>
        </w:rPr>
        <w:t xml:space="preserve"> were provided </w:t>
      </w:r>
      <w:r w:rsidRPr="00D954AF">
        <w:rPr>
          <w:rFonts w:ascii="Arial" w:eastAsia="Times New Roman" w:hAnsi="Arial"/>
          <w:color w:val="000000" w:themeColor="text1"/>
          <w:szCs w:val="24"/>
        </w:rPr>
        <w:t>about $240 million to commission treatment services, and to ensure local coordination and better patient management. This includes funding to support the delivery of Aboriginal and Torres Strait Islander-specific treatment services.</w:t>
      </w:r>
      <w:r w:rsidRPr="00D954AF">
        <w:rPr>
          <w:rStyle w:val="EndnoteReference"/>
          <w:rFonts w:eastAsia="Times New Roman"/>
          <w:color w:val="000000" w:themeColor="text1"/>
          <w:szCs w:val="24"/>
        </w:rPr>
        <w:endnoteReference w:id="217"/>
      </w:r>
      <w:bookmarkStart w:id="20" w:name="_Toc409788708"/>
    </w:p>
    <w:p w14:paraId="34CBD6A1" w14:textId="2196AA48" w:rsidR="00221769" w:rsidRPr="00D954AF" w:rsidRDefault="00551947" w:rsidP="000338E7">
      <w:pPr>
        <w:pStyle w:val="NormalWeb"/>
        <w:rPr>
          <w:rFonts w:ascii="Arial" w:eastAsia="Times New Roman" w:hAnsi="Arial"/>
          <w:color w:val="000000" w:themeColor="text1"/>
          <w:szCs w:val="24"/>
        </w:rPr>
      </w:pPr>
      <w:r w:rsidRPr="00D954AF">
        <w:rPr>
          <w:rFonts w:ascii="Arial" w:eastAsia="Times New Roman" w:hAnsi="Arial"/>
          <w:color w:val="000000" w:themeColor="text1"/>
          <w:szCs w:val="24"/>
        </w:rPr>
        <w:t xml:space="preserve">The </w:t>
      </w:r>
      <w:proofErr w:type="spellStart"/>
      <w:r w:rsidRPr="00D954AF">
        <w:rPr>
          <w:rFonts w:ascii="Arial" w:eastAsia="Times New Roman" w:hAnsi="Arial"/>
          <w:color w:val="000000" w:themeColor="text1"/>
          <w:szCs w:val="24"/>
        </w:rPr>
        <w:t>PHN’s</w:t>
      </w:r>
      <w:proofErr w:type="spellEnd"/>
      <w:r w:rsidRPr="00D954AF">
        <w:rPr>
          <w:rFonts w:ascii="Arial" w:eastAsia="Times New Roman" w:hAnsi="Arial"/>
          <w:color w:val="000000" w:themeColor="text1"/>
          <w:szCs w:val="24"/>
        </w:rPr>
        <w:t xml:space="preserve"> should ensure resources are applied in order to meet the nationally agreed policy targets to Close the Gap, and include identification of service gaps and demand, as well as cultural safety</w:t>
      </w:r>
      <w:r w:rsidR="005C0608" w:rsidRPr="00D954AF">
        <w:rPr>
          <w:rFonts w:ascii="Arial" w:eastAsia="Times New Roman" w:hAnsi="Arial"/>
          <w:color w:val="000000" w:themeColor="text1"/>
          <w:szCs w:val="24"/>
        </w:rPr>
        <w:t>,</w:t>
      </w:r>
      <w:r w:rsidRPr="00D954AF">
        <w:rPr>
          <w:rFonts w:ascii="Arial" w:eastAsia="Times New Roman" w:hAnsi="Arial"/>
          <w:color w:val="000000" w:themeColor="text1"/>
          <w:szCs w:val="24"/>
        </w:rPr>
        <w:t xml:space="preserve"> to this end. </w:t>
      </w:r>
      <w:r w:rsidR="00221769" w:rsidRPr="00D954AF">
        <w:rPr>
          <w:rFonts w:ascii="Arial" w:eastAsia="Times New Roman" w:hAnsi="Arial"/>
          <w:color w:val="000000" w:themeColor="text1"/>
          <w:szCs w:val="24"/>
        </w:rPr>
        <w:t>The Campaign Steering Committee</w:t>
      </w:r>
      <w:r w:rsidR="00E0727A" w:rsidRPr="00D954AF">
        <w:rPr>
          <w:rFonts w:ascii="Arial" w:eastAsia="Times New Roman" w:hAnsi="Arial"/>
          <w:color w:val="000000" w:themeColor="text1"/>
          <w:szCs w:val="24"/>
        </w:rPr>
        <w:t xml:space="preserve"> will monitor the </w:t>
      </w:r>
      <w:proofErr w:type="spellStart"/>
      <w:r w:rsidR="00E0727A" w:rsidRPr="00D954AF">
        <w:rPr>
          <w:rFonts w:ascii="Arial" w:eastAsia="Times New Roman" w:hAnsi="Arial"/>
          <w:color w:val="000000" w:themeColor="text1"/>
          <w:szCs w:val="24"/>
        </w:rPr>
        <w:t>P</w:t>
      </w:r>
      <w:r w:rsidR="00221769" w:rsidRPr="00D954AF">
        <w:rPr>
          <w:rFonts w:ascii="Arial" w:eastAsia="Times New Roman" w:hAnsi="Arial"/>
          <w:color w:val="000000" w:themeColor="text1"/>
          <w:szCs w:val="24"/>
        </w:rPr>
        <w:t>H</w:t>
      </w:r>
      <w:r w:rsidR="00E0727A" w:rsidRPr="00D954AF">
        <w:rPr>
          <w:rFonts w:ascii="Arial" w:eastAsia="Times New Roman" w:hAnsi="Arial"/>
          <w:color w:val="000000" w:themeColor="text1"/>
          <w:szCs w:val="24"/>
        </w:rPr>
        <w:t>N</w:t>
      </w:r>
      <w:r w:rsidR="00221769" w:rsidRPr="00D954AF">
        <w:rPr>
          <w:rFonts w:ascii="Arial" w:eastAsia="Times New Roman" w:hAnsi="Arial"/>
          <w:color w:val="000000" w:themeColor="text1"/>
          <w:szCs w:val="24"/>
        </w:rPr>
        <w:t>s</w:t>
      </w:r>
      <w:proofErr w:type="spellEnd"/>
      <w:r w:rsidR="00221769" w:rsidRPr="00D954AF">
        <w:rPr>
          <w:rFonts w:ascii="Arial" w:eastAsia="Times New Roman" w:hAnsi="Arial"/>
          <w:color w:val="000000" w:themeColor="text1"/>
          <w:szCs w:val="24"/>
        </w:rPr>
        <w:t xml:space="preserve"> in 2016 and our findings will be a primary focus of the 2017 </w:t>
      </w:r>
      <w:r w:rsidR="00221769" w:rsidRPr="00D954AF">
        <w:rPr>
          <w:rStyle w:val="Emphasis"/>
          <w:szCs w:val="24"/>
        </w:rPr>
        <w:t xml:space="preserve">Progress and Priorities </w:t>
      </w:r>
      <w:r w:rsidR="00C175EA" w:rsidRPr="00D954AF">
        <w:rPr>
          <w:rStyle w:val="Emphasis"/>
          <w:szCs w:val="24"/>
        </w:rPr>
        <w:t>R</w:t>
      </w:r>
      <w:r w:rsidR="00221769" w:rsidRPr="00D954AF">
        <w:rPr>
          <w:rStyle w:val="Emphasis"/>
          <w:szCs w:val="24"/>
        </w:rPr>
        <w:t>eport</w:t>
      </w:r>
      <w:r w:rsidR="00221769" w:rsidRPr="00D954AF">
        <w:rPr>
          <w:rFonts w:ascii="Arial" w:eastAsia="Times New Roman" w:hAnsi="Arial"/>
          <w:color w:val="000000" w:themeColor="text1"/>
          <w:szCs w:val="24"/>
        </w:rPr>
        <w:t>. In particular, the Campaign will focus on:</w:t>
      </w:r>
    </w:p>
    <w:p w14:paraId="0AF5BA5B" w14:textId="77777777" w:rsidR="00221769" w:rsidRPr="00561499" w:rsidRDefault="00221769" w:rsidP="0023765F">
      <w:pPr>
        <w:pStyle w:val="ListParagraph"/>
        <w:numPr>
          <w:ilvl w:val="0"/>
          <w:numId w:val="22"/>
        </w:numPr>
        <w:spacing w:before="120"/>
        <w:ind w:left="714" w:hanging="357"/>
        <w:contextualSpacing w:val="0"/>
      </w:pPr>
      <w:proofErr w:type="spellStart"/>
      <w:r w:rsidRPr="00561499">
        <w:t>PHNs</w:t>
      </w:r>
      <w:proofErr w:type="spellEnd"/>
      <w:r w:rsidRPr="00561499">
        <w:t xml:space="preserve"> proactive engagement with Aboriginal and Torres Strait Islander communities within their regional boundaries, including working with community protocols and culturally-informed governance structures. </w:t>
      </w:r>
      <w:proofErr w:type="spellStart"/>
      <w:r w:rsidRPr="00561499">
        <w:t>Recognising</w:t>
      </w:r>
      <w:proofErr w:type="spellEnd"/>
      <w:r w:rsidRPr="00561499">
        <w:t xml:space="preserve"> the barriers many communities face, </w:t>
      </w:r>
      <w:proofErr w:type="spellStart"/>
      <w:r w:rsidRPr="00561499">
        <w:t>PHNs</w:t>
      </w:r>
      <w:proofErr w:type="spellEnd"/>
      <w:r w:rsidRPr="00561499">
        <w:t xml:space="preserve"> must actively support the involvement of communities in the various planning and community engagement mechanisms designed to ensure they have a voice in </w:t>
      </w:r>
      <w:proofErr w:type="spellStart"/>
      <w:r w:rsidRPr="00561499">
        <w:t>PHN</w:t>
      </w:r>
      <w:proofErr w:type="spellEnd"/>
      <w:r w:rsidRPr="00561499">
        <w:t xml:space="preserve"> and related regional structures.</w:t>
      </w:r>
    </w:p>
    <w:p w14:paraId="0FFADCB3" w14:textId="77777777" w:rsidR="00221769" w:rsidRPr="00561499" w:rsidRDefault="00221769" w:rsidP="0023765F">
      <w:pPr>
        <w:pStyle w:val="ListParagraph"/>
        <w:numPr>
          <w:ilvl w:val="0"/>
          <w:numId w:val="22"/>
        </w:numPr>
        <w:spacing w:before="120"/>
        <w:ind w:left="714" w:hanging="357"/>
        <w:contextualSpacing w:val="0"/>
      </w:pPr>
      <w:r w:rsidRPr="00561499">
        <w:t xml:space="preserve">The cultural safety of the above planning forums in which Aboriginal and Torres Strait </w:t>
      </w:r>
      <w:r w:rsidR="00772C7F" w:rsidRPr="00561499">
        <w:t>I</w:t>
      </w:r>
      <w:r w:rsidRPr="00561499">
        <w:t>slander communit</w:t>
      </w:r>
      <w:r w:rsidR="00772C7F" w:rsidRPr="00561499">
        <w:t>ies</w:t>
      </w:r>
      <w:r w:rsidRPr="00561499">
        <w:t xml:space="preserve"> and other representatives are intended to participate. This may involve the use of translators if required, and ensuring that these forums are culturally respectful, culturally aware and otherwise sensitive to the cultural differences and different needs based on these.</w:t>
      </w:r>
    </w:p>
    <w:p w14:paraId="3B43EAB7" w14:textId="241810F3" w:rsidR="00221769" w:rsidRPr="004613CE" w:rsidRDefault="00221769" w:rsidP="004613CE">
      <w:pPr>
        <w:pStyle w:val="ListParagraph"/>
        <w:numPr>
          <w:ilvl w:val="0"/>
          <w:numId w:val="22"/>
        </w:numPr>
        <w:spacing w:before="120"/>
        <w:ind w:left="714" w:hanging="357"/>
        <w:contextualSpacing w:val="0"/>
      </w:pPr>
      <w:r w:rsidRPr="00561499">
        <w:t xml:space="preserve">The employment of Aboriginal and Torres Strait Islander people at all levels of </w:t>
      </w:r>
      <w:proofErr w:type="spellStart"/>
      <w:r w:rsidRPr="00561499">
        <w:t>PHN</w:t>
      </w:r>
      <w:proofErr w:type="spellEnd"/>
      <w:r w:rsidRPr="00561499">
        <w:t xml:space="preserve"> </w:t>
      </w:r>
      <w:proofErr w:type="spellStart"/>
      <w:r w:rsidRPr="00561499">
        <w:t>organisations</w:t>
      </w:r>
      <w:proofErr w:type="spellEnd"/>
      <w:r w:rsidRPr="00561499">
        <w:t xml:space="preserve">. In part, this is to increase a sense of cultural safety for communities interacting with the </w:t>
      </w:r>
      <w:proofErr w:type="spellStart"/>
      <w:r w:rsidRPr="00561499">
        <w:t>PHN</w:t>
      </w:r>
      <w:proofErr w:type="spellEnd"/>
      <w:r w:rsidRPr="00561499">
        <w:t xml:space="preserve"> (as above). Otherwise, their very presence may help by ‘acculturati</w:t>
      </w:r>
      <w:r w:rsidR="00043311">
        <w:t>ng’ the service to local needs.</w:t>
      </w:r>
    </w:p>
    <w:p w14:paraId="69846134" w14:textId="2253B522" w:rsidR="00584411" w:rsidRPr="00561499" w:rsidRDefault="00221769" w:rsidP="00040CF1">
      <w:pPr>
        <w:autoSpaceDE w:val="0"/>
        <w:autoSpaceDN w:val="0"/>
        <w:adjustRightInd w:val="0"/>
        <w:rPr>
          <w:rFonts w:cs="Times"/>
          <w:lang w:eastAsia="ja-JP"/>
        </w:rPr>
      </w:pPr>
      <w:r w:rsidRPr="00561499">
        <w:rPr>
          <w:rFonts w:cs="Times"/>
          <w:lang w:eastAsia="ja-JP"/>
        </w:rPr>
        <w:lastRenderedPageBreak/>
        <w:t>Finally, in broad t</w:t>
      </w:r>
      <w:r w:rsidR="00F01D8F" w:rsidRPr="00561499">
        <w:rPr>
          <w:rFonts w:cs="Times"/>
          <w:lang w:eastAsia="ja-JP"/>
        </w:rPr>
        <w:t xml:space="preserve">erms, and where available, </w:t>
      </w:r>
      <w:proofErr w:type="spellStart"/>
      <w:r w:rsidR="00F01D8F" w:rsidRPr="00561499">
        <w:rPr>
          <w:rFonts w:cs="Times"/>
          <w:lang w:eastAsia="ja-JP"/>
        </w:rPr>
        <w:t>ACCHO</w:t>
      </w:r>
      <w:r w:rsidRPr="00561499">
        <w:rPr>
          <w:rFonts w:cs="Times"/>
          <w:lang w:eastAsia="ja-JP"/>
        </w:rPr>
        <w:t>s</w:t>
      </w:r>
      <w:proofErr w:type="spellEnd"/>
      <w:r w:rsidRPr="00561499">
        <w:rPr>
          <w:rFonts w:cs="Times"/>
          <w:lang w:eastAsia="ja-JP"/>
        </w:rPr>
        <w:t xml:space="preserve"> not only provide good points of contact with communities for health matters, but they are also ideally placed for </w:t>
      </w:r>
      <w:proofErr w:type="spellStart"/>
      <w:r w:rsidRPr="00561499">
        <w:rPr>
          <w:rFonts w:cs="Times"/>
          <w:lang w:eastAsia="ja-JP"/>
        </w:rPr>
        <w:t>PHNs</w:t>
      </w:r>
      <w:proofErr w:type="spellEnd"/>
      <w:r w:rsidRPr="00561499">
        <w:rPr>
          <w:rFonts w:cs="Times"/>
          <w:lang w:eastAsia="ja-JP"/>
        </w:rPr>
        <w:t xml:space="preserve"> to partner with in relation to identifying a range of services needs and gaps, and to shape the commissioning of services. Where possible, services for Aboriginal and Torres Strait Islander communities should be integrated with mental health, social and emotional wellbeing and substance abus</w:t>
      </w:r>
      <w:r w:rsidR="00F01D8F" w:rsidRPr="00561499">
        <w:rPr>
          <w:rFonts w:cs="Times"/>
          <w:lang w:eastAsia="ja-JP"/>
        </w:rPr>
        <w:t xml:space="preserve">e services provided by the </w:t>
      </w:r>
      <w:proofErr w:type="spellStart"/>
      <w:r w:rsidR="00F01D8F" w:rsidRPr="00561499">
        <w:rPr>
          <w:rFonts w:cs="Times"/>
          <w:lang w:eastAsia="ja-JP"/>
        </w:rPr>
        <w:t>ACCHO</w:t>
      </w:r>
      <w:r w:rsidR="004613CE">
        <w:rPr>
          <w:rFonts w:cs="Times"/>
          <w:lang w:eastAsia="ja-JP"/>
        </w:rPr>
        <w:t>s</w:t>
      </w:r>
      <w:proofErr w:type="spellEnd"/>
      <w:r w:rsidR="004613CE">
        <w:rPr>
          <w:rFonts w:cs="Times"/>
          <w:lang w:eastAsia="ja-JP"/>
        </w:rPr>
        <w:t>.</w:t>
      </w:r>
    </w:p>
    <w:p w14:paraId="46566B3E" w14:textId="7FB317C7" w:rsidR="004C153D" w:rsidRPr="00561499" w:rsidRDefault="00221769" w:rsidP="00C8247F">
      <w:pPr>
        <w:autoSpaceDE w:val="0"/>
        <w:autoSpaceDN w:val="0"/>
        <w:adjustRightInd w:val="0"/>
        <w:spacing w:after="400"/>
      </w:pPr>
      <w:r w:rsidRPr="00561499">
        <w:t>In Part 2, t</w:t>
      </w:r>
      <w:r w:rsidR="00F01D8F" w:rsidRPr="00561499">
        <w:t xml:space="preserve">he Campaign </w:t>
      </w:r>
      <w:r w:rsidR="00772C7F" w:rsidRPr="00561499">
        <w:t xml:space="preserve">Steering Committee </w:t>
      </w:r>
      <w:r w:rsidR="00F01D8F" w:rsidRPr="00561499">
        <w:t xml:space="preserve">discussed that </w:t>
      </w:r>
      <w:proofErr w:type="spellStart"/>
      <w:r w:rsidR="00F01D8F" w:rsidRPr="00561499">
        <w:t>ACCHO</w:t>
      </w:r>
      <w:r w:rsidRPr="00561499">
        <w:t>s</w:t>
      </w:r>
      <w:proofErr w:type="spellEnd"/>
      <w:r w:rsidRPr="00561499">
        <w:t xml:space="preserve"> were the preferred provider of health services to Aboriginal and Torres Strait Islander communities. Here we synthesize this point with recommendations about the Implementation Plan and the work of the </w:t>
      </w:r>
      <w:proofErr w:type="spellStart"/>
      <w:r w:rsidRPr="00561499">
        <w:t>PHNs</w:t>
      </w:r>
      <w:proofErr w:type="spellEnd"/>
      <w:r w:rsidRPr="00561499">
        <w:t>.</w:t>
      </w:r>
    </w:p>
    <w:tbl>
      <w:tblPr>
        <w:tblStyle w:val="TableGrid"/>
        <w:tblW w:w="0" w:type="auto"/>
        <w:tblBorders>
          <w:top w:val="single" w:sz="8" w:space="0" w:color="007DA7"/>
          <w:left w:val="single" w:sz="8" w:space="0" w:color="007DA7"/>
          <w:bottom w:val="single" w:sz="8" w:space="0" w:color="007DA7"/>
          <w:right w:val="single" w:sz="8" w:space="0" w:color="007DA7"/>
          <w:insideH w:val="none" w:sz="0" w:space="0" w:color="auto"/>
          <w:insideV w:val="none" w:sz="0" w:space="0" w:color="auto"/>
        </w:tblBorders>
        <w:tblCellMar>
          <w:top w:w="227" w:type="dxa"/>
          <w:left w:w="227" w:type="dxa"/>
          <w:bottom w:w="227" w:type="dxa"/>
          <w:right w:w="227" w:type="dxa"/>
        </w:tblCellMar>
        <w:tblLook w:val="04A0" w:firstRow="1" w:lastRow="0" w:firstColumn="1" w:lastColumn="0" w:noHBand="0" w:noVBand="1"/>
      </w:tblPr>
      <w:tblGrid>
        <w:gridCol w:w="9000"/>
      </w:tblGrid>
      <w:tr w:rsidR="00221769" w:rsidRPr="00561499" w14:paraId="39AE0488" w14:textId="77777777" w:rsidTr="00FD37C4">
        <w:trPr>
          <w:trHeight w:val="2649"/>
        </w:trPr>
        <w:tc>
          <w:tcPr>
            <w:tcW w:w="9000" w:type="dxa"/>
          </w:tcPr>
          <w:p w14:paraId="5CFE26EB" w14:textId="1D27F158" w:rsidR="004613CE" w:rsidRDefault="004613CE" w:rsidP="00FD37C4">
            <w:pPr>
              <w:pStyle w:val="Heading5"/>
              <w:spacing w:before="200" w:after="200"/>
              <w:outlineLvl w:val="4"/>
            </w:pPr>
            <w:r>
              <w:t>Recommendation</w:t>
            </w:r>
          </w:p>
          <w:p w14:paraId="1455C688" w14:textId="3B47163C" w:rsidR="00CB6FE1" w:rsidRPr="00561499" w:rsidRDefault="00993872" w:rsidP="00651D20">
            <w:r w:rsidRPr="00561499">
              <w:t>That through</w:t>
            </w:r>
            <w:r w:rsidRPr="004613CE">
              <w:t xml:space="preserve"> the</w:t>
            </w:r>
            <w:r w:rsidRPr="00561499">
              <w:rPr>
                <w:i/>
              </w:rPr>
              <w:t xml:space="preserve"> </w:t>
            </w:r>
            <w:r w:rsidR="00651D20" w:rsidRPr="004613CE">
              <w:rPr>
                <w:rStyle w:val="Emphasis"/>
              </w:rPr>
              <w:t xml:space="preserve">Implementation Plan </w:t>
            </w:r>
            <w:r w:rsidR="00651D20">
              <w:rPr>
                <w:rStyle w:val="Emphasis"/>
              </w:rPr>
              <w:t xml:space="preserve">for the </w:t>
            </w:r>
            <w:r w:rsidRPr="004613CE">
              <w:rPr>
                <w:rStyle w:val="Emphasis"/>
              </w:rPr>
              <w:t>National Aboriginal and Torres Health Plan</w:t>
            </w:r>
            <w:r w:rsidRPr="00561499">
              <w:t>, appropriate core health service models and associated workforce and funding arrangements are urgently developed to meet Aboriginal and Torres Strait Islander health needs on a national, regional and community level, and immediate priority be directed towards regions with relatively poor health and inadequate levels of service.</w:t>
            </w:r>
          </w:p>
        </w:tc>
      </w:tr>
    </w:tbl>
    <w:p w14:paraId="4D2E8C5A" w14:textId="77777777" w:rsidR="00C86B5A" w:rsidRDefault="00C86B5A" w:rsidP="00C86B5A"/>
    <w:p w14:paraId="0DCB32B0" w14:textId="08534D46" w:rsidR="00C86B5A" w:rsidRDefault="00011647" w:rsidP="00C86B5A">
      <w:r>
        <w:rPr>
          <w:noProof/>
        </w:rPr>
        <w:drawing>
          <wp:inline distT="0" distB="0" distL="0" distR="0" wp14:anchorId="691CF2E5" wp14:editId="45B2B302">
            <wp:extent cx="5759450" cy="3267303"/>
            <wp:effectExtent l="0" t="0" r="6350" b="9525"/>
            <wp:docPr id="13" name="Picture 7" descr="AIHC staff cheering with their arms in the air. Some of them are holding white balloons which have the words CLOSE THE GAP on them. Some of the staff are also wearing orange/red T-shirts with CLOSE THE GAP artwork on the front. " title="AIHC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3267303"/>
                    </a:xfrm>
                    <a:prstGeom prst="rect">
                      <a:avLst/>
                    </a:prstGeom>
                    <a:noFill/>
                    <a:ln>
                      <a:noFill/>
                    </a:ln>
                  </pic:spPr>
                </pic:pic>
              </a:graphicData>
            </a:graphic>
          </wp:inline>
        </w:drawing>
      </w:r>
    </w:p>
    <w:p w14:paraId="002B94DE" w14:textId="77777777" w:rsidR="00F6007E" w:rsidRPr="00561499" w:rsidRDefault="00F6007E" w:rsidP="00F6007E">
      <w:pPr>
        <w:pStyle w:val="Photocaption"/>
      </w:pPr>
      <w:r w:rsidRPr="00561499">
        <w:t>Queensland Aboriginal and Islander Health Council (</w:t>
      </w:r>
      <w:proofErr w:type="spellStart"/>
      <w:r w:rsidRPr="00561499">
        <w:t>AIHC</w:t>
      </w:r>
      <w:proofErr w:type="spellEnd"/>
      <w:r w:rsidRPr="00561499">
        <w:t>) staff at the 2014 National Close the Gap Day event in West End, Brisbane. Phot</w:t>
      </w:r>
      <w:r>
        <w:t xml:space="preserve">ograph: Jason </w:t>
      </w:r>
      <w:proofErr w:type="spellStart"/>
      <w:r>
        <w:t>Malouin</w:t>
      </w:r>
      <w:proofErr w:type="spellEnd"/>
      <w:r>
        <w:t>/</w:t>
      </w:r>
      <w:proofErr w:type="spellStart"/>
      <w:r>
        <w:t>OxfamAUS</w:t>
      </w:r>
      <w:proofErr w:type="spellEnd"/>
      <w:r>
        <w:t>.</w:t>
      </w:r>
    </w:p>
    <w:p w14:paraId="2C3ED1EA" w14:textId="77777777" w:rsidR="00F6007E" w:rsidRPr="00561499" w:rsidRDefault="00F6007E" w:rsidP="004C153D">
      <w:pPr>
        <w:autoSpaceDE w:val="0"/>
        <w:autoSpaceDN w:val="0"/>
        <w:adjustRightInd w:val="0"/>
      </w:pPr>
    </w:p>
    <w:tbl>
      <w:tblPr>
        <w:tblStyle w:val="TableGrid"/>
        <w:tblW w:w="0" w:type="auto"/>
        <w:tblBorders>
          <w:top w:val="single" w:sz="8" w:space="0" w:color="007DA7"/>
          <w:left w:val="single" w:sz="8" w:space="0" w:color="007DA7"/>
          <w:bottom w:val="single" w:sz="8" w:space="0" w:color="007DA7"/>
          <w:right w:val="single" w:sz="8" w:space="0" w:color="007DA7"/>
          <w:insideH w:val="none" w:sz="0" w:space="0" w:color="auto"/>
          <w:insideV w:val="none" w:sz="0" w:space="0" w:color="auto"/>
        </w:tblBorders>
        <w:tblCellMar>
          <w:top w:w="227" w:type="dxa"/>
          <w:left w:w="227" w:type="dxa"/>
          <w:bottom w:w="227" w:type="dxa"/>
          <w:right w:w="227" w:type="dxa"/>
        </w:tblCellMar>
        <w:tblLook w:val="04A0" w:firstRow="1" w:lastRow="0" w:firstColumn="1" w:lastColumn="0" w:noHBand="0" w:noVBand="1"/>
      </w:tblPr>
      <w:tblGrid>
        <w:gridCol w:w="9000"/>
      </w:tblGrid>
      <w:tr w:rsidR="004C153D" w:rsidRPr="00561499" w14:paraId="1CAFCEE8" w14:textId="77777777" w:rsidTr="00FD37C4">
        <w:trPr>
          <w:trHeight w:val="2649"/>
        </w:trPr>
        <w:tc>
          <w:tcPr>
            <w:tcW w:w="9000" w:type="dxa"/>
          </w:tcPr>
          <w:p w14:paraId="6A60BB24" w14:textId="77777777" w:rsidR="004C153D" w:rsidRDefault="004C153D" w:rsidP="00FD37C4">
            <w:pPr>
              <w:pStyle w:val="Heading5"/>
              <w:spacing w:before="200" w:after="200"/>
              <w:outlineLvl w:val="4"/>
            </w:pPr>
            <w:r w:rsidRPr="00561499">
              <w:t>Recommendation</w:t>
            </w:r>
          </w:p>
          <w:p w14:paraId="1BF83902" w14:textId="77777777" w:rsidR="004C153D" w:rsidRPr="00561499" w:rsidRDefault="004C153D" w:rsidP="00FD37C4">
            <w:r w:rsidRPr="00561499">
              <w:t>That Aboriginal Community Controlled Health Services (</w:t>
            </w:r>
            <w:proofErr w:type="spellStart"/>
            <w:r w:rsidRPr="00561499">
              <w:t>ACCHOs</w:t>
            </w:r>
            <w:proofErr w:type="spellEnd"/>
            <w:r w:rsidRPr="00561499">
              <w:t xml:space="preserve">) should be the preferred model for investment in primary health care services for Aboriginal and Torres Strait Islander communities and that the planning activities of the Primary Health Networks include partnership and service delivery arrangements through and by the </w:t>
            </w:r>
            <w:proofErr w:type="spellStart"/>
            <w:r w:rsidRPr="00561499">
              <w:t>ACCHOs</w:t>
            </w:r>
            <w:proofErr w:type="spellEnd"/>
            <w:r w:rsidRPr="00561499">
              <w:t>.</w:t>
            </w:r>
          </w:p>
        </w:tc>
      </w:tr>
    </w:tbl>
    <w:p w14:paraId="266B9900" w14:textId="77777777" w:rsidR="00C86B5A" w:rsidRDefault="00C86B5A" w:rsidP="00C86B5A"/>
    <w:p w14:paraId="2240C3EA" w14:textId="2AC556D1" w:rsidR="00221769" w:rsidRPr="004C153D" w:rsidRDefault="004C153D" w:rsidP="004C153D">
      <w:pPr>
        <w:pStyle w:val="Heading3"/>
        <w:rPr>
          <w:rFonts w:cs="Arial"/>
          <w:szCs w:val="24"/>
        </w:rPr>
      </w:pPr>
      <w:bookmarkStart w:id="21" w:name="_Toc315703413"/>
      <w:r w:rsidRPr="004C153D">
        <w:rPr>
          <w:rFonts w:cs="Arial"/>
          <w:szCs w:val="24"/>
        </w:rPr>
        <w:t>3.4</w:t>
      </w:r>
      <w:r w:rsidR="00221769" w:rsidRPr="004C153D">
        <w:rPr>
          <w:rFonts w:cs="Arial"/>
          <w:szCs w:val="24"/>
        </w:rPr>
        <w:t xml:space="preserve"> Reform the </w:t>
      </w:r>
      <w:r w:rsidR="00221769" w:rsidRPr="004C153D">
        <w:rPr>
          <w:rStyle w:val="Emphasis"/>
        </w:rPr>
        <w:t>Indigenous Advancement Strategy</w:t>
      </w:r>
      <w:bookmarkEnd w:id="21"/>
    </w:p>
    <w:p w14:paraId="1DF8582D" w14:textId="3952A04F" w:rsidR="00221769" w:rsidRPr="00561499" w:rsidRDefault="00221769" w:rsidP="007E71A4">
      <w:pPr>
        <w:autoSpaceDE w:val="0"/>
        <w:autoSpaceDN w:val="0"/>
        <w:adjustRightInd w:val="0"/>
        <w:rPr>
          <w:rFonts w:cs="Verdana"/>
          <w:color w:val="171717"/>
        </w:rPr>
      </w:pPr>
      <w:r w:rsidRPr="00561499">
        <w:rPr>
          <w:rFonts w:cs="Verdana"/>
          <w:color w:val="171717"/>
        </w:rPr>
        <w:t>The total Aboriginal and Torres Strait Islander-specific funding managed by the Department of the Prime Minister and Cabinet (</w:t>
      </w:r>
      <w:proofErr w:type="spellStart"/>
      <w:r w:rsidRPr="00561499">
        <w:rPr>
          <w:rFonts w:cs="Verdana"/>
          <w:color w:val="171717"/>
        </w:rPr>
        <w:t>PM&amp;C</w:t>
      </w:r>
      <w:proofErr w:type="spellEnd"/>
      <w:r w:rsidRPr="00561499">
        <w:rPr>
          <w:rFonts w:cs="Verdana"/>
          <w:color w:val="171717"/>
        </w:rPr>
        <w:t xml:space="preserve">) is $8.6 billion consisting of $4.9 billion over four years to the </w:t>
      </w:r>
      <w:r w:rsidRPr="004C153D">
        <w:rPr>
          <w:rStyle w:val="Emphasis"/>
        </w:rPr>
        <w:t>Indigenous Advancement Strategy</w:t>
      </w:r>
      <w:r w:rsidR="00EA56B9">
        <w:rPr>
          <w:rFonts w:cs="Verdana"/>
          <w:color w:val="171717"/>
        </w:rPr>
        <w:t xml:space="preserve"> (</w:t>
      </w:r>
      <w:proofErr w:type="spellStart"/>
      <w:r w:rsidR="00EA56B9">
        <w:rPr>
          <w:rFonts w:cs="Verdana"/>
          <w:color w:val="171717"/>
        </w:rPr>
        <w:t>IAS</w:t>
      </w:r>
      <w:proofErr w:type="spellEnd"/>
      <w:r w:rsidR="00EA56B9">
        <w:rPr>
          <w:rFonts w:cs="Verdana"/>
          <w:color w:val="171717"/>
        </w:rPr>
        <w:t xml:space="preserve">) and </w:t>
      </w:r>
      <w:r w:rsidRPr="00561499">
        <w:rPr>
          <w:rFonts w:cs="Verdana"/>
          <w:color w:val="171717"/>
        </w:rPr>
        <w:t>$3.7 billion allocated through other means including national partnership agreements.</w:t>
      </w:r>
      <w:r w:rsidRPr="00561499">
        <w:rPr>
          <w:rStyle w:val="EndnoteReference"/>
          <w:rFonts w:cs="Verdana"/>
          <w:color w:val="171717"/>
        </w:rPr>
        <w:endnoteReference w:id="218"/>
      </w:r>
    </w:p>
    <w:p w14:paraId="5E730440" w14:textId="7B847A7B" w:rsidR="00221769" w:rsidRPr="00561499" w:rsidRDefault="00221769" w:rsidP="007E71A4">
      <w:pPr>
        <w:autoSpaceDE w:val="0"/>
        <w:autoSpaceDN w:val="0"/>
        <w:adjustRightInd w:val="0"/>
        <w:rPr>
          <w:rFonts w:cs="Calibri"/>
          <w:color w:val="2C2C34"/>
        </w:rPr>
      </w:pPr>
      <w:r w:rsidRPr="00561499">
        <w:rPr>
          <w:rFonts w:cs="Calibri"/>
          <w:color w:val="2C2C34"/>
        </w:rPr>
        <w:t xml:space="preserve">The </w:t>
      </w:r>
      <w:proofErr w:type="spellStart"/>
      <w:r w:rsidRPr="00561499">
        <w:rPr>
          <w:rFonts w:cs="Calibri"/>
          <w:color w:val="2C2C34"/>
        </w:rPr>
        <w:t>IAS</w:t>
      </w:r>
      <w:proofErr w:type="spellEnd"/>
      <w:r w:rsidRPr="00561499">
        <w:rPr>
          <w:rFonts w:cs="Calibri"/>
          <w:color w:val="2C2C34"/>
        </w:rPr>
        <w:t xml:space="preserve"> Guidelines allow the Government to fund demand driven activity directly.</w:t>
      </w:r>
      <w:r w:rsidRPr="00561499">
        <w:rPr>
          <w:rStyle w:val="EndnoteReference"/>
          <w:rFonts w:cs="Calibri"/>
          <w:color w:val="2C2C34"/>
        </w:rPr>
        <w:endnoteReference w:id="219"/>
      </w:r>
      <w:r w:rsidRPr="00561499">
        <w:rPr>
          <w:rFonts w:cs="Calibri"/>
          <w:color w:val="2C2C34"/>
        </w:rPr>
        <w:t xml:space="preserve"> </w:t>
      </w:r>
      <w:r w:rsidRPr="00561499">
        <w:rPr>
          <w:rFonts w:cs="Calibri"/>
          <w:bCs/>
          <w:color w:val="2C2C34"/>
        </w:rPr>
        <w:t xml:space="preserve">Otherwise, a competitive grant round for </w:t>
      </w:r>
      <w:proofErr w:type="spellStart"/>
      <w:r w:rsidRPr="00561499">
        <w:rPr>
          <w:rFonts w:cs="Calibri"/>
          <w:bCs/>
          <w:color w:val="2C2C34"/>
        </w:rPr>
        <w:t>organisations</w:t>
      </w:r>
      <w:proofErr w:type="spellEnd"/>
      <w:r w:rsidRPr="00561499">
        <w:rPr>
          <w:rFonts w:cs="Calibri"/>
          <w:bCs/>
          <w:color w:val="2C2C34"/>
        </w:rPr>
        <w:t xml:space="preserve"> seeking funding under the </w:t>
      </w:r>
      <w:proofErr w:type="spellStart"/>
      <w:r w:rsidRPr="00561499">
        <w:rPr>
          <w:rFonts w:cs="Calibri"/>
          <w:bCs/>
          <w:color w:val="2C2C34"/>
        </w:rPr>
        <w:t>IAS</w:t>
      </w:r>
      <w:proofErr w:type="spellEnd"/>
      <w:r w:rsidRPr="00561499">
        <w:rPr>
          <w:rFonts w:cs="Calibri"/>
          <w:bCs/>
          <w:color w:val="2C2C34"/>
        </w:rPr>
        <w:t xml:space="preserve"> commenced </w:t>
      </w:r>
      <w:r w:rsidR="00772C7F" w:rsidRPr="00561499">
        <w:rPr>
          <w:rFonts w:cs="Calibri"/>
          <w:bCs/>
          <w:color w:val="2C2C34"/>
        </w:rPr>
        <w:t>in</w:t>
      </w:r>
      <w:r w:rsidRPr="00561499">
        <w:rPr>
          <w:rFonts w:cs="Calibri"/>
          <w:bCs/>
          <w:color w:val="2C2C34"/>
        </w:rPr>
        <w:t xml:space="preserve"> September 2014 and closed on Friday 17 October.</w:t>
      </w:r>
      <w:r w:rsidRPr="00561499">
        <w:rPr>
          <w:rStyle w:val="EndnoteReference"/>
          <w:rFonts w:cs="Calibri"/>
          <w:bCs/>
          <w:color w:val="2C2C34"/>
        </w:rPr>
        <w:endnoteReference w:id="220"/>
      </w:r>
      <w:r w:rsidRPr="00561499">
        <w:rPr>
          <w:rFonts w:cs="Calibri"/>
          <w:color w:val="2C2C34"/>
        </w:rPr>
        <w:t xml:space="preserve"> This was for activities</w:t>
      </w:r>
      <w:r w:rsidR="00EA56B9">
        <w:rPr>
          <w:rFonts w:cs="Calibri"/>
          <w:color w:val="2C2C34"/>
        </w:rPr>
        <w:t xml:space="preserve"> that commenced in January 2015 </w:t>
      </w:r>
      <w:r w:rsidRPr="00561499">
        <w:rPr>
          <w:rFonts w:cs="Calibri"/>
          <w:color w:val="2C2C34"/>
        </w:rPr>
        <w:t>(i.e. calendar year funding) or from July 2015 (i.e. financial year funding).</w:t>
      </w:r>
      <w:r w:rsidRPr="00561499">
        <w:rPr>
          <w:rStyle w:val="EndnoteReference"/>
          <w:rFonts w:cs="Calibri"/>
          <w:bCs/>
          <w:color w:val="2C2C34"/>
        </w:rPr>
        <w:endnoteReference w:id="221"/>
      </w:r>
    </w:p>
    <w:p w14:paraId="59E57F7C" w14:textId="503D2F9B" w:rsidR="00221769" w:rsidRPr="004C153D" w:rsidRDefault="00221769" w:rsidP="004C153D">
      <w:pPr>
        <w:autoSpaceDE w:val="0"/>
        <w:autoSpaceDN w:val="0"/>
        <w:adjustRightInd w:val="0"/>
        <w:rPr>
          <w:rFonts w:cs="Calibri"/>
          <w:color w:val="2C2C34"/>
        </w:rPr>
      </w:pPr>
      <w:r w:rsidRPr="00561499">
        <w:rPr>
          <w:rFonts w:cs="Calibri"/>
          <w:color w:val="2C2C34"/>
        </w:rPr>
        <w:t>In this way, the Australian Government flagged its intention that routine funding for services and activities will be handled.</w:t>
      </w:r>
      <w:r w:rsidRPr="00561499">
        <w:rPr>
          <w:rStyle w:val="EndnoteReference"/>
          <w:rFonts w:cs="Calibri"/>
          <w:bCs/>
          <w:color w:val="2C2C34"/>
        </w:rPr>
        <w:endnoteReference w:id="222"/>
      </w:r>
    </w:p>
    <w:p w14:paraId="67D860FE" w14:textId="3ABC2CCD" w:rsidR="008A0F7A" w:rsidRPr="00561499" w:rsidRDefault="00221769" w:rsidP="007E71A4">
      <w:pPr>
        <w:shd w:val="clear" w:color="auto" w:fill="FFFFFF"/>
        <w:rPr>
          <w:rFonts w:cs="Arial"/>
        </w:rPr>
      </w:pPr>
      <w:r w:rsidRPr="00561499">
        <w:rPr>
          <w:rFonts w:cs="Arial"/>
        </w:rPr>
        <w:t>In 2015, the Campaign</w:t>
      </w:r>
      <w:r w:rsidR="00772C7F" w:rsidRPr="00561499">
        <w:rPr>
          <w:rFonts w:cs="Arial"/>
        </w:rPr>
        <w:t xml:space="preserve"> Steering Committee</w:t>
      </w:r>
      <w:r w:rsidRPr="00561499">
        <w:rPr>
          <w:rFonts w:cs="Arial"/>
        </w:rPr>
        <w:t xml:space="preserve"> made a submission to the Senate Finance and Public Administration References Committee Inquiry into the impact of the </w:t>
      </w:r>
      <w:proofErr w:type="spellStart"/>
      <w:r w:rsidRPr="00561499">
        <w:rPr>
          <w:rFonts w:cs="Arial"/>
        </w:rPr>
        <w:t>IAS</w:t>
      </w:r>
      <w:proofErr w:type="spellEnd"/>
      <w:r w:rsidRPr="00561499">
        <w:rPr>
          <w:rFonts w:cs="Arial"/>
        </w:rPr>
        <w:t xml:space="preserve"> tendering process.</w:t>
      </w:r>
      <w:r w:rsidRPr="00561499">
        <w:rPr>
          <w:rStyle w:val="EndnoteReference"/>
          <w:rFonts w:cs="Arial"/>
        </w:rPr>
        <w:endnoteReference w:id="223"/>
      </w:r>
      <w:r w:rsidRPr="00561499">
        <w:rPr>
          <w:rFonts w:cs="Arial"/>
        </w:rPr>
        <w:t xml:space="preserve"> The Inquiry was established following widespread concern across Aboriginal and Torres Strait Islander </w:t>
      </w:r>
      <w:proofErr w:type="spellStart"/>
      <w:r w:rsidRPr="00561499">
        <w:rPr>
          <w:rFonts w:cs="Arial"/>
        </w:rPr>
        <w:t>organisations</w:t>
      </w:r>
      <w:proofErr w:type="spellEnd"/>
      <w:r w:rsidRPr="00561499">
        <w:rPr>
          <w:rFonts w:cs="Arial"/>
        </w:rPr>
        <w:t xml:space="preserve"> and communities.</w:t>
      </w:r>
      <w:r w:rsidR="00E0727A" w:rsidRPr="00561499">
        <w:rPr>
          <w:rFonts w:cs="Arial"/>
        </w:rPr>
        <w:t xml:space="preserve"> </w:t>
      </w:r>
      <w:r w:rsidR="005A34B3" w:rsidRPr="00561499">
        <w:rPr>
          <w:rFonts w:cs="Arial"/>
        </w:rPr>
        <w:t xml:space="preserve">The Campaign Steering Committee urge that its </w:t>
      </w:r>
      <w:proofErr w:type="spellStart"/>
      <w:r w:rsidR="005A34B3" w:rsidRPr="00561499">
        <w:rPr>
          <w:rFonts w:cs="Arial"/>
        </w:rPr>
        <w:t>IAS</w:t>
      </w:r>
      <w:proofErr w:type="spellEnd"/>
      <w:r w:rsidR="005A34B3" w:rsidRPr="00561499">
        <w:rPr>
          <w:rFonts w:cs="Arial"/>
        </w:rPr>
        <w:t xml:space="preserve"> submission recommendatio</w:t>
      </w:r>
      <w:r w:rsidR="00F6007E">
        <w:rPr>
          <w:rFonts w:cs="Arial"/>
        </w:rPr>
        <w:t>ns be implemented as a priorities</w:t>
      </w:r>
      <w:r w:rsidR="005A34B3" w:rsidRPr="00561499">
        <w:rPr>
          <w:rFonts w:cs="Arial"/>
        </w:rPr>
        <w:t xml:space="preserve"> </w:t>
      </w:r>
      <w:r w:rsidR="00F6007E">
        <w:rPr>
          <w:rFonts w:cs="Arial"/>
        </w:rPr>
        <w:t>(s</w:t>
      </w:r>
      <w:r w:rsidR="00E0727A" w:rsidRPr="00561499">
        <w:rPr>
          <w:rFonts w:cs="Arial"/>
        </w:rPr>
        <w:t>ee Appendix 2</w:t>
      </w:r>
      <w:r w:rsidR="008A0F7A" w:rsidRPr="00561499">
        <w:rPr>
          <w:rFonts w:cs="Arial"/>
        </w:rPr>
        <w:t>)</w:t>
      </w:r>
      <w:r w:rsidR="004C153D">
        <w:rPr>
          <w:rFonts w:cs="Arial"/>
        </w:rPr>
        <w:t>.</w:t>
      </w:r>
    </w:p>
    <w:p w14:paraId="730DE23D" w14:textId="77777777" w:rsidR="00221769" w:rsidRPr="00561499" w:rsidRDefault="008A0F7A" w:rsidP="005A34B3">
      <w:pPr>
        <w:shd w:val="clear" w:color="auto" w:fill="FFFFFF"/>
      </w:pPr>
      <w:r w:rsidRPr="00561499">
        <w:rPr>
          <w:rFonts w:cs="Arial"/>
        </w:rPr>
        <w:t>In particular, the</w:t>
      </w:r>
      <w:r w:rsidR="005A34B3" w:rsidRPr="00561499">
        <w:rPr>
          <w:rFonts w:cs="Arial"/>
        </w:rPr>
        <w:t xml:space="preserve"> Campaign Steering Committee was concerned with the</w:t>
      </w:r>
      <w:r w:rsidR="00221769" w:rsidRPr="00561499">
        <w:t xml:space="preserve"> rushed</w:t>
      </w:r>
      <w:r w:rsidR="005A34B3" w:rsidRPr="00561499">
        <w:t xml:space="preserve"> implementation</w:t>
      </w:r>
      <w:r w:rsidR="00221769" w:rsidRPr="00561499">
        <w:t xml:space="preserve">, and there was little consultation with key Aboriginal and Torres Strait Islander representative and service </w:t>
      </w:r>
      <w:proofErr w:type="spellStart"/>
      <w:r w:rsidR="00221769" w:rsidRPr="00561499">
        <w:t>organisations</w:t>
      </w:r>
      <w:proofErr w:type="spellEnd"/>
      <w:r w:rsidR="00221769" w:rsidRPr="00561499">
        <w:t>.</w:t>
      </w:r>
    </w:p>
    <w:p w14:paraId="76AD2290" w14:textId="07A85AF0" w:rsidR="008C3F51" w:rsidRPr="00561499" w:rsidRDefault="00221769" w:rsidP="008C3F51">
      <w:pPr>
        <w:spacing w:before="120"/>
      </w:pPr>
      <w:r w:rsidRPr="00561499">
        <w:lastRenderedPageBreak/>
        <w:t>The move to tendering ha</w:t>
      </w:r>
      <w:r w:rsidR="005A34B3" w:rsidRPr="00561499">
        <w:t>s</w:t>
      </w:r>
      <w:r w:rsidRPr="00561499">
        <w:t xml:space="preserve"> created widespread uncertainty and distress in Aboriginal and Torres Strait Islander </w:t>
      </w:r>
      <w:proofErr w:type="spellStart"/>
      <w:r w:rsidRPr="00561499">
        <w:t>organisations</w:t>
      </w:r>
      <w:proofErr w:type="spellEnd"/>
      <w:r w:rsidRPr="00561499">
        <w:t xml:space="preserve"> who were otherwise, and up until then, funded by other means.</w:t>
      </w:r>
      <w:r w:rsidR="005A34B3" w:rsidRPr="00561499">
        <w:t xml:space="preserve"> </w:t>
      </w:r>
      <w:r w:rsidRPr="00561499">
        <w:t xml:space="preserve">Many </w:t>
      </w:r>
      <w:proofErr w:type="spellStart"/>
      <w:r w:rsidRPr="00561499">
        <w:t>organisations</w:t>
      </w:r>
      <w:proofErr w:type="spellEnd"/>
      <w:r w:rsidRPr="00561499">
        <w:t xml:space="preserve"> did not have the capacity or the resources to put together the kind of application required by the tender process and felt that they lacked support during the process. Some had to hire consultants for submission writing.  Others, despite the good work they might be doing, simply did not have the capacity or resources to submit an applicatio</w:t>
      </w:r>
      <w:r w:rsidR="004C153D">
        <w:t>n.</w:t>
      </w:r>
    </w:p>
    <w:p w14:paraId="6B13D76F" w14:textId="77777777" w:rsidR="00221769" w:rsidRPr="00561499" w:rsidRDefault="008C3F51" w:rsidP="008C3F51">
      <w:pPr>
        <w:spacing w:before="120"/>
      </w:pPr>
      <w:r w:rsidRPr="00561499">
        <w:t>Furthermore, t</w:t>
      </w:r>
      <w:r w:rsidR="00221769" w:rsidRPr="00561499">
        <w:t>he timeframe imposed on the application process was onerous.</w:t>
      </w:r>
    </w:p>
    <w:p w14:paraId="733CB788" w14:textId="77777777" w:rsidR="00221769" w:rsidRPr="00561499" w:rsidRDefault="00221769" w:rsidP="00DF4F38">
      <w:pPr>
        <w:spacing w:before="120"/>
      </w:pPr>
      <w:r w:rsidRPr="00561499">
        <w:t>The selection of successful applicants lacked transparency. Questions remain as to whether it adequately considered community need and cultural competence a</w:t>
      </w:r>
      <w:r w:rsidR="00992D4C" w:rsidRPr="00561499">
        <w:t>s critical selection criteria—</w:t>
      </w:r>
      <w:r w:rsidRPr="00561499">
        <w:t xml:space="preserve">in particular, by the weighting given to these. In short, it was not clear whether the process valued, or was intended to </w:t>
      </w:r>
      <w:proofErr w:type="spellStart"/>
      <w:r w:rsidRPr="00561499">
        <w:t>prioritise</w:t>
      </w:r>
      <w:proofErr w:type="spellEnd"/>
      <w:r w:rsidRPr="00561499">
        <w:t xml:space="preserve">, Aboriginal and Torres Strait Islander </w:t>
      </w:r>
      <w:proofErr w:type="spellStart"/>
      <w:r w:rsidRPr="00561499">
        <w:t>organisations</w:t>
      </w:r>
      <w:proofErr w:type="spellEnd"/>
      <w:r w:rsidRPr="00561499">
        <w:t xml:space="preserve"> and their cultural competence and the cultural and other capital within.</w:t>
      </w:r>
    </w:p>
    <w:p w14:paraId="3D2CCF90" w14:textId="565835D5" w:rsidR="00221769" w:rsidRPr="00F57387" w:rsidRDefault="00DF4F38" w:rsidP="00F57387">
      <w:pPr>
        <w:spacing w:before="120"/>
      </w:pPr>
      <w:r w:rsidRPr="00561499">
        <w:t xml:space="preserve">Finally, it is believed that the </w:t>
      </w:r>
      <w:proofErr w:type="spellStart"/>
      <w:r w:rsidRPr="00561499">
        <w:t>IAS</w:t>
      </w:r>
      <w:proofErr w:type="spellEnd"/>
      <w:r w:rsidR="00221769" w:rsidRPr="00561499">
        <w:t xml:space="preserve"> process had a disproportionately negative impact on Aboriginal and Torres Strait Islander </w:t>
      </w:r>
      <w:proofErr w:type="spellStart"/>
      <w:r w:rsidR="00221769" w:rsidRPr="00561499">
        <w:t>organisations</w:t>
      </w:r>
      <w:proofErr w:type="spellEnd"/>
      <w:r w:rsidR="00221769" w:rsidRPr="00561499">
        <w:t xml:space="preserve"> and communities. The publicly available list of </w:t>
      </w:r>
      <w:proofErr w:type="spellStart"/>
      <w:r w:rsidR="00221769" w:rsidRPr="00561499">
        <w:t>organisations</w:t>
      </w:r>
      <w:proofErr w:type="spellEnd"/>
      <w:r w:rsidR="00221769" w:rsidRPr="00561499">
        <w:t xml:space="preserve"> recommended for funding indicates that a large number of non-Indigenous </w:t>
      </w:r>
      <w:proofErr w:type="spellStart"/>
      <w:r w:rsidR="00221769" w:rsidRPr="00561499">
        <w:t>organisations</w:t>
      </w:r>
      <w:proofErr w:type="spellEnd"/>
      <w:r w:rsidR="00221769" w:rsidRPr="00561499">
        <w:t xml:space="preserve"> were successful. This will have a negative impact on outcomes across health and wellbeing and the social determinants and health and wellbeing and potentially result in services gaps.</w:t>
      </w:r>
    </w:p>
    <w:p w14:paraId="7B23A0D9" w14:textId="77777777" w:rsidR="00221769" w:rsidRPr="00561499" w:rsidRDefault="00221769" w:rsidP="001116C1">
      <w:pPr>
        <w:shd w:val="clear" w:color="auto" w:fill="FFFFFF"/>
        <w:rPr>
          <w:rFonts w:cs="Arial"/>
        </w:rPr>
      </w:pPr>
      <w:r w:rsidRPr="00561499">
        <w:rPr>
          <w:rFonts w:cs="Arial"/>
        </w:rPr>
        <w:t xml:space="preserve">The Campaign Steering Committee has also heard anecdotal reports of job losses among Aboriginal and Torres Strait Islander people who worked in </w:t>
      </w:r>
      <w:proofErr w:type="spellStart"/>
      <w:r w:rsidRPr="00561499">
        <w:rPr>
          <w:rFonts w:cs="Arial"/>
        </w:rPr>
        <w:t>organisations</w:t>
      </w:r>
      <w:proofErr w:type="spellEnd"/>
      <w:r w:rsidRPr="00561499">
        <w:rPr>
          <w:rFonts w:cs="Arial"/>
        </w:rPr>
        <w:t xml:space="preserve"> that were defunded through the </w:t>
      </w:r>
      <w:proofErr w:type="spellStart"/>
      <w:r w:rsidRPr="00561499">
        <w:rPr>
          <w:rFonts w:cs="Arial"/>
        </w:rPr>
        <w:t>IAS</w:t>
      </w:r>
      <w:proofErr w:type="spellEnd"/>
      <w:r w:rsidRPr="00561499">
        <w:rPr>
          <w:rFonts w:cs="Arial"/>
        </w:rPr>
        <w:t xml:space="preserve"> tendering process.</w:t>
      </w:r>
      <w:r w:rsidR="00E0727A" w:rsidRPr="00561499">
        <w:rPr>
          <w:rStyle w:val="EndnoteReference"/>
          <w:rFonts w:cs="Arial"/>
        </w:rPr>
        <w:endnoteReference w:id="224"/>
      </w:r>
    </w:p>
    <w:p w14:paraId="18C73816" w14:textId="30F1730C" w:rsidR="00221769" w:rsidRPr="00561499" w:rsidRDefault="00221769" w:rsidP="001116C1">
      <w:pPr>
        <w:shd w:val="clear" w:color="auto" w:fill="FFFFFF"/>
        <w:rPr>
          <w:rFonts w:cs="Arial"/>
        </w:rPr>
      </w:pPr>
      <w:r w:rsidRPr="00561499">
        <w:rPr>
          <w:rFonts w:cs="Arial"/>
        </w:rPr>
        <w:t xml:space="preserve">The Campaign </w:t>
      </w:r>
      <w:r w:rsidR="00A078EE" w:rsidRPr="00561499">
        <w:rPr>
          <w:rFonts w:cs="Arial"/>
        </w:rPr>
        <w:t xml:space="preserve">Steering Committee </w:t>
      </w:r>
      <w:r w:rsidRPr="00561499">
        <w:rPr>
          <w:rFonts w:cs="Arial"/>
        </w:rPr>
        <w:t xml:space="preserve">believes that many of these concerns with the </w:t>
      </w:r>
      <w:proofErr w:type="spellStart"/>
      <w:r w:rsidRPr="00561499">
        <w:rPr>
          <w:rFonts w:cs="Arial"/>
        </w:rPr>
        <w:t>IAS</w:t>
      </w:r>
      <w:proofErr w:type="spellEnd"/>
      <w:r w:rsidRPr="00561499">
        <w:rPr>
          <w:rFonts w:cs="Arial"/>
        </w:rPr>
        <w:t xml:space="preserve"> could have been prevented had the key aspects of the program design been developed in consultation with appropriate Aboriginal and Torres Strait Islander representative and service </w:t>
      </w:r>
      <w:proofErr w:type="spellStart"/>
      <w:r w:rsidRPr="00561499">
        <w:rPr>
          <w:rFonts w:cs="Arial"/>
        </w:rPr>
        <w:t>organisations</w:t>
      </w:r>
      <w:proofErr w:type="spellEnd"/>
      <w:r w:rsidRPr="00561499">
        <w:rPr>
          <w:rFonts w:cs="Arial"/>
        </w:rPr>
        <w:t xml:space="preserve">. This is a long-established best practice approach to Aboriginal and Torres Strait Islander policy </w:t>
      </w:r>
      <w:r w:rsidR="00F57387">
        <w:rPr>
          <w:rFonts w:cs="Arial"/>
        </w:rPr>
        <w:t>development and implementation.</w:t>
      </w:r>
    </w:p>
    <w:p w14:paraId="20AB06D8" w14:textId="25B4D0AD" w:rsidR="00221769" w:rsidRDefault="00221769" w:rsidP="009332F7">
      <w:r w:rsidRPr="00561499">
        <w:t xml:space="preserve">Aboriginal and Torres Strait Islander </w:t>
      </w:r>
      <w:proofErr w:type="spellStart"/>
      <w:r w:rsidRPr="00561499">
        <w:t>organisations</w:t>
      </w:r>
      <w:proofErr w:type="spellEnd"/>
      <w:r w:rsidRPr="00561499">
        <w:t xml:space="preserve"> are </w:t>
      </w:r>
      <w:r w:rsidR="00DF4F38" w:rsidRPr="00561499">
        <w:t>best placed</w:t>
      </w:r>
      <w:r w:rsidRPr="00561499">
        <w:t xml:space="preserve"> for engaging with communities to develop solutions and deliver services. The Campaign strongly supports the funding of Aboriginal and Torres Strait Islander </w:t>
      </w:r>
      <w:proofErr w:type="spellStart"/>
      <w:r w:rsidRPr="00561499">
        <w:t>organisations</w:t>
      </w:r>
      <w:proofErr w:type="spellEnd"/>
      <w:r w:rsidRPr="00561499">
        <w:t xml:space="preserve"> as a way of empowering local Aboriginal and Torres Strait Islander leadership in decision-making and privileging cultural identity within those processes.</w:t>
      </w:r>
    </w:p>
    <w:p w14:paraId="24B64D8C" w14:textId="77777777" w:rsidR="009332F7" w:rsidRDefault="009332F7" w:rsidP="009332F7"/>
    <w:p w14:paraId="33C94B8F" w14:textId="452CA0BB" w:rsidR="00C8247F" w:rsidRDefault="00C8247F">
      <w:pPr>
        <w:keepLines w:val="0"/>
        <w:widowControl/>
        <w:spacing w:after="0" w:line="240" w:lineRule="auto"/>
      </w:pPr>
      <w:r>
        <w:br w:type="page"/>
      </w:r>
    </w:p>
    <w:p w14:paraId="4C6476C1" w14:textId="77777777" w:rsidR="00C8247F" w:rsidRPr="00561499" w:rsidRDefault="00C8247F" w:rsidP="009332F7"/>
    <w:tbl>
      <w:tblPr>
        <w:tblStyle w:val="TableGrid"/>
        <w:tblW w:w="0" w:type="auto"/>
        <w:tblBorders>
          <w:top w:val="single" w:sz="8" w:space="0" w:color="007DA7"/>
          <w:left w:val="single" w:sz="8" w:space="0" w:color="007DA7"/>
          <w:bottom w:val="single" w:sz="8" w:space="0" w:color="007DA7"/>
          <w:right w:val="single" w:sz="8" w:space="0" w:color="007DA7"/>
          <w:insideH w:val="none" w:sz="0" w:space="0" w:color="auto"/>
          <w:insideV w:val="none" w:sz="0" w:space="0" w:color="auto"/>
        </w:tblBorders>
        <w:tblCellMar>
          <w:top w:w="227" w:type="dxa"/>
          <w:left w:w="227" w:type="dxa"/>
          <w:bottom w:w="227" w:type="dxa"/>
          <w:right w:w="227" w:type="dxa"/>
        </w:tblCellMar>
        <w:tblLook w:val="04A0" w:firstRow="1" w:lastRow="0" w:firstColumn="1" w:lastColumn="0" w:noHBand="0" w:noVBand="1"/>
      </w:tblPr>
      <w:tblGrid>
        <w:gridCol w:w="9060"/>
      </w:tblGrid>
      <w:tr w:rsidR="00221769" w:rsidRPr="00561499" w14:paraId="136F232D" w14:textId="77777777" w:rsidTr="009332F7">
        <w:tc>
          <w:tcPr>
            <w:tcW w:w="9060" w:type="dxa"/>
            <w:shd w:val="clear" w:color="auto" w:fill="auto"/>
          </w:tcPr>
          <w:p w14:paraId="39D754EC" w14:textId="65168398" w:rsidR="00F57387" w:rsidRDefault="009332F7" w:rsidP="009332F7">
            <w:pPr>
              <w:pStyle w:val="Heading5"/>
              <w:spacing w:before="200" w:after="200"/>
              <w:outlineLvl w:val="4"/>
            </w:pPr>
            <w:r>
              <w:t>Recommendation</w:t>
            </w:r>
          </w:p>
          <w:p w14:paraId="5C325EE3" w14:textId="14E1B91B" w:rsidR="00221769" w:rsidRPr="00561499" w:rsidRDefault="00221769" w:rsidP="00F57387">
            <w:r w:rsidRPr="00561499">
              <w:t xml:space="preserve">That the Recommendations of the Close the Gap Campaign Steering Committee to the 2015 Senate Finance and Public Administration References Committee Inquiry into the impact of the </w:t>
            </w:r>
            <w:proofErr w:type="spellStart"/>
            <w:r w:rsidRPr="00561499">
              <w:t>IAS</w:t>
            </w:r>
            <w:proofErr w:type="spellEnd"/>
            <w:r w:rsidRPr="00561499">
              <w:t xml:space="preserve"> tendering process</w:t>
            </w:r>
            <w:r w:rsidRPr="00561499" w:rsidDel="006E3467">
              <w:rPr>
                <w:i/>
              </w:rPr>
              <w:t xml:space="preserve"> </w:t>
            </w:r>
            <w:r w:rsidRPr="00561499">
              <w:t xml:space="preserve"> are implemented as a priority.</w:t>
            </w:r>
          </w:p>
        </w:tc>
      </w:tr>
    </w:tbl>
    <w:p w14:paraId="29A540BA" w14:textId="77777777" w:rsidR="00221769" w:rsidRPr="00561499" w:rsidRDefault="00221769" w:rsidP="007E71A4">
      <w:pPr>
        <w:autoSpaceDE w:val="0"/>
        <w:autoSpaceDN w:val="0"/>
        <w:adjustRightInd w:val="0"/>
        <w:rPr>
          <w:b/>
        </w:rPr>
      </w:pPr>
    </w:p>
    <w:p w14:paraId="3F17F35F" w14:textId="77777777" w:rsidR="00221769" w:rsidRPr="00561499" w:rsidRDefault="00221769" w:rsidP="006B25C9">
      <w:pPr>
        <w:pStyle w:val="Heading1"/>
        <w:ind w:left="851" w:hanging="851"/>
      </w:pPr>
      <w:bookmarkStart w:id="22" w:name="_Toc315703414"/>
      <w:r w:rsidRPr="00561499">
        <w:lastRenderedPageBreak/>
        <w:t>Conclusion</w:t>
      </w:r>
      <w:bookmarkEnd w:id="22"/>
    </w:p>
    <w:p w14:paraId="14E05004" w14:textId="77777777" w:rsidR="00221769" w:rsidRPr="00561499" w:rsidRDefault="00221769" w:rsidP="00EE2821">
      <w:pPr>
        <w:spacing w:before="240" w:after="240"/>
        <w:ind w:right="74"/>
      </w:pPr>
      <w:r w:rsidRPr="00561499">
        <w:t xml:space="preserve">The relatively limited progress evident against the 2030 Closing the Gap Target for life expectancy equality must be seen in context. The </w:t>
      </w:r>
      <w:r w:rsidRPr="00F57387">
        <w:rPr>
          <w:rStyle w:val="Emphasis"/>
        </w:rPr>
        <w:t>Closing the Gap Strategy</w:t>
      </w:r>
      <w:r w:rsidRPr="00561499">
        <w:t xml:space="preserve"> commenced in July 2009. Improvements to life expectancy should not have been expected to show in data from 2010–2012, and may not be evident until </w:t>
      </w:r>
      <w:r w:rsidR="00E57A63" w:rsidRPr="00561499">
        <w:t xml:space="preserve">at least </w:t>
      </w:r>
      <w:r w:rsidRPr="00561499">
        <w:t>2018.  While there is some good news to report, fundamentally the improvements in health outcomes for Aboriginal and Torres Strait Islander people must be greater than those of the rest of the population in order to achieve parity.</w:t>
      </w:r>
    </w:p>
    <w:p w14:paraId="1A19AA01" w14:textId="73D4D00D" w:rsidR="00221769" w:rsidRPr="00561499" w:rsidRDefault="00221769" w:rsidP="007E71A4">
      <w:r w:rsidRPr="00561499">
        <w:t>We are</w:t>
      </w:r>
      <w:r w:rsidR="00E57A63" w:rsidRPr="00561499">
        <w:t>,</w:t>
      </w:r>
      <w:r w:rsidRPr="00561499">
        <w:t xml:space="preserve"> however</w:t>
      </w:r>
      <w:r w:rsidR="00E57A63" w:rsidRPr="00561499">
        <w:t>,</w:t>
      </w:r>
      <w:r w:rsidRPr="00561499">
        <w:t xml:space="preserve"> seeing improvements in relation to many of the important health inputs and other areas from which better health outcomes will flow. In particular, in relation to smoking rates and infant mortality, as reported last year, but also this year in relation to the uptake of</w:t>
      </w:r>
      <w:r w:rsidR="00F57387">
        <w:t xml:space="preserve"> Closing the Gap health checks.</w:t>
      </w:r>
    </w:p>
    <w:p w14:paraId="1D7CDB5E" w14:textId="6C0ADBC8" w:rsidR="00221769" w:rsidRPr="00561499" w:rsidRDefault="00221769" w:rsidP="007E71A4">
      <w:r w:rsidRPr="00561499">
        <w:t>Achieving health equality by 2030 is an ambitious yet achievable task. It is also an agreed national priority. With</w:t>
      </w:r>
      <w:r w:rsidR="00250995" w:rsidRPr="00561499">
        <w:t xml:space="preserve"> well</w:t>
      </w:r>
      <w:r w:rsidRPr="00561499">
        <w:t xml:space="preserve"> </w:t>
      </w:r>
      <w:r w:rsidR="00250995" w:rsidRPr="00561499">
        <w:t xml:space="preserve">over </w:t>
      </w:r>
      <w:r w:rsidRPr="00561499">
        <w:t>2</w:t>
      </w:r>
      <w:r w:rsidR="00250995" w:rsidRPr="00561499">
        <w:t>0</w:t>
      </w:r>
      <w:r w:rsidRPr="00561499">
        <w:t>0,000 Australians supporting action to close the gap, it is clear that the Australian public demand that government, in partnership with Aboriginal and Torres Strait Islander people</w:t>
      </w:r>
      <w:r w:rsidR="00E84787" w:rsidRPr="00561499">
        <w:t>s</w:t>
      </w:r>
      <w:r w:rsidRPr="00561499">
        <w:t xml:space="preserve"> and their representatives, build on the close the gap platform to meet this challenge. They believe that we can and should be the generation to finally close the appalling life expectancy gap between Aboriginal and Torres Strait Islander </w:t>
      </w:r>
      <w:r w:rsidR="00F57387">
        <w:t>and non-Indigenous Australians.</w:t>
      </w:r>
    </w:p>
    <w:p w14:paraId="59F85DDE" w14:textId="5E6F5F91" w:rsidR="00221769" w:rsidRPr="00561499" w:rsidRDefault="00221769" w:rsidP="007E71A4">
      <w:r w:rsidRPr="00561499">
        <w:t xml:space="preserve">The year 2016 and the next term of the Australian Government will be critical to achieving the 2030 goal. </w:t>
      </w:r>
      <w:r w:rsidR="00E57A63" w:rsidRPr="00561499">
        <w:t xml:space="preserve">The next </w:t>
      </w:r>
      <w:r w:rsidRPr="00561499">
        <w:t xml:space="preserve">incoming government must ramp up the ambition and take further steps in building on the existing platform. In particular, the challenges of </w:t>
      </w:r>
      <w:proofErr w:type="spellStart"/>
      <w:r w:rsidRPr="00561499">
        <w:t>operationalising</w:t>
      </w:r>
      <w:proofErr w:type="spellEnd"/>
      <w:r w:rsidRPr="00561499">
        <w:t xml:space="preserve"> the </w:t>
      </w:r>
      <w:r w:rsidR="009332F7" w:rsidRPr="00F57387">
        <w:rPr>
          <w:rStyle w:val="Emphasis"/>
        </w:rPr>
        <w:t xml:space="preserve">Implementation Plan </w:t>
      </w:r>
      <w:r w:rsidR="009332F7">
        <w:rPr>
          <w:rStyle w:val="Emphasis"/>
        </w:rPr>
        <w:t xml:space="preserve">for the </w:t>
      </w:r>
      <w:r w:rsidRPr="00F57387">
        <w:rPr>
          <w:rStyle w:val="Emphasis"/>
        </w:rPr>
        <w:t>National Aboriginal and Torres Strait Islander Health Plan</w:t>
      </w:r>
      <w:r w:rsidRPr="00561499">
        <w:t xml:space="preserve">, the work of the Primary Health Networks and reinvigorating the </w:t>
      </w:r>
      <w:r w:rsidRPr="00F57387">
        <w:rPr>
          <w:rStyle w:val="Emphasis"/>
        </w:rPr>
        <w:t>Closing the Gap Strategy</w:t>
      </w:r>
      <w:r w:rsidRPr="00561499">
        <w:t xml:space="preserve"> remain key tests of our nation</w:t>
      </w:r>
      <w:r w:rsidR="00E57A63" w:rsidRPr="00561499">
        <w:t>’</w:t>
      </w:r>
      <w:r w:rsidRPr="00561499">
        <w:t>s intergenerational will and commitment to Aboriginal and Torres Strait Islander people</w:t>
      </w:r>
      <w:r w:rsidR="00E84787" w:rsidRPr="00561499">
        <w:t>s</w:t>
      </w:r>
      <w:r w:rsidRPr="00561499">
        <w:t xml:space="preserve"> and their health and wellbeing.</w:t>
      </w:r>
    </w:p>
    <w:p w14:paraId="2835FABF" w14:textId="77777777" w:rsidR="00221769" w:rsidRPr="00561499" w:rsidRDefault="00221769" w:rsidP="007E71A4"/>
    <w:p w14:paraId="33B7ED27" w14:textId="779E848F" w:rsidR="00221769" w:rsidRPr="00561499" w:rsidRDefault="00221769" w:rsidP="00CB6FE1">
      <w:pPr>
        <w:pStyle w:val="Heading1"/>
        <w:ind w:left="851" w:hanging="851"/>
        <w:rPr>
          <w:lang w:val="en-AU"/>
        </w:rPr>
      </w:pPr>
      <w:bookmarkStart w:id="23" w:name="_Toc315703415"/>
      <w:bookmarkEnd w:id="20"/>
      <w:r w:rsidRPr="00561499">
        <w:rPr>
          <w:lang w:val="en-AU"/>
        </w:rPr>
        <w:lastRenderedPageBreak/>
        <w:t>Who we are</w:t>
      </w:r>
      <w:bookmarkEnd w:id="23"/>
    </w:p>
    <w:p w14:paraId="54F21B26" w14:textId="17505A5D" w:rsidR="00221769" w:rsidRPr="003E2E6A" w:rsidRDefault="00221769" w:rsidP="00F57387">
      <w:pPr>
        <w:ind w:right="576"/>
        <w:rPr>
          <w:rFonts w:cs="Calibri"/>
          <w:szCs w:val="24"/>
        </w:rPr>
      </w:pPr>
      <w:r w:rsidRPr="003E2E6A">
        <w:rPr>
          <w:rFonts w:cs="Calibri"/>
          <w:szCs w:val="24"/>
        </w:rPr>
        <w:t xml:space="preserve">Australia's peak Aboriginal and Torres Strait Islander and non-Indigenous health bodies, health professional bodies and human rights </w:t>
      </w:r>
      <w:proofErr w:type="spellStart"/>
      <w:r w:rsidRPr="003E2E6A">
        <w:rPr>
          <w:rFonts w:cs="Calibri"/>
          <w:szCs w:val="24"/>
        </w:rPr>
        <w:t>organisations</w:t>
      </w:r>
      <w:proofErr w:type="spellEnd"/>
      <w:r w:rsidRPr="003E2E6A">
        <w:rPr>
          <w:rFonts w:cs="Calibri"/>
          <w:szCs w:val="24"/>
        </w:rPr>
        <w:t xml:space="preserve"> operate the Close the Gap Campaign.  The Campaign's goal is to raise the health and life expectancy of Aboriginal and Torres Strait Islander people to that of the non-Indigenous population within a generation: to close the gap by 2030. It aims to do this through the implementation of a human rights-based approach set out in the Aboriginal and Torres Strait Islander Social Justice Commissioner's </w:t>
      </w:r>
      <w:r w:rsidRPr="003E2E6A">
        <w:rPr>
          <w:rStyle w:val="Emphasis"/>
          <w:szCs w:val="24"/>
        </w:rPr>
        <w:t>Social Justice Report 2005</w:t>
      </w:r>
      <w:r w:rsidRPr="003E2E6A">
        <w:rPr>
          <w:rFonts w:cs="Calibri"/>
          <w:szCs w:val="24"/>
        </w:rPr>
        <w:t>.</w:t>
      </w:r>
      <w:r w:rsidRPr="003E2E6A">
        <w:rPr>
          <w:rFonts w:cs="Calibri"/>
          <w:szCs w:val="24"/>
          <w:vertAlign w:val="superscript"/>
        </w:rPr>
        <w:endnoteReference w:id="225"/>
      </w:r>
    </w:p>
    <w:p w14:paraId="460043D2" w14:textId="2DE943BD" w:rsidR="00454440" w:rsidRPr="003E2E6A" w:rsidRDefault="00221769" w:rsidP="00454440">
      <w:pPr>
        <w:ind w:right="360"/>
        <w:rPr>
          <w:rFonts w:cs="Calibri"/>
          <w:szCs w:val="24"/>
        </w:rPr>
      </w:pPr>
      <w:r w:rsidRPr="003E2E6A">
        <w:rPr>
          <w:rFonts w:cs="Calibri"/>
          <w:szCs w:val="24"/>
        </w:rPr>
        <w:t>The Close the Gap Campaign</w:t>
      </w:r>
      <w:r w:rsidR="00E57A63" w:rsidRPr="003E2E6A">
        <w:rPr>
          <w:rFonts w:cs="Calibri"/>
          <w:szCs w:val="24"/>
        </w:rPr>
        <w:t xml:space="preserve"> Steering Committee</w:t>
      </w:r>
      <w:r w:rsidRPr="003E2E6A">
        <w:rPr>
          <w:rFonts w:cs="Calibri"/>
          <w:szCs w:val="24"/>
        </w:rPr>
        <w:t xml:space="preserve"> first met in March 2006. Our patrons, Catherine Freeman </w:t>
      </w:r>
      <w:proofErr w:type="spellStart"/>
      <w:r w:rsidRPr="003E2E6A">
        <w:rPr>
          <w:rFonts w:cs="Calibri"/>
          <w:szCs w:val="24"/>
        </w:rPr>
        <w:t>OAM</w:t>
      </w:r>
      <w:proofErr w:type="spellEnd"/>
      <w:r w:rsidRPr="003E2E6A">
        <w:rPr>
          <w:rFonts w:cs="Calibri"/>
          <w:szCs w:val="24"/>
        </w:rPr>
        <w:t xml:space="preserve"> and </w:t>
      </w:r>
      <w:proofErr w:type="spellStart"/>
      <w:r w:rsidRPr="003E2E6A">
        <w:rPr>
          <w:rFonts w:cs="Calibri"/>
          <w:szCs w:val="24"/>
        </w:rPr>
        <w:t>lan</w:t>
      </w:r>
      <w:proofErr w:type="spellEnd"/>
      <w:r w:rsidRPr="003E2E6A">
        <w:rPr>
          <w:rFonts w:cs="Calibri"/>
          <w:szCs w:val="24"/>
        </w:rPr>
        <w:t xml:space="preserve"> Thorpe </w:t>
      </w:r>
      <w:proofErr w:type="spellStart"/>
      <w:r w:rsidRPr="003E2E6A">
        <w:rPr>
          <w:rFonts w:cs="Calibri"/>
          <w:szCs w:val="24"/>
        </w:rPr>
        <w:t>OAM</w:t>
      </w:r>
      <w:proofErr w:type="spellEnd"/>
      <w:r w:rsidRPr="003E2E6A">
        <w:rPr>
          <w:rFonts w:cs="Calibri"/>
          <w:szCs w:val="24"/>
        </w:rPr>
        <w:t xml:space="preserve">, launched the </w:t>
      </w:r>
      <w:r w:rsidR="00E57A63" w:rsidRPr="003E2E6A">
        <w:rPr>
          <w:rFonts w:cs="Calibri"/>
          <w:szCs w:val="24"/>
        </w:rPr>
        <w:t>C</w:t>
      </w:r>
      <w:r w:rsidRPr="003E2E6A">
        <w:rPr>
          <w:rFonts w:cs="Calibri"/>
          <w:szCs w:val="24"/>
        </w:rPr>
        <w:t>ampaign in April 2007. To date, almost 200,000 Australians have formally pledged their support.</w:t>
      </w:r>
      <w:r w:rsidRPr="003E2E6A">
        <w:rPr>
          <w:rFonts w:cs="Calibri"/>
          <w:szCs w:val="24"/>
          <w:vertAlign w:val="superscript"/>
        </w:rPr>
        <w:endnoteReference w:id="226"/>
      </w:r>
    </w:p>
    <w:p w14:paraId="33D7DF17" w14:textId="6D63358E" w:rsidR="00454440" w:rsidRPr="003E2E6A" w:rsidRDefault="00454440" w:rsidP="00EE41C4">
      <w:pPr>
        <w:ind w:right="360"/>
        <w:rPr>
          <w:rFonts w:cs="Calibri"/>
          <w:szCs w:val="24"/>
        </w:rPr>
      </w:pPr>
      <w:r w:rsidRPr="003E2E6A">
        <w:rPr>
          <w:rFonts w:cs="Calibri"/>
          <w:szCs w:val="24"/>
        </w:rPr>
        <w:t>The Close the Gap Campaign</w:t>
      </w:r>
      <w:r w:rsidR="00EE41C4" w:rsidRPr="003E2E6A">
        <w:rPr>
          <w:rFonts w:cs="Calibri"/>
          <w:szCs w:val="24"/>
        </w:rPr>
        <w:t xml:space="preserve"> is a growing national movement. </w:t>
      </w:r>
      <w:r w:rsidR="006A68DD" w:rsidRPr="003E2E6A">
        <w:rPr>
          <w:szCs w:val="24"/>
        </w:rPr>
        <w:t xml:space="preserve">In 2007 the first National Close the Gap Day was held. It involved five large State events and more than 300 community events. National Close the Gap Day has become an annual event since 2009. Australians across every state and territory participate in this event. Health services, schools, businesses, hospitals, government departments, ambulance services, non-government </w:t>
      </w:r>
      <w:proofErr w:type="spellStart"/>
      <w:r w:rsidR="006A68DD" w:rsidRPr="003E2E6A">
        <w:rPr>
          <w:szCs w:val="24"/>
        </w:rPr>
        <w:t>organisations</w:t>
      </w:r>
      <w:proofErr w:type="spellEnd"/>
      <w:r w:rsidR="006A68DD" w:rsidRPr="003E2E6A">
        <w:rPr>
          <w:szCs w:val="24"/>
        </w:rPr>
        <w:t xml:space="preserve"> and others hold events to raise awareness and show support for the Campaign and its goals. Reflecting the importance of the Campaign to nation, it has become the largest and highest profile Aboriginal and Torres Strait Islander health event in the country. On National Close the Gap Day in 201</w:t>
      </w:r>
      <w:r w:rsidR="006338C1" w:rsidRPr="003E2E6A">
        <w:rPr>
          <w:szCs w:val="24"/>
        </w:rPr>
        <w:t>5</w:t>
      </w:r>
      <w:r w:rsidR="00FB0D9D" w:rsidRPr="003E2E6A">
        <w:rPr>
          <w:szCs w:val="24"/>
        </w:rPr>
        <w:t>,</w:t>
      </w:r>
      <w:r w:rsidR="006A68DD" w:rsidRPr="003E2E6A">
        <w:rPr>
          <w:szCs w:val="24"/>
        </w:rPr>
        <w:t xml:space="preserve"> </w:t>
      </w:r>
      <w:r w:rsidR="006338C1" w:rsidRPr="003E2E6A">
        <w:rPr>
          <w:szCs w:val="24"/>
        </w:rPr>
        <w:t xml:space="preserve">nearly </w:t>
      </w:r>
      <w:r w:rsidR="006A68DD" w:rsidRPr="003E2E6A">
        <w:rPr>
          <w:szCs w:val="24"/>
        </w:rPr>
        <w:t>1,</w:t>
      </w:r>
      <w:r w:rsidR="006338C1" w:rsidRPr="003E2E6A">
        <w:rPr>
          <w:szCs w:val="24"/>
        </w:rPr>
        <w:t>5</w:t>
      </w:r>
      <w:r w:rsidR="00FA0781" w:rsidRPr="003E2E6A">
        <w:rPr>
          <w:szCs w:val="24"/>
        </w:rPr>
        <w:t>96</w:t>
      </w:r>
      <w:r w:rsidR="006A68DD" w:rsidRPr="003E2E6A">
        <w:rPr>
          <w:szCs w:val="24"/>
        </w:rPr>
        <w:t xml:space="preserve"> community events were held involving approximately 150,000 Australians.</w:t>
      </w:r>
    </w:p>
    <w:p w14:paraId="7B9650B1" w14:textId="77777777" w:rsidR="00454440" w:rsidRPr="003E2E6A" w:rsidRDefault="00454440" w:rsidP="00454440">
      <w:pPr>
        <w:spacing w:before="240" w:after="240"/>
        <w:rPr>
          <w:rFonts w:cs="Calibri"/>
          <w:szCs w:val="24"/>
        </w:rPr>
      </w:pPr>
      <w:r w:rsidRPr="003E2E6A">
        <w:rPr>
          <w:rFonts w:cs="Calibri"/>
          <w:szCs w:val="24"/>
          <w:lang w:eastAsia="en-AU"/>
        </w:rPr>
        <w:t>The current members of the Close the Gap Campaign are</w:t>
      </w:r>
      <w:r w:rsidRPr="003E2E6A">
        <w:rPr>
          <w:rFonts w:cs="Calibri"/>
          <w:szCs w:val="24"/>
        </w:rPr>
        <w:t>:</w:t>
      </w:r>
    </w:p>
    <w:p w14:paraId="50A28040" w14:textId="77777777" w:rsidR="00454440" w:rsidRPr="00561499" w:rsidRDefault="00917CCE" w:rsidP="00F57387">
      <w:pPr>
        <w:pStyle w:val="Heading5"/>
      </w:pPr>
      <w:r w:rsidRPr="00561499">
        <w:t>C</w:t>
      </w:r>
      <w:r w:rsidR="00454440" w:rsidRPr="00561499">
        <w:t>hairs</w:t>
      </w:r>
    </w:p>
    <w:p w14:paraId="051EEB19" w14:textId="77777777" w:rsidR="00FA0781" w:rsidRPr="00561499" w:rsidRDefault="00454440" w:rsidP="00FA0781">
      <w:pPr>
        <w:numPr>
          <w:ilvl w:val="0"/>
          <w:numId w:val="19"/>
        </w:numPr>
        <w:ind w:left="714" w:right="144" w:hanging="357"/>
        <w:contextualSpacing/>
        <w:rPr>
          <w:rFonts w:cs="Calibri"/>
        </w:rPr>
      </w:pPr>
      <w:proofErr w:type="spellStart"/>
      <w:r w:rsidRPr="00561499">
        <w:rPr>
          <w:rFonts w:cs="Calibri"/>
        </w:rPr>
        <w:t>Mr</w:t>
      </w:r>
      <w:proofErr w:type="spellEnd"/>
      <w:r w:rsidRPr="00561499">
        <w:rPr>
          <w:rFonts w:cs="Calibri"/>
        </w:rPr>
        <w:t xml:space="preserve"> Mick </w:t>
      </w:r>
      <w:proofErr w:type="spellStart"/>
      <w:r w:rsidRPr="00561499">
        <w:rPr>
          <w:rFonts w:cs="Calibri"/>
        </w:rPr>
        <w:t>Gooda</w:t>
      </w:r>
      <w:proofErr w:type="spellEnd"/>
      <w:r w:rsidRPr="00561499">
        <w:rPr>
          <w:rFonts w:cs="Calibri"/>
        </w:rPr>
        <w:t>, Aboriginal and Torres Strait Islander Social Justice Commissioner, Australian Human Rights Commission</w:t>
      </w:r>
    </w:p>
    <w:p w14:paraId="38C43AEB" w14:textId="5B941D0F" w:rsidR="00EE41C4" w:rsidRDefault="00FA0781" w:rsidP="00C86B5A">
      <w:pPr>
        <w:numPr>
          <w:ilvl w:val="0"/>
          <w:numId w:val="19"/>
        </w:numPr>
        <w:ind w:left="714" w:right="144" w:hanging="357"/>
        <w:contextualSpacing/>
        <w:rPr>
          <w:rFonts w:cs="Calibri"/>
        </w:rPr>
      </w:pPr>
      <w:proofErr w:type="spellStart"/>
      <w:r w:rsidRPr="00561499">
        <w:rPr>
          <w:rFonts w:cs="Calibri"/>
        </w:rPr>
        <w:t>Dr</w:t>
      </w:r>
      <w:proofErr w:type="spellEnd"/>
      <w:r w:rsidRPr="00561499">
        <w:rPr>
          <w:rFonts w:cs="Calibri"/>
        </w:rPr>
        <w:t xml:space="preserve"> Jackie Huggins</w:t>
      </w:r>
      <w:r w:rsidR="0086418F" w:rsidRPr="00561499">
        <w:rPr>
          <w:rFonts w:cs="Calibri"/>
        </w:rPr>
        <w:t>, Co-C</w:t>
      </w:r>
      <w:r w:rsidR="00917CCE" w:rsidRPr="00561499">
        <w:rPr>
          <w:rFonts w:cs="Calibri"/>
        </w:rPr>
        <w:t xml:space="preserve">hair for the </w:t>
      </w:r>
      <w:r w:rsidR="0086418F" w:rsidRPr="00561499">
        <w:rPr>
          <w:rFonts w:cs="Calibri"/>
        </w:rPr>
        <w:t>National Congress of Australia’s First Peoples</w:t>
      </w:r>
    </w:p>
    <w:p w14:paraId="5C2BA609" w14:textId="118D7C17" w:rsidR="00C86B5A" w:rsidRDefault="00C86B5A">
      <w:pPr>
        <w:keepLines w:val="0"/>
        <w:widowControl/>
        <w:spacing w:after="0" w:line="240" w:lineRule="auto"/>
      </w:pPr>
      <w:r>
        <w:br w:type="page"/>
      </w:r>
    </w:p>
    <w:p w14:paraId="7BDE4981" w14:textId="77777777" w:rsidR="00C86B5A" w:rsidRPr="00C86B5A" w:rsidRDefault="00C86B5A" w:rsidP="00C86B5A"/>
    <w:p w14:paraId="1045BBAF" w14:textId="120A8605" w:rsidR="00092F72" w:rsidRPr="00561499" w:rsidRDefault="00454440" w:rsidP="00F57387">
      <w:pPr>
        <w:pStyle w:val="Heading5"/>
        <w:rPr>
          <w:rFonts w:cs="Arial"/>
        </w:rPr>
      </w:pPr>
      <w:r w:rsidRPr="00561499">
        <w:t>Members</w:t>
      </w:r>
    </w:p>
    <w:p w14:paraId="5E3DD8D4" w14:textId="77777777" w:rsidR="00DB5054" w:rsidRPr="00561499" w:rsidRDefault="00DB5054" w:rsidP="00DB5054">
      <w:pPr>
        <w:numPr>
          <w:ilvl w:val="0"/>
          <w:numId w:val="21"/>
        </w:numPr>
        <w:tabs>
          <w:tab w:val="num" w:pos="720"/>
        </w:tabs>
        <w:contextualSpacing/>
        <w:rPr>
          <w:rFonts w:cs="Arial"/>
          <w:lang w:val="en-AU"/>
        </w:rPr>
      </w:pPr>
      <w:r w:rsidRPr="00561499">
        <w:rPr>
          <w:rFonts w:cs="Arial"/>
          <w:lang w:val="en-AU"/>
        </w:rPr>
        <w:t>Aboriginal and Torres Strait Islander Healing Foundation</w:t>
      </w:r>
    </w:p>
    <w:p w14:paraId="05B415F6" w14:textId="77777777" w:rsidR="006E5B55" w:rsidRPr="00561499" w:rsidRDefault="006E5B55" w:rsidP="00DB5054">
      <w:pPr>
        <w:numPr>
          <w:ilvl w:val="0"/>
          <w:numId w:val="21"/>
        </w:numPr>
        <w:tabs>
          <w:tab w:val="num" w:pos="720"/>
        </w:tabs>
        <w:contextualSpacing/>
        <w:rPr>
          <w:rFonts w:cs="Arial"/>
          <w:lang w:val="en-AU"/>
        </w:rPr>
      </w:pPr>
      <w:r w:rsidRPr="00561499">
        <w:t>Aboriginal Health and Medical Research Council of New South Wales</w:t>
      </w:r>
    </w:p>
    <w:p w14:paraId="68BB22C8" w14:textId="77777777" w:rsidR="00480D72" w:rsidRPr="00561499" w:rsidRDefault="00480D72" w:rsidP="00F57387">
      <w:pPr>
        <w:numPr>
          <w:ilvl w:val="0"/>
          <w:numId w:val="21"/>
        </w:numPr>
        <w:spacing w:after="0"/>
        <w:ind w:left="714" w:hanging="357"/>
        <w:contextualSpacing/>
        <w:rPr>
          <w:rFonts w:cs="Arial"/>
          <w:lang w:val="en-AU"/>
        </w:rPr>
      </w:pPr>
      <w:r w:rsidRPr="00561499">
        <w:rPr>
          <w:rFonts w:cs="Arial"/>
          <w:lang w:val="en-AU"/>
        </w:rPr>
        <w:t>Australian Healthcare and Hospitals Association</w:t>
      </w:r>
    </w:p>
    <w:p w14:paraId="6E323722" w14:textId="77777777" w:rsidR="00480D72" w:rsidRPr="00561499" w:rsidRDefault="00480D72" w:rsidP="00F57387">
      <w:pPr>
        <w:pStyle w:val="ListParagraph"/>
        <w:numPr>
          <w:ilvl w:val="0"/>
          <w:numId w:val="21"/>
        </w:numPr>
        <w:spacing w:after="0"/>
        <w:ind w:left="714" w:hanging="357"/>
        <w:rPr>
          <w:rFonts w:cs="Arial"/>
          <w:lang w:val="en-AU"/>
        </w:rPr>
      </w:pPr>
      <w:r w:rsidRPr="00561499">
        <w:rPr>
          <w:rFonts w:cs="Arial"/>
          <w:lang w:val="en-AU"/>
        </w:rPr>
        <w:t>Aboriginal Health Council of South Australia</w:t>
      </w:r>
    </w:p>
    <w:p w14:paraId="177A0372" w14:textId="77777777" w:rsidR="00DB5054" w:rsidRPr="00561499" w:rsidRDefault="00DB5054" w:rsidP="00DB5054">
      <w:pPr>
        <w:numPr>
          <w:ilvl w:val="0"/>
          <w:numId w:val="21"/>
        </w:numPr>
        <w:tabs>
          <w:tab w:val="num" w:pos="720"/>
        </w:tabs>
        <w:contextualSpacing/>
        <w:rPr>
          <w:rFonts w:cs="Arial"/>
          <w:lang w:val="en-AU"/>
        </w:rPr>
      </w:pPr>
      <w:proofErr w:type="spellStart"/>
      <w:r w:rsidRPr="00561499">
        <w:rPr>
          <w:rFonts w:cs="Arial"/>
          <w:lang w:val="en-AU"/>
        </w:rPr>
        <w:t>ANTaR</w:t>
      </w:r>
      <w:proofErr w:type="spellEnd"/>
    </w:p>
    <w:p w14:paraId="3EE2FC10" w14:textId="77777777" w:rsidR="00DB5054" w:rsidRPr="00561499" w:rsidRDefault="00DB5054" w:rsidP="00DB5054">
      <w:pPr>
        <w:numPr>
          <w:ilvl w:val="0"/>
          <w:numId w:val="21"/>
        </w:numPr>
        <w:tabs>
          <w:tab w:val="num" w:pos="720"/>
        </w:tabs>
        <w:contextualSpacing/>
        <w:rPr>
          <w:rFonts w:cs="Arial"/>
          <w:lang w:val="en-AU"/>
        </w:rPr>
      </w:pPr>
      <w:r w:rsidRPr="00561499">
        <w:rPr>
          <w:rFonts w:cs="Arial"/>
          <w:lang w:val="en-AU"/>
        </w:rPr>
        <w:t>Australian College of Midwives</w:t>
      </w:r>
    </w:p>
    <w:p w14:paraId="24ECCEE0" w14:textId="77777777" w:rsidR="00DB5054" w:rsidRPr="00561499" w:rsidRDefault="00DB5054" w:rsidP="00DB5054">
      <w:pPr>
        <w:numPr>
          <w:ilvl w:val="0"/>
          <w:numId w:val="21"/>
        </w:numPr>
        <w:tabs>
          <w:tab w:val="num" w:pos="720"/>
        </w:tabs>
        <w:contextualSpacing/>
        <w:rPr>
          <w:rFonts w:cs="Arial"/>
          <w:lang w:val="en-AU"/>
        </w:rPr>
      </w:pPr>
      <w:r w:rsidRPr="00561499">
        <w:rPr>
          <w:rFonts w:cs="Arial"/>
          <w:lang w:val="en-AU"/>
        </w:rPr>
        <w:t>Australian College of Nursing</w:t>
      </w:r>
    </w:p>
    <w:p w14:paraId="2BC931C8" w14:textId="77777777" w:rsidR="00DB5054" w:rsidRPr="00561499" w:rsidRDefault="00DB5054" w:rsidP="00DB5054">
      <w:pPr>
        <w:numPr>
          <w:ilvl w:val="0"/>
          <w:numId w:val="21"/>
        </w:numPr>
        <w:tabs>
          <w:tab w:val="num" w:pos="720"/>
        </w:tabs>
        <w:contextualSpacing/>
        <w:rPr>
          <w:rFonts w:cs="Arial"/>
          <w:lang w:val="en-AU"/>
        </w:rPr>
      </w:pPr>
      <w:r w:rsidRPr="00561499">
        <w:rPr>
          <w:rFonts w:cs="Arial"/>
          <w:lang w:val="en-AU"/>
        </w:rPr>
        <w:t>Australian Human Rights Commission (Secretariat)</w:t>
      </w:r>
    </w:p>
    <w:p w14:paraId="6087874B" w14:textId="77777777" w:rsidR="00DB5054" w:rsidRPr="00561499" w:rsidRDefault="00DB5054" w:rsidP="00DB5054">
      <w:pPr>
        <w:numPr>
          <w:ilvl w:val="0"/>
          <w:numId w:val="21"/>
        </w:numPr>
        <w:tabs>
          <w:tab w:val="num" w:pos="720"/>
        </w:tabs>
        <w:contextualSpacing/>
        <w:rPr>
          <w:rFonts w:cs="Arial"/>
          <w:lang w:val="en-AU"/>
        </w:rPr>
      </w:pPr>
      <w:r w:rsidRPr="00561499">
        <w:rPr>
          <w:rFonts w:cs="Arial"/>
          <w:lang w:val="en-AU"/>
        </w:rPr>
        <w:t>Australian Indigenous Doctors' Association</w:t>
      </w:r>
    </w:p>
    <w:p w14:paraId="4A5E2695" w14:textId="77777777" w:rsidR="00DB5054" w:rsidRPr="00561499" w:rsidRDefault="00DB5054" w:rsidP="00DB5054">
      <w:pPr>
        <w:numPr>
          <w:ilvl w:val="0"/>
          <w:numId w:val="21"/>
        </w:numPr>
        <w:tabs>
          <w:tab w:val="num" w:pos="720"/>
        </w:tabs>
        <w:contextualSpacing/>
        <w:rPr>
          <w:rFonts w:cs="Arial"/>
          <w:lang w:val="en-AU"/>
        </w:rPr>
      </w:pPr>
      <w:r w:rsidRPr="00561499">
        <w:rPr>
          <w:rFonts w:cs="Arial"/>
          <w:lang w:val="en-AU"/>
        </w:rPr>
        <w:t>Australian Indigenous Psychologists’ Association</w:t>
      </w:r>
    </w:p>
    <w:p w14:paraId="18FAEFE8" w14:textId="77777777" w:rsidR="00DB5054" w:rsidRPr="00561499" w:rsidRDefault="00DB5054" w:rsidP="00DB5054">
      <w:pPr>
        <w:numPr>
          <w:ilvl w:val="0"/>
          <w:numId w:val="21"/>
        </w:numPr>
        <w:tabs>
          <w:tab w:val="num" w:pos="720"/>
        </w:tabs>
        <w:contextualSpacing/>
        <w:rPr>
          <w:rFonts w:cs="Arial"/>
          <w:lang w:val="en-AU"/>
        </w:rPr>
      </w:pPr>
      <w:r w:rsidRPr="00561499">
        <w:rPr>
          <w:rFonts w:cs="Arial"/>
          <w:lang w:val="en-AU"/>
        </w:rPr>
        <w:t>Australian Medical Association</w:t>
      </w:r>
    </w:p>
    <w:p w14:paraId="6DD25F96" w14:textId="77777777" w:rsidR="00DB5054" w:rsidRPr="00561499" w:rsidRDefault="00DB5054" w:rsidP="00DB5054">
      <w:pPr>
        <w:numPr>
          <w:ilvl w:val="0"/>
          <w:numId w:val="21"/>
        </w:numPr>
        <w:tabs>
          <w:tab w:val="num" w:pos="720"/>
        </w:tabs>
        <w:contextualSpacing/>
        <w:rPr>
          <w:rFonts w:cs="Arial"/>
          <w:lang w:val="en-AU"/>
        </w:rPr>
      </w:pPr>
      <w:r w:rsidRPr="00561499">
        <w:rPr>
          <w:rFonts w:cs="Arial"/>
          <w:lang w:val="en-AU"/>
        </w:rPr>
        <w:t>Australian Physiotherapy Association</w:t>
      </w:r>
    </w:p>
    <w:p w14:paraId="3AA9E232" w14:textId="77777777" w:rsidR="00DB5054" w:rsidRPr="00561499" w:rsidRDefault="00DB5054" w:rsidP="00DB5054">
      <w:pPr>
        <w:numPr>
          <w:ilvl w:val="0"/>
          <w:numId w:val="21"/>
        </w:numPr>
        <w:tabs>
          <w:tab w:val="num" w:pos="720"/>
        </w:tabs>
        <w:contextualSpacing/>
        <w:rPr>
          <w:rFonts w:cs="Arial"/>
          <w:lang w:val="en-AU"/>
        </w:rPr>
      </w:pPr>
      <w:r w:rsidRPr="00561499">
        <w:rPr>
          <w:rFonts w:cs="Arial"/>
          <w:lang w:val="en-AU"/>
        </w:rPr>
        <w:t>Australian Student and Novice Nurse Association</w:t>
      </w:r>
    </w:p>
    <w:p w14:paraId="225776CD" w14:textId="77777777" w:rsidR="00DB5054" w:rsidRPr="00561499" w:rsidRDefault="00DB5054" w:rsidP="00DB5054">
      <w:pPr>
        <w:numPr>
          <w:ilvl w:val="0"/>
          <w:numId w:val="21"/>
        </w:numPr>
        <w:tabs>
          <w:tab w:val="num" w:pos="720"/>
        </w:tabs>
        <w:contextualSpacing/>
        <w:rPr>
          <w:rFonts w:cs="Arial"/>
          <w:lang w:val="en-AU"/>
        </w:rPr>
      </w:pPr>
      <w:proofErr w:type="spellStart"/>
      <w:r w:rsidRPr="00561499">
        <w:rPr>
          <w:rFonts w:cs="Arial"/>
          <w:lang w:val="en-AU"/>
        </w:rPr>
        <w:t>beyondblue</w:t>
      </w:r>
      <w:proofErr w:type="spellEnd"/>
    </w:p>
    <w:p w14:paraId="107559C3" w14:textId="77777777" w:rsidR="00DB5054" w:rsidRPr="00561499" w:rsidRDefault="00DB5054" w:rsidP="00DB5054">
      <w:pPr>
        <w:numPr>
          <w:ilvl w:val="0"/>
          <w:numId w:val="21"/>
        </w:numPr>
        <w:tabs>
          <w:tab w:val="num" w:pos="720"/>
        </w:tabs>
        <w:contextualSpacing/>
        <w:rPr>
          <w:rFonts w:cs="Arial"/>
          <w:lang w:val="en-AU"/>
        </w:rPr>
      </w:pPr>
      <w:r w:rsidRPr="00561499">
        <w:rPr>
          <w:rFonts w:cs="Arial"/>
          <w:lang w:val="en-AU"/>
        </w:rPr>
        <w:t>Congress of Aboriginal and Torres Strait Islander Nurses and Midwives</w:t>
      </w:r>
    </w:p>
    <w:p w14:paraId="010145AA" w14:textId="77777777" w:rsidR="00DB5054" w:rsidRPr="00561499" w:rsidRDefault="00DB5054" w:rsidP="00DB5054">
      <w:pPr>
        <w:numPr>
          <w:ilvl w:val="0"/>
          <w:numId w:val="21"/>
        </w:numPr>
        <w:tabs>
          <w:tab w:val="num" w:pos="720"/>
        </w:tabs>
        <w:contextualSpacing/>
        <w:rPr>
          <w:rFonts w:cs="Arial"/>
          <w:lang w:val="en-AU"/>
        </w:rPr>
      </w:pPr>
      <w:proofErr w:type="spellStart"/>
      <w:r w:rsidRPr="00561499">
        <w:rPr>
          <w:rFonts w:cs="Arial"/>
          <w:lang w:val="en-AU"/>
        </w:rPr>
        <w:t>CRANA</w:t>
      </w:r>
      <w:proofErr w:type="spellEnd"/>
      <w:r w:rsidRPr="00F57387">
        <w:rPr>
          <w:rStyle w:val="Emphasis"/>
        </w:rPr>
        <w:t>plus</w:t>
      </w:r>
    </w:p>
    <w:p w14:paraId="28DA4A99" w14:textId="77777777" w:rsidR="00DB5054" w:rsidRPr="00561499" w:rsidRDefault="00DB5054" w:rsidP="00F57387">
      <w:pPr>
        <w:numPr>
          <w:ilvl w:val="0"/>
          <w:numId w:val="21"/>
        </w:numPr>
        <w:tabs>
          <w:tab w:val="num" w:pos="720"/>
        </w:tabs>
        <w:spacing w:after="0"/>
        <w:ind w:left="714" w:hanging="357"/>
        <w:contextualSpacing/>
        <w:rPr>
          <w:rFonts w:cs="Arial"/>
          <w:lang w:val="en-AU"/>
        </w:rPr>
      </w:pPr>
      <w:r w:rsidRPr="00561499">
        <w:rPr>
          <w:rFonts w:cs="Arial"/>
          <w:lang w:val="en-AU"/>
        </w:rPr>
        <w:t>Expert Adviser – alcohol and other drugs (Pat Dudgeon)</w:t>
      </w:r>
    </w:p>
    <w:p w14:paraId="169CB28C" w14:textId="616A5E0A" w:rsidR="00CB6FE1" w:rsidRPr="00F57387" w:rsidRDefault="00CB6FE1" w:rsidP="00F57387">
      <w:pPr>
        <w:pStyle w:val="ListParagraph"/>
        <w:numPr>
          <w:ilvl w:val="0"/>
          <w:numId w:val="21"/>
        </w:numPr>
        <w:spacing w:after="0"/>
        <w:ind w:left="714" w:hanging="357"/>
        <w:rPr>
          <w:rFonts w:cs="Arial"/>
          <w:lang w:val="en-AU"/>
        </w:rPr>
      </w:pPr>
      <w:r w:rsidRPr="00561499">
        <w:rPr>
          <w:rFonts w:cs="Arial"/>
          <w:lang w:val="en-AU"/>
        </w:rPr>
        <w:t>Expert Adviser – epidemiology and public health (Ian Ring)</w:t>
      </w:r>
    </w:p>
    <w:p w14:paraId="596CA021" w14:textId="77777777" w:rsidR="00DB5054" w:rsidRPr="00561499" w:rsidRDefault="00DB5054" w:rsidP="00DB5054">
      <w:pPr>
        <w:numPr>
          <w:ilvl w:val="0"/>
          <w:numId w:val="21"/>
        </w:numPr>
        <w:tabs>
          <w:tab w:val="num" w:pos="720"/>
        </w:tabs>
        <w:contextualSpacing/>
        <w:rPr>
          <w:rFonts w:cs="Arial"/>
          <w:lang w:val="en-AU"/>
        </w:rPr>
      </w:pPr>
      <w:r w:rsidRPr="00561499">
        <w:rPr>
          <w:rFonts w:cs="Arial"/>
          <w:lang w:val="en-AU"/>
        </w:rPr>
        <w:t>Expert Adviser – mental health and social and emotional wellbeing (National Aboriginal and Torres Strait Islander Leadership in Mental Health) (Ted Wilkes)</w:t>
      </w:r>
    </w:p>
    <w:p w14:paraId="606C4056" w14:textId="77777777" w:rsidR="00DB5054" w:rsidRPr="00561499" w:rsidRDefault="00DB5054" w:rsidP="00DB5054">
      <w:pPr>
        <w:numPr>
          <w:ilvl w:val="0"/>
          <w:numId w:val="21"/>
        </w:numPr>
        <w:tabs>
          <w:tab w:val="num" w:pos="720"/>
        </w:tabs>
        <w:contextualSpacing/>
        <w:rPr>
          <w:rFonts w:cs="Arial"/>
          <w:lang w:val="en-AU"/>
        </w:rPr>
      </w:pPr>
      <w:r w:rsidRPr="00561499">
        <w:rPr>
          <w:rFonts w:cs="Arial"/>
          <w:lang w:val="en-AU"/>
        </w:rPr>
        <w:t>First Peoples Disability Network</w:t>
      </w:r>
    </w:p>
    <w:p w14:paraId="33ED1FD9" w14:textId="77777777" w:rsidR="00DB5054" w:rsidRPr="00561499" w:rsidRDefault="00DB5054" w:rsidP="00DB5054">
      <w:pPr>
        <w:numPr>
          <w:ilvl w:val="0"/>
          <w:numId w:val="21"/>
        </w:numPr>
        <w:tabs>
          <w:tab w:val="num" w:pos="720"/>
        </w:tabs>
        <w:contextualSpacing/>
        <w:rPr>
          <w:rFonts w:cs="Arial"/>
          <w:lang w:val="en-AU"/>
        </w:rPr>
      </w:pPr>
      <w:r w:rsidRPr="00561499">
        <w:rPr>
          <w:rFonts w:cs="Arial"/>
          <w:lang w:val="en-AU"/>
        </w:rPr>
        <w:t>Healing Foundation</w:t>
      </w:r>
    </w:p>
    <w:p w14:paraId="2AEBA44C" w14:textId="77777777" w:rsidR="00DB5054" w:rsidRPr="00561499" w:rsidRDefault="00DB5054" w:rsidP="00DB5054">
      <w:pPr>
        <w:numPr>
          <w:ilvl w:val="0"/>
          <w:numId w:val="21"/>
        </w:numPr>
        <w:tabs>
          <w:tab w:val="num" w:pos="720"/>
        </w:tabs>
        <w:contextualSpacing/>
        <w:rPr>
          <w:rFonts w:cs="Arial"/>
          <w:lang w:val="en-AU"/>
        </w:rPr>
      </w:pPr>
      <w:r w:rsidRPr="00561499">
        <w:rPr>
          <w:rFonts w:cs="Arial"/>
          <w:lang w:val="en-AU"/>
        </w:rPr>
        <w:t>Heart Foundation Australia</w:t>
      </w:r>
    </w:p>
    <w:p w14:paraId="2D0AB0A2" w14:textId="77777777" w:rsidR="00DB5054" w:rsidRPr="00561499" w:rsidRDefault="00DB5054" w:rsidP="00DB5054">
      <w:pPr>
        <w:numPr>
          <w:ilvl w:val="0"/>
          <w:numId w:val="21"/>
        </w:numPr>
        <w:tabs>
          <w:tab w:val="num" w:pos="720"/>
        </w:tabs>
        <w:contextualSpacing/>
        <w:rPr>
          <w:rFonts w:cs="Arial"/>
          <w:lang w:val="en-AU"/>
        </w:rPr>
      </w:pPr>
      <w:r w:rsidRPr="00561499">
        <w:rPr>
          <w:rFonts w:cs="Arial"/>
          <w:lang w:val="en-AU"/>
        </w:rPr>
        <w:t>Indigenous Allied Health Australia</w:t>
      </w:r>
    </w:p>
    <w:p w14:paraId="0E26F319" w14:textId="77777777" w:rsidR="00DB5054" w:rsidRPr="00561499" w:rsidRDefault="00DB5054" w:rsidP="00DB5054">
      <w:pPr>
        <w:numPr>
          <w:ilvl w:val="0"/>
          <w:numId w:val="21"/>
        </w:numPr>
        <w:tabs>
          <w:tab w:val="num" w:pos="720"/>
        </w:tabs>
        <w:contextualSpacing/>
        <w:rPr>
          <w:rFonts w:cs="Arial"/>
          <w:lang w:val="en-AU"/>
        </w:rPr>
      </w:pPr>
      <w:r w:rsidRPr="00561499">
        <w:rPr>
          <w:rFonts w:cs="Arial"/>
          <w:lang w:val="en-AU"/>
        </w:rPr>
        <w:t>Indigenous Dentists' Association of Australia</w:t>
      </w:r>
    </w:p>
    <w:p w14:paraId="0748BB0F" w14:textId="77777777" w:rsidR="00DB5054" w:rsidRPr="00561499" w:rsidRDefault="00DB5054" w:rsidP="00DB5054">
      <w:pPr>
        <w:numPr>
          <w:ilvl w:val="0"/>
          <w:numId w:val="21"/>
        </w:numPr>
        <w:tabs>
          <w:tab w:val="num" w:pos="720"/>
        </w:tabs>
        <w:contextualSpacing/>
        <w:rPr>
          <w:rFonts w:cs="Arial"/>
          <w:lang w:val="en-AU"/>
        </w:rPr>
      </w:pPr>
      <w:r w:rsidRPr="00561499">
        <w:rPr>
          <w:rFonts w:cs="Arial"/>
          <w:lang w:val="en-AU"/>
        </w:rPr>
        <w:t>Kidney Health Australia</w:t>
      </w:r>
    </w:p>
    <w:p w14:paraId="0C3CF20A" w14:textId="77777777" w:rsidR="00DB5054" w:rsidRPr="00561499" w:rsidRDefault="00DB5054" w:rsidP="00DB5054">
      <w:pPr>
        <w:numPr>
          <w:ilvl w:val="0"/>
          <w:numId w:val="21"/>
        </w:numPr>
        <w:tabs>
          <w:tab w:val="num" w:pos="720"/>
        </w:tabs>
        <w:contextualSpacing/>
        <w:rPr>
          <w:rFonts w:cs="Arial"/>
          <w:lang w:val="en-AU"/>
        </w:rPr>
      </w:pPr>
      <w:r w:rsidRPr="00561499">
        <w:rPr>
          <w:rFonts w:cs="Arial"/>
          <w:lang w:val="en-AU"/>
        </w:rPr>
        <w:t>Menzies School of Health Research</w:t>
      </w:r>
    </w:p>
    <w:p w14:paraId="191E16F8" w14:textId="77777777" w:rsidR="00DB5054" w:rsidRPr="00561499" w:rsidRDefault="00DB5054" w:rsidP="00DB5054">
      <w:pPr>
        <w:numPr>
          <w:ilvl w:val="0"/>
          <w:numId w:val="21"/>
        </w:numPr>
        <w:tabs>
          <w:tab w:val="num" w:pos="720"/>
        </w:tabs>
        <w:contextualSpacing/>
        <w:rPr>
          <w:rFonts w:cs="Arial"/>
          <w:lang w:val="en-AU"/>
        </w:rPr>
      </w:pPr>
      <w:r w:rsidRPr="00561499">
        <w:rPr>
          <w:rFonts w:cs="Arial"/>
          <w:lang w:val="en-AU"/>
        </w:rPr>
        <w:t>National Aboriginal and Torres Strait Islander Health Workers' Association</w:t>
      </w:r>
    </w:p>
    <w:p w14:paraId="3263D773" w14:textId="77777777" w:rsidR="00DB5054" w:rsidRPr="00561499" w:rsidRDefault="00DB5054" w:rsidP="00DB5054">
      <w:pPr>
        <w:numPr>
          <w:ilvl w:val="0"/>
          <w:numId w:val="21"/>
        </w:numPr>
        <w:tabs>
          <w:tab w:val="num" w:pos="720"/>
        </w:tabs>
        <w:contextualSpacing/>
        <w:rPr>
          <w:rFonts w:cs="Arial"/>
          <w:lang w:val="en-AU"/>
        </w:rPr>
      </w:pPr>
      <w:r w:rsidRPr="00561499">
        <w:rPr>
          <w:rFonts w:cs="Arial"/>
          <w:lang w:val="en-AU"/>
        </w:rPr>
        <w:t>National Aboriginal Community Controlled Health Organisation</w:t>
      </w:r>
    </w:p>
    <w:p w14:paraId="3B4D28D3" w14:textId="77777777" w:rsidR="00DB5054" w:rsidRPr="00561499" w:rsidRDefault="00DB5054" w:rsidP="00DB5054">
      <w:pPr>
        <w:numPr>
          <w:ilvl w:val="0"/>
          <w:numId w:val="21"/>
        </w:numPr>
        <w:tabs>
          <w:tab w:val="num" w:pos="720"/>
        </w:tabs>
        <w:contextualSpacing/>
        <w:rPr>
          <w:rFonts w:cs="Arial"/>
          <w:lang w:val="en-AU"/>
        </w:rPr>
      </w:pPr>
      <w:r w:rsidRPr="00561499">
        <w:rPr>
          <w:rFonts w:cs="Arial"/>
          <w:lang w:val="en-AU"/>
        </w:rPr>
        <w:t>National Association of Aboriginal and Torres Strait Islander Physiotherapists</w:t>
      </w:r>
    </w:p>
    <w:p w14:paraId="1A23FC86" w14:textId="77777777" w:rsidR="00DB5054" w:rsidRPr="00561499" w:rsidRDefault="00DB5054" w:rsidP="00DB5054">
      <w:pPr>
        <w:numPr>
          <w:ilvl w:val="0"/>
          <w:numId w:val="21"/>
        </w:numPr>
        <w:tabs>
          <w:tab w:val="num" w:pos="720"/>
        </w:tabs>
        <w:contextualSpacing/>
        <w:rPr>
          <w:rFonts w:cs="Arial"/>
          <w:lang w:val="en-AU"/>
        </w:rPr>
      </w:pPr>
      <w:r w:rsidRPr="00561499">
        <w:rPr>
          <w:rFonts w:cs="Arial"/>
          <w:lang w:val="en-AU"/>
        </w:rPr>
        <w:t>National Congress of Australia's First Peoples</w:t>
      </w:r>
    </w:p>
    <w:p w14:paraId="719B5A4C" w14:textId="77777777" w:rsidR="00DB5054" w:rsidRPr="00561499" w:rsidRDefault="00DB5054" w:rsidP="00DB5054">
      <w:pPr>
        <w:numPr>
          <w:ilvl w:val="0"/>
          <w:numId w:val="21"/>
        </w:numPr>
        <w:tabs>
          <w:tab w:val="num" w:pos="720"/>
        </w:tabs>
        <w:contextualSpacing/>
        <w:rPr>
          <w:rFonts w:cs="Arial"/>
          <w:lang w:val="en-AU"/>
        </w:rPr>
      </w:pPr>
      <w:r w:rsidRPr="00561499">
        <w:rPr>
          <w:rFonts w:cs="Arial"/>
          <w:lang w:val="en-AU"/>
        </w:rPr>
        <w:t xml:space="preserve">National Coordinator – Tackling Indigenous Smoking (Dr Tom </w:t>
      </w:r>
      <w:proofErr w:type="spellStart"/>
      <w:r w:rsidRPr="00561499">
        <w:rPr>
          <w:rFonts w:cs="Arial"/>
          <w:lang w:val="en-AU"/>
        </w:rPr>
        <w:t>Calma</w:t>
      </w:r>
      <w:proofErr w:type="spellEnd"/>
      <w:r w:rsidRPr="00561499">
        <w:rPr>
          <w:rFonts w:cs="Arial"/>
          <w:lang w:val="en-AU"/>
        </w:rPr>
        <w:t xml:space="preserve"> AO – Campaign founder and former Aboriginal and Torres Strait Islander Social Justice Commissioner)</w:t>
      </w:r>
    </w:p>
    <w:p w14:paraId="6FE40999" w14:textId="77777777" w:rsidR="00DB5054" w:rsidRPr="00561499" w:rsidRDefault="00DB5054" w:rsidP="00DB5054">
      <w:pPr>
        <w:numPr>
          <w:ilvl w:val="0"/>
          <w:numId w:val="21"/>
        </w:numPr>
        <w:tabs>
          <w:tab w:val="num" w:pos="720"/>
        </w:tabs>
        <w:contextualSpacing/>
        <w:rPr>
          <w:rFonts w:cs="Arial"/>
          <w:lang w:val="en-AU"/>
        </w:rPr>
      </w:pPr>
      <w:r w:rsidRPr="00561499">
        <w:rPr>
          <w:rFonts w:cs="Arial"/>
          <w:lang w:val="en-AU"/>
        </w:rPr>
        <w:t>National Heart Foundation of Australia</w:t>
      </w:r>
    </w:p>
    <w:p w14:paraId="1A511351" w14:textId="77777777" w:rsidR="00DB5054" w:rsidRPr="00561499" w:rsidRDefault="00DB5054" w:rsidP="00DB5054">
      <w:pPr>
        <w:numPr>
          <w:ilvl w:val="0"/>
          <w:numId w:val="21"/>
        </w:numPr>
        <w:tabs>
          <w:tab w:val="num" w:pos="720"/>
        </w:tabs>
        <w:contextualSpacing/>
        <w:rPr>
          <w:rFonts w:cs="Arial"/>
          <w:lang w:val="en-AU"/>
        </w:rPr>
      </w:pPr>
      <w:r w:rsidRPr="00561499">
        <w:rPr>
          <w:rFonts w:cs="Arial"/>
          <w:lang w:val="en-AU"/>
        </w:rPr>
        <w:t>Oxfam Australia</w:t>
      </w:r>
    </w:p>
    <w:p w14:paraId="335ED116" w14:textId="77777777" w:rsidR="00DB5054" w:rsidRPr="00561499" w:rsidRDefault="00DB5054" w:rsidP="00DB5054">
      <w:pPr>
        <w:numPr>
          <w:ilvl w:val="0"/>
          <w:numId w:val="21"/>
        </w:numPr>
        <w:tabs>
          <w:tab w:val="num" w:pos="720"/>
        </w:tabs>
        <w:contextualSpacing/>
        <w:rPr>
          <w:rFonts w:cs="Arial"/>
          <w:lang w:val="en-AU"/>
        </w:rPr>
      </w:pPr>
      <w:r w:rsidRPr="00561499">
        <w:rPr>
          <w:rFonts w:cs="Arial"/>
          <w:lang w:val="en-AU"/>
        </w:rPr>
        <w:lastRenderedPageBreak/>
        <w:t>Palliative Care Australia</w:t>
      </w:r>
    </w:p>
    <w:p w14:paraId="5787F77B" w14:textId="77777777" w:rsidR="00DB5054" w:rsidRPr="00561499" w:rsidRDefault="00DB5054" w:rsidP="00DB5054">
      <w:pPr>
        <w:numPr>
          <w:ilvl w:val="0"/>
          <w:numId w:val="21"/>
        </w:numPr>
        <w:tabs>
          <w:tab w:val="num" w:pos="720"/>
        </w:tabs>
        <w:contextualSpacing/>
        <w:rPr>
          <w:rFonts w:cs="Arial"/>
          <w:lang w:val="en-AU"/>
        </w:rPr>
      </w:pPr>
      <w:proofErr w:type="spellStart"/>
      <w:r w:rsidRPr="00561499">
        <w:rPr>
          <w:rFonts w:cs="Arial"/>
          <w:lang w:val="en-AU"/>
        </w:rPr>
        <w:t>PHILE</w:t>
      </w:r>
      <w:proofErr w:type="spellEnd"/>
      <w:r w:rsidRPr="00561499">
        <w:rPr>
          <w:rFonts w:cs="Arial"/>
          <w:lang w:val="en-AU"/>
        </w:rPr>
        <w:t xml:space="preserve"> Network</w:t>
      </w:r>
    </w:p>
    <w:p w14:paraId="162E1642" w14:textId="77777777" w:rsidR="00DB5054" w:rsidRPr="00561499" w:rsidRDefault="00DB5054" w:rsidP="00DB5054">
      <w:pPr>
        <w:numPr>
          <w:ilvl w:val="0"/>
          <w:numId w:val="21"/>
        </w:numPr>
        <w:tabs>
          <w:tab w:val="num" w:pos="720"/>
        </w:tabs>
        <w:contextualSpacing/>
        <w:rPr>
          <w:rFonts w:cs="Arial"/>
          <w:lang w:val="en-AU"/>
        </w:rPr>
      </w:pPr>
      <w:r w:rsidRPr="00561499">
        <w:rPr>
          <w:rFonts w:cs="Arial"/>
          <w:lang w:val="en-AU"/>
        </w:rPr>
        <w:t>Public Health Association of Australia</w:t>
      </w:r>
    </w:p>
    <w:p w14:paraId="01189D06" w14:textId="77777777" w:rsidR="00DB5054" w:rsidRPr="00561499" w:rsidRDefault="00DB5054" w:rsidP="00DB5054">
      <w:pPr>
        <w:numPr>
          <w:ilvl w:val="0"/>
          <w:numId w:val="21"/>
        </w:numPr>
        <w:tabs>
          <w:tab w:val="num" w:pos="720"/>
        </w:tabs>
        <w:contextualSpacing/>
        <w:rPr>
          <w:rFonts w:cs="Arial"/>
          <w:lang w:val="en-AU"/>
        </w:rPr>
      </w:pPr>
      <w:r w:rsidRPr="00561499">
        <w:rPr>
          <w:rFonts w:cs="Arial"/>
          <w:lang w:val="en-AU"/>
        </w:rPr>
        <w:t>Reconciliation Australia</w:t>
      </w:r>
    </w:p>
    <w:p w14:paraId="284CA7C1" w14:textId="77777777" w:rsidR="00DB5054" w:rsidRPr="00561499" w:rsidRDefault="00DB5054" w:rsidP="00DB5054">
      <w:pPr>
        <w:numPr>
          <w:ilvl w:val="0"/>
          <w:numId w:val="21"/>
        </w:numPr>
        <w:tabs>
          <w:tab w:val="num" w:pos="720"/>
        </w:tabs>
        <w:contextualSpacing/>
        <w:rPr>
          <w:rFonts w:cs="Arial"/>
          <w:lang w:val="en-AU"/>
        </w:rPr>
      </w:pPr>
      <w:r w:rsidRPr="00561499">
        <w:rPr>
          <w:rFonts w:cs="Arial"/>
          <w:lang w:val="en-AU"/>
        </w:rPr>
        <w:t>Royal Australasian College of Physicians</w:t>
      </w:r>
    </w:p>
    <w:p w14:paraId="1FCC4FEA" w14:textId="77777777" w:rsidR="00DB5054" w:rsidRPr="00561499" w:rsidRDefault="00DB5054" w:rsidP="00DB5054">
      <w:pPr>
        <w:numPr>
          <w:ilvl w:val="0"/>
          <w:numId w:val="21"/>
        </w:numPr>
        <w:tabs>
          <w:tab w:val="num" w:pos="720"/>
        </w:tabs>
        <w:contextualSpacing/>
        <w:rPr>
          <w:rFonts w:cs="Arial"/>
          <w:lang w:val="en-AU"/>
        </w:rPr>
      </w:pPr>
      <w:r w:rsidRPr="00561499">
        <w:rPr>
          <w:rFonts w:cs="Arial"/>
          <w:lang w:val="en-AU"/>
        </w:rPr>
        <w:t>Royal Australian College of General Practitioners</w:t>
      </w:r>
    </w:p>
    <w:p w14:paraId="7C2276D8" w14:textId="77777777" w:rsidR="00DB5054" w:rsidRPr="00561499" w:rsidRDefault="003A37FC" w:rsidP="00DB5054">
      <w:pPr>
        <w:numPr>
          <w:ilvl w:val="0"/>
          <w:numId w:val="21"/>
        </w:numPr>
        <w:tabs>
          <w:tab w:val="num" w:pos="720"/>
        </w:tabs>
        <w:contextualSpacing/>
        <w:rPr>
          <w:rFonts w:cs="Arial"/>
          <w:lang w:val="en-AU"/>
        </w:rPr>
      </w:pPr>
      <w:r w:rsidRPr="00561499">
        <w:rPr>
          <w:rFonts w:cs="Arial"/>
          <w:lang w:val="en-AU"/>
        </w:rPr>
        <w:t>The Fred Hollows Foundation</w:t>
      </w:r>
    </w:p>
    <w:p w14:paraId="513632D1" w14:textId="77777777" w:rsidR="00DB5054" w:rsidRPr="00561499" w:rsidRDefault="00DB5054" w:rsidP="00DB5054">
      <w:pPr>
        <w:numPr>
          <w:ilvl w:val="0"/>
          <w:numId w:val="21"/>
        </w:numPr>
        <w:tabs>
          <w:tab w:val="num" w:pos="720"/>
        </w:tabs>
        <w:contextualSpacing/>
        <w:rPr>
          <w:rFonts w:cs="Arial"/>
          <w:lang w:val="en-AU"/>
        </w:rPr>
      </w:pPr>
      <w:r w:rsidRPr="00561499">
        <w:rPr>
          <w:rFonts w:cs="Arial"/>
          <w:lang w:val="en-AU"/>
        </w:rPr>
        <w:t xml:space="preserve">The </w:t>
      </w:r>
      <w:proofErr w:type="spellStart"/>
      <w:r w:rsidRPr="00561499">
        <w:rPr>
          <w:rFonts w:cs="Arial"/>
          <w:lang w:val="en-AU"/>
        </w:rPr>
        <w:t>Lowitja</w:t>
      </w:r>
      <w:proofErr w:type="spellEnd"/>
      <w:r w:rsidRPr="00561499">
        <w:rPr>
          <w:rFonts w:cs="Arial"/>
          <w:lang w:val="en-AU"/>
        </w:rPr>
        <w:t xml:space="preserve"> Institute</w:t>
      </w:r>
    </w:p>
    <w:p w14:paraId="27486534" w14:textId="77777777" w:rsidR="00DB5054" w:rsidRPr="00561499" w:rsidRDefault="00DB5054" w:rsidP="00DB5054">
      <w:pPr>
        <w:numPr>
          <w:ilvl w:val="0"/>
          <w:numId w:val="21"/>
        </w:numPr>
        <w:tabs>
          <w:tab w:val="num" w:pos="720"/>
        </w:tabs>
        <w:contextualSpacing/>
        <w:rPr>
          <w:rFonts w:cs="Arial"/>
          <w:lang w:val="en-AU"/>
        </w:rPr>
      </w:pPr>
      <w:r w:rsidRPr="00561499">
        <w:rPr>
          <w:rFonts w:cs="Arial"/>
          <w:lang w:val="en-AU"/>
        </w:rPr>
        <w:t>The Pharmacy Guild of Australia</w:t>
      </w:r>
    </w:p>
    <w:p w14:paraId="1F5F373C" w14:textId="77777777" w:rsidR="00DB5054" w:rsidRPr="00561499" w:rsidRDefault="00DB5054" w:rsidP="00DB5054">
      <w:pPr>
        <w:numPr>
          <w:ilvl w:val="0"/>
          <w:numId w:val="21"/>
        </w:numPr>
        <w:tabs>
          <w:tab w:val="num" w:pos="720"/>
        </w:tabs>
        <w:contextualSpacing/>
        <w:rPr>
          <w:rFonts w:cs="Arial"/>
          <w:lang w:val="en-AU"/>
        </w:rPr>
      </w:pPr>
      <w:r w:rsidRPr="00561499">
        <w:rPr>
          <w:rFonts w:cs="Arial"/>
          <w:lang w:val="en-AU"/>
        </w:rPr>
        <w:t>Torres Strait Regional Authority</w:t>
      </w:r>
    </w:p>
    <w:p w14:paraId="22D6CD3E" w14:textId="77777777" w:rsidR="00DB5054" w:rsidRPr="00561499" w:rsidRDefault="00DB5054" w:rsidP="00DB5054">
      <w:pPr>
        <w:numPr>
          <w:ilvl w:val="0"/>
          <w:numId w:val="21"/>
        </w:numPr>
        <w:tabs>
          <w:tab w:val="num" w:pos="720"/>
        </w:tabs>
        <w:contextualSpacing/>
        <w:rPr>
          <w:rFonts w:cs="Arial"/>
          <w:lang w:val="en-AU"/>
        </w:rPr>
      </w:pPr>
      <w:r w:rsidRPr="00561499">
        <w:rPr>
          <w:rFonts w:cs="Arial"/>
          <w:lang w:val="en-AU"/>
        </w:rPr>
        <w:t>Victorian Aboriginal Community Controlled Health Organisation</w:t>
      </w:r>
    </w:p>
    <w:p w14:paraId="1CD17DBB" w14:textId="5832076C" w:rsidR="00733F75" w:rsidRPr="00F57387" w:rsidRDefault="00DB5054" w:rsidP="00F12273">
      <w:pPr>
        <w:numPr>
          <w:ilvl w:val="0"/>
          <w:numId w:val="21"/>
        </w:numPr>
        <w:tabs>
          <w:tab w:val="num" w:pos="720"/>
        </w:tabs>
        <w:contextualSpacing/>
        <w:rPr>
          <w:rFonts w:cs="Arial"/>
          <w:lang w:val="en-AU"/>
        </w:rPr>
      </w:pPr>
      <w:proofErr w:type="spellStart"/>
      <w:r w:rsidRPr="00561499">
        <w:rPr>
          <w:rFonts w:cs="Arial"/>
          <w:lang w:val="en-AU"/>
        </w:rPr>
        <w:t>Winnunga</w:t>
      </w:r>
      <w:proofErr w:type="spellEnd"/>
      <w:r w:rsidRPr="00561499">
        <w:rPr>
          <w:rFonts w:cs="Arial"/>
          <w:lang w:val="en-AU"/>
        </w:rPr>
        <w:t xml:space="preserve"> </w:t>
      </w:r>
      <w:proofErr w:type="spellStart"/>
      <w:r w:rsidRPr="00561499">
        <w:rPr>
          <w:rFonts w:cs="Arial"/>
          <w:lang w:val="en-AU"/>
        </w:rPr>
        <w:t>Nimmityjah</w:t>
      </w:r>
      <w:proofErr w:type="spellEnd"/>
      <w:r w:rsidRPr="00561499">
        <w:rPr>
          <w:rFonts w:cs="Arial"/>
          <w:lang w:val="en-AU"/>
        </w:rPr>
        <w:t xml:space="preserve"> Aboriginal Health Service</w:t>
      </w:r>
    </w:p>
    <w:p w14:paraId="1D63CDA0" w14:textId="77777777" w:rsidR="005B5330" w:rsidRDefault="005B5330" w:rsidP="00926A69">
      <w:pPr>
        <w:rPr>
          <w:rFonts w:cs="Arial"/>
          <w:lang w:val="en-AU"/>
        </w:rPr>
      </w:pPr>
    </w:p>
    <w:p w14:paraId="18D432E4" w14:textId="02E87FA4" w:rsidR="005B5330" w:rsidRPr="00926A69" w:rsidRDefault="00E0727A" w:rsidP="00926A69">
      <w:pPr>
        <w:rPr>
          <w:rFonts w:cs="Arial"/>
          <w:lang w:val="en-AU"/>
        </w:rPr>
      </w:pPr>
      <w:r w:rsidRPr="00561499">
        <w:rPr>
          <w:rFonts w:cs="Arial"/>
          <w:lang w:val="en-AU"/>
        </w:rPr>
        <w:br w:type="page"/>
      </w:r>
    </w:p>
    <w:tbl>
      <w:tblPr>
        <w:tblpPr w:leftFromText="180" w:rightFromText="180" w:horzAnchor="margin" w:tblpY="664"/>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27" w:type="dxa"/>
          <w:left w:w="227" w:type="dxa"/>
          <w:bottom w:w="227" w:type="dxa"/>
          <w:right w:w="227" w:type="dxa"/>
        </w:tblCellMar>
        <w:tblLook w:val="04A0" w:firstRow="1" w:lastRow="0" w:firstColumn="1" w:lastColumn="0" w:noHBand="0" w:noVBand="1"/>
      </w:tblPr>
      <w:tblGrid>
        <w:gridCol w:w="9924"/>
      </w:tblGrid>
      <w:tr w:rsidR="00733F75" w:rsidRPr="00561499" w14:paraId="4D9478A1" w14:textId="77777777" w:rsidTr="00CA6FA1">
        <w:tc>
          <w:tcPr>
            <w:tcW w:w="9924" w:type="dxa"/>
            <w:shd w:val="clear" w:color="auto" w:fill="auto"/>
          </w:tcPr>
          <w:p w14:paraId="6E6FBB12" w14:textId="546D865E" w:rsidR="00FD3F1D" w:rsidRDefault="00EE41C4" w:rsidP="005B5330">
            <w:pPr>
              <w:pStyle w:val="Heading1"/>
              <w:keepNext w:val="0"/>
              <w:keepLines w:val="0"/>
              <w:pageBreakBefore w:val="0"/>
            </w:pPr>
            <w:bookmarkStart w:id="24" w:name="_Toc315703416"/>
            <w:r>
              <w:lastRenderedPageBreak/>
              <w:t>Appendix 1</w:t>
            </w:r>
            <w:bookmarkEnd w:id="24"/>
          </w:p>
          <w:p w14:paraId="0EA03F71" w14:textId="6494CBEF" w:rsidR="00733F75" w:rsidRPr="00FD3F1D" w:rsidDel="009D1FCE" w:rsidRDefault="00733F75" w:rsidP="00FD3F1D">
            <w:pPr>
              <w:pStyle w:val="Heading5"/>
            </w:pPr>
            <w:r w:rsidRPr="00FD3F1D">
              <w:t xml:space="preserve">2015 </w:t>
            </w:r>
            <w:r w:rsidRPr="00FD3F1D" w:rsidDel="00DA5364">
              <w:t>T</w:t>
            </w:r>
            <w:r w:rsidRPr="00FD3F1D" w:rsidDel="009D1FCE">
              <w:t>he Close the Gap Campaign Steering Committee</w:t>
            </w:r>
            <w:r w:rsidR="006B2234" w:rsidRPr="00FD3F1D">
              <w:t xml:space="preserve"> Report</w:t>
            </w:r>
            <w:r w:rsidRPr="00FD3F1D" w:rsidDel="009D1FCE">
              <w:t xml:space="preserve"> </w:t>
            </w:r>
            <w:r w:rsidRPr="00FD3F1D">
              <w:t>recommend</w:t>
            </w:r>
            <w:r w:rsidR="006B2234" w:rsidRPr="00FD3F1D">
              <w:t>ation</w:t>
            </w:r>
            <w:r w:rsidRPr="00FD3F1D">
              <w:t>s</w:t>
            </w:r>
            <w:r w:rsidR="00FD3F1D">
              <w:t>:</w:t>
            </w:r>
          </w:p>
          <w:p w14:paraId="34AE8AEC" w14:textId="60075AEC" w:rsidR="00733F75" w:rsidRPr="00561499" w:rsidRDefault="00733F75" w:rsidP="00B835AA">
            <w:pPr>
              <w:pStyle w:val="ListParagraph"/>
              <w:numPr>
                <w:ilvl w:val="0"/>
                <w:numId w:val="92"/>
              </w:numPr>
              <w:spacing w:before="120"/>
              <w:contextualSpacing w:val="0"/>
            </w:pPr>
            <w:r w:rsidRPr="00561499">
              <w:t>That the findings of the National Aboriginal and Torres Strait Islander Health Measures Survey (</w:t>
            </w:r>
            <w:proofErr w:type="spellStart"/>
            <w:r w:rsidRPr="00561499">
              <w:t>NATSIHMS</w:t>
            </w:r>
            <w:proofErr w:type="spellEnd"/>
            <w:r w:rsidRPr="00561499">
              <w:t>) are used to better target chronic conditions that are undetected in the Aboriginal and Torres Strait Islander population. In particular, access to appropriate primary health care services to detect, treat and manage these conditions should be increased. Aboriginal Community Controlled Health Services should be the preferred services for th</w:t>
            </w:r>
            <w:r w:rsidR="00F57387">
              <w:t>is enhanced, targeted response.</w:t>
            </w:r>
          </w:p>
          <w:p w14:paraId="27145468" w14:textId="1DF71358" w:rsidR="00733F75" w:rsidRPr="00561499" w:rsidRDefault="00733F75" w:rsidP="00B835AA">
            <w:pPr>
              <w:pStyle w:val="ListParagraph"/>
              <w:numPr>
                <w:ilvl w:val="0"/>
                <w:numId w:val="92"/>
              </w:numPr>
              <w:spacing w:before="120"/>
              <w:contextualSpacing w:val="0"/>
            </w:pPr>
            <w:r w:rsidRPr="00561499">
              <w:t>That the Australian Government should continue to lead the</w:t>
            </w:r>
            <w:r w:rsidR="00F57387">
              <w:t xml:space="preserve"> </w:t>
            </w:r>
            <w:proofErr w:type="spellStart"/>
            <w:r w:rsidR="00F57387">
              <w:t>COAG</w:t>
            </w:r>
            <w:proofErr w:type="spellEnd"/>
            <w:r w:rsidR="00F57387">
              <w:t xml:space="preserve"> Closing the Gap Strategy.</w:t>
            </w:r>
          </w:p>
          <w:p w14:paraId="51F6D6FF" w14:textId="77777777" w:rsidR="00733F75" w:rsidRPr="00561499" w:rsidRDefault="00733F75" w:rsidP="00B835AA">
            <w:pPr>
              <w:pStyle w:val="ListParagraph"/>
              <w:numPr>
                <w:ilvl w:val="0"/>
                <w:numId w:val="92"/>
              </w:numPr>
              <w:spacing w:before="120"/>
              <w:contextualSpacing w:val="0"/>
            </w:pPr>
            <w:r w:rsidRPr="00561499">
              <w:t>That the Australian Government revisit its decision to discontinue the National Indigenous Drug and Alcohol Committee.</w:t>
            </w:r>
          </w:p>
          <w:p w14:paraId="05A2DDD7" w14:textId="77777777" w:rsidR="00733F75" w:rsidRPr="00561499" w:rsidRDefault="00733F75" w:rsidP="00B835AA">
            <w:pPr>
              <w:pStyle w:val="ListParagraph"/>
              <w:numPr>
                <w:ilvl w:val="0"/>
                <w:numId w:val="92"/>
              </w:numPr>
              <w:spacing w:before="120"/>
              <w:contextualSpacing w:val="0"/>
            </w:pPr>
            <w:r w:rsidRPr="00561499">
              <w:t>That connections between the Indigenous Advancement Strategy and the Closing the Gap Strategy are clearly articulated and developed in recognition of their capacity to mutually support the other’s priorities, including closing the health and life expectancy gap.</w:t>
            </w:r>
          </w:p>
          <w:p w14:paraId="5425357B" w14:textId="77777777" w:rsidR="00733F75" w:rsidRPr="00561499" w:rsidRDefault="00733F75" w:rsidP="00B835AA">
            <w:pPr>
              <w:pStyle w:val="ListParagraph"/>
              <w:numPr>
                <w:ilvl w:val="0"/>
                <w:numId w:val="92"/>
              </w:numPr>
              <w:spacing w:before="120"/>
              <w:contextualSpacing w:val="0"/>
            </w:pPr>
            <w:r w:rsidRPr="00561499">
              <w:t xml:space="preserve">That the Tackling Indigenous Smoking </w:t>
            </w:r>
            <w:proofErr w:type="spellStart"/>
            <w:r w:rsidRPr="00561499">
              <w:t>programme</w:t>
            </w:r>
            <w:proofErr w:type="spellEnd"/>
            <w:r w:rsidRPr="00561499">
              <w:t xml:space="preserve"> is retained and funding is increased above current levels to enable consolidation, improvement and expansion of activities until the gap in the rates of smoking between Aboriginal and Torres Strait Islander and non-Indigenous people closes.</w:t>
            </w:r>
          </w:p>
          <w:p w14:paraId="32818840" w14:textId="77777777" w:rsidR="00733F75" w:rsidRPr="00561499" w:rsidRDefault="00733F75" w:rsidP="00B835AA">
            <w:pPr>
              <w:pStyle w:val="ListParagraph"/>
              <w:numPr>
                <w:ilvl w:val="0"/>
                <w:numId w:val="92"/>
              </w:numPr>
              <w:spacing w:before="120"/>
              <w:contextualSpacing w:val="0"/>
            </w:pPr>
            <w:r w:rsidRPr="00561499">
              <w:t>That proxy indicators are developed to provide insights into the use and availability of health services on Aboriginal and Torres Strait Islander health and life expectancy outcomes.</w:t>
            </w:r>
          </w:p>
          <w:p w14:paraId="0430575F" w14:textId="38CCF24A" w:rsidR="00733F75" w:rsidRPr="00F57387" w:rsidRDefault="00733F75" w:rsidP="00D930AC">
            <w:pPr>
              <w:pStyle w:val="ListParagraph"/>
              <w:numPr>
                <w:ilvl w:val="0"/>
                <w:numId w:val="92"/>
              </w:numPr>
              <w:spacing w:before="120"/>
              <w:ind w:left="357" w:hanging="357"/>
              <w:contextualSpacing w:val="0"/>
            </w:pPr>
            <w:r w:rsidRPr="00561499">
              <w:t xml:space="preserve">The National Strategic Framework for Aboriginal and Torres Strait Islander Peoples’ Mental Health and Social and Emotional Wellbeing provides the basis for a dedicated Aboriginal and Torres Strait Islander mental health and social and emotional wellbeing plan. This is developed and implemented with the National Aboriginal and Torres Strait Islander Health Plan, the National Aboriginal and Torres Strait Islander Suicide Prevention Strategy 2013 and the National Aboriginal and Torres Strait Islander Peoples’ Drug Strategy implementation processes in order to avoid duplication, be more efficient, and </w:t>
            </w:r>
            <w:proofErr w:type="spellStart"/>
            <w:r w:rsidRPr="00561499">
              <w:t>maximise</w:t>
            </w:r>
            <w:proofErr w:type="spellEnd"/>
            <w:r w:rsidRPr="00561499">
              <w:t xml:space="preserve"> opportunities in this critical field.</w:t>
            </w:r>
          </w:p>
        </w:tc>
      </w:tr>
    </w:tbl>
    <w:p w14:paraId="310A6527" w14:textId="441C0C81" w:rsidR="008A0F7A" w:rsidRDefault="008A0F7A" w:rsidP="007758E5"/>
    <w:tbl>
      <w:tblPr>
        <w:tblStyle w:val="TableGrid"/>
        <w:tblW w:w="0" w:type="auto"/>
        <w:tblBorders>
          <w:top w:val="single" w:sz="8" w:space="0" w:color="007DA7"/>
          <w:left w:val="single" w:sz="8" w:space="0" w:color="007DA7"/>
          <w:bottom w:val="single" w:sz="8" w:space="0" w:color="007DA7"/>
          <w:right w:val="single" w:sz="8" w:space="0" w:color="007DA7"/>
          <w:insideH w:val="none" w:sz="0" w:space="0" w:color="auto"/>
          <w:insideV w:val="none" w:sz="0" w:space="0" w:color="auto"/>
        </w:tblBorders>
        <w:tblCellMar>
          <w:top w:w="227" w:type="dxa"/>
          <w:left w:w="227" w:type="dxa"/>
          <w:bottom w:w="227" w:type="dxa"/>
          <w:right w:w="227" w:type="dxa"/>
        </w:tblCellMar>
        <w:tblLook w:val="04A0" w:firstRow="1" w:lastRow="0" w:firstColumn="1" w:lastColumn="0" w:noHBand="0" w:noVBand="1"/>
      </w:tblPr>
      <w:tblGrid>
        <w:gridCol w:w="9286"/>
      </w:tblGrid>
      <w:tr w:rsidR="00D930AC" w14:paraId="2FD6FCCE" w14:textId="77777777" w:rsidTr="00D930AC">
        <w:tc>
          <w:tcPr>
            <w:tcW w:w="9286" w:type="dxa"/>
          </w:tcPr>
          <w:p w14:paraId="4DC49F1E" w14:textId="77777777" w:rsidR="00D930AC" w:rsidRDefault="00D930AC" w:rsidP="00D930AC">
            <w:pPr>
              <w:pStyle w:val="ListParagraph"/>
              <w:numPr>
                <w:ilvl w:val="0"/>
                <w:numId w:val="92"/>
              </w:numPr>
              <w:spacing w:before="120"/>
              <w:ind w:left="357" w:hanging="357"/>
              <w:contextualSpacing w:val="0"/>
            </w:pPr>
            <w:r w:rsidRPr="00561499">
              <w:lastRenderedPageBreak/>
              <w:t>That Closing the Gap Targets to reduce imprisonment and violence rates are developed, and activity towards reaching the Targets is funded through justice reinvestment measures.</w:t>
            </w:r>
          </w:p>
          <w:p w14:paraId="0B192149" w14:textId="77777777" w:rsidR="00D930AC" w:rsidRPr="00561499" w:rsidRDefault="00D930AC" w:rsidP="00D930AC">
            <w:pPr>
              <w:pStyle w:val="ListParagraph"/>
              <w:numPr>
                <w:ilvl w:val="0"/>
                <w:numId w:val="92"/>
              </w:numPr>
              <w:spacing w:before="120"/>
              <w:contextualSpacing w:val="0"/>
            </w:pPr>
            <w:r w:rsidRPr="00561499">
              <w:t>That the Implementation Plan for the National Aboriginal and Torres Strait Islander Health Plan include the following essential elements:</w:t>
            </w:r>
          </w:p>
          <w:p w14:paraId="5E1EA9C3" w14:textId="77777777" w:rsidR="00D930AC" w:rsidRPr="00561499" w:rsidRDefault="00D930AC" w:rsidP="00D930AC">
            <w:pPr>
              <w:pStyle w:val="ListParagraph"/>
              <w:numPr>
                <w:ilvl w:val="0"/>
                <w:numId w:val="93"/>
              </w:numPr>
              <w:spacing w:before="120"/>
              <w:contextualSpacing w:val="0"/>
            </w:pPr>
            <w:r w:rsidRPr="00561499">
              <w:t>Set targets to measure progress and outcomes;</w:t>
            </w:r>
          </w:p>
          <w:p w14:paraId="5963792D" w14:textId="77777777" w:rsidR="00D930AC" w:rsidRPr="00561499" w:rsidRDefault="00D930AC" w:rsidP="00D930AC">
            <w:pPr>
              <w:pStyle w:val="ListParagraph"/>
              <w:numPr>
                <w:ilvl w:val="0"/>
                <w:numId w:val="93"/>
              </w:numPr>
              <w:spacing w:before="120"/>
              <w:contextualSpacing w:val="0"/>
            </w:pPr>
            <w:r w:rsidRPr="00561499">
              <w:t>Develop a model of comprehensive core services across a person’s whole of life;</w:t>
            </w:r>
          </w:p>
          <w:p w14:paraId="582C9D4C" w14:textId="77777777" w:rsidR="00D930AC" w:rsidRPr="00561499" w:rsidRDefault="00D930AC" w:rsidP="00D930AC">
            <w:pPr>
              <w:pStyle w:val="ListParagraph"/>
              <w:numPr>
                <w:ilvl w:val="0"/>
                <w:numId w:val="93"/>
              </w:numPr>
              <w:spacing w:before="120"/>
              <w:contextualSpacing w:val="0"/>
            </w:pPr>
            <w:r w:rsidRPr="00561499">
              <w:t>Develop workforce, infrastructure, information management and funding strategies based on the core services model;</w:t>
            </w:r>
          </w:p>
          <w:p w14:paraId="429B404E" w14:textId="77777777" w:rsidR="00D930AC" w:rsidRPr="00561499" w:rsidRDefault="00D930AC" w:rsidP="00D930AC">
            <w:pPr>
              <w:pStyle w:val="ListParagraph"/>
              <w:numPr>
                <w:ilvl w:val="0"/>
                <w:numId w:val="93"/>
              </w:numPr>
              <w:spacing w:before="120"/>
              <w:contextualSpacing w:val="0"/>
            </w:pPr>
            <w:r w:rsidRPr="00561499">
              <w:t>A mapping of regions with relatively poor health outcomes and inadequate services. This will enable the identification of services gaps and the development of capacity building plans;</w:t>
            </w:r>
          </w:p>
          <w:p w14:paraId="58FEC60D" w14:textId="77777777" w:rsidR="00D930AC" w:rsidRPr="00561499" w:rsidRDefault="00D930AC" w:rsidP="00D930AC">
            <w:pPr>
              <w:pStyle w:val="ListParagraph"/>
              <w:numPr>
                <w:ilvl w:val="0"/>
                <w:numId w:val="93"/>
              </w:numPr>
              <w:spacing w:before="120"/>
              <w:contextualSpacing w:val="0"/>
            </w:pPr>
            <w:r w:rsidRPr="00561499">
              <w:t>Identify and eradicate systemic racism within the health system and improve access to and outcomes across primary, secondary and tertiary health care;</w:t>
            </w:r>
          </w:p>
          <w:p w14:paraId="4100D922" w14:textId="77777777" w:rsidR="00D930AC" w:rsidRPr="00561499" w:rsidRDefault="00D930AC" w:rsidP="00D930AC">
            <w:pPr>
              <w:pStyle w:val="ListParagraph"/>
              <w:numPr>
                <w:ilvl w:val="0"/>
                <w:numId w:val="93"/>
              </w:numPr>
              <w:spacing w:before="120"/>
              <w:contextualSpacing w:val="0"/>
            </w:pPr>
            <w:r w:rsidRPr="00561499">
              <w:t>Ensure that culture is reflected in practical ways throughout Implementation Plan actions as it is central to the health and wellbeing of Aboriginal and Torres Strait Islander people;</w:t>
            </w:r>
          </w:p>
          <w:p w14:paraId="42776248" w14:textId="77777777" w:rsidR="00C86B5A" w:rsidRDefault="00D930AC" w:rsidP="00D930AC">
            <w:pPr>
              <w:pStyle w:val="ListParagraph"/>
              <w:numPr>
                <w:ilvl w:val="0"/>
                <w:numId w:val="93"/>
              </w:numPr>
              <w:spacing w:before="120"/>
              <w:contextualSpacing w:val="0"/>
            </w:pPr>
            <w:r w:rsidRPr="00561499">
              <w:t>Include a comprehensive address of the social and cultural determinants of health; and</w:t>
            </w:r>
          </w:p>
          <w:p w14:paraId="5CF4A125" w14:textId="79024C01" w:rsidR="00D930AC" w:rsidRDefault="00D930AC" w:rsidP="00D930AC">
            <w:pPr>
              <w:pStyle w:val="ListParagraph"/>
              <w:numPr>
                <w:ilvl w:val="0"/>
                <w:numId w:val="93"/>
              </w:numPr>
              <w:spacing w:before="120"/>
              <w:contextualSpacing w:val="0"/>
            </w:pPr>
            <w:r w:rsidRPr="00561499">
              <w:t xml:space="preserve">Establish partnership arrangements between the Australian Government and state and territory governments and between </w:t>
            </w:r>
            <w:proofErr w:type="spellStart"/>
            <w:r w:rsidRPr="00561499">
              <w:t>ACCHS</w:t>
            </w:r>
            <w:proofErr w:type="spellEnd"/>
            <w:r w:rsidRPr="00561499">
              <w:t xml:space="preserve"> and mainstream services providers at the regional level for the delivery of appropriate health services.</w:t>
            </w:r>
          </w:p>
        </w:tc>
      </w:tr>
    </w:tbl>
    <w:p w14:paraId="20CB74B4" w14:textId="77777777" w:rsidR="00D930AC" w:rsidRPr="007758E5" w:rsidRDefault="00D930AC" w:rsidP="007758E5"/>
    <w:tbl>
      <w:tblPr>
        <w:tblpPr w:leftFromText="180" w:rightFromText="180" w:vertAnchor="page" w:horzAnchor="margin" w:tblpY="2536"/>
        <w:tblW w:w="10044" w:type="dxa"/>
        <w:tblBorders>
          <w:top w:val="single" w:sz="8" w:space="0" w:color="007DA7"/>
          <w:left w:val="single" w:sz="8" w:space="0" w:color="007DA7"/>
          <w:bottom w:val="single" w:sz="8" w:space="0" w:color="007DA7"/>
          <w:right w:val="single" w:sz="8" w:space="0" w:color="007DA7"/>
        </w:tblBorders>
        <w:tblCellMar>
          <w:top w:w="227" w:type="dxa"/>
          <w:left w:w="227" w:type="dxa"/>
          <w:bottom w:w="227" w:type="dxa"/>
          <w:right w:w="227" w:type="dxa"/>
        </w:tblCellMar>
        <w:tblLook w:val="04A0" w:firstRow="1" w:lastRow="0" w:firstColumn="1" w:lastColumn="0" w:noHBand="0" w:noVBand="1"/>
      </w:tblPr>
      <w:tblGrid>
        <w:gridCol w:w="10044"/>
      </w:tblGrid>
      <w:tr w:rsidR="005A34B3" w:rsidRPr="00561499" w14:paraId="389629E9" w14:textId="77777777" w:rsidTr="00EE41C4">
        <w:trPr>
          <w:trHeight w:val="6885"/>
        </w:trPr>
        <w:tc>
          <w:tcPr>
            <w:tcW w:w="10044" w:type="dxa"/>
            <w:shd w:val="clear" w:color="auto" w:fill="auto"/>
          </w:tcPr>
          <w:p w14:paraId="5D187A37" w14:textId="13986221" w:rsidR="00FD3F1D" w:rsidRDefault="00EE41C4" w:rsidP="00926A69">
            <w:pPr>
              <w:pStyle w:val="Heading1"/>
            </w:pPr>
            <w:bookmarkStart w:id="25" w:name="_Toc315703417"/>
            <w:r>
              <w:lastRenderedPageBreak/>
              <w:t>Appendix 2</w:t>
            </w:r>
            <w:bookmarkEnd w:id="25"/>
          </w:p>
          <w:p w14:paraId="3B8608DF" w14:textId="44A0426B" w:rsidR="005A34B3" w:rsidRPr="00D34223" w:rsidRDefault="005A34B3" w:rsidP="00FD3F1D">
            <w:pPr>
              <w:pStyle w:val="Heading5"/>
            </w:pPr>
            <w:r w:rsidRPr="00561499">
              <w:t>Close the Gap Campaign Submission to the Senate Finance and Public Administration References Committee Inquiry into the impa</w:t>
            </w:r>
            <w:r w:rsidR="00926A69">
              <w:t xml:space="preserve">ct of the </w:t>
            </w:r>
            <w:proofErr w:type="spellStart"/>
            <w:r w:rsidR="00926A69">
              <w:t>IAS</w:t>
            </w:r>
            <w:proofErr w:type="spellEnd"/>
            <w:r w:rsidR="00926A69">
              <w:t xml:space="preserve"> tendering process</w:t>
            </w:r>
            <w:r w:rsidR="00FD3F1D">
              <w:t>:</w:t>
            </w:r>
          </w:p>
          <w:p w14:paraId="34086C6D" w14:textId="77777777" w:rsidR="00D34223" w:rsidRDefault="00D34223" w:rsidP="00D34223">
            <w:pPr>
              <w:pStyle w:val="Heading4"/>
            </w:pPr>
            <w:r>
              <w:t>Recommendation 1</w:t>
            </w:r>
          </w:p>
          <w:p w14:paraId="7FBD09EF" w14:textId="76EA7096" w:rsidR="005A34B3" w:rsidRPr="00561499" w:rsidRDefault="005A34B3" w:rsidP="006B25C9">
            <w:pPr>
              <w:autoSpaceDE w:val="0"/>
              <w:autoSpaceDN w:val="0"/>
              <w:adjustRightInd w:val="0"/>
              <w:rPr>
                <w:rFonts w:cs="Arial"/>
              </w:rPr>
            </w:pPr>
            <w:r w:rsidRPr="00561499">
              <w:rPr>
                <w:rFonts w:cs="Arial"/>
              </w:rPr>
              <w:t xml:space="preserve">That a review of the </w:t>
            </w:r>
            <w:proofErr w:type="spellStart"/>
            <w:r w:rsidRPr="00561499">
              <w:rPr>
                <w:rFonts w:cs="Arial"/>
              </w:rPr>
              <w:t>IAS</w:t>
            </w:r>
            <w:proofErr w:type="spellEnd"/>
            <w:r w:rsidRPr="00561499">
              <w:rPr>
                <w:rFonts w:cs="Arial"/>
              </w:rPr>
              <w:t xml:space="preserve"> is established</w:t>
            </w:r>
            <w:r w:rsidR="00926A69">
              <w:rPr>
                <w:rFonts w:cs="Arial"/>
              </w:rPr>
              <w:t xml:space="preserve"> to consider:</w:t>
            </w:r>
          </w:p>
          <w:p w14:paraId="4DD8112B" w14:textId="1762A474" w:rsidR="005A34B3" w:rsidRPr="00D34223" w:rsidRDefault="005A34B3" w:rsidP="003E2E6A">
            <w:pPr>
              <w:pStyle w:val="ListParagraph"/>
              <w:numPr>
                <w:ilvl w:val="0"/>
                <w:numId w:val="88"/>
              </w:numPr>
              <w:tabs>
                <w:tab w:val="left" w:pos="220"/>
                <w:tab w:val="left" w:pos="720"/>
              </w:tabs>
              <w:autoSpaceDE w:val="0"/>
              <w:autoSpaceDN w:val="0"/>
              <w:adjustRightInd w:val="0"/>
              <w:ind w:left="578" w:hanging="357"/>
              <w:contextualSpacing w:val="0"/>
              <w:rPr>
                <w:rFonts w:cs="Arial"/>
              </w:rPr>
            </w:pPr>
            <w:r w:rsidRPr="00561499">
              <w:rPr>
                <w:rFonts w:cs="Arial"/>
              </w:rPr>
              <w:t xml:space="preserve">How to ensure a genuine partnership approach in development and implementation of </w:t>
            </w:r>
            <w:proofErr w:type="spellStart"/>
            <w:r w:rsidRPr="00561499">
              <w:rPr>
                <w:rFonts w:cs="Arial"/>
              </w:rPr>
              <w:t>IAS</w:t>
            </w:r>
            <w:proofErr w:type="spellEnd"/>
            <w:r w:rsidRPr="00561499">
              <w:rPr>
                <w:rFonts w:cs="Arial"/>
              </w:rPr>
              <w:t xml:space="preserve"> funded services, including consideration of establishing an Aboriginal and Torres Strait Islander taskforce or leadership forum with representation from all the releva</w:t>
            </w:r>
            <w:r w:rsidR="00D34223">
              <w:rPr>
                <w:rFonts w:cs="Arial"/>
              </w:rPr>
              <w:t xml:space="preserve">nt representative </w:t>
            </w:r>
            <w:proofErr w:type="spellStart"/>
            <w:r w:rsidR="00D34223">
              <w:rPr>
                <w:rFonts w:cs="Arial"/>
              </w:rPr>
              <w:t>organisations</w:t>
            </w:r>
            <w:proofErr w:type="spellEnd"/>
            <w:r w:rsidR="00D34223">
              <w:rPr>
                <w:rFonts w:cs="Arial"/>
              </w:rPr>
              <w:t>.</w:t>
            </w:r>
          </w:p>
          <w:p w14:paraId="20107D11" w14:textId="12A91AB8" w:rsidR="005A34B3" w:rsidRPr="00D34223" w:rsidRDefault="005A34B3" w:rsidP="003E2E6A">
            <w:pPr>
              <w:pStyle w:val="ListParagraph"/>
              <w:numPr>
                <w:ilvl w:val="0"/>
                <w:numId w:val="88"/>
              </w:numPr>
              <w:tabs>
                <w:tab w:val="left" w:pos="220"/>
                <w:tab w:val="left" w:pos="720"/>
              </w:tabs>
              <w:autoSpaceDE w:val="0"/>
              <w:autoSpaceDN w:val="0"/>
              <w:adjustRightInd w:val="0"/>
              <w:ind w:left="578" w:hanging="357"/>
              <w:contextualSpacing w:val="0"/>
              <w:rPr>
                <w:rFonts w:eastAsia="MS Mincho" w:cs="MS Mincho"/>
              </w:rPr>
            </w:pPr>
            <w:r w:rsidRPr="00561499">
              <w:rPr>
                <w:rFonts w:cs="Arial"/>
              </w:rPr>
              <w:t xml:space="preserve">The development of a culturally valid and reliable Aboriginal and Torres Strait Islander Outcomes Framework for developing measures and </w:t>
            </w:r>
            <w:proofErr w:type="spellStart"/>
            <w:r w:rsidRPr="00561499">
              <w:rPr>
                <w:rFonts w:cs="Arial"/>
              </w:rPr>
              <w:t>analysing</w:t>
            </w:r>
            <w:proofErr w:type="spellEnd"/>
            <w:r w:rsidRPr="00561499">
              <w:rPr>
                <w:rFonts w:cs="Arial"/>
              </w:rPr>
              <w:t xml:space="preserve"> outcomes acc</w:t>
            </w:r>
            <w:r w:rsidR="00D34223">
              <w:rPr>
                <w:rFonts w:cs="Arial"/>
              </w:rPr>
              <w:t>ording to local community needs.</w:t>
            </w:r>
          </w:p>
          <w:p w14:paraId="5394AEAE" w14:textId="251764AB" w:rsidR="005A34B3" w:rsidRPr="00D34223" w:rsidRDefault="005A34B3" w:rsidP="003E2E6A">
            <w:pPr>
              <w:pStyle w:val="ListParagraph"/>
              <w:numPr>
                <w:ilvl w:val="0"/>
                <w:numId w:val="88"/>
              </w:numPr>
              <w:tabs>
                <w:tab w:val="left" w:pos="220"/>
                <w:tab w:val="left" w:pos="720"/>
              </w:tabs>
              <w:autoSpaceDE w:val="0"/>
              <w:autoSpaceDN w:val="0"/>
              <w:adjustRightInd w:val="0"/>
              <w:ind w:left="578" w:hanging="357"/>
              <w:contextualSpacing w:val="0"/>
              <w:rPr>
                <w:rFonts w:eastAsia="MS Mincho" w:cs="MS Mincho"/>
              </w:rPr>
            </w:pPr>
            <w:r w:rsidRPr="00561499">
              <w:rPr>
                <w:rFonts w:cs="Arial"/>
              </w:rPr>
              <w:t>The development of principles to ensure the empowerment of local communities including an Aboriginal and Torres Strait Islander agencies first approach to</w:t>
            </w:r>
            <w:r w:rsidR="00D34223">
              <w:rPr>
                <w:rFonts w:cs="Arial"/>
              </w:rPr>
              <w:t xml:space="preserve"> funding and </w:t>
            </w:r>
            <w:proofErr w:type="spellStart"/>
            <w:r w:rsidR="00D34223">
              <w:rPr>
                <w:rFonts w:cs="Arial"/>
              </w:rPr>
              <w:t>programme</w:t>
            </w:r>
            <w:proofErr w:type="spellEnd"/>
            <w:r w:rsidR="00D34223">
              <w:rPr>
                <w:rFonts w:cs="Arial"/>
              </w:rPr>
              <w:t xml:space="preserve"> delivery.</w:t>
            </w:r>
          </w:p>
          <w:p w14:paraId="74124CB9" w14:textId="15088AD9" w:rsidR="005A34B3" w:rsidRPr="00D34223" w:rsidRDefault="005A34B3" w:rsidP="003E2E6A">
            <w:pPr>
              <w:pStyle w:val="ListParagraph"/>
              <w:numPr>
                <w:ilvl w:val="0"/>
                <w:numId w:val="88"/>
              </w:numPr>
              <w:tabs>
                <w:tab w:val="left" w:pos="220"/>
                <w:tab w:val="left" w:pos="720"/>
              </w:tabs>
              <w:autoSpaceDE w:val="0"/>
              <w:autoSpaceDN w:val="0"/>
              <w:adjustRightInd w:val="0"/>
              <w:ind w:left="578" w:hanging="357"/>
              <w:contextualSpacing w:val="0"/>
              <w:rPr>
                <w:rFonts w:eastAsia="MS Mincho" w:cs="MS Mincho"/>
              </w:rPr>
            </w:pPr>
            <w:r w:rsidRPr="00561499">
              <w:rPr>
                <w:rFonts w:cs="Arial"/>
              </w:rPr>
              <w:t>Replacement of the competitive tendering with a consultative, community needs-based process that is clearly aligned with an Aboriginal and Torres Str</w:t>
            </w:r>
            <w:r w:rsidR="00D34223">
              <w:rPr>
                <w:rFonts w:cs="Arial"/>
              </w:rPr>
              <w:t>ait Islander Outcomes Framework.</w:t>
            </w:r>
          </w:p>
          <w:p w14:paraId="594B17C2" w14:textId="1860E1CD" w:rsidR="005A34B3" w:rsidRPr="00D34223" w:rsidRDefault="005A34B3" w:rsidP="003E2E6A">
            <w:pPr>
              <w:pStyle w:val="ListParagraph"/>
              <w:numPr>
                <w:ilvl w:val="0"/>
                <w:numId w:val="88"/>
              </w:numPr>
              <w:tabs>
                <w:tab w:val="left" w:pos="220"/>
                <w:tab w:val="left" w:pos="720"/>
              </w:tabs>
              <w:autoSpaceDE w:val="0"/>
              <w:autoSpaceDN w:val="0"/>
              <w:adjustRightInd w:val="0"/>
              <w:ind w:left="578" w:hanging="357"/>
              <w:contextualSpacing w:val="0"/>
              <w:rPr>
                <w:rFonts w:cs="Arial"/>
              </w:rPr>
            </w:pPr>
            <w:r w:rsidRPr="00561499">
              <w:rPr>
                <w:rFonts w:cs="Arial"/>
              </w:rPr>
              <w:t xml:space="preserve">A moratorium on the </w:t>
            </w:r>
            <w:proofErr w:type="spellStart"/>
            <w:r w:rsidRPr="00561499">
              <w:rPr>
                <w:rFonts w:cs="Arial"/>
              </w:rPr>
              <w:t>IAS</w:t>
            </w:r>
            <w:proofErr w:type="spellEnd"/>
            <w:r w:rsidRPr="00561499">
              <w:rPr>
                <w:rFonts w:cs="Arial"/>
              </w:rPr>
              <w:t xml:space="preserve"> funding processes be implemented until </w:t>
            </w:r>
            <w:r w:rsidR="00D34223">
              <w:rPr>
                <w:rFonts w:cs="Arial"/>
              </w:rPr>
              <w:t>the above process is completed.</w:t>
            </w:r>
          </w:p>
          <w:p w14:paraId="57C3456C" w14:textId="0E8AED7A" w:rsidR="00D34223" w:rsidRDefault="00D34223" w:rsidP="00D34223">
            <w:pPr>
              <w:pStyle w:val="Heading4"/>
            </w:pPr>
            <w:r>
              <w:t>Recommendation 2</w:t>
            </w:r>
          </w:p>
          <w:p w14:paraId="67F83856" w14:textId="1CFB237E" w:rsidR="005A34B3" w:rsidRPr="00D34223" w:rsidRDefault="005A34B3" w:rsidP="00D34223">
            <w:pPr>
              <w:tabs>
                <w:tab w:val="left" w:pos="220"/>
                <w:tab w:val="left" w:pos="720"/>
              </w:tabs>
              <w:autoSpaceDE w:val="0"/>
              <w:autoSpaceDN w:val="0"/>
              <w:adjustRightInd w:val="0"/>
              <w:rPr>
                <w:rFonts w:cs="Arial"/>
              </w:rPr>
            </w:pPr>
            <w:r w:rsidRPr="00561499">
              <w:rPr>
                <w:rFonts w:cs="Arial"/>
              </w:rPr>
              <w:t xml:space="preserve">That where it is appropriate for a mainstream service to receive </w:t>
            </w:r>
            <w:proofErr w:type="spellStart"/>
            <w:r w:rsidRPr="00561499">
              <w:rPr>
                <w:rFonts w:cs="Arial"/>
              </w:rPr>
              <w:t>IAS</w:t>
            </w:r>
            <w:proofErr w:type="spellEnd"/>
            <w:r w:rsidRPr="00561499">
              <w:rPr>
                <w:rFonts w:cs="Arial"/>
              </w:rPr>
              <w:t xml:space="preserve"> funding, demonstration of cross-cultural safety/competence is required as a key selection criteria and that well defined mechanisms are established to verify claims of cultural compete</w:t>
            </w:r>
            <w:r w:rsidR="00D34223">
              <w:rPr>
                <w:rFonts w:cs="Arial"/>
              </w:rPr>
              <w:t>nce made in tender submissions.</w:t>
            </w:r>
          </w:p>
        </w:tc>
      </w:tr>
    </w:tbl>
    <w:p w14:paraId="4530A644" w14:textId="1AEE1F9C" w:rsidR="00926A69" w:rsidRPr="007758E5" w:rsidRDefault="00926A69" w:rsidP="007758E5">
      <w:r w:rsidRPr="007758E5">
        <w:br w:type="page"/>
      </w:r>
    </w:p>
    <w:p w14:paraId="3C3F538D" w14:textId="77777777" w:rsidR="00926A69" w:rsidRDefault="00926A69" w:rsidP="005B5330"/>
    <w:p w14:paraId="755D98F7" w14:textId="1C48D4F8" w:rsidR="001928CF" w:rsidRPr="00561499" w:rsidRDefault="007E71A4" w:rsidP="00814869">
      <w:pPr>
        <w:rPr>
          <w:lang w:val="en-AU"/>
        </w:rPr>
      </w:pPr>
      <w:r w:rsidRPr="00561499">
        <w:rPr>
          <w:b/>
        </w:rPr>
        <w:t>Endnotes</w:t>
      </w:r>
    </w:p>
    <w:sectPr w:rsidR="001928CF" w:rsidRPr="00561499" w:rsidSect="00B354CA">
      <w:footerReference w:type="default" r:id="rId21"/>
      <w:endnotePr>
        <w:numFmt w:val="decimal"/>
      </w:endnotePr>
      <w:pgSz w:w="11906" w:h="16838" w:code="9"/>
      <w:pgMar w:top="964" w:right="1418" w:bottom="1418" w:left="1418" w:header="567" w:footer="567"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E64D733" w15:done="0"/>
  <w15:commentEx w15:paraId="4AD9C78D" w15:done="0"/>
  <w15:commentEx w15:paraId="05FC57B9" w15:done="0"/>
  <w15:commentEx w15:paraId="3CBE0CDA" w15:done="0"/>
  <w15:commentEx w15:paraId="61FFED52" w15:done="0"/>
  <w15:commentEx w15:paraId="324052BC" w15:done="0"/>
  <w15:commentEx w15:paraId="68B2B802" w15:done="0"/>
  <w15:commentEx w15:paraId="2B4A0A08" w15:done="0"/>
  <w15:commentEx w15:paraId="619E8C09"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86B56C" w14:textId="77777777" w:rsidR="0068666F" w:rsidRDefault="0068666F" w:rsidP="00CF288A">
      <w:r>
        <w:separator/>
      </w:r>
    </w:p>
  </w:endnote>
  <w:endnote w:type="continuationSeparator" w:id="0">
    <w:p w14:paraId="6AAC43B5" w14:textId="77777777" w:rsidR="0068666F" w:rsidRDefault="0068666F" w:rsidP="00CF288A">
      <w:r>
        <w:continuationSeparator/>
      </w:r>
    </w:p>
  </w:endnote>
  <w:endnote w:id="1">
    <w:p w14:paraId="34E73DB2" w14:textId="77777777" w:rsidR="0068666F" w:rsidRPr="00E11D50" w:rsidRDefault="0068666F" w:rsidP="00221769">
      <w:pPr>
        <w:pStyle w:val="EndnoteText"/>
        <w:rPr>
          <w:rFonts w:cs="Arial"/>
          <w:lang w:val="en-US"/>
        </w:rPr>
      </w:pPr>
      <w:r w:rsidRPr="00E11D50">
        <w:rPr>
          <w:rStyle w:val="EndnoteReference"/>
          <w:rFonts w:cs="Arial"/>
          <w:sz w:val="20"/>
        </w:rPr>
        <w:endnoteRef/>
      </w:r>
      <w:r w:rsidRPr="00E11D50">
        <w:rPr>
          <w:rFonts w:cs="Arial"/>
        </w:rPr>
        <w:t xml:space="preserve"> </w:t>
      </w:r>
      <w:proofErr w:type="spellStart"/>
      <w:r w:rsidRPr="00E11D50">
        <w:rPr>
          <w:rFonts w:cs="Arial"/>
        </w:rPr>
        <w:t>Calma</w:t>
      </w:r>
      <w:proofErr w:type="spellEnd"/>
      <w:r w:rsidRPr="00E11D50">
        <w:rPr>
          <w:rFonts w:cs="Arial"/>
        </w:rPr>
        <w:t xml:space="preserve"> T (Aboriginal and Torres Strait Islander Social Justice Commissioner), </w:t>
      </w:r>
      <w:r w:rsidRPr="00E11D50">
        <w:rPr>
          <w:rFonts w:cs="Arial"/>
          <w:i/>
          <w:lang w:val="en-US"/>
        </w:rPr>
        <w:t>Social Justice Report 2005</w:t>
      </w:r>
      <w:r w:rsidRPr="00E11D50">
        <w:rPr>
          <w:rFonts w:cs="Arial"/>
          <w:lang w:val="en-US"/>
        </w:rPr>
        <w:t>, Human Rights and Equal Opportunity Commission, Sydney, 2006.</w:t>
      </w:r>
    </w:p>
  </w:endnote>
  <w:endnote w:id="2">
    <w:p w14:paraId="2636A730" w14:textId="1809E4E5" w:rsidR="0068666F" w:rsidRPr="00E11D50" w:rsidRDefault="0068666F" w:rsidP="00040CF1">
      <w:pPr>
        <w:pStyle w:val="NormalWeb"/>
        <w:rPr>
          <w:rFonts w:ascii="Arial" w:hAnsi="Arial" w:cs="Arial"/>
          <w:sz w:val="20"/>
          <w:szCs w:val="20"/>
        </w:rPr>
      </w:pPr>
      <w:r w:rsidRPr="00E11D50">
        <w:rPr>
          <w:rStyle w:val="EndnoteReference"/>
          <w:rFonts w:cs="Arial"/>
          <w:sz w:val="20"/>
          <w:szCs w:val="20"/>
        </w:rPr>
        <w:endnoteRef/>
      </w:r>
      <w:r w:rsidRPr="00E11D50">
        <w:rPr>
          <w:rFonts w:ascii="Arial" w:hAnsi="Arial" w:cs="Arial"/>
          <w:sz w:val="20"/>
          <w:szCs w:val="20"/>
        </w:rPr>
        <w:t xml:space="preserve"> United Nations General Assembly, </w:t>
      </w:r>
      <w:r w:rsidRPr="00E11D50">
        <w:rPr>
          <w:rFonts w:ascii="Arial" w:hAnsi="Arial" w:cs="Arial"/>
          <w:i/>
          <w:sz w:val="20"/>
          <w:szCs w:val="20"/>
        </w:rPr>
        <w:t>Transforming our world: the 2030 Agenda for Sustainable Development</w:t>
      </w:r>
      <w:r w:rsidRPr="00E11D50">
        <w:rPr>
          <w:rFonts w:ascii="Arial" w:hAnsi="Arial" w:cs="Arial"/>
          <w:sz w:val="20"/>
          <w:szCs w:val="20"/>
        </w:rPr>
        <w:t xml:space="preserve">, </w:t>
      </w:r>
      <w:r w:rsidRPr="00E11D50">
        <w:rPr>
          <w:rFonts w:ascii="Arial" w:eastAsia="Times New Roman" w:hAnsi="Arial" w:cs="Arial"/>
          <w:color w:val="262626"/>
          <w:sz w:val="20"/>
          <w:szCs w:val="20"/>
        </w:rPr>
        <w:t>A/70/</w:t>
      </w:r>
      <w:proofErr w:type="spellStart"/>
      <w:r w:rsidRPr="00E11D50">
        <w:rPr>
          <w:rFonts w:ascii="Arial" w:eastAsia="Times New Roman" w:hAnsi="Arial" w:cs="Arial"/>
          <w:color w:val="262626"/>
          <w:sz w:val="20"/>
          <w:szCs w:val="20"/>
        </w:rPr>
        <w:t>L.1</w:t>
      </w:r>
      <w:proofErr w:type="spellEnd"/>
      <w:r w:rsidRPr="00E11D50">
        <w:rPr>
          <w:rFonts w:ascii="Arial" w:hAnsi="Arial" w:cs="Arial"/>
          <w:sz w:val="20"/>
          <w:szCs w:val="20"/>
        </w:rPr>
        <w:t xml:space="preserve"> </w:t>
      </w:r>
      <w:r w:rsidRPr="00E11D50">
        <w:rPr>
          <w:rFonts w:ascii="Arial" w:eastAsia="Times New Roman" w:hAnsi="Arial" w:cs="Arial"/>
          <w:color w:val="262626"/>
          <w:sz w:val="20"/>
          <w:szCs w:val="20"/>
        </w:rPr>
        <w:t>(18 September 2015). Available online at:</w:t>
      </w:r>
      <w:r w:rsidRPr="00E11D50">
        <w:rPr>
          <w:rFonts w:ascii="Arial" w:hAnsi="Arial" w:cs="Arial"/>
          <w:sz w:val="20"/>
          <w:szCs w:val="20"/>
        </w:rPr>
        <w:t xml:space="preserve"> </w:t>
      </w:r>
      <w:hyperlink r:id="rId1" w:history="1">
        <w:r w:rsidRPr="00E11D50">
          <w:rPr>
            <w:rStyle w:val="Hyperlink"/>
            <w:rFonts w:cs="Arial"/>
            <w:sz w:val="20"/>
            <w:szCs w:val="20"/>
          </w:rPr>
          <w:t>http://</w:t>
        </w:r>
        <w:proofErr w:type="spellStart"/>
        <w:r w:rsidRPr="00E11D50">
          <w:rPr>
            <w:rStyle w:val="Hyperlink"/>
            <w:rFonts w:cs="Arial"/>
            <w:sz w:val="20"/>
            <w:szCs w:val="20"/>
          </w:rPr>
          <w:t>www.un.org</w:t>
        </w:r>
        <w:proofErr w:type="spellEnd"/>
        <w:r w:rsidRPr="00E11D50">
          <w:rPr>
            <w:rStyle w:val="Hyperlink"/>
            <w:rFonts w:cs="Arial"/>
            <w:sz w:val="20"/>
            <w:szCs w:val="20"/>
          </w:rPr>
          <w:t>/</w:t>
        </w:r>
        <w:proofErr w:type="spellStart"/>
        <w:r w:rsidRPr="00E11D50">
          <w:rPr>
            <w:rStyle w:val="Hyperlink"/>
            <w:rFonts w:cs="Arial"/>
            <w:sz w:val="20"/>
            <w:szCs w:val="20"/>
          </w:rPr>
          <w:t>ga</w:t>
        </w:r>
        <w:proofErr w:type="spellEnd"/>
        <w:r w:rsidRPr="00E11D50">
          <w:rPr>
            <w:rStyle w:val="Hyperlink"/>
            <w:rFonts w:cs="Arial"/>
            <w:sz w:val="20"/>
            <w:szCs w:val="20"/>
          </w:rPr>
          <w:t>/search/</w:t>
        </w:r>
        <w:proofErr w:type="spellStart"/>
        <w:r w:rsidRPr="00E11D50">
          <w:rPr>
            <w:rStyle w:val="Hyperlink"/>
            <w:rFonts w:cs="Arial"/>
            <w:sz w:val="20"/>
            <w:szCs w:val="20"/>
          </w:rPr>
          <w:t>view_doc.asp?symbol</w:t>
        </w:r>
        <w:proofErr w:type="spellEnd"/>
        <w:r w:rsidRPr="00E11D50">
          <w:rPr>
            <w:rStyle w:val="Hyperlink"/>
            <w:rFonts w:cs="Arial"/>
            <w:sz w:val="20"/>
            <w:szCs w:val="20"/>
          </w:rPr>
          <w:t>=A/70/</w:t>
        </w:r>
        <w:proofErr w:type="spellStart"/>
        <w:r w:rsidRPr="00E11D50">
          <w:rPr>
            <w:rStyle w:val="Hyperlink"/>
            <w:rFonts w:cs="Arial"/>
            <w:sz w:val="20"/>
            <w:szCs w:val="20"/>
          </w:rPr>
          <w:t>L.1&amp;Lang</w:t>
        </w:r>
        <w:proofErr w:type="spellEnd"/>
        <w:r w:rsidRPr="00E11D50">
          <w:rPr>
            <w:rStyle w:val="Hyperlink"/>
            <w:rFonts w:cs="Arial"/>
            <w:sz w:val="20"/>
            <w:szCs w:val="20"/>
          </w:rPr>
          <w:t>=E</w:t>
        </w:r>
      </w:hyperlink>
      <w:r w:rsidRPr="00E11D50">
        <w:rPr>
          <w:rFonts w:ascii="Arial" w:hAnsi="Arial" w:cs="Arial"/>
          <w:sz w:val="20"/>
          <w:szCs w:val="20"/>
        </w:rPr>
        <w:t>. [Verified 21 December 2015].</w:t>
      </w:r>
    </w:p>
  </w:endnote>
  <w:endnote w:id="3">
    <w:p w14:paraId="19B8A7E5" w14:textId="77777777" w:rsidR="0068666F" w:rsidRPr="00E11D50" w:rsidRDefault="0068666F" w:rsidP="00040CF1">
      <w:pPr>
        <w:pStyle w:val="NormalWeb"/>
        <w:rPr>
          <w:rFonts w:ascii="Arial" w:hAnsi="Arial" w:cs="Arial"/>
          <w:sz w:val="20"/>
          <w:szCs w:val="20"/>
        </w:rPr>
      </w:pPr>
      <w:r w:rsidRPr="00E11D50">
        <w:rPr>
          <w:rStyle w:val="EndnoteReference"/>
          <w:rFonts w:cs="Arial"/>
          <w:sz w:val="20"/>
          <w:szCs w:val="20"/>
        </w:rPr>
        <w:endnoteRef/>
      </w:r>
      <w:r w:rsidRPr="00E11D50">
        <w:rPr>
          <w:rFonts w:ascii="Arial" w:hAnsi="Arial" w:cs="Arial"/>
          <w:sz w:val="20"/>
          <w:szCs w:val="20"/>
        </w:rPr>
        <w:t xml:space="preserve"> United Nations General Assembly, United Nations Millennium Declaration, A/RES/55/2 (18 September 2000). Available online at: </w:t>
      </w:r>
      <w:hyperlink r:id="rId2" w:history="1">
        <w:r w:rsidRPr="00E11D50">
          <w:rPr>
            <w:rStyle w:val="Hyperlink"/>
            <w:rFonts w:cs="Arial"/>
            <w:sz w:val="20"/>
            <w:szCs w:val="20"/>
          </w:rPr>
          <w:t>http://</w:t>
        </w:r>
        <w:proofErr w:type="spellStart"/>
        <w:r w:rsidRPr="00E11D50">
          <w:rPr>
            <w:rStyle w:val="Hyperlink"/>
            <w:rFonts w:cs="Arial"/>
            <w:sz w:val="20"/>
            <w:szCs w:val="20"/>
          </w:rPr>
          <w:t>www.un.org</w:t>
        </w:r>
        <w:proofErr w:type="spellEnd"/>
        <w:r w:rsidRPr="00E11D50">
          <w:rPr>
            <w:rStyle w:val="Hyperlink"/>
            <w:rFonts w:cs="Arial"/>
            <w:sz w:val="20"/>
            <w:szCs w:val="20"/>
          </w:rPr>
          <w:t>/millennium/declaration/</w:t>
        </w:r>
        <w:proofErr w:type="spellStart"/>
        <w:r w:rsidRPr="00E11D50">
          <w:rPr>
            <w:rStyle w:val="Hyperlink"/>
            <w:rFonts w:cs="Arial"/>
            <w:sz w:val="20"/>
            <w:szCs w:val="20"/>
          </w:rPr>
          <w:t>ares552e.pdf</w:t>
        </w:r>
        <w:proofErr w:type="spellEnd"/>
      </w:hyperlink>
      <w:r w:rsidRPr="00E11D50">
        <w:rPr>
          <w:rFonts w:ascii="Arial" w:hAnsi="Arial" w:cs="Arial"/>
          <w:sz w:val="20"/>
          <w:szCs w:val="20"/>
        </w:rPr>
        <w:t>. [Verified 21 December 2015].</w:t>
      </w:r>
    </w:p>
  </w:endnote>
  <w:endnote w:id="4">
    <w:p w14:paraId="5C0DAC4B" w14:textId="263F88CC" w:rsidR="0068666F" w:rsidRPr="00E11D50" w:rsidRDefault="0068666F" w:rsidP="00040CF1">
      <w:pPr>
        <w:pStyle w:val="NormalWeb"/>
        <w:rPr>
          <w:rFonts w:ascii="Arial" w:hAnsi="Arial" w:cs="Arial"/>
          <w:sz w:val="20"/>
          <w:szCs w:val="20"/>
        </w:rPr>
      </w:pPr>
      <w:r w:rsidRPr="00E11D50">
        <w:rPr>
          <w:rStyle w:val="EndnoteReference"/>
          <w:rFonts w:cs="Arial"/>
          <w:sz w:val="20"/>
          <w:szCs w:val="20"/>
        </w:rPr>
        <w:endnoteRef/>
      </w:r>
      <w:r w:rsidRPr="00E11D50">
        <w:rPr>
          <w:rFonts w:ascii="Arial" w:hAnsi="Arial" w:cs="Arial"/>
          <w:sz w:val="20"/>
          <w:szCs w:val="20"/>
        </w:rPr>
        <w:t xml:space="preserve"> United Nations General Assembly, </w:t>
      </w:r>
      <w:r w:rsidRPr="00E11D50">
        <w:rPr>
          <w:rFonts w:ascii="Arial" w:hAnsi="Arial" w:cs="Arial"/>
          <w:i/>
          <w:sz w:val="20"/>
          <w:szCs w:val="20"/>
        </w:rPr>
        <w:t>Transforming our world: the 2030 Agenda for Sustainable Development</w:t>
      </w:r>
      <w:r w:rsidRPr="00E11D50">
        <w:rPr>
          <w:rFonts w:ascii="Arial" w:hAnsi="Arial" w:cs="Arial"/>
          <w:sz w:val="20"/>
          <w:szCs w:val="20"/>
        </w:rPr>
        <w:t xml:space="preserve">, </w:t>
      </w:r>
      <w:r w:rsidRPr="00E11D50">
        <w:rPr>
          <w:rFonts w:ascii="Arial" w:eastAsia="Times New Roman" w:hAnsi="Arial" w:cs="Arial"/>
          <w:color w:val="262626"/>
          <w:sz w:val="20"/>
          <w:szCs w:val="20"/>
        </w:rPr>
        <w:t>A/70/</w:t>
      </w:r>
      <w:proofErr w:type="spellStart"/>
      <w:r w:rsidRPr="00E11D50">
        <w:rPr>
          <w:rFonts w:ascii="Arial" w:eastAsia="Times New Roman" w:hAnsi="Arial" w:cs="Arial"/>
          <w:color w:val="262626"/>
          <w:sz w:val="20"/>
          <w:szCs w:val="20"/>
        </w:rPr>
        <w:t>L.1</w:t>
      </w:r>
      <w:proofErr w:type="spellEnd"/>
      <w:r w:rsidRPr="00E11D50">
        <w:rPr>
          <w:rFonts w:ascii="Arial" w:hAnsi="Arial" w:cs="Arial"/>
          <w:sz w:val="20"/>
          <w:szCs w:val="20"/>
        </w:rPr>
        <w:t xml:space="preserve"> </w:t>
      </w:r>
      <w:r w:rsidRPr="00E11D50">
        <w:rPr>
          <w:rFonts w:ascii="Arial" w:eastAsia="Times New Roman" w:hAnsi="Arial" w:cs="Arial"/>
          <w:color w:val="262626"/>
          <w:sz w:val="20"/>
          <w:szCs w:val="20"/>
        </w:rPr>
        <w:t>(18 September 2015). Available online at:</w:t>
      </w:r>
      <w:r w:rsidRPr="00E11D50">
        <w:rPr>
          <w:rFonts w:ascii="Arial" w:hAnsi="Arial" w:cs="Arial"/>
          <w:sz w:val="20"/>
          <w:szCs w:val="20"/>
        </w:rPr>
        <w:t xml:space="preserve"> </w:t>
      </w:r>
      <w:hyperlink r:id="rId3" w:history="1">
        <w:r w:rsidRPr="00E11D50">
          <w:rPr>
            <w:rStyle w:val="Hyperlink"/>
            <w:rFonts w:cs="Arial"/>
            <w:sz w:val="20"/>
            <w:szCs w:val="20"/>
          </w:rPr>
          <w:t>http://</w:t>
        </w:r>
        <w:proofErr w:type="spellStart"/>
        <w:r w:rsidRPr="00E11D50">
          <w:rPr>
            <w:rStyle w:val="Hyperlink"/>
            <w:rFonts w:cs="Arial"/>
            <w:sz w:val="20"/>
            <w:szCs w:val="20"/>
          </w:rPr>
          <w:t>www.un.org</w:t>
        </w:r>
        <w:proofErr w:type="spellEnd"/>
        <w:r w:rsidRPr="00E11D50">
          <w:rPr>
            <w:rStyle w:val="Hyperlink"/>
            <w:rFonts w:cs="Arial"/>
            <w:sz w:val="20"/>
            <w:szCs w:val="20"/>
          </w:rPr>
          <w:t>/</w:t>
        </w:r>
        <w:proofErr w:type="spellStart"/>
        <w:r w:rsidRPr="00E11D50">
          <w:rPr>
            <w:rStyle w:val="Hyperlink"/>
            <w:rFonts w:cs="Arial"/>
            <w:sz w:val="20"/>
            <w:szCs w:val="20"/>
          </w:rPr>
          <w:t>ga</w:t>
        </w:r>
        <w:proofErr w:type="spellEnd"/>
        <w:r w:rsidRPr="00E11D50">
          <w:rPr>
            <w:rStyle w:val="Hyperlink"/>
            <w:rFonts w:cs="Arial"/>
            <w:sz w:val="20"/>
            <w:szCs w:val="20"/>
          </w:rPr>
          <w:t>/search/</w:t>
        </w:r>
        <w:proofErr w:type="spellStart"/>
        <w:r w:rsidRPr="00E11D50">
          <w:rPr>
            <w:rStyle w:val="Hyperlink"/>
            <w:rFonts w:cs="Arial"/>
            <w:sz w:val="20"/>
            <w:szCs w:val="20"/>
          </w:rPr>
          <w:t>view_doc.asp?symbol</w:t>
        </w:r>
        <w:proofErr w:type="spellEnd"/>
        <w:r w:rsidRPr="00E11D50">
          <w:rPr>
            <w:rStyle w:val="Hyperlink"/>
            <w:rFonts w:cs="Arial"/>
            <w:sz w:val="20"/>
            <w:szCs w:val="20"/>
          </w:rPr>
          <w:t>=A/70/</w:t>
        </w:r>
        <w:proofErr w:type="spellStart"/>
        <w:r w:rsidRPr="00E11D50">
          <w:rPr>
            <w:rStyle w:val="Hyperlink"/>
            <w:rFonts w:cs="Arial"/>
            <w:sz w:val="20"/>
            <w:szCs w:val="20"/>
          </w:rPr>
          <w:t>L.1&amp;Lang</w:t>
        </w:r>
        <w:proofErr w:type="spellEnd"/>
        <w:r w:rsidRPr="00E11D50">
          <w:rPr>
            <w:rStyle w:val="Hyperlink"/>
            <w:rFonts w:cs="Arial"/>
            <w:sz w:val="20"/>
            <w:szCs w:val="20"/>
          </w:rPr>
          <w:t>=E</w:t>
        </w:r>
      </w:hyperlink>
      <w:r w:rsidRPr="00E11D50">
        <w:rPr>
          <w:rFonts w:ascii="Arial" w:hAnsi="Arial" w:cs="Arial"/>
          <w:sz w:val="20"/>
          <w:szCs w:val="20"/>
        </w:rPr>
        <w:t>. [Verified 21 December 2015].</w:t>
      </w:r>
    </w:p>
  </w:endnote>
  <w:endnote w:id="5">
    <w:p w14:paraId="1397AA9E" w14:textId="77777777" w:rsidR="0068666F" w:rsidRPr="00E11D50" w:rsidRDefault="0068666F" w:rsidP="00040CF1">
      <w:pPr>
        <w:pStyle w:val="NormalWeb"/>
        <w:rPr>
          <w:rFonts w:ascii="Arial" w:hAnsi="Arial" w:cs="Arial"/>
          <w:sz w:val="20"/>
          <w:szCs w:val="20"/>
        </w:rPr>
      </w:pPr>
      <w:r w:rsidRPr="00E11D50">
        <w:rPr>
          <w:rStyle w:val="EndnoteReference"/>
          <w:rFonts w:cs="Arial"/>
          <w:sz w:val="20"/>
          <w:szCs w:val="20"/>
        </w:rPr>
        <w:endnoteRef/>
      </w:r>
      <w:r w:rsidRPr="00E11D50">
        <w:rPr>
          <w:rFonts w:ascii="Arial" w:hAnsi="Arial" w:cs="Arial"/>
          <w:sz w:val="20"/>
          <w:szCs w:val="20"/>
        </w:rPr>
        <w:t xml:space="preserve"> United Nations General Assembly, United Nations Millennium Declaration, A/RES/55/2 (18 September 2000). Available online at: </w:t>
      </w:r>
      <w:hyperlink r:id="rId4" w:history="1">
        <w:r w:rsidRPr="00E11D50">
          <w:rPr>
            <w:rStyle w:val="Hyperlink"/>
            <w:rFonts w:cs="Arial"/>
            <w:sz w:val="20"/>
            <w:szCs w:val="20"/>
          </w:rPr>
          <w:t>http://</w:t>
        </w:r>
        <w:proofErr w:type="spellStart"/>
        <w:r w:rsidRPr="00E11D50">
          <w:rPr>
            <w:rStyle w:val="Hyperlink"/>
            <w:rFonts w:cs="Arial"/>
            <w:sz w:val="20"/>
            <w:szCs w:val="20"/>
          </w:rPr>
          <w:t>www.un.org</w:t>
        </w:r>
        <w:proofErr w:type="spellEnd"/>
        <w:r w:rsidRPr="00E11D50">
          <w:rPr>
            <w:rStyle w:val="Hyperlink"/>
            <w:rFonts w:cs="Arial"/>
            <w:sz w:val="20"/>
            <w:szCs w:val="20"/>
          </w:rPr>
          <w:t>/millennium/declaration/</w:t>
        </w:r>
        <w:proofErr w:type="spellStart"/>
        <w:r w:rsidRPr="00E11D50">
          <w:rPr>
            <w:rStyle w:val="Hyperlink"/>
            <w:rFonts w:cs="Arial"/>
            <w:sz w:val="20"/>
            <w:szCs w:val="20"/>
          </w:rPr>
          <w:t>ares552e.pdf</w:t>
        </w:r>
        <w:proofErr w:type="spellEnd"/>
      </w:hyperlink>
      <w:r w:rsidRPr="00E11D50">
        <w:rPr>
          <w:rFonts w:ascii="Arial" w:hAnsi="Arial" w:cs="Arial"/>
          <w:sz w:val="20"/>
          <w:szCs w:val="20"/>
        </w:rPr>
        <w:t>. [Verified 21 December 2015].</w:t>
      </w:r>
    </w:p>
  </w:endnote>
  <w:endnote w:id="6">
    <w:p w14:paraId="3C791C0E" w14:textId="0B57114E"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United Nations General Assembly, </w:t>
      </w:r>
      <w:r w:rsidRPr="00E11D50">
        <w:rPr>
          <w:rFonts w:cs="Arial"/>
          <w:i/>
        </w:rPr>
        <w:t>Transforming our world: the 2030 Agenda for Sustainable Development</w:t>
      </w:r>
      <w:r w:rsidRPr="00E11D50">
        <w:rPr>
          <w:rFonts w:cs="Arial"/>
        </w:rPr>
        <w:t xml:space="preserve">, </w:t>
      </w:r>
      <w:r w:rsidRPr="00E11D50">
        <w:rPr>
          <w:rFonts w:cs="Arial"/>
          <w:color w:val="262626"/>
        </w:rPr>
        <w:t>A/70/</w:t>
      </w:r>
      <w:proofErr w:type="spellStart"/>
      <w:r w:rsidRPr="00E11D50">
        <w:rPr>
          <w:rFonts w:cs="Arial"/>
          <w:color w:val="262626"/>
        </w:rPr>
        <w:t>L.1</w:t>
      </w:r>
      <w:proofErr w:type="spellEnd"/>
      <w:r w:rsidRPr="00E11D50">
        <w:rPr>
          <w:rFonts w:cs="Arial"/>
        </w:rPr>
        <w:t xml:space="preserve"> </w:t>
      </w:r>
      <w:r w:rsidRPr="00E11D50">
        <w:rPr>
          <w:rFonts w:cs="Arial"/>
          <w:color w:val="262626"/>
        </w:rPr>
        <w:t>(18 September 2015). Available online at:</w:t>
      </w:r>
      <w:r>
        <w:rPr>
          <w:rFonts w:cs="Arial"/>
        </w:rPr>
        <w:t xml:space="preserve"> </w:t>
      </w:r>
      <w:hyperlink r:id="rId5" w:history="1">
        <w:r w:rsidRPr="00E11D50">
          <w:rPr>
            <w:rStyle w:val="Hyperlink"/>
            <w:rFonts w:cs="Arial"/>
          </w:rPr>
          <w:t>http://</w:t>
        </w:r>
        <w:proofErr w:type="spellStart"/>
        <w:r w:rsidRPr="00E11D50">
          <w:rPr>
            <w:rStyle w:val="Hyperlink"/>
            <w:rFonts w:cs="Arial"/>
          </w:rPr>
          <w:t>www.un.org</w:t>
        </w:r>
        <w:proofErr w:type="spellEnd"/>
        <w:r w:rsidRPr="00E11D50">
          <w:rPr>
            <w:rStyle w:val="Hyperlink"/>
            <w:rFonts w:cs="Arial"/>
          </w:rPr>
          <w:t>/</w:t>
        </w:r>
        <w:proofErr w:type="spellStart"/>
        <w:r w:rsidRPr="00E11D50">
          <w:rPr>
            <w:rStyle w:val="Hyperlink"/>
            <w:rFonts w:cs="Arial"/>
          </w:rPr>
          <w:t>ga</w:t>
        </w:r>
        <w:proofErr w:type="spellEnd"/>
        <w:r w:rsidRPr="00E11D50">
          <w:rPr>
            <w:rStyle w:val="Hyperlink"/>
            <w:rFonts w:cs="Arial"/>
          </w:rPr>
          <w:t>/search/</w:t>
        </w:r>
        <w:proofErr w:type="spellStart"/>
        <w:r w:rsidRPr="00E11D50">
          <w:rPr>
            <w:rStyle w:val="Hyperlink"/>
            <w:rFonts w:cs="Arial"/>
          </w:rPr>
          <w:t>view_doc.asp?symbol</w:t>
        </w:r>
        <w:proofErr w:type="spellEnd"/>
        <w:r w:rsidRPr="00E11D50">
          <w:rPr>
            <w:rStyle w:val="Hyperlink"/>
            <w:rFonts w:cs="Arial"/>
          </w:rPr>
          <w:t>=A/70/</w:t>
        </w:r>
        <w:proofErr w:type="spellStart"/>
        <w:r w:rsidRPr="00E11D50">
          <w:rPr>
            <w:rStyle w:val="Hyperlink"/>
            <w:rFonts w:cs="Arial"/>
          </w:rPr>
          <w:t>L.1&amp;Lang</w:t>
        </w:r>
        <w:proofErr w:type="spellEnd"/>
        <w:r w:rsidRPr="00E11D50">
          <w:rPr>
            <w:rStyle w:val="Hyperlink"/>
            <w:rFonts w:cs="Arial"/>
          </w:rPr>
          <w:t>=E</w:t>
        </w:r>
      </w:hyperlink>
      <w:r w:rsidRPr="00E11D50">
        <w:rPr>
          <w:rFonts w:cs="Arial"/>
        </w:rPr>
        <w:t>. [Verified 21 December 2015].</w:t>
      </w:r>
    </w:p>
  </w:endnote>
  <w:endnote w:id="7">
    <w:p w14:paraId="0D3628D2" w14:textId="77777777"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proofErr w:type="spellStart"/>
      <w:r w:rsidRPr="00E11D50">
        <w:rPr>
          <w:rFonts w:cs="Arial"/>
        </w:rPr>
        <w:t>Calma</w:t>
      </w:r>
      <w:proofErr w:type="spellEnd"/>
      <w:r w:rsidRPr="00E11D50">
        <w:rPr>
          <w:rFonts w:cs="Arial"/>
        </w:rPr>
        <w:t xml:space="preserve"> T (Aboriginal and Torres Strait Islander Social Justice Commissioner), </w:t>
      </w:r>
      <w:r w:rsidRPr="00E11D50">
        <w:rPr>
          <w:rFonts w:cs="Arial"/>
          <w:i/>
          <w:lang w:val="en-US"/>
        </w:rPr>
        <w:t>Social Justice Report 2005</w:t>
      </w:r>
      <w:r w:rsidRPr="00E11D50">
        <w:rPr>
          <w:rFonts w:cs="Arial"/>
          <w:lang w:val="en-US"/>
        </w:rPr>
        <w:t>, Human Rights and Equal Opportunity Commission, Sydney, 2006.</w:t>
      </w:r>
    </w:p>
  </w:endnote>
  <w:endnote w:id="8">
    <w:p w14:paraId="71C8AAB2" w14:textId="401E7BF5"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Council of Australian Governments, </w:t>
      </w:r>
      <w:r w:rsidRPr="00E11D50">
        <w:rPr>
          <w:rFonts w:cs="Arial"/>
          <w:i/>
        </w:rPr>
        <w:t>National Indigenous Reform Agreement</w:t>
      </w:r>
      <w:r w:rsidRPr="00E11D50">
        <w:rPr>
          <w:rFonts w:cs="Arial"/>
        </w:rPr>
        <w:t xml:space="preserve"> (2008, revised September 2012), </w:t>
      </w:r>
      <w:proofErr w:type="spellStart"/>
      <w:r w:rsidRPr="00E11D50">
        <w:rPr>
          <w:rFonts w:cs="Arial"/>
        </w:rPr>
        <w:t>COAG</w:t>
      </w:r>
      <w:proofErr w:type="spellEnd"/>
      <w:r w:rsidRPr="00E11D50">
        <w:rPr>
          <w:rFonts w:cs="Arial"/>
        </w:rPr>
        <w:t xml:space="preserve">, Canberra, 2013, </w:t>
      </w:r>
      <w:r>
        <w:rPr>
          <w:rFonts w:cs="Arial"/>
        </w:rPr>
        <w:t xml:space="preserve">p </w:t>
      </w:r>
      <w:r w:rsidRPr="00E11D50">
        <w:rPr>
          <w:rFonts w:cs="Arial"/>
        </w:rPr>
        <w:t xml:space="preserve">A-16. Available online at: </w:t>
      </w:r>
      <w:hyperlink r:id="rId6" w:history="1">
        <w:r w:rsidRPr="00E11D50">
          <w:rPr>
            <w:rStyle w:val="Hyperlink"/>
            <w:rFonts w:cs="Arial"/>
          </w:rPr>
          <w:t>http://www.federalfinancialrelations.gov.au/content/npa/health_indigenous/indigenous-reform/national-agreement_sept_12.pdf</w:t>
        </w:r>
      </w:hyperlink>
      <w:r w:rsidRPr="00E11D50">
        <w:rPr>
          <w:rFonts w:cs="Arial"/>
        </w:rPr>
        <w:t>. [Verified 21 December 2015].</w:t>
      </w:r>
    </w:p>
  </w:endnote>
  <w:endnote w:id="9">
    <w:p w14:paraId="3A496786" w14:textId="67E1E625"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lang w:val="en-US"/>
        </w:rPr>
        <w:t xml:space="preserve">For an overview of the national partnership agreements see: Australian Health </w:t>
      </w:r>
      <w:proofErr w:type="spellStart"/>
      <w:r w:rsidRPr="00E11D50">
        <w:rPr>
          <w:rFonts w:cs="Arial"/>
          <w:lang w:val="en-US"/>
        </w:rPr>
        <w:t>Infonet</w:t>
      </w:r>
      <w:proofErr w:type="spellEnd"/>
      <w:r w:rsidRPr="00E11D50">
        <w:rPr>
          <w:rFonts w:cs="Arial"/>
          <w:lang w:val="en-US"/>
        </w:rPr>
        <w:t xml:space="preserve">, </w:t>
      </w:r>
      <w:r w:rsidRPr="00E11D50">
        <w:rPr>
          <w:rFonts w:cs="Arial"/>
          <w:i/>
          <w:lang w:val="en-US"/>
        </w:rPr>
        <w:t>What are the National partnership agreements and how do they fit in?</w:t>
      </w:r>
      <w:r>
        <w:rPr>
          <w:rFonts w:cs="Arial"/>
          <w:lang w:val="en-US"/>
        </w:rPr>
        <w:t xml:space="preserve">, 2013. Available online at: </w:t>
      </w:r>
      <w:hyperlink r:id="rId7" w:history="1">
        <w:r w:rsidRPr="00E11D50">
          <w:rPr>
            <w:rStyle w:val="Hyperlink"/>
            <w:rFonts w:cs="Arial"/>
            <w:lang w:val="en-US"/>
          </w:rPr>
          <w:t>http://www.healthinfonet.ecu.edu.au/closing-the-gap/key-facts/what-are-the-national-partnership-agreements-and-how-do-they-fit-in</w:t>
        </w:r>
      </w:hyperlink>
      <w:r w:rsidRPr="00E11D50">
        <w:rPr>
          <w:rFonts w:cs="Arial"/>
          <w:lang w:val="en-US"/>
        </w:rPr>
        <w:t xml:space="preserve">. </w:t>
      </w:r>
      <w:r w:rsidRPr="00E11D50">
        <w:rPr>
          <w:rFonts w:cs="Arial"/>
        </w:rPr>
        <w:t>[Verified 21 December 2015].</w:t>
      </w:r>
    </w:p>
  </w:endnote>
  <w:endnote w:id="10">
    <w:p w14:paraId="2D155912" w14:textId="77777777"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Australian Government, </w:t>
      </w:r>
      <w:r w:rsidRPr="00E11D50">
        <w:rPr>
          <w:rFonts w:cs="Arial"/>
          <w:i/>
        </w:rPr>
        <w:t>National Aboriginal and Torres Strait Islander Health Plan 2013-2023</w:t>
      </w:r>
      <w:r w:rsidRPr="00E11D50">
        <w:rPr>
          <w:rFonts w:cs="Arial"/>
        </w:rPr>
        <w:t>, Commonwealth of Australia, Canberra, 2013.</w:t>
      </w:r>
    </w:p>
  </w:endnote>
  <w:endnote w:id="11">
    <w:p w14:paraId="2706D5C4" w14:textId="77777777"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Australian Government, </w:t>
      </w:r>
      <w:r w:rsidRPr="00E11D50">
        <w:rPr>
          <w:rFonts w:cs="Arial"/>
          <w:i/>
        </w:rPr>
        <w:t>National Aboriginal and Torres Strait Islander Health Plan Implementation Plan</w:t>
      </w:r>
      <w:r w:rsidRPr="00E11D50">
        <w:rPr>
          <w:rFonts w:cs="Arial"/>
        </w:rPr>
        <w:t>, Commonwealth of Australia, Canberra, 2015.</w:t>
      </w:r>
    </w:p>
  </w:endnote>
  <w:endnote w:id="12">
    <w:p w14:paraId="4C438BF5" w14:textId="5D8199B0"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To sign the pledge go to: </w:t>
      </w:r>
      <w:hyperlink r:id="rId8" w:history="1">
        <w:r w:rsidRPr="00E11D50">
          <w:rPr>
            <w:rStyle w:val="Hyperlink"/>
            <w:rFonts w:cs="Arial"/>
          </w:rPr>
          <w:t>https://</w:t>
        </w:r>
        <w:proofErr w:type="spellStart"/>
        <w:r w:rsidRPr="00E11D50">
          <w:rPr>
            <w:rStyle w:val="Hyperlink"/>
            <w:rFonts w:cs="Arial"/>
          </w:rPr>
          <w:t>act.oxfam.org</w:t>
        </w:r>
        <w:proofErr w:type="spellEnd"/>
        <w:r w:rsidRPr="00E11D50">
          <w:rPr>
            <w:rStyle w:val="Hyperlink"/>
            <w:rFonts w:cs="Arial"/>
          </w:rPr>
          <w:t>/</w:t>
        </w:r>
        <w:proofErr w:type="spellStart"/>
        <w:r w:rsidRPr="00E11D50">
          <w:rPr>
            <w:rStyle w:val="Hyperlink"/>
            <w:rFonts w:cs="Arial"/>
          </w:rPr>
          <w:t>australia</w:t>
        </w:r>
        <w:proofErr w:type="spellEnd"/>
        <w:r w:rsidRPr="00E11D50">
          <w:rPr>
            <w:rStyle w:val="Hyperlink"/>
            <w:rFonts w:cs="Arial"/>
          </w:rPr>
          <w:t>/close-the-gap-pledge</w:t>
        </w:r>
      </w:hyperlink>
      <w:r>
        <w:rPr>
          <w:rFonts w:cs="Arial"/>
        </w:rPr>
        <w:t>.</w:t>
      </w:r>
    </w:p>
  </w:endnote>
  <w:endnote w:id="13">
    <w:p w14:paraId="565D01FB" w14:textId="7CF8040B"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United Nations General Assembly, </w:t>
      </w:r>
      <w:r w:rsidRPr="00E11D50">
        <w:rPr>
          <w:rFonts w:cs="Arial"/>
          <w:i/>
        </w:rPr>
        <w:t>Transforming our world: the 2030 Agenda for Sustainable Development</w:t>
      </w:r>
      <w:r w:rsidRPr="00E11D50">
        <w:rPr>
          <w:rFonts w:cs="Arial"/>
        </w:rPr>
        <w:t xml:space="preserve">, </w:t>
      </w:r>
      <w:r w:rsidRPr="00E11D50">
        <w:rPr>
          <w:rFonts w:cs="Arial"/>
          <w:color w:val="262626"/>
        </w:rPr>
        <w:t>A/70/</w:t>
      </w:r>
      <w:proofErr w:type="spellStart"/>
      <w:r w:rsidRPr="00E11D50">
        <w:rPr>
          <w:rFonts w:cs="Arial"/>
          <w:color w:val="262626"/>
        </w:rPr>
        <w:t>L.1</w:t>
      </w:r>
      <w:proofErr w:type="spellEnd"/>
      <w:r w:rsidRPr="00E11D50">
        <w:rPr>
          <w:rFonts w:cs="Arial"/>
        </w:rPr>
        <w:t xml:space="preserve"> </w:t>
      </w:r>
      <w:r w:rsidRPr="00E11D50">
        <w:rPr>
          <w:rFonts w:cs="Arial"/>
          <w:color w:val="262626"/>
        </w:rPr>
        <w:t xml:space="preserve">(18 September 2015), </w:t>
      </w:r>
      <w:proofErr w:type="spellStart"/>
      <w:r w:rsidRPr="00E11D50">
        <w:rPr>
          <w:rFonts w:cs="Arial"/>
          <w:lang w:val="en-US"/>
        </w:rPr>
        <w:t>para</w:t>
      </w:r>
      <w:proofErr w:type="spellEnd"/>
      <w:r w:rsidRPr="00E11D50">
        <w:rPr>
          <w:rFonts w:cs="Arial"/>
          <w:lang w:val="en-US"/>
        </w:rPr>
        <w:t xml:space="preserve"> 23. </w:t>
      </w:r>
      <w:r w:rsidRPr="00E11D50">
        <w:rPr>
          <w:rFonts w:cs="Arial"/>
          <w:color w:val="262626"/>
        </w:rPr>
        <w:t>Available online at:</w:t>
      </w:r>
      <w:r>
        <w:rPr>
          <w:rFonts w:cs="Arial"/>
        </w:rPr>
        <w:t xml:space="preserve"> </w:t>
      </w:r>
      <w:hyperlink r:id="rId9" w:history="1">
        <w:r w:rsidRPr="00E11D50">
          <w:rPr>
            <w:rStyle w:val="Hyperlink"/>
            <w:rFonts w:cs="Arial"/>
          </w:rPr>
          <w:t>http://</w:t>
        </w:r>
        <w:proofErr w:type="spellStart"/>
        <w:r w:rsidRPr="00E11D50">
          <w:rPr>
            <w:rStyle w:val="Hyperlink"/>
            <w:rFonts w:cs="Arial"/>
          </w:rPr>
          <w:t>www.un.org</w:t>
        </w:r>
        <w:proofErr w:type="spellEnd"/>
        <w:r w:rsidRPr="00E11D50">
          <w:rPr>
            <w:rStyle w:val="Hyperlink"/>
            <w:rFonts w:cs="Arial"/>
          </w:rPr>
          <w:t>/</w:t>
        </w:r>
        <w:proofErr w:type="spellStart"/>
        <w:r w:rsidRPr="00E11D50">
          <w:rPr>
            <w:rStyle w:val="Hyperlink"/>
            <w:rFonts w:cs="Arial"/>
          </w:rPr>
          <w:t>ga</w:t>
        </w:r>
        <w:proofErr w:type="spellEnd"/>
        <w:r w:rsidRPr="00E11D50">
          <w:rPr>
            <w:rStyle w:val="Hyperlink"/>
            <w:rFonts w:cs="Arial"/>
          </w:rPr>
          <w:t>/search/</w:t>
        </w:r>
        <w:proofErr w:type="spellStart"/>
        <w:r w:rsidRPr="00E11D50">
          <w:rPr>
            <w:rStyle w:val="Hyperlink"/>
            <w:rFonts w:cs="Arial"/>
          </w:rPr>
          <w:t>view_doc.asp?symbol</w:t>
        </w:r>
        <w:proofErr w:type="spellEnd"/>
        <w:r w:rsidRPr="00E11D50">
          <w:rPr>
            <w:rStyle w:val="Hyperlink"/>
            <w:rFonts w:cs="Arial"/>
          </w:rPr>
          <w:t>=A/70/</w:t>
        </w:r>
        <w:proofErr w:type="spellStart"/>
        <w:r w:rsidRPr="00E11D50">
          <w:rPr>
            <w:rStyle w:val="Hyperlink"/>
            <w:rFonts w:cs="Arial"/>
          </w:rPr>
          <w:t>L.1&amp;Lang</w:t>
        </w:r>
        <w:proofErr w:type="spellEnd"/>
        <w:r w:rsidRPr="00E11D50">
          <w:rPr>
            <w:rStyle w:val="Hyperlink"/>
            <w:rFonts w:cs="Arial"/>
          </w:rPr>
          <w:t>=E</w:t>
        </w:r>
      </w:hyperlink>
      <w:r w:rsidRPr="00E11D50">
        <w:rPr>
          <w:rFonts w:cs="Arial"/>
        </w:rPr>
        <w:t>. [Verified 21 December 2015].</w:t>
      </w:r>
    </w:p>
  </w:endnote>
  <w:endnote w:id="14">
    <w:p w14:paraId="4921DB11" w14:textId="77777777"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United Nations General Assembly, </w:t>
      </w:r>
      <w:r w:rsidRPr="00E11D50">
        <w:rPr>
          <w:rFonts w:cs="Arial"/>
          <w:i/>
        </w:rPr>
        <w:t>Transforming our world: the 2030 Agenda for Sustainable Development</w:t>
      </w:r>
      <w:r w:rsidRPr="00E11D50">
        <w:rPr>
          <w:rFonts w:cs="Arial"/>
        </w:rPr>
        <w:t xml:space="preserve">, </w:t>
      </w:r>
      <w:r w:rsidRPr="00E11D50">
        <w:rPr>
          <w:rFonts w:cs="Arial"/>
          <w:color w:val="262626"/>
        </w:rPr>
        <w:t>A/70/</w:t>
      </w:r>
      <w:proofErr w:type="spellStart"/>
      <w:r w:rsidRPr="00E11D50">
        <w:rPr>
          <w:rFonts w:cs="Arial"/>
          <w:color w:val="262626"/>
        </w:rPr>
        <w:t>L.1</w:t>
      </w:r>
      <w:proofErr w:type="spellEnd"/>
      <w:r w:rsidRPr="00E11D50">
        <w:rPr>
          <w:rFonts w:cs="Arial"/>
        </w:rPr>
        <w:t xml:space="preserve"> </w:t>
      </w:r>
      <w:r w:rsidRPr="00E11D50">
        <w:rPr>
          <w:rFonts w:cs="Arial"/>
          <w:color w:val="262626"/>
        </w:rPr>
        <w:t xml:space="preserve">(18 September 2015), </w:t>
      </w:r>
      <w:proofErr w:type="spellStart"/>
      <w:r w:rsidRPr="00E11D50">
        <w:rPr>
          <w:rFonts w:cs="Arial"/>
          <w:lang w:val="en-US"/>
        </w:rPr>
        <w:t>para</w:t>
      </w:r>
      <w:proofErr w:type="spellEnd"/>
      <w:r w:rsidRPr="00E11D50">
        <w:rPr>
          <w:rFonts w:cs="Arial"/>
          <w:lang w:val="en-US"/>
        </w:rPr>
        <w:t xml:space="preserve"> 79. </w:t>
      </w:r>
      <w:r w:rsidRPr="00E11D50">
        <w:rPr>
          <w:rFonts w:cs="Arial"/>
          <w:color w:val="262626"/>
        </w:rPr>
        <w:t>Available online at:</w:t>
      </w:r>
      <w:r w:rsidRPr="00E11D50">
        <w:rPr>
          <w:rFonts w:cs="Arial"/>
        </w:rPr>
        <w:t xml:space="preserve"> </w:t>
      </w:r>
      <w:hyperlink r:id="rId10" w:history="1">
        <w:r w:rsidRPr="00E11D50">
          <w:rPr>
            <w:rStyle w:val="Hyperlink"/>
            <w:rFonts w:cs="Arial"/>
          </w:rPr>
          <w:t>http://</w:t>
        </w:r>
        <w:proofErr w:type="spellStart"/>
        <w:r w:rsidRPr="00E11D50">
          <w:rPr>
            <w:rStyle w:val="Hyperlink"/>
            <w:rFonts w:cs="Arial"/>
          </w:rPr>
          <w:t>www.un.org</w:t>
        </w:r>
        <w:proofErr w:type="spellEnd"/>
        <w:r w:rsidRPr="00E11D50">
          <w:rPr>
            <w:rStyle w:val="Hyperlink"/>
            <w:rFonts w:cs="Arial"/>
          </w:rPr>
          <w:t>/</w:t>
        </w:r>
        <w:proofErr w:type="spellStart"/>
        <w:r w:rsidRPr="00E11D50">
          <w:rPr>
            <w:rStyle w:val="Hyperlink"/>
            <w:rFonts w:cs="Arial"/>
          </w:rPr>
          <w:t>ga</w:t>
        </w:r>
        <w:proofErr w:type="spellEnd"/>
        <w:r w:rsidRPr="00E11D50">
          <w:rPr>
            <w:rStyle w:val="Hyperlink"/>
            <w:rFonts w:cs="Arial"/>
          </w:rPr>
          <w:t>/search/</w:t>
        </w:r>
        <w:proofErr w:type="spellStart"/>
        <w:r w:rsidRPr="00E11D50">
          <w:rPr>
            <w:rStyle w:val="Hyperlink"/>
            <w:rFonts w:cs="Arial"/>
          </w:rPr>
          <w:t>view_doc.asp?symbol</w:t>
        </w:r>
        <w:proofErr w:type="spellEnd"/>
        <w:r w:rsidRPr="00E11D50">
          <w:rPr>
            <w:rStyle w:val="Hyperlink"/>
            <w:rFonts w:cs="Arial"/>
          </w:rPr>
          <w:t>=A/70/</w:t>
        </w:r>
        <w:proofErr w:type="spellStart"/>
        <w:r w:rsidRPr="00E11D50">
          <w:rPr>
            <w:rStyle w:val="Hyperlink"/>
            <w:rFonts w:cs="Arial"/>
          </w:rPr>
          <w:t>L.1&amp;Lang</w:t>
        </w:r>
        <w:proofErr w:type="spellEnd"/>
        <w:r w:rsidRPr="00E11D50">
          <w:rPr>
            <w:rStyle w:val="Hyperlink"/>
            <w:rFonts w:cs="Arial"/>
          </w:rPr>
          <w:t>=E</w:t>
        </w:r>
      </w:hyperlink>
      <w:r w:rsidRPr="00E11D50">
        <w:rPr>
          <w:rFonts w:cs="Arial"/>
        </w:rPr>
        <w:t>. [Verified 21 December 2015].</w:t>
      </w:r>
    </w:p>
  </w:endnote>
  <w:endnote w:id="15">
    <w:p w14:paraId="32DDEFB2" w14:textId="392CF340" w:rsidR="0068666F" w:rsidRPr="00E11D50" w:rsidRDefault="0068666F">
      <w:pPr>
        <w:pStyle w:val="EndnoteText"/>
        <w:rPr>
          <w:rFonts w:cs="Arial"/>
          <w:color w:val="000000" w:themeColor="text1"/>
        </w:rPr>
      </w:pPr>
      <w:r w:rsidRPr="00E11D50">
        <w:rPr>
          <w:rFonts w:cs="Arial"/>
          <w:vertAlign w:val="superscript"/>
        </w:rPr>
        <w:endnoteRef/>
      </w:r>
      <w:r w:rsidRPr="00E11D50">
        <w:rPr>
          <w:rFonts w:cs="Arial"/>
          <w:color w:val="000000" w:themeColor="text1"/>
        </w:rPr>
        <w:t xml:space="preserve"> Council of Australian Governments, </w:t>
      </w:r>
      <w:r w:rsidRPr="00E11D50">
        <w:rPr>
          <w:rFonts w:cs="Arial"/>
          <w:i/>
          <w:color w:val="000000" w:themeColor="text1"/>
        </w:rPr>
        <w:t>National Indigenous Reform Agreement</w:t>
      </w:r>
      <w:r>
        <w:rPr>
          <w:rFonts w:cs="Arial"/>
          <w:color w:val="000000" w:themeColor="text1"/>
        </w:rPr>
        <w:t>, 2012.</w:t>
      </w:r>
    </w:p>
  </w:endnote>
  <w:endnote w:id="16">
    <w:p w14:paraId="07415550" w14:textId="77777777" w:rsidR="0068666F" w:rsidRPr="00E11D50" w:rsidRDefault="0068666F">
      <w:pPr>
        <w:pStyle w:val="EndnoteText"/>
        <w:rPr>
          <w:rFonts w:cs="Arial"/>
          <w:color w:val="000000" w:themeColor="text1"/>
        </w:rPr>
      </w:pPr>
      <w:r w:rsidRPr="00E11D50">
        <w:rPr>
          <w:rStyle w:val="EndnoteReference"/>
          <w:rFonts w:cs="Arial"/>
          <w:color w:val="000000" w:themeColor="text1"/>
          <w:sz w:val="20"/>
        </w:rPr>
        <w:endnoteRef/>
      </w:r>
      <w:r w:rsidRPr="00E11D50">
        <w:rPr>
          <w:rFonts w:cs="Arial"/>
          <w:color w:val="000000" w:themeColor="text1"/>
        </w:rPr>
        <w:t xml:space="preserve"> Close the Gap Campaign, </w:t>
      </w:r>
      <w:r w:rsidRPr="00E11D50">
        <w:rPr>
          <w:rFonts w:cs="Arial"/>
          <w:i/>
          <w:color w:val="000000" w:themeColor="text1"/>
        </w:rPr>
        <w:t>Progress and Priorities Report 2015,</w:t>
      </w:r>
      <w:r w:rsidRPr="00E11D50">
        <w:rPr>
          <w:rFonts w:cs="Arial"/>
          <w:color w:val="000000" w:themeColor="text1"/>
        </w:rPr>
        <w:t xml:space="preserve"> Oxfam Australia, Sydney, 2015.</w:t>
      </w:r>
    </w:p>
  </w:endnote>
  <w:endnote w:id="17">
    <w:p w14:paraId="707282C6" w14:textId="77777777" w:rsidR="0068666F" w:rsidRPr="00E11D50" w:rsidRDefault="0068666F">
      <w:pPr>
        <w:pStyle w:val="EndnoteText"/>
        <w:rPr>
          <w:rFonts w:cs="Arial"/>
          <w:color w:val="000000" w:themeColor="text1"/>
        </w:rPr>
      </w:pPr>
      <w:r w:rsidRPr="00E11D50">
        <w:rPr>
          <w:rFonts w:cs="Arial"/>
          <w:color w:val="000000" w:themeColor="text1"/>
          <w:vertAlign w:val="superscript"/>
        </w:rPr>
        <w:endnoteRef/>
      </w:r>
      <w:r w:rsidRPr="00E11D50">
        <w:rPr>
          <w:rFonts w:cs="Arial"/>
          <w:color w:val="000000" w:themeColor="text1"/>
        </w:rPr>
        <w:t xml:space="preserve"> </w:t>
      </w:r>
      <w:proofErr w:type="spellStart"/>
      <w:r w:rsidRPr="00E11D50">
        <w:rPr>
          <w:rFonts w:cs="Arial"/>
          <w:color w:val="000000" w:themeColor="text1"/>
        </w:rPr>
        <w:t>COAG</w:t>
      </w:r>
      <w:proofErr w:type="spellEnd"/>
      <w:r w:rsidRPr="00E11D50">
        <w:rPr>
          <w:rFonts w:cs="Arial"/>
          <w:color w:val="000000" w:themeColor="text1"/>
        </w:rPr>
        <w:t xml:space="preserve"> Reform Council, </w:t>
      </w:r>
      <w:r w:rsidRPr="00E11D50">
        <w:rPr>
          <w:rFonts w:cs="Arial"/>
          <w:i/>
          <w:color w:val="000000" w:themeColor="text1"/>
        </w:rPr>
        <w:t>Indigenous Reform 2012-13: Five years of Performance</w:t>
      </w:r>
      <w:r w:rsidRPr="00E11D50">
        <w:rPr>
          <w:rFonts w:cs="Arial"/>
          <w:color w:val="000000" w:themeColor="text1"/>
        </w:rPr>
        <w:t>, 2014.</w:t>
      </w:r>
    </w:p>
  </w:endnote>
  <w:endnote w:id="18">
    <w:p w14:paraId="740FE647" w14:textId="77777777"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2015.</w:t>
      </w:r>
    </w:p>
  </w:endnote>
  <w:endnote w:id="19">
    <w:p w14:paraId="210237D8" w14:textId="726394A2"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lang w:val="en-US"/>
        </w:rPr>
        <w:t xml:space="preserve">Australian Institute of Health and Welfare, Australian Bureau of Statistics, </w:t>
      </w:r>
      <w:r w:rsidRPr="00E11D50">
        <w:rPr>
          <w:rFonts w:cs="Arial"/>
          <w:i/>
          <w:iCs/>
          <w:lang w:val="en-US"/>
        </w:rPr>
        <w:t>The Health and Welfare of Australia's Aboriginal and Torres Strait Islander Peoples 2005</w:t>
      </w:r>
      <w:r w:rsidRPr="00E11D50">
        <w:rPr>
          <w:rFonts w:cs="Arial"/>
          <w:lang w:val="en-US"/>
        </w:rPr>
        <w:t xml:space="preserve">, ABS cat. no. 4704.0, Commonwealth of Australia, Canberra, 2005, </w:t>
      </w:r>
      <w:r>
        <w:rPr>
          <w:rFonts w:cs="Arial"/>
          <w:lang w:val="en-US"/>
        </w:rPr>
        <w:t xml:space="preserve">p </w:t>
      </w:r>
      <w:r w:rsidRPr="00E11D50">
        <w:rPr>
          <w:rFonts w:cs="Arial"/>
          <w:lang w:val="en-US"/>
        </w:rPr>
        <w:t>148.</w:t>
      </w:r>
    </w:p>
  </w:endnote>
  <w:endnote w:id="20">
    <w:p w14:paraId="6D250B4B" w14:textId="3F82F640" w:rsidR="0068666F" w:rsidRPr="00E11D50" w:rsidRDefault="0068666F">
      <w:pPr>
        <w:pStyle w:val="NormalWeb"/>
        <w:rPr>
          <w:rFonts w:ascii="Arial" w:hAnsi="Arial" w:cs="Arial"/>
          <w:sz w:val="20"/>
          <w:szCs w:val="20"/>
        </w:rPr>
      </w:pPr>
      <w:r w:rsidRPr="00E11D50">
        <w:rPr>
          <w:rStyle w:val="EndnoteReference"/>
          <w:rFonts w:cs="Arial"/>
          <w:sz w:val="20"/>
          <w:szCs w:val="20"/>
        </w:rPr>
        <w:endnoteRef/>
      </w:r>
      <w:r w:rsidRPr="00E11D50">
        <w:rPr>
          <w:rFonts w:ascii="Arial" w:hAnsi="Arial" w:cs="Arial"/>
          <w:sz w:val="20"/>
          <w:szCs w:val="20"/>
        </w:rPr>
        <w:t xml:space="preserve"> Australian Institute of Health and Welfare, </w:t>
      </w:r>
      <w:r w:rsidRPr="00E11D50">
        <w:rPr>
          <w:rFonts w:ascii="Arial" w:hAnsi="Arial" w:cs="Arial"/>
          <w:i/>
          <w:sz w:val="20"/>
          <w:szCs w:val="20"/>
        </w:rPr>
        <w:t>Mortality and life expectancy of Indigenous Australians: 2008 to 2012</w:t>
      </w:r>
      <w:r w:rsidRPr="00E11D50">
        <w:rPr>
          <w:rFonts w:ascii="Arial" w:hAnsi="Arial" w:cs="Arial"/>
          <w:sz w:val="20"/>
          <w:szCs w:val="20"/>
        </w:rPr>
        <w:t xml:space="preserve">. Cat. no. </w:t>
      </w:r>
      <w:proofErr w:type="spellStart"/>
      <w:r w:rsidRPr="00E11D50">
        <w:rPr>
          <w:rFonts w:ascii="Arial" w:hAnsi="Arial" w:cs="Arial"/>
          <w:sz w:val="20"/>
          <w:szCs w:val="20"/>
        </w:rPr>
        <w:t>IHW</w:t>
      </w:r>
      <w:proofErr w:type="spellEnd"/>
      <w:r w:rsidRPr="00E11D50">
        <w:rPr>
          <w:rFonts w:ascii="Arial" w:hAnsi="Arial" w:cs="Arial"/>
          <w:sz w:val="20"/>
          <w:szCs w:val="20"/>
        </w:rPr>
        <w:t xml:space="preserve"> 140. Canberra, 2014, </w:t>
      </w:r>
      <w:r>
        <w:rPr>
          <w:rFonts w:ascii="Arial" w:hAnsi="Arial" w:cs="Arial"/>
          <w:sz w:val="20"/>
          <w:szCs w:val="20"/>
        </w:rPr>
        <w:t xml:space="preserve">p </w:t>
      </w:r>
      <w:r w:rsidRPr="00E11D50">
        <w:rPr>
          <w:rFonts w:ascii="Arial" w:hAnsi="Arial" w:cs="Arial"/>
          <w:sz w:val="20"/>
          <w:szCs w:val="20"/>
        </w:rPr>
        <w:t>5.</w:t>
      </w:r>
    </w:p>
  </w:endnote>
  <w:endnote w:id="21">
    <w:p w14:paraId="412F346E" w14:textId="77777777"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Australian Bureau of Statistics, </w:t>
      </w:r>
      <w:r w:rsidRPr="00E11D50">
        <w:rPr>
          <w:rFonts w:cs="Arial"/>
          <w:i/>
        </w:rPr>
        <w:t xml:space="preserve">Experimental Life Tables for </w:t>
      </w:r>
      <w:r w:rsidRPr="00E11D50">
        <w:rPr>
          <w:rFonts w:cs="Arial"/>
          <w:i/>
          <w:color w:val="000000" w:themeColor="text1"/>
        </w:rPr>
        <w:t>Aboriginal and Torres Strait Islander Australians, 2005–2007</w:t>
      </w:r>
      <w:r w:rsidRPr="00E11D50">
        <w:rPr>
          <w:rFonts w:cs="Arial"/>
        </w:rPr>
        <w:t xml:space="preserve">, ABS cat. no. 3302.0.55.003, 2009. Available online at: </w:t>
      </w:r>
      <w:hyperlink r:id="rId11" w:history="1">
        <w:r w:rsidRPr="00E11D50">
          <w:rPr>
            <w:rStyle w:val="Hyperlink"/>
            <w:rFonts w:eastAsia="Calibri" w:cs="Arial"/>
          </w:rPr>
          <w:t>http://www.abs.gov.au/AUSSTATS/abs@.nsf/Lookup/3302.0.55.003Main+Features12005–2007</w:t>
        </w:r>
      </w:hyperlink>
      <w:r w:rsidRPr="00E11D50">
        <w:rPr>
          <w:rFonts w:cs="Arial"/>
        </w:rPr>
        <w:t xml:space="preserve"> [Verified 21 December 2015].</w:t>
      </w:r>
    </w:p>
  </w:endnote>
  <w:endnote w:id="22">
    <w:p w14:paraId="4AFB4749" w14:textId="4C0F7AD8" w:rsidR="0068666F" w:rsidRPr="00162879" w:rsidRDefault="0068666F">
      <w:pPr>
        <w:pStyle w:val="EndnoteText"/>
        <w:rPr>
          <w:rFonts w:cs="Arial"/>
          <w:lang w:val="en-US"/>
        </w:rPr>
      </w:pPr>
      <w:r w:rsidRPr="00E11D50">
        <w:rPr>
          <w:rStyle w:val="EndnoteReference"/>
          <w:rFonts w:cs="Arial"/>
          <w:sz w:val="20"/>
        </w:rPr>
        <w:endnoteRef/>
      </w:r>
      <w:r w:rsidRPr="00E11D50">
        <w:rPr>
          <w:rFonts w:cs="Arial"/>
        </w:rPr>
        <w:t xml:space="preserve"> Madden R, Tickle l, Jackson-</w:t>
      </w:r>
      <w:proofErr w:type="spellStart"/>
      <w:r w:rsidRPr="00E11D50">
        <w:rPr>
          <w:rFonts w:cs="Arial"/>
        </w:rPr>
        <w:t>Pulver</w:t>
      </w:r>
      <w:proofErr w:type="spellEnd"/>
      <w:r w:rsidRPr="00E11D50">
        <w:rPr>
          <w:rFonts w:cs="Arial"/>
        </w:rPr>
        <w:t xml:space="preserve"> L, Ring I, </w:t>
      </w:r>
      <w:r w:rsidRPr="00E11D50">
        <w:rPr>
          <w:rFonts w:cs="Arial"/>
          <w:i/>
        </w:rPr>
        <w:t>Estimating Indigenous life expectancy: pitfalls with consequences</w:t>
      </w:r>
      <w:r w:rsidRPr="00E11D50">
        <w:rPr>
          <w:rFonts w:cs="Arial"/>
        </w:rPr>
        <w:t>,</w:t>
      </w:r>
      <w:r>
        <w:rPr>
          <w:rFonts w:cs="Arial"/>
        </w:rPr>
        <w:t xml:space="preserve"> Journal of Population Research,</w:t>
      </w:r>
      <w:r w:rsidRPr="00E11D50">
        <w:rPr>
          <w:rFonts w:cs="Arial"/>
        </w:rPr>
        <w:t xml:space="preserve"> 2012</w:t>
      </w:r>
      <w:r w:rsidRPr="00162879">
        <w:rPr>
          <w:rFonts w:cs="Arial"/>
        </w:rPr>
        <w:t xml:space="preserve">, </w:t>
      </w:r>
      <w:r w:rsidRPr="00162879">
        <w:rPr>
          <w:rFonts w:cs="Arial"/>
          <w:bCs/>
        </w:rPr>
        <w:t>29, (3) 269-281.</w:t>
      </w:r>
    </w:p>
  </w:endnote>
  <w:endnote w:id="23">
    <w:p w14:paraId="24EAA7DE" w14:textId="77777777" w:rsidR="0068666F" w:rsidRPr="00E11D50" w:rsidRDefault="0068666F">
      <w:pPr>
        <w:pStyle w:val="NormalWeb"/>
        <w:rPr>
          <w:rFonts w:ascii="Arial" w:hAnsi="Arial" w:cs="Arial"/>
          <w:color w:val="000000" w:themeColor="text1"/>
          <w:sz w:val="20"/>
          <w:szCs w:val="20"/>
        </w:rPr>
      </w:pPr>
      <w:r w:rsidRPr="00E11D50">
        <w:rPr>
          <w:rStyle w:val="EndnoteReference"/>
          <w:rFonts w:cs="Arial"/>
          <w:color w:val="000000" w:themeColor="text1"/>
          <w:sz w:val="20"/>
          <w:szCs w:val="20"/>
        </w:rPr>
        <w:endnoteRef/>
      </w:r>
      <w:r w:rsidRPr="00E11D50">
        <w:rPr>
          <w:rFonts w:ascii="Arial" w:hAnsi="Arial" w:cs="Arial"/>
          <w:color w:val="000000" w:themeColor="text1"/>
          <w:sz w:val="20"/>
          <w:szCs w:val="20"/>
        </w:rPr>
        <w:t xml:space="preserve"> Australian Bureau of Statistics, </w:t>
      </w:r>
      <w:r w:rsidRPr="00E11D50">
        <w:rPr>
          <w:rFonts w:ascii="Arial" w:hAnsi="Arial" w:cs="Arial"/>
          <w:i/>
          <w:color w:val="000000" w:themeColor="text1"/>
          <w:sz w:val="20"/>
          <w:szCs w:val="20"/>
        </w:rPr>
        <w:t>Life Tables for Aboriginal and Torres Strait Islander Australians 2010-2012</w:t>
      </w:r>
      <w:r w:rsidRPr="00E11D50">
        <w:rPr>
          <w:rFonts w:ascii="Arial" w:hAnsi="Arial" w:cs="Arial"/>
          <w:color w:val="000000" w:themeColor="text1"/>
          <w:sz w:val="20"/>
          <w:szCs w:val="20"/>
        </w:rPr>
        <w:t xml:space="preserve">, ABS Cat. No. </w:t>
      </w:r>
      <w:r w:rsidRPr="00E11D50">
        <w:rPr>
          <w:rFonts w:ascii="Arial" w:eastAsia="Times New Roman" w:hAnsi="Arial" w:cs="Arial"/>
          <w:sz w:val="20"/>
          <w:szCs w:val="20"/>
        </w:rPr>
        <w:t>3302.0.55.003</w:t>
      </w:r>
      <w:r w:rsidRPr="00E11D50">
        <w:rPr>
          <w:rFonts w:ascii="Arial" w:hAnsi="Arial" w:cs="Arial"/>
          <w:sz w:val="20"/>
          <w:szCs w:val="20"/>
        </w:rPr>
        <w:t xml:space="preserve">, Canberra, </w:t>
      </w:r>
      <w:r w:rsidRPr="00E11D50">
        <w:rPr>
          <w:rFonts w:ascii="Arial" w:hAnsi="Arial" w:cs="Arial"/>
          <w:color w:val="000000" w:themeColor="text1"/>
          <w:sz w:val="20"/>
          <w:szCs w:val="20"/>
        </w:rPr>
        <w:t xml:space="preserve">2013. Available online at: </w:t>
      </w:r>
      <w:hyperlink r:id="rId12" w:history="1">
        <w:r w:rsidRPr="00E11D50">
          <w:rPr>
            <w:rStyle w:val="Hyperlink"/>
            <w:rFonts w:cs="Arial"/>
            <w:sz w:val="20"/>
            <w:szCs w:val="20"/>
          </w:rPr>
          <w:t>http://</w:t>
        </w:r>
        <w:proofErr w:type="spellStart"/>
        <w:r w:rsidRPr="00E11D50">
          <w:rPr>
            <w:rStyle w:val="Hyperlink"/>
            <w:rFonts w:cs="Arial"/>
            <w:sz w:val="20"/>
            <w:szCs w:val="20"/>
          </w:rPr>
          <w:t>www.abs.gov.au</w:t>
        </w:r>
        <w:proofErr w:type="spellEnd"/>
        <w:r w:rsidRPr="00E11D50">
          <w:rPr>
            <w:rStyle w:val="Hyperlink"/>
            <w:rFonts w:cs="Arial"/>
            <w:sz w:val="20"/>
            <w:szCs w:val="20"/>
          </w:rPr>
          <w:t>/</w:t>
        </w:r>
        <w:proofErr w:type="spellStart"/>
        <w:r w:rsidRPr="00E11D50">
          <w:rPr>
            <w:rStyle w:val="Hyperlink"/>
            <w:rFonts w:cs="Arial"/>
            <w:sz w:val="20"/>
            <w:szCs w:val="20"/>
          </w:rPr>
          <w:t>ausstats</w:t>
        </w:r>
        <w:proofErr w:type="spellEnd"/>
        <w:r w:rsidRPr="00E11D50">
          <w:rPr>
            <w:rStyle w:val="Hyperlink"/>
            <w:rFonts w:cs="Arial"/>
            <w:sz w:val="20"/>
            <w:szCs w:val="20"/>
          </w:rPr>
          <w:t>/abs@.</w:t>
        </w:r>
        <w:proofErr w:type="spellStart"/>
        <w:r w:rsidRPr="00E11D50">
          <w:rPr>
            <w:rStyle w:val="Hyperlink"/>
            <w:rFonts w:cs="Arial"/>
            <w:sz w:val="20"/>
            <w:szCs w:val="20"/>
          </w:rPr>
          <w:t>nsf</w:t>
        </w:r>
        <w:proofErr w:type="spellEnd"/>
        <w:r w:rsidRPr="00E11D50">
          <w:rPr>
            <w:rStyle w:val="Hyperlink"/>
            <w:rFonts w:cs="Arial"/>
            <w:sz w:val="20"/>
            <w:szCs w:val="20"/>
          </w:rPr>
          <w:t>/mf/3302.0.55.003</w:t>
        </w:r>
      </w:hyperlink>
      <w:r w:rsidRPr="00E11D50">
        <w:rPr>
          <w:rFonts w:ascii="Arial" w:hAnsi="Arial" w:cs="Arial"/>
          <w:color w:val="000000" w:themeColor="text1"/>
          <w:sz w:val="20"/>
          <w:szCs w:val="20"/>
        </w:rPr>
        <w:t xml:space="preserve">. </w:t>
      </w:r>
      <w:r w:rsidRPr="00E11D50">
        <w:rPr>
          <w:rFonts w:ascii="Arial" w:hAnsi="Arial" w:cs="Arial"/>
          <w:sz w:val="20"/>
          <w:szCs w:val="20"/>
        </w:rPr>
        <w:t>[Verified 20 August 2015].</w:t>
      </w:r>
    </w:p>
  </w:endnote>
  <w:endnote w:id="24">
    <w:p w14:paraId="5936BC26" w14:textId="77777777" w:rsidR="0068666F" w:rsidRPr="00E11D50" w:rsidRDefault="0068666F">
      <w:pPr>
        <w:pStyle w:val="EndnoteText"/>
        <w:rPr>
          <w:rFonts w:cs="Arial"/>
          <w:color w:val="000000" w:themeColor="text1"/>
        </w:rPr>
      </w:pPr>
      <w:r w:rsidRPr="00E11D50">
        <w:rPr>
          <w:rStyle w:val="EndnoteReference"/>
          <w:rFonts w:cs="Arial"/>
          <w:color w:val="000000" w:themeColor="text1"/>
          <w:sz w:val="20"/>
        </w:rPr>
        <w:endnoteRef/>
      </w:r>
      <w:r w:rsidRPr="00E11D50">
        <w:rPr>
          <w:rFonts w:cs="Arial"/>
          <w:color w:val="000000" w:themeColor="text1"/>
        </w:rPr>
        <w:t xml:space="preserve"> Australian Bureau of Statistics, </w:t>
      </w:r>
      <w:r w:rsidRPr="00E11D50">
        <w:rPr>
          <w:rFonts w:cs="Arial"/>
          <w:i/>
          <w:color w:val="000000" w:themeColor="text1"/>
        </w:rPr>
        <w:t>Life Tables for Aboriginal and Torres Strait Islander Australians 2010-2012</w:t>
      </w:r>
      <w:r w:rsidRPr="00E11D50">
        <w:rPr>
          <w:rFonts w:cs="Arial"/>
          <w:color w:val="000000" w:themeColor="text1"/>
        </w:rPr>
        <w:t xml:space="preserve">, ABS Cat. No. </w:t>
      </w:r>
      <w:r w:rsidRPr="00E11D50">
        <w:rPr>
          <w:rFonts w:cs="Arial"/>
        </w:rPr>
        <w:t xml:space="preserve">3302.0.55.003, Canberra, </w:t>
      </w:r>
      <w:r w:rsidRPr="00E11D50">
        <w:rPr>
          <w:rFonts w:cs="Arial"/>
          <w:color w:val="000000" w:themeColor="text1"/>
        </w:rPr>
        <w:t xml:space="preserve">2013. Available online at: </w:t>
      </w:r>
      <w:hyperlink r:id="rId13" w:history="1">
        <w:r w:rsidRPr="00E11D50">
          <w:rPr>
            <w:rStyle w:val="Hyperlink"/>
            <w:rFonts w:cs="Arial"/>
          </w:rPr>
          <w:t>http://</w:t>
        </w:r>
        <w:proofErr w:type="spellStart"/>
        <w:r w:rsidRPr="00E11D50">
          <w:rPr>
            <w:rStyle w:val="Hyperlink"/>
            <w:rFonts w:cs="Arial"/>
          </w:rPr>
          <w:t>www.abs.gov.au</w:t>
        </w:r>
        <w:proofErr w:type="spellEnd"/>
        <w:r w:rsidRPr="00E11D50">
          <w:rPr>
            <w:rStyle w:val="Hyperlink"/>
            <w:rFonts w:cs="Arial"/>
          </w:rPr>
          <w:t>/</w:t>
        </w:r>
        <w:proofErr w:type="spellStart"/>
        <w:r w:rsidRPr="00E11D50">
          <w:rPr>
            <w:rStyle w:val="Hyperlink"/>
            <w:rFonts w:cs="Arial"/>
          </w:rPr>
          <w:t>ausstats</w:t>
        </w:r>
        <w:proofErr w:type="spellEnd"/>
        <w:r w:rsidRPr="00E11D50">
          <w:rPr>
            <w:rStyle w:val="Hyperlink"/>
            <w:rFonts w:cs="Arial"/>
          </w:rPr>
          <w:t>/abs@.</w:t>
        </w:r>
        <w:proofErr w:type="spellStart"/>
        <w:r w:rsidRPr="00E11D50">
          <w:rPr>
            <w:rStyle w:val="Hyperlink"/>
            <w:rFonts w:cs="Arial"/>
          </w:rPr>
          <w:t>nsf</w:t>
        </w:r>
        <w:proofErr w:type="spellEnd"/>
        <w:r w:rsidRPr="00E11D50">
          <w:rPr>
            <w:rStyle w:val="Hyperlink"/>
            <w:rFonts w:cs="Arial"/>
          </w:rPr>
          <w:t>/mf/3302.0.55.003</w:t>
        </w:r>
      </w:hyperlink>
      <w:r w:rsidRPr="00E11D50">
        <w:rPr>
          <w:rFonts w:cs="Arial"/>
          <w:color w:val="000000" w:themeColor="text1"/>
        </w:rPr>
        <w:t>.</w:t>
      </w:r>
      <w:r w:rsidRPr="00E11D50">
        <w:rPr>
          <w:rFonts w:cs="Arial"/>
        </w:rPr>
        <w:t xml:space="preserve"> [Verified 20 August 2015].</w:t>
      </w:r>
    </w:p>
  </w:endnote>
  <w:endnote w:id="25">
    <w:p w14:paraId="23DCE91B" w14:textId="77777777" w:rsidR="0068666F" w:rsidRPr="00E11D50" w:rsidRDefault="0068666F">
      <w:pPr>
        <w:pStyle w:val="EndnoteText"/>
        <w:rPr>
          <w:rFonts w:cs="Arial"/>
          <w:color w:val="000000" w:themeColor="text1"/>
          <w:lang w:val="en-US"/>
        </w:rPr>
      </w:pPr>
      <w:r w:rsidRPr="00E11D50">
        <w:rPr>
          <w:rStyle w:val="EndnoteReference"/>
          <w:rFonts w:cs="Arial"/>
          <w:color w:val="000000" w:themeColor="text1"/>
          <w:sz w:val="20"/>
        </w:rPr>
        <w:endnoteRef/>
      </w:r>
      <w:r w:rsidRPr="00E11D50">
        <w:rPr>
          <w:rFonts w:cs="Arial"/>
          <w:color w:val="000000" w:themeColor="text1"/>
        </w:rPr>
        <w:t xml:space="preserve"> </w:t>
      </w:r>
      <w:proofErr w:type="spellStart"/>
      <w:r w:rsidRPr="00E11D50">
        <w:rPr>
          <w:rFonts w:cs="Arial"/>
          <w:color w:val="000000" w:themeColor="text1"/>
        </w:rPr>
        <w:t>COAG</w:t>
      </w:r>
      <w:proofErr w:type="spellEnd"/>
      <w:r w:rsidRPr="00E11D50">
        <w:rPr>
          <w:rFonts w:cs="Arial"/>
          <w:color w:val="000000" w:themeColor="text1"/>
        </w:rPr>
        <w:t xml:space="preserve"> Reform Council, </w:t>
      </w:r>
      <w:r w:rsidRPr="00E11D50">
        <w:rPr>
          <w:rFonts w:cs="Arial"/>
          <w:i/>
          <w:color w:val="000000" w:themeColor="text1"/>
        </w:rPr>
        <w:t>Indigenous Reform 2012-13: Five years of Performance</w:t>
      </w:r>
      <w:r w:rsidRPr="00E11D50">
        <w:rPr>
          <w:rFonts w:cs="Arial"/>
          <w:color w:val="000000" w:themeColor="text1"/>
        </w:rPr>
        <w:t>, 2014.</w:t>
      </w:r>
    </w:p>
  </w:endnote>
  <w:endnote w:id="26">
    <w:p w14:paraId="6CE7687A" w14:textId="5B77992B" w:rsidR="0068666F" w:rsidRPr="00E11D50" w:rsidRDefault="0068666F">
      <w:pPr>
        <w:pStyle w:val="EndnoteText"/>
        <w:rPr>
          <w:rFonts w:cs="Arial"/>
          <w:color w:val="000000"/>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Fonts w:cs="Arial"/>
          <w:color w:val="000000"/>
        </w:rPr>
        <w:t xml:space="preserve">p </w:t>
      </w:r>
      <w:r w:rsidRPr="00E11D50">
        <w:rPr>
          <w:rFonts w:cs="Arial"/>
          <w:color w:val="000000"/>
        </w:rPr>
        <w:t>62.</w:t>
      </w:r>
    </w:p>
  </w:endnote>
  <w:endnote w:id="27">
    <w:p w14:paraId="04A00EF4" w14:textId="2DAB8C8A" w:rsidR="0068666F" w:rsidRPr="00E11D50" w:rsidRDefault="0068666F" w:rsidP="00162879">
      <w:pPr>
        <w:pStyle w:val="EndnoteText"/>
      </w:pPr>
      <w:r w:rsidRPr="00E11D50">
        <w:rPr>
          <w:rStyle w:val="EndnoteReference"/>
          <w:rFonts w:cs="Arial"/>
          <w:sz w:val="20"/>
        </w:rPr>
        <w:endnoteRef/>
      </w:r>
      <w:r>
        <w:t xml:space="preserve"> Ring, I, Brown, N. </w:t>
      </w:r>
      <w:r w:rsidRPr="00E11D50">
        <w:t>Aboriginal and Torres Strait Islander Health, Imp</w:t>
      </w:r>
      <w:r>
        <w:t>lementation, not more policies.</w:t>
      </w:r>
      <w:r w:rsidRPr="00E11D50">
        <w:t xml:space="preserve"> Journal of Australian Indigenous Issues. 6(3) 3-12, 2003.</w:t>
      </w:r>
    </w:p>
  </w:endnote>
  <w:endnote w:id="28">
    <w:p w14:paraId="0B6A5939" w14:textId="141E8986" w:rsidR="0068666F" w:rsidRPr="00E11D50" w:rsidRDefault="0068666F" w:rsidP="00162879">
      <w:pPr>
        <w:pStyle w:val="EndnoteText"/>
        <w:rPr>
          <w:lang w:val="en-US"/>
        </w:rPr>
      </w:pPr>
      <w:r w:rsidRPr="00E11D50">
        <w:rPr>
          <w:rStyle w:val="EndnoteReference"/>
          <w:rFonts w:cs="Arial"/>
          <w:sz w:val="20"/>
        </w:rPr>
        <w:endnoteRef/>
      </w:r>
      <w:r w:rsidRPr="00E11D50">
        <w:t xml:space="preserve"> </w:t>
      </w:r>
      <w:r w:rsidRPr="00E11D50">
        <w:rPr>
          <w:color w:val="000000"/>
        </w:rPr>
        <w:t xml:space="preserve">Australian Health Ministers’ Advisory Council, </w:t>
      </w:r>
      <w:r w:rsidRPr="00E11D50">
        <w:rPr>
          <w:i/>
          <w:iCs/>
          <w:color w:val="000000"/>
        </w:rPr>
        <w:t>Aboriginal and Torres Strait Islander Health Performance Framework 2014 Report</w:t>
      </w:r>
      <w:r w:rsidRPr="00E11D50">
        <w:rPr>
          <w:color w:val="000000"/>
        </w:rPr>
        <w:t xml:space="preserve">, </w:t>
      </w:r>
      <w:proofErr w:type="spellStart"/>
      <w:r w:rsidRPr="00E11D50">
        <w:rPr>
          <w:color w:val="000000"/>
        </w:rPr>
        <w:t>AHMAC</w:t>
      </w:r>
      <w:proofErr w:type="spellEnd"/>
      <w:r w:rsidRPr="00E11D50">
        <w:rPr>
          <w:color w:val="000000"/>
        </w:rPr>
        <w:t>, Canberra</w:t>
      </w:r>
      <w:r w:rsidRPr="00E11D50">
        <w:rPr>
          <w:lang w:val="en-US"/>
        </w:rPr>
        <w:t xml:space="preserve">, </w:t>
      </w:r>
      <w:r w:rsidRPr="00E11D50">
        <w:rPr>
          <w:color w:val="000000"/>
        </w:rPr>
        <w:t xml:space="preserve">2015, </w:t>
      </w:r>
      <w:r>
        <w:rPr>
          <w:color w:val="000000"/>
        </w:rPr>
        <w:t xml:space="preserve">p </w:t>
      </w:r>
      <w:r w:rsidRPr="00E11D50">
        <w:rPr>
          <w:color w:val="000000"/>
        </w:rPr>
        <w:t>62.</w:t>
      </w:r>
    </w:p>
  </w:endnote>
  <w:endnote w:id="29">
    <w:p w14:paraId="09ED8420" w14:textId="610691FF"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Fonts w:cs="Arial"/>
          <w:color w:val="000000"/>
        </w:rPr>
        <w:t xml:space="preserve">p </w:t>
      </w:r>
      <w:r w:rsidRPr="00E11D50">
        <w:rPr>
          <w:rFonts w:cs="Arial"/>
          <w:color w:val="000000"/>
        </w:rPr>
        <w:t>62.</w:t>
      </w:r>
    </w:p>
  </w:endnote>
  <w:endnote w:id="30">
    <w:p w14:paraId="77F27DBD" w14:textId="48F5AF56"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Fonts w:cs="Arial"/>
          <w:lang w:val="en-US"/>
        </w:rPr>
        <w:t xml:space="preserve">p </w:t>
      </w:r>
      <w:r w:rsidRPr="00E11D50">
        <w:rPr>
          <w:rFonts w:cs="Arial"/>
          <w:lang w:val="en-US"/>
        </w:rPr>
        <w:t>68.</w:t>
      </w:r>
    </w:p>
  </w:endnote>
  <w:endnote w:id="31">
    <w:p w14:paraId="2CCEABC1" w14:textId="7F9CDDCD"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Fonts w:cs="Arial"/>
          <w:lang w:val="en-US"/>
        </w:rPr>
        <w:t xml:space="preserve">p </w:t>
      </w:r>
      <w:r w:rsidRPr="00E11D50">
        <w:rPr>
          <w:rFonts w:cs="Arial"/>
          <w:lang w:val="en-US"/>
        </w:rPr>
        <w:t>68.</w:t>
      </w:r>
    </w:p>
  </w:endnote>
  <w:endnote w:id="32">
    <w:p w14:paraId="0F9FDAC4" w14:textId="59D3B0CD"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Fonts w:cs="Arial"/>
          <w:lang w:val="en-US"/>
        </w:rPr>
        <w:t xml:space="preserve">p </w:t>
      </w:r>
      <w:r w:rsidRPr="00E11D50">
        <w:rPr>
          <w:rFonts w:cs="Arial"/>
          <w:lang w:val="en-US"/>
        </w:rPr>
        <w:t>68.</w:t>
      </w:r>
    </w:p>
  </w:endnote>
  <w:endnote w:id="33">
    <w:p w14:paraId="029847E8" w14:textId="77777777"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sidRPr="00E11D50">
        <w:rPr>
          <w:rFonts w:cs="Arial"/>
          <w:lang w:val="en-US"/>
        </w:rPr>
        <w:t>p 68.</w:t>
      </w:r>
    </w:p>
  </w:endnote>
  <w:endnote w:id="34">
    <w:p w14:paraId="270B3353" w14:textId="1644749E"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Fonts w:cs="Arial"/>
          <w:lang w:val="en-US"/>
        </w:rPr>
        <w:t xml:space="preserve">p </w:t>
      </w:r>
      <w:r w:rsidRPr="00E11D50">
        <w:rPr>
          <w:rFonts w:cs="Arial"/>
          <w:lang w:val="en-US"/>
        </w:rPr>
        <w:t>70.</w:t>
      </w:r>
    </w:p>
  </w:endnote>
  <w:endnote w:id="35">
    <w:p w14:paraId="73BCB8CA" w14:textId="730A88E0"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Fonts w:cs="Arial"/>
          <w:lang w:val="en-US"/>
        </w:rPr>
        <w:t xml:space="preserve">p </w:t>
      </w:r>
      <w:r w:rsidRPr="00E11D50">
        <w:rPr>
          <w:rFonts w:cs="Arial"/>
          <w:lang w:val="en-US"/>
        </w:rPr>
        <w:t>70.</w:t>
      </w:r>
    </w:p>
  </w:endnote>
  <w:endnote w:id="36">
    <w:p w14:paraId="2A0A12B9" w14:textId="742CAC82"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Fonts w:cs="Arial"/>
          <w:lang w:val="en-US"/>
        </w:rPr>
        <w:t xml:space="preserve">p </w:t>
      </w:r>
      <w:r w:rsidRPr="00E11D50">
        <w:rPr>
          <w:rFonts w:cs="Arial"/>
          <w:lang w:val="en-US"/>
        </w:rPr>
        <w:t>70.</w:t>
      </w:r>
    </w:p>
  </w:endnote>
  <w:endnote w:id="37">
    <w:p w14:paraId="5F7D0811" w14:textId="4F8879B5"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Fonts w:cs="Arial"/>
          <w:lang w:val="en-US"/>
        </w:rPr>
        <w:t xml:space="preserve">p </w:t>
      </w:r>
      <w:r w:rsidRPr="00E11D50">
        <w:rPr>
          <w:rFonts w:cs="Arial"/>
          <w:lang w:val="en-US"/>
        </w:rPr>
        <w:t>70.</w:t>
      </w:r>
    </w:p>
  </w:endnote>
  <w:endnote w:id="38">
    <w:p w14:paraId="5AAB4B3E" w14:textId="6071A207"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Fonts w:cs="Arial"/>
          <w:lang w:val="en-US"/>
        </w:rPr>
        <w:t xml:space="preserve">p </w:t>
      </w:r>
      <w:r w:rsidRPr="00E11D50">
        <w:rPr>
          <w:rFonts w:cs="Arial"/>
          <w:lang w:val="en-US"/>
        </w:rPr>
        <w:t>74.</w:t>
      </w:r>
    </w:p>
  </w:endnote>
  <w:endnote w:id="39">
    <w:p w14:paraId="787265E8" w14:textId="00374690"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Fonts w:cs="Arial"/>
          <w:lang w:val="en-US"/>
        </w:rPr>
        <w:t xml:space="preserve">p </w:t>
      </w:r>
      <w:r w:rsidRPr="00E11D50">
        <w:rPr>
          <w:rFonts w:cs="Arial"/>
          <w:lang w:val="en-US"/>
        </w:rPr>
        <w:t>74.</w:t>
      </w:r>
    </w:p>
  </w:endnote>
  <w:endnote w:id="40">
    <w:p w14:paraId="57BC740F" w14:textId="427EE091"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Fonts w:cs="Arial"/>
          <w:lang w:val="en-US"/>
        </w:rPr>
        <w:t xml:space="preserve">p </w:t>
      </w:r>
      <w:r w:rsidRPr="00E11D50">
        <w:rPr>
          <w:rFonts w:cs="Arial"/>
          <w:lang w:val="en-US"/>
        </w:rPr>
        <w:t>74.</w:t>
      </w:r>
    </w:p>
  </w:endnote>
  <w:endnote w:id="41">
    <w:p w14:paraId="73BD4A2C" w14:textId="1B5B29F8"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Fonts w:cs="Arial"/>
          <w:lang w:val="en-US"/>
        </w:rPr>
        <w:t xml:space="preserve">p </w:t>
      </w:r>
      <w:r w:rsidRPr="00E11D50">
        <w:rPr>
          <w:rFonts w:cs="Arial"/>
          <w:lang w:val="en-US"/>
        </w:rPr>
        <w:t>70.</w:t>
      </w:r>
    </w:p>
  </w:endnote>
  <w:endnote w:id="42">
    <w:p w14:paraId="3FD37B50" w14:textId="45B1C100"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Fonts w:cs="Arial"/>
          <w:lang w:val="en-US"/>
        </w:rPr>
        <w:t xml:space="preserve">p </w:t>
      </w:r>
      <w:r w:rsidRPr="00E11D50">
        <w:rPr>
          <w:rFonts w:cs="Arial"/>
          <w:lang w:val="en-US"/>
        </w:rPr>
        <w:t>70.</w:t>
      </w:r>
    </w:p>
  </w:endnote>
  <w:endnote w:id="43">
    <w:p w14:paraId="2F2E7352" w14:textId="4843FCFD"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Fonts w:cs="Arial"/>
          <w:lang w:val="en-US"/>
        </w:rPr>
        <w:t xml:space="preserve">p </w:t>
      </w:r>
      <w:r w:rsidRPr="00E11D50">
        <w:rPr>
          <w:rFonts w:cs="Arial"/>
          <w:lang w:val="en-US"/>
        </w:rPr>
        <w:t>70.</w:t>
      </w:r>
    </w:p>
  </w:endnote>
  <w:endnote w:id="44">
    <w:p w14:paraId="240AE0AA" w14:textId="00129ED2" w:rsidR="0068666F" w:rsidRPr="00E11D50" w:rsidRDefault="0068666F" w:rsidP="00040CF1">
      <w:pPr>
        <w:pStyle w:val="NormalWeb"/>
        <w:rPr>
          <w:rFonts w:ascii="Arial" w:hAnsi="Arial" w:cs="Arial"/>
          <w:sz w:val="20"/>
          <w:szCs w:val="20"/>
        </w:rPr>
      </w:pPr>
      <w:r w:rsidRPr="00E11D50">
        <w:rPr>
          <w:rStyle w:val="EndnoteReference"/>
          <w:rFonts w:cs="Arial"/>
          <w:sz w:val="20"/>
          <w:szCs w:val="20"/>
        </w:rPr>
        <w:endnoteRef/>
      </w:r>
      <w:r w:rsidRPr="00E11D50">
        <w:rPr>
          <w:rFonts w:ascii="Arial" w:hAnsi="Arial" w:cs="Arial"/>
          <w:sz w:val="20"/>
          <w:szCs w:val="20"/>
        </w:rPr>
        <w:t xml:space="preserve"> </w:t>
      </w:r>
      <w:r w:rsidRPr="00E11D50">
        <w:rPr>
          <w:rFonts w:ascii="Arial" w:eastAsia="Times New Roman" w:hAnsi="Arial" w:cs="Arial"/>
          <w:sz w:val="20"/>
          <w:szCs w:val="20"/>
        </w:rPr>
        <w:t xml:space="preserve">Australian Institute of Health and Welfare, </w:t>
      </w:r>
      <w:r w:rsidRPr="00E11D50">
        <w:rPr>
          <w:rFonts w:ascii="Arial" w:eastAsia="Times New Roman" w:hAnsi="Arial" w:cs="Arial"/>
          <w:i/>
          <w:sz w:val="20"/>
          <w:szCs w:val="20"/>
        </w:rPr>
        <w:t>Australian Burden of Disease Study: fatal burden of disease in Aboriginal and Torres Strait Islander people</w:t>
      </w:r>
      <w:r w:rsidRPr="00E11D50">
        <w:rPr>
          <w:rFonts w:ascii="Arial" w:eastAsia="Times New Roman" w:hAnsi="Arial" w:cs="Arial"/>
          <w:sz w:val="20"/>
          <w:szCs w:val="20"/>
        </w:rPr>
        <w:t>, Australian Burden</w:t>
      </w:r>
      <w:r>
        <w:rPr>
          <w:rFonts w:ascii="Arial" w:eastAsia="Times New Roman" w:hAnsi="Arial" w:cs="Arial"/>
          <w:sz w:val="20"/>
          <w:szCs w:val="20"/>
        </w:rPr>
        <w:t xml:space="preserve"> of Disease Study series no. 2,</w:t>
      </w:r>
      <w:r w:rsidRPr="00E11D50">
        <w:rPr>
          <w:rFonts w:ascii="Arial" w:eastAsia="Times New Roman" w:hAnsi="Arial" w:cs="Arial"/>
          <w:sz w:val="20"/>
          <w:szCs w:val="20"/>
        </w:rPr>
        <w:t xml:space="preserve"> Cat. no. BOD 2, Canberra, 2010, </w:t>
      </w:r>
      <w:r>
        <w:rPr>
          <w:rFonts w:ascii="Arial" w:eastAsia="Times New Roman" w:hAnsi="Arial" w:cs="Arial"/>
          <w:sz w:val="20"/>
          <w:szCs w:val="20"/>
        </w:rPr>
        <w:t xml:space="preserve">p </w:t>
      </w:r>
      <w:r w:rsidRPr="00E11D50">
        <w:rPr>
          <w:rFonts w:ascii="Arial" w:eastAsia="Times New Roman" w:hAnsi="Arial" w:cs="Arial"/>
          <w:sz w:val="20"/>
          <w:szCs w:val="20"/>
        </w:rPr>
        <w:t>34.</w:t>
      </w:r>
    </w:p>
  </w:endnote>
  <w:endnote w:id="45">
    <w:p w14:paraId="5059A55C" w14:textId="36DC0963" w:rsidR="0068666F" w:rsidRPr="00E11D50" w:rsidRDefault="0068666F" w:rsidP="00040CF1">
      <w:pPr>
        <w:pStyle w:val="NormalWeb"/>
        <w:rPr>
          <w:rFonts w:ascii="Arial" w:hAnsi="Arial" w:cs="Arial"/>
          <w:sz w:val="20"/>
          <w:szCs w:val="20"/>
        </w:rPr>
      </w:pPr>
      <w:r w:rsidRPr="00E11D50">
        <w:rPr>
          <w:rStyle w:val="EndnoteReference"/>
          <w:rFonts w:cs="Arial"/>
          <w:sz w:val="20"/>
          <w:szCs w:val="20"/>
        </w:rPr>
        <w:endnoteRef/>
      </w:r>
      <w:r w:rsidRPr="00E11D50">
        <w:rPr>
          <w:rFonts w:ascii="Arial" w:hAnsi="Arial" w:cs="Arial"/>
          <w:sz w:val="20"/>
          <w:szCs w:val="20"/>
        </w:rPr>
        <w:t xml:space="preserve"> </w:t>
      </w:r>
      <w:r w:rsidRPr="00E11D50">
        <w:rPr>
          <w:rFonts w:ascii="Arial" w:eastAsia="Times New Roman" w:hAnsi="Arial" w:cs="Arial"/>
          <w:sz w:val="20"/>
          <w:szCs w:val="20"/>
        </w:rPr>
        <w:t xml:space="preserve">Australian Institute of Health and Welfare, </w:t>
      </w:r>
      <w:r w:rsidRPr="00E11D50">
        <w:rPr>
          <w:rFonts w:ascii="Arial" w:eastAsia="Times New Roman" w:hAnsi="Arial" w:cs="Arial"/>
          <w:i/>
          <w:sz w:val="20"/>
          <w:szCs w:val="20"/>
        </w:rPr>
        <w:t>Australian Burden of Disease Study: fatal burden of disease in Aboriginal and Torres Strait Islander people</w:t>
      </w:r>
      <w:r w:rsidRPr="00E11D50">
        <w:rPr>
          <w:rFonts w:ascii="Arial" w:eastAsia="Times New Roman" w:hAnsi="Arial" w:cs="Arial"/>
          <w:sz w:val="20"/>
          <w:szCs w:val="20"/>
        </w:rPr>
        <w:t>, Australian Burden</w:t>
      </w:r>
      <w:r>
        <w:rPr>
          <w:rFonts w:ascii="Arial" w:eastAsia="Times New Roman" w:hAnsi="Arial" w:cs="Arial"/>
          <w:sz w:val="20"/>
          <w:szCs w:val="20"/>
        </w:rPr>
        <w:t xml:space="preserve"> of Disease Study series no. 2,</w:t>
      </w:r>
      <w:r w:rsidRPr="00E11D50">
        <w:rPr>
          <w:rFonts w:ascii="Arial" w:eastAsia="Times New Roman" w:hAnsi="Arial" w:cs="Arial"/>
          <w:sz w:val="20"/>
          <w:szCs w:val="20"/>
        </w:rPr>
        <w:t xml:space="preserve"> Cat. no. BOD 2, Canberra, 2010, </w:t>
      </w:r>
      <w:r>
        <w:rPr>
          <w:rFonts w:ascii="Arial" w:eastAsia="Times New Roman" w:hAnsi="Arial" w:cs="Arial"/>
          <w:sz w:val="20"/>
          <w:szCs w:val="20"/>
        </w:rPr>
        <w:t xml:space="preserve">p </w:t>
      </w:r>
      <w:r w:rsidRPr="00E11D50">
        <w:rPr>
          <w:rFonts w:ascii="Arial" w:eastAsia="Times New Roman" w:hAnsi="Arial" w:cs="Arial"/>
          <w:sz w:val="20"/>
          <w:szCs w:val="20"/>
        </w:rPr>
        <w:t>34.</w:t>
      </w:r>
    </w:p>
  </w:endnote>
  <w:endnote w:id="46">
    <w:p w14:paraId="1A299ED4" w14:textId="2495688C"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Fonts w:cs="Arial"/>
          <w:lang w:val="en-US"/>
        </w:rPr>
        <w:t xml:space="preserve">p </w:t>
      </w:r>
      <w:r w:rsidRPr="00E11D50">
        <w:rPr>
          <w:rFonts w:cs="Arial"/>
          <w:lang w:val="en-US"/>
        </w:rPr>
        <w:t>70.</w:t>
      </w:r>
    </w:p>
  </w:endnote>
  <w:endnote w:id="47">
    <w:p w14:paraId="49BEEDC7" w14:textId="17293CEE"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Fonts w:cs="Arial"/>
          <w:lang w:val="en-US"/>
        </w:rPr>
        <w:t xml:space="preserve">p </w:t>
      </w:r>
      <w:r w:rsidRPr="00E11D50">
        <w:rPr>
          <w:rFonts w:cs="Arial"/>
          <w:lang w:val="en-US"/>
        </w:rPr>
        <w:t>70.</w:t>
      </w:r>
    </w:p>
  </w:endnote>
  <w:endnote w:id="48">
    <w:p w14:paraId="3CB4BF10" w14:textId="1269FDC1" w:rsidR="0068666F" w:rsidRPr="00E11D50" w:rsidRDefault="0068666F">
      <w:pPr>
        <w:pStyle w:val="EndnoteText"/>
        <w:rPr>
          <w:rStyle w:val="EndnoteReference"/>
          <w:rFonts w:cs="Arial"/>
          <w:sz w:val="20"/>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Style w:val="EndnoteReference"/>
          <w:rFonts w:cs="Arial"/>
          <w:sz w:val="20"/>
          <w:vertAlign w:val="baseline"/>
        </w:rPr>
        <w:t xml:space="preserve">p </w:t>
      </w:r>
      <w:r w:rsidRPr="00E11D50">
        <w:rPr>
          <w:rStyle w:val="EndnoteReference"/>
          <w:rFonts w:cs="Arial"/>
          <w:sz w:val="20"/>
          <w:vertAlign w:val="baseline"/>
        </w:rPr>
        <w:t>70.</w:t>
      </w:r>
    </w:p>
  </w:endnote>
  <w:endnote w:id="49">
    <w:p w14:paraId="7D12A57F" w14:textId="03441E35" w:rsidR="0068666F" w:rsidRPr="00E11D50" w:rsidRDefault="0068666F">
      <w:pPr>
        <w:pStyle w:val="EndnoteText"/>
        <w:rPr>
          <w:rStyle w:val="EndnoteReference"/>
          <w:rFonts w:cs="Arial"/>
          <w:sz w:val="20"/>
        </w:rPr>
      </w:pPr>
      <w:r w:rsidRPr="00E11D50">
        <w:rPr>
          <w:rStyle w:val="EndnoteReference"/>
          <w:rFonts w:cs="Arial"/>
          <w:sz w:val="20"/>
        </w:rPr>
        <w:endnoteRef/>
      </w:r>
      <w:r>
        <w:rPr>
          <w:rFonts w:cs="Arial"/>
        </w:rPr>
        <w:t xml:space="preserve"> </w:t>
      </w:r>
      <w:r w:rsidRPr="00E11D50">
        <w:rPr>
          <w:rStyle w:val="EndnoteReference"/>
          <w:rFonts w:cs="Arial"/>
          <w:sz w:val="20"/>
          <w:vertAlign w:val="baseline"/>
        </w:rPr>
        <w:t xml:space="preserve">Cancer Australia, National Aboriginal and Torres Strait Islander Cancer Framework, Cancer Australia, Surry Hills, NSW, 2015. See: </w:t>
      </w:r>
      <w:hyperlink r:id="rId14" w:history="1">
        <w:proofErr w:type="spellStart"/>
        <w:r w:rsidRPr="00A4382E">
          <w:rPr>
            <w:rStyle w:val="Hyperlink"/>
            <w:rFonts w:cs="Arial"/>
          </w:rPr>
          <w:t>canceraustralia.gov.au</w:t>
        </w:r>
        <w:proofErr w:type="spellEnd"/>
      </w:hyperlink>
      <w:r w:rsidRPr="00E11D50">
        <w:rPr>
          <w:rStyle w:val="EndnoteReference"/>
          <w:rFonts w:cs="Arial"/>
          <w:sz w:val="20"/>
          <w:vertAlign w:val="baseline"/>
        </w:rPr>
        <w:t>.</w:t>
      </w:r>
    </w:p>
  </w:endnote>
  <w:endnote w:id="50">
    <w:p w14:paraId="4F63ED6D" w14:textId="77777777" w:rsidR="0068666F" w:rsidRPr="00E11D50" w:rsidRDefault="0068666F">
      <w:pPr>
        <w:pStyle w:val="EndnoteText"/>
        <w:rPr>
          <w:rFonts w:cs="Arial"/>
          <w:lang w:val="en-US"/>
        </w:rPr>
      </w:pPr>
      <w:r w:rsidRPr="00E11D50">
        <w:rPr>
          <w:rStyle w:val="EndnoteReference"/>
          <w:rFonts w:cs="Arial"/>
          <w:sz w:val="20"/>
        </w:rPr>
        <w:endnoteRef/>
      </w:r>
      <w:r w:rsidRPr="00E11D50">
        <w:rPr>
          <w:rStyle w:val="EndnoteReference"/>
          <w:rFonts w:cs="Arial"/>
          <w:sz w:val="20"/>
        </w:rPr>
        <w:t xml:space="preserve"> </w:t>
      </w:r>
      <w:proofErr w:type="spellStart"/>
      <w:r w:rsidRPr="00E11D50">
        <w:rPr>
          <w:rFonts w:cs="Arial"/>
          <w:color w:val="000000" w:themeColor="text1"/>
        </w:rPr>
        <w:t>COAG</w:t>
      </w:r>
      <w:proofErr w:type="spellEnd"/>
      <w:r w:rsidRPr="00E11D50">
        <w:rPr>
          <w:rFonts w:cs="Arial"/>
          <w:color w:val="000000" w:themeColor="text1"/>
        </w:rPr>
        <w:t xml:space="preserve"> Reform Council, </w:t>
      </w:r>
      <w:r w:rsidRPr="00E11D50">
        <w:rPr>
          <w:rFonts w:cs="Arial"/>
          <w:i/>
          <w:color w:val="000000" w:themeColor="text1"/>
        </w:rPr>
        <w:t>Indigenous Reform 2012-13: Five years of Performance</w:t>
      </w:r>
      <w:r w:rsidRPr="00E11D50">
        <w:rPr>
          <w:rFonts w:cs="Arial"/>
          <w:color w:val="000000" w:themeColor="text1"/>
        </w:rPr>
        <w:t>, 2014.</w:t>
      </w:r>
    </w:p>
  </w:endnote>
  <w:endnote w:id="51">
    <w:p w14:paraId="479844D7" w14:textId="77777777"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The Royal Australian and New Zealand College of Radiologists, </w:t>
      </w:r>
      <w:r w:rsidRPr="00E11D50">
        <w:rPr>
          <w:rFonts w:cs="Arial"/>
          <w:i/>
        </w:rPr>
        <w:t>Planning for the Best: Tripartite National Strategic Plan for Radiation Oncology 2012-2022</w:t>
      </w:r>
      <w:r w:rsidRPr="00E11D50">
        <w:rPr>
          <w:rFonts w:cs="Arial"/>
        </w:rPr>
        <w:t>, 2012, p 111.</w:t>
      </w:r>
    </w:p>
  </w:endnote>
  <w:endnote w:id="52">
    <w:p w14:paraId="3795C891" w14:textId="77777777" w:rsidR="0068666F" w:rsidRPr="00E11D50" w:rsidRDefault="0068666F">
      <w:pPr>
        <w:pStyle w:val="EndnoteText"/>
        <w:rPr>
          <w:rFonts w:cs="Arial"/>
          <w:color w:val="000000" w:themeColor="text1"/>
          <w:lang w:val="en-US"/>
        </w:rPr>
      </w:pPr>
      <w:r w:rsidRPr="00E11D50">
        <w:rPr>
          <w:rStyle w:val="EndnoteReference"/>
          <w:rFonts w:cs="Arial"/>
          <w:color w:val="000000" w:themeColor="text1"/>
          <w:sz w:val="20"/>
        </w:rPr>
        <w:endnoteRef/>
      </w:r>
      <w:r w:rsidRPr="00E11D50">
        <w:rPr>
          <w:rFonts w:cs="Arial"/>
          <w:color w:val="000000" w:themeColor="text1"/>
        </w:rPr>
        <w:t xml:space="preserve"> </w:t>
      </w:r>
      <w:proofErr w:type="spellStart"/>
      <w:r w:rsidRPr="00E11D50">
        <w:rPr>
          <w:rFonts w:cs="Arial"/>
          <w:color w:val="000000" w:themeColor="text1"/>
        </w:rPr>
        <w:t>COAG</w:t>
      </w:r>
      <w:proofErr w:type="spellEnd"/>
      <w:r w:rsidRPr="00E11D50">
        <w:rPr>
          <w:rFonts w:cs="Arial"/>
          <w:color w:val="000000" w:themeColor="text1"/>
        </w:rPr>
        <w:t xml:space="preserve"> Reform Council, </w:t>
      </w:r>
      <w:r w:rsidRPr="00E11D50">
        <w:rPr>
          <w:rFonts w:cs="Arial"/>
          <w:i/>
          <w:color w:val="000000" w:themeColor="text1"/>
        </w:rPr>
        <w:t>Indigenous Reform 2012-13: Five years of Performance</w:t>
      </w:r>
      <w:r w:rsidRPr="00E11D50">
        <w:rPr>
          <w:rFonts w:cs="Arial"/>
          <w:color w:val="000000" w:themeColor="text1"/>
        </w:rPr>
        <w:t>, 2014</w:t>
      </w:r>
      <w:r w:rsidRPr="00E11D50">
        <w:rPr>
          <w:rFonts w:cs="Arial"/>
          <w:color w:val="000000" w:themeColor="text1"/>
          <w:lang w:val="en-US"/>
        </w:rPr>
        <w:t>.</w:t>
      </w:r>
    </w:p>
  </w:endnote>
  <w:endnote w:id="53">
    <w:p w14:paraId="083C4210" w14:textId="1F0518B8"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Fonts w:cs="Arial"/>
          <w:lang w:val="en-US"/>
        </w:rPr>
        <w:t xml:space="preserve">p </w:t>
      </w:r>
      <w:r w:rsidRPr="00E11D50">
        <w:rPr>
          <w:rFonts w:cs="Arial"/>
          <w:lang w:val="en-US"/>
        </w:rPr>
        <w:t>64.</w:t>
      </w:r>
    </w:p>
  </w:endnote>
  <w:endnote w:id="54">
    <w:p w14:paraId="0ABF1C0F" w14:textId="7B9F4163"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Fonts w:cs="Arial"/>
          <w:lang w:val="en-US"/>
        </w:rPr>
        <w:t xml:space="preserve">p </w:t>
      </w:r>
      <w:r w:rsidRPr="00E11D50">
        <w:rPr>
          <w:rFonts w:cs="Arial"/>
          <w:lang w:val="en-US"/>
        </w:rPr>
        <w:t>64.</w:t>
      </w:r>
    </w:p>
  </w:endnote>
  <w:endnote w:id="55">
    <w:p w14:paraId="60A4206C" w14:textId="343AF590"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Fonts w:cs="Arial"/>
          <w:lang w:val="en-US"/>
        </w:rPr>
        <w:t xml:space="preserve">p </w:t>
      </w:r>
      <w:r w:rsidRPr="00E11D50">
        <w:rPr>
          <w:rFonts w:cs="Arial"/>
          <w:lang w:val="en-US"/>
        </w:rPr>
        <w:t>64.</w:t>
      </w:r>
    </w:p>
  </w:endnote>
  <w:endnote w:id="56">
    <w:p w14:paraId="137CB930" w14:textId="675BD99B"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Fonts w:cs="Arial"/>
          <w:lang w:val="en-US"/>
        </w:rPr>
        <w:t xml:space="preserve">p </w:t>
      </w:r>
      <w:r w:rsidRPr="00E11D50">
        <w:rPr>
          <w:rFonts w:cs="Arial"/>
          <w:lang w:val="en-US"/>
        </w:rPr>
        <w:t>64.</w:t>
      </w:r>
    </w:p>
  </w:endnote>
  <w:endnote w:id="57">
    <w:p w14:paraId="32D913C5" w14:textId="77777777" w:rsidR="0068666F" w:rsidRPr="00E11D50" w:rsidRDefault="0068666F">
      <w:pPr>
        <w:autoSpaceDE w:val="0"/>
        <w:autoSpaceDN w:val="0"/>
        <w:adjustRightInd w:val="0"/>
        <w:rPr>
          <w:rFonts w:cs="Arial"/>
          <w:sz w:val="20"/>
          <w:szCs w:val="20"/>
        </w:rPr>
      </w:pPr>
      <w:r w:rsidRPr="00E11D50">
        <w:rPr>
          <w:rStyle w:val="EndnoteReference"/>
          <w:rFonts w:cs="Arial"/>
          <w:color w:val="000000" w:themeColor="text1"/>
          <w:sz w:val="20"/>
          <w:szCs w:val="20"/>
        </w:rPr>
        <w:endnoteRef/>
      </w:r>
      <w:r w:rsidRPr="00E11D50">
        <w:rPr>
          <w:rFonts w:cs="Arial"/>
          <w:color w:val="000000" w:themeColor="text1"/>
          <w:sz w:val="20"/>
          <w:szCs w:val="20"/>
        </w:rPr>
        <w:t xml:space="preserve"> </w:t>
      </w:r>
      <w:r w:rsidRPr="00E11D50">
        <w:rPr>
          <w:rFonts w:eastAsia="Times New Roman" w:cs="Arial"/>
          <w:color w:val="000000" w:themeColor="text1"/>
          <w:sz w:val="20"/>
          <w:szCs w:val="20"/>
        </w:rPr>
        <w:t xml:space="preserve">Australian Institute of Health and Welfare, </w:t>
      </w:r>
      <w:proofErr w:type="spellStart"/>
      <w:r w:rsidRPr="00E11D50">
        <w:rPr>
          <w:rFonts w:eastAsia="Times New Roman" w:cs="Arial"/>
          <w:i/>
          <w:color w:val="000000" w:themeColor="text1"/>
          <w:sz w:val="20"/>
          <w:szCs w:val="20"/>
        </w:rPr>
        <w:t>Birthweight</w:t>
      </w:r>
      <w:proofErr w:type="spellEnd"/>
      <w:r w:rsidRPr="00E11D50">
        <w:rPr>
          <w:rFonts w:eastAsia="Times New Roman" w:cs="Arial"/>
          <w:i/>
          <w:color w:val="000000" w:themeColor="text1"/>
          <w:sz w:val="20"/>
          <w:szCs w:val="20"/>
        </w:rPr>
        <w:t xml:space="preserve"> of babies born to Indigenous mothers</w:t>
      </w:r>
      <w:r w:rsidRPr="00E11D50">
        <w:rPr>
          <w:rFonts w:eastAsia="Times New Roman" w:cs="Arial"/>
          <w:color w:val="000000" w:themeColor="text1"/>
          <w:sz w:val="20"/>
          <w:szCs w:val="20"/>
        </w:rPr>
        <w:t xml:space="preserve">, </w:t>
      </w:r>
      <w:proofErr w:type="spellStart"/>
      <w:r w:rsidRPr="00E11D50">
        <w:rPr>
          <w:rFonts w:cs="Arial"/>
          <w:sz w:val="20"/>
          <w:szCs w:val="20"/>
        </w:rPr>
        <w:t>AIHW</w:t>
      </w:r>
      <w:proofErr w:type="spellEnd"/>
      <w:r w:rsidRPr="00E11D50">
        <w:rPr>
          <w:rFonts w:cs="Arial"/>
          <w:sz w:val="20"/>
          <w:szCs w:val="20"/>
        </w:rPr>
        <w:t xml:space="preserve"> cat. no. </w:t>
      </w:r>
      <w:proofErr w:type="spellStart"/>
      <w:r w:rsidRPr="00E11D50">
        <w:rPr>
          <w:rFonts w:cs="Arial"/>
          <w:sz w:val="20"/>
          <w:szCs w:val="20"/>
        </w:rPr>
        <w:t>IHW</w:t>
      </w:r>
      <w:proofErr w:type="spellEnd"/>
      <w:r w:rsidRPr="00E11D50">
        <w:rPr>
          <w:rFonts w:cs="Arial"/>
          <w:sz w:val="20"/>
          <w:szCs w:val="20"/>
        </w:rPr>
        <w:t xml:space="preserve"> 138, 2014. Available online at: </w:t>
      </w:r>
      <w:hyperlink r:id="rId15" w:history="1">
        <w:r w:rsidRPr="00E11D50">
          <w:rPr>
            <w:rStyle w:val="Hyperlink"/>
            <w:rFonts w:cs="Arial"/>
            <w:sz w:val="20"/>
            <w:szCs w:val="20"/>
          </w:rPr>
          <w:t>http://</w:t>
        </w:r>
        <w:proofErr w:type="spellStart"/>
        <w:r w:rsidRPr="00E11D50">
          <w:rPr>
            <w:rStyle w:val="Hyperlink"/>
            <w:rFonts w:cs="Arial"/>
            <w:sz w:val="20"/>
            <w:szCs w:val="20"/>
          </w:rPr>
          <w:t>www.aihw.gov.au</w:t>
        </w:r>
        <w:proofErr w:type="spellEnd"/>
        <w:r w:rsidRPr="00E11D50">
          <w:rPr>
            <w:rStyle w:val="Hyperlink"/>
            <w:rFonts w:cs="Arial"/>
            <w:sz w:val="20"/>
            <w:szCs w:val="20"/>
          </w:rPr>
          <w:t>/publication-detail/?id=60129548202</w:t>
        </w:r>
      </w:hyperlink>
      <w:r w:rsidRPr="00E11D50">
        <w:rPr>
          <w:rFonts w:cs="Arial"/>
          <w:sz w:val="20"/>
          <w:szCs w:val="20"/>
        </w:rPr>
        <w:t>. [Verified 20 August 2015].</w:t>
      </w:r>
    </w:p>
  </w:endnote>
  <w:endnote w:id="58">
    <w:p w14:paraId="4CD84249" w14:textId="77777777" w:rsidR="0068666F" w:rsidRPr="00E11D50" w:rsidRDefault="0068666F">
      <w:pPr>
        <w:autoSpaceDE w:val="0"/>
        <w:autoSpaceDN w:val="0"/>
        <w:adjustRightInd w:val="0"/>
        <w:rPr>
          <w:rFonts w:cs="Arial"/>
          <w:color w:val="000000" w:themeColor="text1"/>
          <w:sz w:val="20"/>
          <w:szCs w:val="20"/>
        </w:rPr>
      </w:pPr>
      <w:r w:rsidRPr="00E11D50">
        <w:rPr>
          <w:rStyle w:val="EndnoteReference"/>
          <w:rFonts w:cs="Arial"/>
          <w:color w:val="000000" w:themeColor="text1"/>
          <w:sz w:val="20"/>
          <w:szCs w:val="20"/>
        </w:rPr>
        <w:endnoteRef/>
      </w:r>
      <w:r w:rsidRPr="00E11D50">
        <w:rPr>
          <w:rFonts w:cs="Arial"/>
          <w:color w:val="000000" w:themeColor="text1"/>
          <w:sz w:val="20"/>
          <w:szCs w:val="20"/>
        </w:rPr>
        <w:t xml:space="preserve"> </w:t>
      </w:r>
      <w:r w:rsidRPr="00E11D50">
        <w:rPr>
          <w:rFonts w:eastAsia="Times New Roman" w:cs="Arial"/>
          <w:color w:val="000000" w:themeColor="text1"/>
          <w:sz w:val="20"/>
          <w:szCs w:val="20"/>
        </w:rPr>
        <w:t xml:space="preserve">Australian Institute of Health and Welfare, </w:t>
      </w:r>
      <w:proofErr w:type="spellStart"/>
      <w:r w:rsidRPr="00E11D50">
        <w:rPr>
          <w:rFonts w:eastAsia="Times New Roman" w:cs="Arial"/>
          <w:i/>
          <w:color w:val="000000" w:themeColor="text1"/>
          <w:sz w:val="20"/>
          <w:szCs w:val="20"/>
        </w:rPr>
        <w:t>Birthweight</w:t>
      </w:r>
      <w:proofErr w:type="spellEnd"/>
      <w:r w:rsidRPr="00E11D50">
        <w:rPr>
          <w:rFonts w:eastAsia="Times New Roman" w:cs="Arial"/>
          <w:i/>
          <w:color w:val="000000" w:themeColor="text1"/>
          <w:sz w:val="20"/>
          <w:szCs w:val="20"/>
        </w:rPr>
        <w:t xml:space="preserve"> of babies born to Indigenous mothers</w:t>
      </w:r>
      <w:r w:rsidRPr="00E11D50">
        <w:rPr>
          <w:rFonts w:eastAsia="Times New Roman" w:cs="Arial"/>
          <w:color w:val="000000" w:themeColor="text1"/>
          <w:sz w:val="20"/>
          <w:szCs w:val="20"/>
        </w:rPr>
        <w:t xml:space="preserve">, </w:t>
      </w:r>
      <w:proofErr w:type="spellStart"/>
      <w:r w:rsidRPr="00E11D50">
        <w:rPr>
          <w:rFonts w:cs="Arial"/>
          <w:sz w:val="20"/>
          <w:szCs w:val="20"/>
        </w:rPr>
        <w:t>AIHW</w:t>
      </w:r>
      <w:proofErr w:type="spellEnd"/>
      <w:r w:rsidRPr="00E11D50">
        <w:rPr>
          <w:rFonts w:cs="Arial"/>
          <w:sz w:val="20"/>
          <w:szCs w:val="20"/>
        </w:rPr>
        <w:t xml:space="preserve"> cat. no. </w:t>
      </w:r>
      <w:proofErr w:type="spellStart"/>
      <w:r w:rsidRPr="00E11D50">
        <w:rPr>
          <w:rFonts w:cs="Arial"/>
          <w:sz w:val="20"/>
          <w:szCs w:val="20"/>
        </w:rPr>
        <w:t>IHW</w:t>
      </w:r>
      <w:proofErr w:type="spellEnd"/>
      <w:r w:rsidRPr="00E11D50">
        <w:rPr>
          <w:rFonts w:cs="Arial"/>
          <w:sz w:val="20"/>
          <w:szCs w:val="20"/>
        </w:rPr>
        <w:t xml:space="preserve"> 138, 2014. Available online at: </w:t>
      </w:r>
      <w:hyperlink r:id="rId16" w:history="1">
        <w:r w:rsidRPr="00E11D50">
          <w:rPr>
            <w:rStyle w:val="Hyperlink"/>
            <w:rFonts w:cs="Arial"/>
            <w:sz w:val="20"/>
            <w:szCs w:val="20"/>
          </w:rPr>
          <w:t>http://</w:t>
        </w:r>
        <w:proofErr w:type="spellStart"/>
        <w:r w:rsidRPr="00E11D50">
          <w:rPr>
            <w:rStyle w:val="Hyperlink"/>
            <w:rFonts w:cs="Arial"/>
            <w:sz w:val="20"/>
            <w:szCs w:val="20"/>
          </w:rPr>
          <w:t>www.aihw.gov.au</w:t>
        </w:r>
        <w:proofErr w:type="spellEnd"/>
        <w:r w:rsidRPr="00E11D50">
          <w:rPr>
            <w:rStyle w:val="Hyperlink"/>
            <w:rFonts w:cs="Arial"/>
            <w:sz w:val="20"/>
            <w:szCs w:val="20"/>
          </w:rPr>
          <w:t>/publication-detail/?id=60129548202</w:t>
        </w:r>
      </w:hyperlink>
      <w:r w:rsidRPr="00E11D50">
        <w:rPr>
          <w:rFonts w:cs="Arial"/>
          <w:sz w:val="20"/>
          <w:szCs w:val="20"/>
        </w:rPr>
        <w:t>. [Verified 20 August 2015].</w:t>
      </w:r>
    </w:p>
  </w:endnote>
  <w:endnote w:id="59">
    <w:p w14:paraId="1F73BC91" w14:textId="77777777" w:rsidR="0068666F" w:rsidRPr="00E11D50" w:rsidRDefault="0068666F">
      <w:pPr>
        <w:autoSpaceDE w:val="0"/>
        <w:autoSpaceDN w:val="0"/>
        <w:adjustRightInd w:val="0"/>
        <w:rPr>
          <w:rFonts w:cs="Arial"/>
          <w:color w:val="000000" w:themeColor="text1"/>
          <w:sz w:val="20"/>
          <w:szCs w:val="20"/>
        </w:rPr>
      </w:pPr>
      <w:r w:rsidRPr="00E11D50">
        <w:rPr>
          <w:rStyle w:val="EndnoteReference"/>
          <w:rFonts w:cs="Arial"/>
          <w:color w:val="000000" w:themeColor="text1"/>
          <w:sz w:val="20"/>
          <w:szCs w:val="20"/>
        </w:rPr>
        <w:endnoteRef/>
      </w:r>
      <w:r w:rsidRPr="00E11D50">
        <w:rPr>
          <w:rFonts w:cs="Arial"/>
          <w:color w:val="000000" w:themeColor="text1"/>
          <w:sz w:val="20"/>
          <w:szCs w:val="20"/>
        </w:rPr>
        <w:t xml:space="preserve"> </w:t>
      </w:r>
      <w:r w:rsidRPr="00E11D50">
        <w:rPr>
          <w:rFonts w:eastAsia="Times New Roman" w:cs="Arial"/>
          <w:color w:val="000000" w:themeColor="text1"/>
          <w:sz w:val="20"/>
          <w:szCs w:val="20"/>
        </w:rPr>
        <w:t xml:space="preserve">Australian Institute of Health and Welfare, </w:t>
      </w:r>
      <w:proofErr w:type="spellStart"/>
      <w:r w:rsidRPr="00E11D50">
        <w:rPr>
          <w:rFonts w:eastAsia="Times New Roman" w:cs="Arial"/>
          <w:i/>
          <w:color w:val="000000" w:themeColor="text1"/>
          <w:sz w:val="20"/>
          <w:szCs w:val="20"/>
        </w:rPr>
        <w:t>Birthweight</w:t>
      </w:r>
      <w:proofErr w:type="spellEnd"/>
      <w:r w:rsidRPr="00E11D50">
        <w:rPr>
          <w:rFonts w:eastAsia="Times New Roman" w:cs="Arial"/>
          <w:i/>
          <w:color w:val="000000" w:themeColor="text1"/>
          <w:sz w:val="20"/>
          <w:szCs w:val="20"/>
        </w:rPr>
        <w:t xml:space="preserve"> of babies born to Indigenous mothers</w:t>
      </w:r>
      <w:r w:rsidRPr="00E11D50">
        <w:rPr>
          <w:rFonts w:eastAsia="Times New Roman" w:cs="Arial"/>
          <w:color w:val="000000" w:themeColor="text1"/>
          <w:sz w:val="20"/>
          <w:szCs w:val="20"/>
        </w:rPr>
        <w:t xml:space="preserve">, </w:t>
      </w:r>
      <w:proofErr w:type="spellStart"/>
      <w:r w:rsidRPr="00E11D50">
        <w:rPr>
          <w:rFonts w:cs="Arial"/>
          <w:sz w:val="20"/>
          <w:szCs w:val="20"/>
        </w:rPr>
        <w:t>AIHW</w:t>
      </w:r>
      <w:proofErr w:type="spellEnd"/>
      <w:r w:rsidRPr="00E11D50">
        <w:rPr>
          <w:rFonts w:cs="Arial"/>
          <w:sz w:val="20"/>
          <w:szCs w:val="20"/>
        </w:rPr>
        <w:t xml:space="preserve"> cat. no. </w:t>
      </w:r>
      <w:proofErr w:type="spellStart"/>
      <w:r w:rsidRPr="00E11D50">
        <w:rPr>
          <w:rFonts w:cs="Arial"/>
          <w:sz w:val="20"/>
          <w:szCs w:val="20"/>
        </w:rPr>
        <w:t>IHW</w:t>
      </w:r>
      <w:proofErr w:type="spellEnd"/>
      <w:r w:rsidRPr="00E11D50">
        <w:rPr>
          <w:rFonts w:cs="Arial"/>
          <w:sz w:val="20"/>
          <w:szCs w:val="20"/>
        </w:rPr>
        <w:t xml:space="preserve"> 138, 2014. Available online at: </w:t>
      </w:r>
      <w:hyperlink r:id="rId17" w:history="1">
        <w:r w:rsidRPr="00E11D50">
          <w:rPr>
            <w:rStyle w:val="Hyperlink"/>
            <w:rFonts w:cs="Arial"/>
            <w:sz w:val="20"/>
            <w:szCs w:val="20"/>
          </w:rPr>
          <w:t>http://</w:t>
        </w:r>
        <w:proofErr w:type="spellStart"/>
        <w:r w:rsidRPr="00E11D50">
          <w:rPr>
            <w:rStyle w:val="Hyperlink"/>
            <w:rFonts w:cs="Arial"/>
            <w:sz w:val="20"/>
            <w:szCs w:val="20"/>
          </w:rPr>
          <w:t>www.aihw.gov.au</w:t>
        </w:r>
        <w:proofErr w:type="spellEnd"/>
        <w:r w:rsidRPr="00E11D50">
          <w:rPr>
            <w:rStyle w:val="Hyperlink"/>
            <w:rFonts w:cs="Arial"/>
            <w:sz w:val="20"/>
            <w:szCs w:val="20"/>
          </w:rPr>
          <w:t>/publication-detail/?id=60129548202</w:t>
        </w:r>
      </w:hyperlink>
      <w:r w:rsidRPr="00E11D50">
        <w:rPr>
          <w:rFonts w:cs="Arial"/>
          <w:sz w:val="20"/>
          <w:szCs w:val="20"/>
        </w:rPr>
        <w:t>. [Verified 20 August 2015].</w:t>
      </w:r>
    </w:p>
  </w:endnote>
  <w:endnote w:id="60">
    <w:p w14:paraId="77451186" w14:textId="2FBE3AFD" w:rsidR="0068666F" w:rsidRPr="00E11D50" w:rsidRDefault="0068666F" w:rsidP="00162879">
      <w:pPr>
        <w:pStyle w:val="EndnoteText"/>
      </w:pPr>
      <w:r w:rsidRPr="00E11D50">
        <w:rPr>
          <w:rStyle w:val="EndnoteReference"/>
          <w:rFonts w:cs="Arial"/>
          <w:sz w:val="20"/>
        </w:rPr>
        <w:endnoteRef/>
      </w:r>
      <w:r w:rsidRPr="00E11D50">
        <w:t xml:space="preserve"> </w:t>
      </w:r>
      <w:proofErr w:type="spellStart"/>
      <w:r w:rsidRPr="00E11D50">
        <w:t>AHMAC</w:t>
      </w:r>
      <w:proofErr w:type="spellEnd"/>
      <w:r w:rsidRPr="00E11D50">
        <w:t xml:space="preserve"> p 22 with reference to: </w:t>
      </w:r>
      <w:proofErr w:type="spellStart"/>
      <w:r w:rsidRPr="00E11D50">
        <w:t>Khalidi</w:t>
      </w:r>
      <w:proofErr w:type="spellEnd"/>
      <w:r w:rsidRPr="00E11D50">
        <w:t xml:space="preserve">, N, McGill, K, </w:t>
      </w:r>
      <w:proofErr w:type="spellStart"/>
      <w:r w:rsidRPr="00E11D50">
        <w:t>Houweling</w:t>
      </w:r>
      <w:proofErr w:type="spellEnd"/>
      <w:r w:rsidRPr="00E11D50">
        <w:t xml:space="preserve">, H, Arnett, K &amp; </w:t>
      </w:r>
      <w:proofErr w:type="spellStart"/>
      <w:r w:rsidRPr="00E11D50">
        <w:t>Sheahan</w:t>
      </w:r>
      <w:proofErr w:type="spellEnd"/>
      <w:r w:rsidRPr="00E11D50">
        <w:t xml:space="preserve">, A, 2012, </w:t>
      </w:r>
      <w:r w:rsidRPr="00E11D50">
        <w:rPr>
          <w:i/>
          <w:iCs/>
        </w:rPr>
        <w:t xml:space="preserve">Closing the Gap in Low </w:t>
      </w:r>
      <w:proofErr w:type="spellStart"/>
      <w:r w:rsidRPr="00E11D50">
        <w:rPr>
          <w:i/>
          <w:iCs/>
        </w:rPr>
        <w:t>Birthweight</w:t>
      </w:r>
      <w:proofErr w:type="spellEnd"/>
      <w:r w:rsidRPr="00E11D50">
        <w:rPr>
          <w:i/>
          <w:iCs/>
        </w:rPr>
        <w:t xml:space="preserve"> Births between Indigenous and Non-Indigenous Mothers, Queensland, </w:t>
      </w:r>
      <w:r w:rsidRPr="00E11D50">
        <w:t>Health Statistics Centre.</w:t>
      </w:r>
    </w:p>
  </w:endnote>
  <w:endnote w:id="61">
    <w:p w14:paraId="7FBAA07A" w14:textId="77777777"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themeColor="text1"/>
        </w:rPr>
        <w:t xml:space="preserve">Close the Gap Campaign, </w:t>
      </w:r>
      <w:r w:rsidRPr="00E11D50">
        <w:rPr>
          <w:rFonts w:cs="Arial"/>
          <w:i/>
          <w:color w:val="000000" w:themeColor="text1"/>
        </w:rPr>
        <w:t>Progress and Priorities Report 2015,</w:t>
      </w:r>
      <w:r w:rsidRPr="00E11D50">
        <w:rPr>
          <w:rFonts w:cs="Arial"/>
          <w:color w:val="000000" w:themeColor="text1"/>
        </w:rPr>
        <w:t xml:space="preserve"> Oxfam Australia, Sydney, 2015.</w:t>
      </w:r>
    </w:p>
  </w:endnote>
  <w:endnote w:id="62">
    <w:p w14:paraId="35AB5C4F" w14:textId="3135B46F"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2015</w:t>
      </w:r>
      <w:r w:rsidRPr="00E11D50">
        <w:rPr>
          <w:rStyle w:val="EndnoteReference"/>
          <w:rFonts w:cs="Arial"/>
          <w:sz w:val="20"/>
          <w:vertAlign w:val="baseline"/>
        </w:rPr>
        <w:t xml:space="preserve">, </w:t>
      </w:r>
      <w:r>
        <w:rPr>
          <w:rStyle w:val="EndnoteReference"/>
          <w:rFonts w:cs="Arial"/>
          <w:sz w:val="20"/>
          <w:vertAlign w:val="baseline"/>
        </w:rPr>
        <w:t xml:space="preserve">p </w:t>
      </w:r>
      <w:r w:rsidRPr="00E11D50">
        <w:rPr>
          <w:rFonts w:cs="Arial"/>
          <w:lang w:val="en-US"/>
        </w:rPr>
        <w:t>128.</w:t>
      </w:r>
    </w:p>
  </w:endnote>
  <w:endnote w:id="63">
    <w:p w14:paraId="0A01236F" w14:textId="77777777" w:rsidR="0068666F" w:rsidRPr="00E11D50" w:rsidRDefault="0068666F">
      <w:pPr>
        <w:autoSpaceDE w:val="0"/>
        <w:autoSpaceDN w:val="0"/>
        <w:adjustRightInd w:val="0"/>
        <w:rPr>
          <w:rFonts w:cs="Arial"/>
          <w:color w:val="000000" w:themeColor="text1"/>
          <w:sz w:val="20"/>
          <w:szCs w:val="20"/>
        </w:rPr>
      </w:pPr>
      <w:r w:rsidRPr="00E11D50">
        <w:rPr>
          <w:rStyle w:val="EndnoteReference"/>
          <w:rFonts w:cs="Arial"/>
          <w:color w:val="000000" w:themeColor="text1"/>
          <w:sz w:val="20"/>
          <w:szCs w:val="20"/>
        </w:rPr>
        <w:endnoteRef/>
      </w:r>
      <w:r w:rsidRPr="00E11D50">
        <w:rPr>
          <w:rFonts w:cs="Arial"/>
          <w:color w:val="000000" w:themeColor="text1"/>
          <w:sz w:val="20"/>
          <w:szCs w:val="20"/>
        </w:rPr>
        <w:t xml:space="preserve"> </w:t>
      </w:r>
      <w:r w:rsidRPr="00E11D50">
        <w:rPr>
          <w:rFonts w:eastAsia="Times New Roman" w:cs="Arial"/>
          <w:color w:val="000000" w:themeColor="text1"/>
          <w:sz w:val="20"/>
          <w:szCs w:val="20"/>
        </w:rPr>
        <w:t xml:space="preserve">Australian Institute of Health and Welfare, </w:t>
      </w:r>
      <w:proofErr w:type="spellStart"/>
      <w:r w:rsidRPr="00E11D50">
        <w:rPr>
          <w:rFonts w:eastAsia="Times New Roman" w:cs="Arial"/>
          <w:i/>
          <w:color w:val="000000" w:themeColor="text1"/>
          <w:sz w:val="20"/>
          <w:szCs w:val="20"/>
        </w:rPr>
        <w:t>Birthweight</w:t>
      </w:r>
      <w:proofErr w:type="spellEnd"/>
      <w:r w:rsidRPr="00E11D50">
        <w:rPr>
          <w:rFonts w:eastAsia="Times New Roman" w:cs="Arial"/>
          <w:i/>
          <w:color w:val="000000" w:themeColor="text1"/>
          <w:sz w:val="20"/>
          <w:szCs w:val="20"/>
        </w:rPr>
        <w:t xml:space="preserve"> of babies born to Indigenous mothers</w:t>
      </w:r>
      <w:r w:rsidRPr="00E11D50">
        <w:rPr>
          <w:rFonts w:eastAsia="Times New Roman" w:cs="Arial"/>
          <w:color w:val="000000" w:themeColor="text1"/>
          <w:sz w:val="20"/>
          <w:szCs w:val="20"/>
        </w:rPr>
        <w:t xml:space="preserve">, </w:t>
      </w:r>
      <w:proofErr w:type="spellStart"/>
      <w:r w:rsidRPr="00E11D50">
        <w:rPr>
          <w:rFonts w:cs="Arial"/>
          <w:sz w:val="20"/>
          <w:szCs w:val="20"/>
        </w:rPr>
        <w:t>AIHW</w:t>
      </w:r>
      <w:proofErr w:type="spellEnd"/>
      <w:r w:rsidRPr="00E11D50">
        <w:rPr>
          <w:rFonts w:cs="Arial"/>
          <w:sz w:val="20"/>
          <w:szCs w:val="20"/>
        </w:rPr>
        <w:t xml:space="preserve"> cat. no. </w:t>
      </w:r>
      <w:proofErr w:type="spellStart"/>
      <w:r w:rsidRPr="00E11D50">
        <w:rPr>
          <w:rFonts w:cs="Arial"/>
          <w:sz w:val="20"/>
          <w:szCs w:val="20"/>
        </w:rPr>
        <w:t>IHW</w:t>
      </w:r>
      <w:proofErr w:type="spellEnd"/>
      <w:r w:rsidRPr="00E11D50">
        <w:rPr>
          <w:rFonts w:cs="Arial"/>
          <w:sz w:val="20"/>
          <w:szCs w:val="20"/>
        </w:rPr>
        <w:t xml:space="preserve"> 138, 2014. Available online at: </w:t>
      </w:r>
      <w:hyperlink r:id="rId18" w:history="1">
        <w:r w:rsidRPr="00E11D50">
          <w:rPr>
            <w:rStyle w:val="Hyperlink"/>
            <w:rFonts w:cs="Arial"/>
            <w:sz w:val="20"/>
            <w:szCs w:val="20"/>
          </w:rPr>
          <w:t>http://</w:t>
        </w:r>
        <w:proofErr w:type="spellStart"/>
        <w:r w:rsidRPr="00E11D50">
          <w:rPr>
            <w:rStyle w:val="Hyperlink"/>
            <w:rFonts w:cs="Arial"/>
            <w:sz w:val="20"/>
            <w:szCs w:val="20"/>
          </w:rPr>
          <w:t>www.aihw.gov.au</w:t>
        </w:r>
        <w:proofErr w:type="spellEnd"/>
        <w:r w:rsidRPr="00E11D50">
          <w:rPr>
            <w:rStyle w:val="Hyperlink"/>
            <w:rFonts w:cs="Arial"/>
            <w:sz w:val="20"/>
            <w:szCs w:val="20"/>
          </w:rPr>
          <w:t>/publication-detail/?id=60129548202</w:t>
        </w:r>
      </w:hyperlink>
      <w:r w:rsidRPr="00E11D50">
        <w:rPr>
          <w:rFonts w:cs="Arial"/>
          <w:sz w:val="20"/>
          <w:szCs w:val="20"/>
        </w:rPr>
        <w:t>. [Verified 20 August 2015].</w:t>
      </w:r>
    </w:p>
  </w:endnote>
  <w:endnote w:id="64">
    <w:p w14:paraId="68B91FE8" w14:textId="77777777"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2015.</w:t>
      </w:r>
    </w:p>
  </w:endnote>
  <w:endnote w:id="65">
    <w:p w14:paraId="2109E52B" w14:textId="77777777" w:rsidR="0068666F" w:rsidRPr="00E11D50" w:rsidRDefault="0068666F">
      <w:pPr>
        <w:autoSpaceDE w:val="0"/>
        <w:autoSpaceDN w:val="0"/>
        <w:adjustRightInd w:val="0"/>
        <w:rPr>
          <w:rFonts w:cs="Arial"/>
          <w:color w:val="000000" w:themeColor="text1"/>
          <w:sz w:val="20"/>
          <w:szCs w:val="20"/>
        </w:rPr>
      </w:pPr>
      <w:r w:rsidRPr="00E11D50">
        <w:rPr>
          <w:rStyle w:val="EndnoteReference"/>
          <w:rFonts w:cs="Arial"/>
          <w:color w:val="000000" w:themeColor="text1"/>
          <w:sz w:val="20"/>
          <w:szCs w:val="20"/>
        </w:rPr>
        <w:endnoteRef/>
      </w:r>
      <w:r w:rsidRPr="00E11D50">
        <w:rPr>
          <w:rFonts w:cs="Arial"/>
          <w:color w:val="000000" w:themeColor="text1"/>
          <w:sz w:val="20"/>
          <w:szCs w:val="20"/>
        </w:rPr>
        <w:t xml:space="preserve"> </w:t>
      </w:r>
      <w:r w:rsidRPr="00E11D50">
        <w:rPr>
          <w:rFonts w:eastAsia="Times New Roman" w:cs="Arial"/>
          <w:color w:val="000000" w:themeColor="text1"/>
          <w:sz w:val="20"/>
          <w:szCs w:val="20"/>
        </w:rPr>
        <w:t xml:space="preserve">Australian Institute of Health and Welfare, </w:t>
      </w:r>
      <w:proofErr w:type="spellStart"/>
      <w:r w:rsidRPr="00E11D50">
        <w:rPr>
          <w:rFonts w:eastAsia="Times New Roman" w:cs="Arial"/>
          <w:i/>
          <w:color w:val="000000" w:themeColor="text1"/>
          <w:sz w:val="20"/>
          <w:szCs w:val="20"/>
        </w:rPr>
        <w:t>Birthweight</w:t>
      </w:r>
      <w:proofErr w:type="spellEnd"/>
      <w:r w:rsidRPr="00E11D50">
        <w:rPr>
          <w:rFonts w:eastAsia="Times New Roman" w:cs="Arial"/>
          <w:i/>
          <w:color w:val="000000" w:themeColor="text1"/>
          <w:sz w:val="20"/>
          <w:szCs w:val="20"/>
        </w:rPr>
        <w:t xml:space="preserve"> of babies born to Indigenous mothers</w:t>
      </w:r>
      <w:r w:rsidRPr="00E11D50">
        <w:rPr>
          <w:rFonts w:eastAsia="Times New Roman" w:cs="Arial"/>
          <w:color w:val="000000" w:themeColor="text1"/>
          <w:sz w:val="20"/>
          <w:szCs w:val="20"/>
        </w:rPr>
        <w:t xml:space="preserve">, </w:t>
      </w:r>
      <w:proofErr w:type="spellStart"/>
      <w:r w:rsidRPr="00E11D50">
        <w:rPr>
          <w:rFonts w:cs="Arial"/>
          <w:sz w:val="20"/>
          <w:szCs w:val="20"/>
        </w:rPr>
        <w:t>AIHW</w:t>
      </w:r>
      <w:proofErr w:type="spellEnd"/>
      <w:r w:rsidRPr="00E11D50">
        <w:rPr>
          <w:rFonts w:cs="Arial"/>
          <w:sz w:val="20"/>
          <w:szCs w:val="20"/>
        </w:rPr>
        <w:t xml:space="preserve"> cat. no. </w:t>
      </w:r>
      <w:proofErr w:type="spellStart"/>
      <w:r w:rsidRPr="00E11D50">
        <w:rPr>
          <w:rFonts w:cs="Arial"/>
          <w:sz w:val="20"/>
          <w:szCs w:val="20"/>
        </w:rPr>
        <w:t>IHW</w:t>
      </w:r>
      <w:proofErr w:type="spellEnd"/>
      <w:r w:rsidRPr="00E11D50">
        <w:rPr>
          <w:rFonts w:cs="Arial"/>
          <w:sz w:val="20"/>
          <w:szCs w:val="20"/>
        </w:rPr>
        <w:t xml:space="preserve"> 138, 2014. Available online at: </w:t>
      </w:r>
      <w:hyperlink r:id="rId19" w:history="1">
        <w:r w:rsidRPr="00E11D50">
          <w:rPr>
            <w:rStyle w:val="Hyperlink"/>
            <w:rFonts w:cs="Arial"/>
            <w:sz w:val="20"/>
            <w:szCs w:val="20"/>
          </w:rPr>
          <w:t>http://</w:t>
        </w:r>
        <w:proofErr w:type="spellStart"/>
        <w:r w:rsidRPr="00E11D50">
          <w:rPr>
            <w:rStyle w:val="Hyperlink"/>
            <w:rFonts w:cs="Arial"/>
            <w:sz w:val="20"/>
            <w:szCs w:val="20"/>
          </w:rPr>
          <w:t>www.aihw.gov.au</w:t>
        </w:r>
        <w:proofErr w:type="spellEnd"/>
        <w:r w:rsidRPr="00E11D50">
          <w:rPr>
            <w:rStyle w:val="Hyperlink"/>
            <w:rFonts w:cs="Arial"/>
            <w:sz w:val="20"/>
            <w:szCs w:val="20"/>
          </w:rPr>
          <w:t>/publication-detail/?id=60129548202</w:t>
        </w:r>
      </w:hyperlink>
      <w:r w:rsidRPr="00E11D50">
        <w:rPr>
          <w:rFonts w:cs="Arial"/>
          <w:sz w:val="20"/>
          <w:szCs w:val="20"/>
        </w:rPr>
        <w:t>. [Verified 20 August 2015].</w:t>
      </w:r>
    </w:p>
  </w:endnote>
  <w:endnote w:id="66">
    <w:p w14:paraId="13A96CF4" w14:textId="77777777" w:rsidR="0068666F" w:rsidRPr="00E11D50" w:rsidRDefault="0068666F">
      <w:pPr>
        <w:autoSpaceDE w:val="0"/>
        <w:autoSpaceDN w:val="0"/>
        <w:adjustRightInd w:val="0"/>
        <w:rPr>
          <w:rFonts w:cs="Arial"/>
          <w:color w:val="000000" w:themeColor="text1"/>
          <w:sz w:val="20"/>
          <w:szCs w:val="20"/>
        </w:rPr>
      </w:pPr>
      <w:r w:rsidRPr="00E11D50">
        <w:rPr>
          <w:rStyle w:val="EndnoteReference"/>
          <w:rFonts w:cs="Arial"/>
          <w:color w:val="000000" w:themeColor="text1"/>
          <w:sz w:val="20"/>
          <w:szCs w:val="20"/>
        </w:rPr>
        <w:endnoteRef/>
      </w:r>
      <w:r w:rsidRPr="00E11D50">
        <w:rPr>
          <w:rFonts w:cs="Arial"/>
          <w:color w:val="000000" w:themeColor="text1"/>
          <w:sz w:val="20"/>
          <w:szCs w:val="20"/>
        </w:rPr>
        <w:t xml:space="preserve"> </w:t>
      </w:r>
      <w:r w:rsidRPr="00E11D50">
        <w:rPr>
          <w:rFonts w:eastAsia="Times New Roman" w:cs="Arial"/>
          <w:color w:val="000000" w:themeColor="text1"/>
          <w:sz w:val="20"/>
          <w:szCs w:val="20"/>
        </w:rPr>
        <w:t xml:space="preserve">Australian Institute of Health and Welfare, </w:t>
      </w:r>
      <w:proofErr w:type="spellStart"/>
      <w:r w:rsidRPr="00E11D50">
        <w:rPr>
          <w:rFonts w:eastAsia="Times New Roman" w:cs="Arial"/>
          <w:i/>
          <w:color w:val="000000" w:themeColor="text1"/>
          <w:sz w:val="20"/>
          <w:szCs w:val="20"/>
        </w:rPr>
        <w:t>Birthweight</w:t>
      </w:r>
      <w:proofErr w:type="spellEnd"/>
      <w:r w:rsidRPr="00E11D50">
        <w:rPr>
          <w:rFonts w:eastAsia="Times New Roman" w:cs="Arial"/>
          <w:i/>
          <w:color w:val="000000" w:themeColor="text1"/>
          <w:sz w:val="20"/>
          <w:szCs w:val="20"/>
        </w:rPr>
        <w:t xml:space="preserve"> of babies born to Indigenous mothers</w:t>
      </w:r>
      <w:r w:rsidRPr="00E11D50">
        <w:rPr>
          <w:rFonts w:eastAsia="Times New Roman" w:cs="Arial"/>
          <w:color w:val="000000" w:themeColor="text1"/>
          <w:sz w:val="20"/>
          <w:szCs w:val="20"/>
        </w:rPr>
        <w:t xml:space="preserve">, </w:t>
      </w:r>
      <w:proofErr w:type="spellStart"/>
      <w:r w:rsidRPr="00E11D50">
        <w:rPr>
          <w:rFonts w:cs="Arial"/>
          <w:sz w:val="20"/>
          <w:szCs w:val="20"/>
        </w:rPr>
        <w:t>AIHW</w:t>
      </w:r>
      <w:proofErr w:type="spellEnd"/>
      <w:r w:rsidRPr="00E11D50">
        <w:rPr>
          <w:rFonts w:cs="Arial"/>
          <w:sz w:val="20"/>
          <w:szCs w:val="20"/>
        </w:rPr>
        <w:t xml:space="preserve"> cat. no. </w:t>
      </w:r>
      <w:proofErr w:type="spellStart"/>
      <w:r w:rsidRPr="00E11D50">
        <w:rPr>
          <w:rFonts w:cs="Arial"/>
          <w:sz w:val="20"/>
          <w:szCs w:val="20"/>
        </w:rPr>
        <w:t>IHW</w:t>
      </w:r>
      <w:proofErr w:type="spellEnd"/>
      <w:r w:rsidRPr="00E11D50">
        <w:rPr>
          <w:rFonts w:cs="Arial"/>
          <w:sz w:val="20"/>
          <w:szCs w:val="20"/>
        </w:rPr>
        <w:t xml:space="preserve"> 138, 2014. Available online at: </w:t>
      </w:r>
      <w:hyperlink r:id="rId20" w:history="1">
        <w:r w:rsidRPr="00E11D50">
          <w:rPr>
            <w:rStyle w:val="Hyperlink"/>
            <w:rFonts w:cs="Arial"/>
            <w:sz w:val="20"/>
            <w:szCs w:val="20"/>
          </w:rPr>
          <w:t>http://</w:t>
        </w:r>
        <w:proofErr w:type="spellStart"/>
        <w:r w:rsidRPr="00E11D50">
          <w:rPr>
            <w:rStyle w:val="Hyperlink"/>
            <w:rFonts w:cs="Arial"/>
            <w:sz w:val="20"/>
            <w:szCs w:val="20"/>
          </w:rPr>
          <w:t>www.aihw.gov.au</w:t>
        </w:r>
        <w:proofErr w:type="spellEnd"/>
        <w:r w:rsidRPr="00E11D50">
          <w:rPr>
            <w:rStyle w:val="Hyperlink"/>
            <w:rFonts w:cs="Arial"/>
            <w:sz w:val="20"/>
            <w:szCs w:val="20"/>
          </w:rPr>
          <w:t>/publication-detail/?id=60129548202</w:t>
        </w:r>
      </w:hyperlink>
      <w:r w:rsidRPr="00E11D50">
        <w:rPr>
          <w:rFonts w:cs="Arial"/>
          <w:sz w:val="20"/>
          <w:szCs w:val="20"/>
        </w:rPr>
        <w:t>. [Verified 20 August 2015].</w:t>
      </w:r>
    </w:p>
  </w:endnote>
  <w:endnote w:id="67">
    <w:p w14:paraId="65C5874F" w14:textId="77777777" w:rsidR="0068666F" w:rsidRPr="00E11D50" w:rsidRDefault="0068666F">
      <w:pPr>
        <w:autoSpaceDE w:val="0"/>
        <w:autoSpaceDN w:val="0"/>
        <w:adjustRightInd w:val="0"/>
        <w:rPr>
          <w:rFonts w:cs="Arial"/>
          <w:color w:val="000000" w:themeColor="text1"/>
          <w:sz w:val="20"/>
          <w:szCs w:val="20"/>
        </w:rPr>
      </w:pPr>
      <w:r w:rsidRPr="00E11D50">
        <w:rPr>
          <w:rStyle w:val="EndnoteReference"/>
          <w:rFonts w:cs="Arial"/>
          <w:color w:val="000000" w:themeColor="text1"/>
          <w:sz w:val="20"/>
          <w:szCs w:val="20"/>
        </w:rPr>
        <w:endnoteRef/>
      </w:r>
      <w:r w:rsidRPr="00E11D50">
        <w:rPr>
          <w:rFonts w:cs="Arial"/>
          <w:color w:val="000000" w:themeColor="text1"/>
          <w:sz w:val="20"/>
          <w:szCs w:val="20"/>
        </w:rPr>
        <w:t xml:space="preserve"> </w:t>
      </w:r>
      <w:r w:rsidRPr="00E11D50">
        <w:rPr>
          <w:rFonts w:eastAsia="Times New Roman" w:cs="Arial"/>
          <w:color w:val="000000" w:themeColor="text1"/>
          <w:sz w:val="20"/>
          <w:szCs w:val="20"/>
        </w:rPr>
        <w:t xml:space="preserve">Australian Institute of Health and Welfare, </w:t>
      </w:r>
      <w:proofErr w:type="spellStart"/>
      <w:r w:rsidRPr="00E11D50">
        <w:rPr>
          <w:rFonts w:eastAsia="Times New Roman" w:cs="Arial"/>
          <w:i/>
          <w:color w:val="000000" w:themeColor="text1"/>
          <w:sz w:val="20"/>
          <w:szCs w:val="20"/>
        </w:rPr>
        <w:t>Birthweight</w:t>
      </w:r>
      <w:proofErr w:type="spellEnd"/>
      <w:r w:rsidRPr="00E11D50">
        <w:rPr>
          <w:rFonts w:eastAsia="Times New Roman" w:cs="Arial"/>
          <w:i/>
          <w:color w:val="000000" w:themeColor="text1"/>
          <w:sz w:val="20"/>
          <w:szCs w:val="20"/>
        </w:rPr>
        <w:t xml:space="preserve"> of babies born to Indigenous mothers</w:t>
      </w:r>
      <w:r w:rsidRPr="00E11D50">
        <w:rPr>
          <w:rFonts w:eastAsia="Times New Roman" w:cs="Arial"/>
          <w:color w:val="000000" w:themeColor="text1"/>
          <w:sz w:val="20"/>
          <w:szCs w:val="20"/>
        </w:rPr>
        <w:t xml:space="preserve">, </w:t>
      </w:r>
      <w:proofErr w:type="spellStart"/>
      <w:r w:rsidRPr="00E11D50">
        <w:rPr>
          <w:rFonts w:cs="Arial"/>
          <w:sz w:val="20"/>
          <w:szCs w:val="20"/>
        </w:rPr>
        <w:t>AIHW</w:t>
      </w:r>
      <w:proofErr w:type="spellEnd"/>
      <w:r w:rsidRPr="00E11D50">
        <w:rPr>
          <w:rFonts w:cs="Arial"/>
          <w:sz w:val="20"/>
          <w:szCs w:val="20"/>
        </w:rPr>
        <w:t xml:space="preserve"> cat. no. </w:t>
      </w:r>
      <w:proofErr w:type="spellStart"/>
      <w:r w:rsidRPr="00E11D50">
        <w:rPr>
          <w:rFonts w:cs="Arial"/>
          <w:sz w:val="20"/>
          <w:szCs w:val="20"/>
        </w:rPr>
        <w:t>IHW</w:t>
      </w:r>
      <w:proofErr w:type="spellEnd"/>
      <w:r w:rsidRPr="00E11D50">
        <w:rPr>
          <w:rFonts w:cs="Arial"/>
          <w:sz w:val="20"/>
          <w:szCs w:val="20"/>
        </w:rPr>
        <w:t xml:space="preserve"> 138, 2014. Available online at: </w:t>
      </w:r>
      <w:hyperlink r:id="rId21" w:history="1">
        <w:r w:rsidRPr="00E11D50">
          <w:rPr>
            <w:rStyle w:val="Hyperlink"/>
            <w:rFonts w:cs="Arial"/>
            <w:sz w:val="20"/>
            <w:szCs w:val="20"/>
          </w:rPr>
          <w:t>http://</w:t>
        </w:r>
        <w:proofErr w:type="spellStart"/>
        <w:r w:rsidRPr="00E11D50">
          <w:rPr>
            <w:rStyle w:val="Hyperlink"/>
            <w:rFonts w:cs="Arial"/>
            <w:sz w:val="20"/>
            <w:szCs w:val="20"/>
          </w:rPr>
          <w:t>www.aihw.gov.au</w:t>
        </w:r>
        <w:proofErr w:type="spellEnd"/>
        <w:r w:rsidRPr="00E11D50">
          <w:rPr>
            <w:rStyle w:val="Hyperlink"/>
            <w:rFonts w:cs="Arial"/>
            <w:sz w:val="20"/>
            <w:szCs w:val="20"/>
          </w:rPr>
          <w:t>/publication-detail/?id=60129548202</w:t>
        </w:r>
      </w:hyperlink>
      <w:r w:rsidRPr="00E11D50">
        <w:rPr>
          <w:rFonts w:cs="Arial"/>
          <w:sz w:val="20"/>
          <w:szCs w:val="20"/>
        </w:rPr>
        <w:t>. [Verified 20 August 2015].</w:t>
      </w:r>
    </w:p>
  </w:endnote>
  <w:endnote w:id="68">
    <w:p w14:paraId="65E4C427" w14:textId="77777777" w:rsidR="0068666F" w:rsidRPr="00E11D50" w:rsidRDefault="0068666F">
      <w:pPr>
        <w:pStyle w:val="NormalWeb"/>
        <w:rPr>
          <w:rFonts w:ascii="Arial" w:hAnsi="Arial" w:cs="Arial"/>
          <w:sz w:val="20"/>
          <w:szCs w:val="20"/>
        </w:rPr>
      </w:pPr>
      <w:r w:rsidRPr="00E11D50">
        <w:rPr>
          <w:rStyle w:val="EndnoteReference"/>
          <w:rFonts w:cs="Arial"/>
          <w:sz w:val="20"/>
          <w:szCs w:val="20"/>
        </w:rPr>
        <w:endnoteRef/>
      </w:r>
      <w:r w:rsidRPr="00E11D50">
        <w:rPr>
          <w:rFonts w:ascii="Arial" w:hAnsi="Arial" w:cs="Arial"/>
          <w:sz w:val="20"/>
          <w:szCs w:val="20"/>
        </w:rPr>
        <w:t xml:space="preserve"> Closing the Gap Clearinghouse, </w:t>
      </w:r>
      <w:r w:rsidRPr="00E11D50">
        <w:rPr>
          <w:rFonts w:ascii="Arial" w:hAnsi="Arial" w:cs="Arial"/>
          <w:i/>
          <w:sz w:val="20"/>
          <w:szCs w:val="20"/>
        </w:rPr>
        <w:t>Fetal alcohol spectrum disorders: a review of interventions for prevention and management in Indigenous Communities</w:t>
      </w:r>
      <w:r w:rsidRPr="00E11D50">
        <w:rPr>
          <w:rFonts w:ascii="Arial" w:hAnsi="Arial" w:cs="Arial"/>
          <w:sz w:val="20"/>
          <w:szCs w:val="20"/>
        </w:rPr>
        <w:t>, Resource sheet no. 36. Australian Institute of Health and Welfare, Australian Institute of Family Studies, Melbourne 2014.</w:t>
      </w:r>
    </w:p>
  </w:endnote>
  <w:endnote w:id="69">
    <w:p w14:paraId="1445FFEF" w14:textId="77777777" w:rsidR="0068666F" w:rsidRPr="00E11D50" w:rsidRDefault="0068666F">
      <w:pPr>
        <w:pStyle w:val="NormalWeb"/>
        <w:rPr>
          <w:rFonts w:ascii="Arial" w:hAnsi="Arial" w:cs="Arial"/>
          <w:sz w:val="20"/>
          <w:szCs w:val="20"/>
        </w:rPr>
      </w:pPr>
      <w:r w:rsidRPr="00E11D50">
        <w:rPr>
          <w:rStyle w:val="EndnoteReference"/>
          <w:rFonts w:cs="Arial"/>
          <w:sz w:val="20"/>
          <w:szCs w:val="20"/>
        </w:rPr>
        <w:endnoteRef/>
      </w:r>
      <w:r w:rsidRPr="00E11D50">
        <w:rPr>
          <w:rFonts w:ascii="Arial" w:hAnsi="Arial" w:cs="Arial"/>
          <w:sz w:val="20"/>
          <w:szCs w:val="20"/>
        </w:rPr>
        <w:t xml:space="preserve"> Closing the Gap Clearinghouse, </w:t>
      </w:r>
      <w:r w:rsidRPr="00E11D50">
        <w:rPr>
          <w:rFonts w:ascii="Arial" w:hAnsi="Arial" w:cs="Arial"/>
          <w:i/>
          <w:sz w:val="20"/>
          <w:szCs w:val="20"/>
        </w:rPr>
        <w:t>Fetal alcohol spectrum disorders: a review of interventions for prevention and management in Indigenous Communities</w:t>
      </w:r>
      <w:r w:rsidRPr="00E11D50">
        <w:rPr>
          <w:rFonts w:ascii="Arial" w:hAnsi="Arial" w:cs="Arial"/>
          <w:sz w:val="20"/>
          <w:szCs w:val="20"/>
        </w:rPr>
        <w:t>, Resource sheet no. 36, Australian Institute of Health and Welfare, Australian Institute of Family Studies, Melbourne 2014.</w:t>
      </w:r>
    </w:p>
  </w:endnote>
  <w:endnote w:id="70">
    <w:p w14:paraId="5C783FA6" w14:textId="4A4A4C03" w:rsidR="0068666F" w:rsidRPr="00E11D50" w:rsidRDefault="0068666F">
      <w:pPr>
        <w:autoSpaceDE w:val="0"/>
        <w:autoSpaceDN w:val="0"/>
        <w:adjustRightInd w:val="0"/>
        <w:rPr>
          <w:rFonts w:cs="Arial"/>
          <w:color w:val="1A1718"/>
          <w:sz w:val="20"/>
          <w:szCs w:val="20"/>
        </w:rPr>
      </w:pPr>
      <w:r w:rsidRPr="00E11D50">
        <w:rPr>
          <w:rStyle w:val="EndnoteReference"/>
          <w:rFonts w:cs="Arial"/>
          <w:sz w:val="20"/>
          <w:szCs w:val="20"/>
        </w:rPr>
        <w:endnoteRef/>
      </w:r>
      <w:r w:rsidRPr="00E11D50">
        <w:rPr>
          <w:rFonts w:cs="Arial"/>
          <w:sz w:val="20"/>
          <w:szCs w:val="20"/>
        </w:rPr>
        <w:t xml:space="preserve"> </w:t>
      </w:r>
      <w:proofErr w:type="spellStart"/>
      <w:r w:rsidRPr="00E11D50">
        <w:rPr>
          <w:rFonts w:cs="Arial"/>
          <w:color w:val="1A1718"/>
          <w:sz w:val="20"/>
          <w:szCs w:val="20"/>
        </w:rPr>
        <w:t>Chudley</w:t>
      </w:r>
      <w:proofErr w:type="spellEnd"/>
      <w:r w:rsidRPr="00E11D50">
        <w:rPr>
          <w:rFonts w:cs="Arial"/>
          <w:color w:val="1A1718"/>
          <w:sz w:val="20"/>
          <w:szCs w:val="20"/>
        </w:rPr>
        <w:t xml:space="preserve"> AE, </w:t>
      </w:r>
      <w:proofErr w:type="spellStart"/>
      <w:r w:rsidRPr="00E11D50">
        <w:rPr>
          <w:rFonts w:cs="Arial"/>
          <w:color w:val="1A1718"/>
          <w:sz w:val="20"/>
          <w:szCs w:val="20"/>
        </w:rPr>
        <w:t>Conry</w:t>
      </w:r>
      <w:proofErr w:type="spellEnd"/>
      <w:r w:rsidRPr="00E11D50">
        <w:rPr>
          <w:rFonts w:cs="Arial"/>
          <w:color w:val="1A1718"/>
          <w:sz w:val="20"/>
          <w:szCs w:val="20"/>
        </w:rPr>
        <w:t xml:space="preserve"> J, Cook J</w:t>
      </w:r>
      <w:r>
        <w:rPr>
          <w:rFonts w:cs="Arial"/>
          <w:color w:val="1A1718"/>
          <w:sz w:val="20"/>
          <w:szCs w:val="20"/>
        </w:rPr>
        <w:t xml:space="preserve"> </w:t>
      </w:r>
      <w:r w:rsidRPr="00E11D50">
        <w:rPr>
          <w:rFonts w:cs="Arial"/>
          <w:color w:val="1A1718"/>
          <w:sz w:val="20"/>
          <w:szCs w:val="20"/>
        </w:rPr>
        <w:t>L</w:t>
      </w:r>
      <w:r>
        <w:rPr>
          <w:rFonts w:cs="Arial"/>
          <w:color w:val="1A1718"/>
          <w:sz w:val="20"/>
          <w:szCs w:val="20"/>
        </w:rPr>
        <w:t>,</w:t>
      </w:r>
      <w:r w:rsidRPr="00E11D50">
        <w:rPr>
          <w:rFonts w:cs="Arial"/>
          <w:color w:val="1A1718"/>
          <w:sz w:val="20"/>
          <w:szCs w:val="20"/>
        </w:rPr>
        <w:t xml:space="preserve"> et al. </w:t>
      </w:r>
      <w:r w:rsidRPr="00E11D50">
        <w:rPr>
          <w:rFonts w:cs="Arial"/>
          <w:i/>
          <w:color w:val="1A1718"/>
          <w:sz w:val="20"/>
          <w:szCs w:val="20"/>
        </w:rPr>
        <w:t>Fetal alcohol spectrum disorder: Canadian guidelines for diagnosis</w:t>
      </w:r>
      <w:r w:rsidRPr="00E11D50">
        <w:rPr>
          <w:rFonts w:cs="Arial"/>
          <w:color w:val="1A1718"/>
          <w:sz w:val="20"/>
          <w:szCs w:val="20"/>
        </w:rPr>
        <w:t xml:space="preserve">. </w:t>
      </w:r>
      <w:proofErr w:type="spellStart"/>
      <w:r w:rsidRPr="00E11D50">
        <w:rPr>
          <w:rFonts w:cs="Arial"/>
          <w:color w:val="1A1718"/>
          <w:sz w:val="20"/>
          <w:szCs w:val="20"/>
        </w:rPr>
        <w:t>CMAJ</w:t>
      </w:r>
      <w:proofErr w:type="spellEnd"/>
      <w:r w:rsidRPr="00E11D50">
        <w:rPr>
          <w:rFonts w:cs="Arial"/>
          <w:color w:val="1A1718"/>
          <w:sz w:val="20"/>
          <w:szCs w:val="20"/>
        </w:rPr>
        <w:t xml:space="preserve"> 2005; 172 (Suppl. 5): </w:t>
      </w:r>
      <w:proofErr w:type="spellStart"/>
      <w:r w:rsidRPr="00E11D50">
        <w:rPr>
          <w:rFonts w:cs="Arial"/>
          <w:color w:val="1A1718"/>
          <w:sz w:val="20"/>
          <w:szCs w:val="20"/>
        </w:rPr>
        <w:t>S1</w:t>
      </w:r>
      <w:proofErr w:type="spellEnd"/>
      <w:r w:rsidRPr="00E11D50">
        <w:rPr>
          <w:rFonts w:cs="Arial"/>
          <w:color w:val="1A1718"/>
          <w:sz w:val="20"/>
          <w:szCs w:val="20"/>
        </w:rPr>
        <w:t>–21.</w:t>
      </w:r>
    </w:p>
  </w:endnote>
  <w:endnote w:id="71">
    <w:p w14:paraId="0C2EBC9E" w14:textId="745DB734"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proofErr w:type="spellStart"/>
      <w:r w:rsidRPr="00E11D50">
        <w:rPr>
          <w:rFonts w:cs="Arial"/>
          <w:color w:val="1A1718"/>
          <w:lang w:val="en-US"/>
        </w:rPr>
        <w:t>Chudley</w:t>
      </w:r>
      <w:proofErr w:type="spellEnd"/>
      <w:r w:rsidRPr="00E11D50">
        <w:rPr>
          <w:rFonts w:cs="Arial"/>
          <w:color w:val="1A1718"/>
          <w:lang w:val="en-US"/>
        </w:rPr>
        <w:t xml:space="preserve"> AE, </w:t>
      </w:r>
      <w:proofErr w:type="spellStart"/>
      <w:r w:rsidRPr="00E11D50">
        <w:rPr>
          <w:rFonts w:cs="Arial"/>
          <w:color w:val="1A1718"/>
          <w:lang w:val="en-US"/>
        </w:rPr>
        <w:t>Conry</w:t>
      </w:r>
      <w:proofErr w:type="spellEnd"/>
      <w:r w:rsidRPr="00E11D50">
        <w:rPr>
          <w:rFonts w:cs="Arial"/>
          <w:color w:val="1A1718"/>
          <w:lang w:val="en-US"/>
        </w:rPr>
        <w:t xml:space="preserve"> J, Cook J</w:t>
      </w:r>
      <w:r>
        <w:rPr>
          <w:rFonts w:cs="Arial"/>
          <w:color w:val="1A1718"/>
          <w:lang w:val="en-US"/>
        </w:rPr>
        <w:t xml:space="preserve"> </w:t>
      </w:r>
      <w:r w:rsidRPr="00E11D50">
        <w:rPr>
          <w:rFonts w:cs="Arial"/>
          <w:color w:val="1A1718"/>
          <w:lang w:val="en-US"/>
        </w:rPr>
        <w:t>L</w:t>
      </w:r>
      <w:r>
        <w:rPr>
          <w:rFonts w:cs="Arial"/>
          <w:color w:val="1A1718"/>
          <w:lang w:val="en-US"/>
        </w:rPr>
        <w:t>,</w:t>
      </w:r>
      <w:r w:rsidRPr="00E11D50">
        <w:rPr>
          <w:rFonts w:cs="Arial"/>
          <w:color w:val="1A1718"/>
          <w:lang w:val="en-US"/>
        </w:rPr>
        <w:t xml:space="preserve"> et al. </w:t>
      </w:r>
      <w:r w:rsidRPr="00E11D50">
        <w:rPr>
          <w:rFonts w:cs="Arial"/>
          <w:i/>
          <w:color w:val="1A1718"/>
          <w:lang w:val="en-US"/>
        </w:rPr>
        <w:t>Fetal alcohol spectrum disorder: Canadian guidelines for diagnosis</w:t>
      </w:r>
      <w:r w:rsidRPr="00E11D50">
        <w:rPr>
          <w:rFonts w:cs="Arial"/>
          <w:color w:val="1A1718"/>
          <w:lang w:val="en-US"/>
        </w:rPr>
        <w:t xml:space="preserve">. </w:t>
      </w:r>
      <w:proofErr w:type="spellStart"/>
      <w:r w:rsidRPr="00E11D50">
        <w:rPr>
          <w:rFonts w:cs="Arial"/>
          <w:color w:val="1A1718"/>
          <w:lang w:val="en-US"/>
        </w:rPr>
        <w:t>CMAJ</w:t>
      </w:r>
      <w:proofErr w:type="spellEnd"/>
      <w:r w:rsidRPr="00E11D50">
        <w:rPr>
          <w:rFonts w:cs="Arial"/>
          <w:color w:val="1A1718"/>
          <w:lang w:val="en-US"/>
        </w:rPr>
        <w:t xml:space="preserve"> 2005; 172 (Suppl. 5): </w:t>
      </w:r>
      <w:proofErr w:type="spellStart"/>
      <w:r w:rsidRPr="00E11D50">
        <w:rPr>
          <w:rFonts w:cs="Arial"/>
          <w:color w:val="1A1718"/>
          <w:lang w:val="en-US"/>
        </w:rPr>
        <w:t>S1</w:t>
      </w:r>
      <w:proofErr w:type="spellEnd"/>
      <w:r w:rsidRPr="00E11D50">
        <w:rPr>
          <w:rFonts w:cs="Arial"/>
          <w:color w:val="1A1718"/>
          <w:lang w:val="en-US"/>
        </w:rPr>
        <w:t>–21.</w:t>
      </w:r>
    </w:p>
  </w:endnote>
  <w:endnote w:id="72">
    <w:p w14:paraId="7806AFCB" w14:textId="7E2F4A5F" w:rsidR="0068666F" w:rsidRPr="00E11D50" w:rsidRDefault="0068666F">
      <w:pPr>
        <w:autoSpaceDE w:val="0"/>
        <w:autoSpaceDN w:val="0"/>
        <w:adjustRightInd w:val="0"/>
        <w:rPr>
          <w:rFonts w:cs="Arial"/>
          <w:i/>
          <w:color w:val="1A1718"/>
          <w:sz w:val="20"/>
          <w:szCs w:val="20"/>
        </w:rPr>
      </w:pPr>
      <w:r w:rsidRPr="00E11D50">
        <w:rPr>
          <w:rStyle w:val="EndnoteReference"/>
          <w:rFonts w:cs="Arial"/>
          <w:sz w:val="20"/>
          <w:szCs w:val="20"/>
        </w:rPr>
        <w:endnoteRef/>
      </w:r>
      <w:r w:rsidRPr="00E11D50">
        <w:rPr>
          <w:rFonts w:cs="Arial"/>
          <w:sz w:val="20"/>
          <w:szCs w:val="20"/>
        </w:rPr>
        <w:t xml:space="preserve"> </w:t>
      </w:r>
      <w:r w:rsidRPr="00E11D50">
        <w:rPr>
          <w:rFonts w:cs="Arial"/>
          <w:color w:val="1A1718"/>
          <w:sz w:val="20"/>
          <w:szCs w:val="20"/>
        </w:rPr>
        <w:t>Fitzpatrick J, Latimer J, Carter M, Oscar J</w:t>
      </w:r>
      <w:r>
        <w:rPr>
          <w:rFonts w:cs="Arial"/>
          <w:color w:val="1A1718"/>
          <w:sz w:val="20"/>
          <w:szCs w:val="20"/>
        </w:rPr>
        <w:t>,</w:t>
      </w:r>
      <w:r w:rsidRPr="00E11D50">
        <w:rPr>
          <w:rFonts w:cs="Arial"/>
          <w:color w:val="1A1718"/>
          <w:sz w:val="20"/>
          <w:szCs w:val="20"/>
        </w:rPr>
        <w:t xml:space="preserve"> </w:t>
      </w:r>
      <w:r w:rsidRPr="00395891">
        <w:rPr>
          <w:rFonts w:cs="Arial"/>
          <w:color w:val="1A1718"/>
          <w:sz w:val="20"/>
          <w:szCs w:val="20"/>
        </w:rPr>
        <w:t>et al,</w:t>
      </w:r>
      <w:r w:rsidRPr="00E11D50">
        <w:rPr>
          <w:rFonts w:cs="Arial"/>
          <w:color w:val="1A1718"/>
          <w:sz w:val="20"/>
          <w:szCs w:val="20"/>
        </w:rPr>
        <w:t xml:space="preserve"> </w:t>
      </w:r>
      <w:r w:rsidRPr="00E11D50">
        <w:rPr>
          <w:rFonts w:cs="Arial"/>
          <w:i/>
          <w:color w:val="1A1718"/>
          <w:sz w:val="20"/>
          <w:szCs w:val="20"/>
        </w:rPr>
        <w:t>Prevalence of fetal alcohol syndrome in a population-based</w:t>
      </w:r>
    </w:p>
    <w:p w14:paraId="3392FA01" w14:textId="77777777" w:rsidR="0068666F" w:rsidRPr="00E11D50" w:rsidRDefault="0068666F">
      <w:pPr>
        <w:autoSpaceDE w:val="0"/>
        <w:autoSpaceDN w:val="0"/>
        <w:adjustRightInd w:val="0"/>
        <w:rPr>
          <w:rFonts w:cs="Arial"/>
          <w:color w:val="1A1718"/>
          <w:sz w:val="20"/>
          <w:szCs w:val="20"/>
        </w:rPr>
      </w:pPr>
      <w:r w:rsidRPr="00E11D50">
        <w:rPr>
          <w:rFonts w:cs="Arial"/>
          <w:i/>
          <w:color w:val="1A1718"/>
          <w:sz w:val="20"/>
          <w:szCs w:val="20"/>
        </w:rPr>
        <w:t>sample of children living in remote Australia</w:t>
      </w:r>
      <w:r w:rsidRPr="00E11D50">
        <w:rPr>
          <w:rFonts w:cs="Arial"/>
          <w:color w:val="1A1718"/>
          <w:sz w:val="20"/>
          <w:szCs w:val="20"/>
        </w:rPr>
        <w:t xml:space="preserve">: </w:t>
      </w:r>
      <w:r w:rsidRPr="00395891">
        <w:rPr>
          <w:rFonts w:cs="Arial"/>
          <w:i/>
          <w:color w:val="1A1718"/>
          <w:sz w:val="20"/>
          <w:szCs w:val="20"/>
        </w:rPr>
        <w:t xml:space="preserve">The </w:t>
      </w:r>
      <w:proofErr w:type="spellStart"/>
      <w:r w:rsidRPr="00395891">
        <w:rPr>
          <w:rFonts w:cs="Arial"/>
          <w:i/>
          <w:color w:val="1A1718"/>
          <w:sz w:val="20"/>
          <w:szCs w:val="20"/>
        </w:rPr>
        <w:t>Lililwan</w:t>
      </w:r>
      <w:proofErr w:type="spellEnd"/>
      <w:r w:rsidRPr="00395891">
        <w:rPr>
          <w:rFonts w:cs="Arial"/>
          <w:i/>
          <w:color w:val="1A1718"/>
          <w:sz w:val="20"/>
          <w:szCs w:val="20"/>
        </w:rPr>
        <w:t xml:space="preserve"> Project</w:t>
      </w:r>
      <w:r w:rsidRPr="00E11D50">
        <w:rPr>
          <w:rFonts w:cs="Arial"/>
          <w:color w:val="1A1718"/>
          <w:sz w:val="20"/>
          <w:szCs w:val="20"/>
        </w:rPr>
        <w:t xml:space="preserve">, Journal of </w:t>
      </w:r>
      <w:proofErr w:type="spellStart"/>
      <w:r w:rsidRPr="00E11D50">
        <w:rPr>
          <w:rFonts w:cs="Arial"/>
          <w:color w:val="1A1718"/>
          <w:sz w:val="20"/>
          <w:szCs w:val="20"/>
        </w:rPr>
        <w:t>Paediatrics</w:t>
      </w:r>
      <w:proofErr w:type="spellEnd"/>
      <w:r w:rsidRPr="00E11D50">
        <w:rPr>
          <w:rFonts w:cs="Arial"/>
          <w:color w:val="1A1718"/>
          <w:sz w:val="20"/>
          <w:szCs w:val="20"/>
        </w:rPr>
        <w:t xml:space="preserve"> and Child Health 51 (2015) 450–457.</w:t>
      </w:r>
    </w:p>
  </w:endnote>
  <w:endnote w:id="73">
    <w:p w14:paraId="288DCA90" w14:textId="743707B3" w:rsidR="0068666F" w:rsidRPr="00E11D50" w:rsidRDefault="0068666F">
      <w:pPr>
        <w:autoSpaceDE w:val="0"/>
        <w:autoSpaceDN w:val="0"/>
        <w:adjustRightInd w:val="0"/>
        <w:rPr>
          <w:rFonts w:cs="Arial"/>
          <w:color w:val="1A1718"/>
          <w:sz w:val="20"/>
          <w:szCs w:val="20"/>
        </w:rPr>
      </w:pPr>
      <w:r w:rsidRPr="00E11D50">
        <w:rPr>
          <w:rStyle w:val="EndnoteReference"/>
          <w:rFonts w:cs="Arial"/>
          <w:sz w:val="20"/>
          <w:szCs w:val="20"/>
        </w:rPr>
        <w:endnoteRef/>
      </w:r>
      <w:r w:rsidRPr="00E11D50">
        <w:rPr>
          <w:rFonts w:cs="Arial"/>
          <w:sz w:val="20"/>
          <w:szCs w:val="20"/>
        </w:rPr>
        <w:t xml:space="preserve"> </w:t>
      </w:r>
      <w:r w:rsidRPr="00E11D50">
        <w:rPr>
          <w:rFonts w:cs="Arial"/>
          <w:color w:val="1A1718"/>
          <w:sz w:val="20"/>
          <w:szCs w:val="20"/>
        </w:rPr>
        <w:t>Fitzpatrick J, Latimer J, Carter M, Oscar J</w:t>
      </w:r>
      <w:r>
        <w:rPr>
          <w:rFonts w:cs="Arial"/>
          <w:color w:val="1A1718"/>
          <w:sz w:val="20"/>
          <w:szCs w:val="20"/>
        </w:rPr>
        <w:t>,</w:t>
      </w:r>
      <w:r w:rsidRPr="00E11D50">
        <w:rPr>
          <w:rFonts w:cs="Arial"/>
          <w:color w:val="1A1718"/>
          <w:sz w:val="20"/>
          <w:szCs w:val="20"/>
        </w:rPr>
        <w:t xml:space="preserve"> et al, </w:t>
      </w:r>
      <w:r w:rsidRPr="00E11D50">
        <w:rPr>
          <w:rFonts w:cs="Arial"/>
          <w:i/>
          <w:color w:val="1A1718"/>
          <w:sz w:val="20"/>
          <w:szCs w:val="20"/>
        </w:rPr>
        <w:t>Prevalence of fetal alcohol syndrome in a population-based</w:t>
      </w:r>
    </w:p>
    <w:p w14:paraId="62A0B3C0" w14:textId="77777777" w:rsidR="0068666F" w:rsidRPr="00E11D50" w:rsidRDefault="0068666F" w:rsidP="00162879">
      <w:pPr>
        <w:pStyle w:val="EndnoteText"/>
      </w:pPr>
      <w:r w:rsidRPr="00E11D50">
        <w:rPr>
          <w:i/>
        </w:rPr>
        <w:t>sample of children living in remote Australia</w:t>
      </w:r>
      <w:r w:rsidRPr="00E11D50">
        <w:t xml:space="preserve">: </w:t>
      </w:r>
      <w:r w:rsidRPr="00E11D50">
        <w:rPr>
          <w:i/>
        </w:rPr>
        <w:t xml:space="preserve">The </w:t>
      </w:r>
      <w:proofErr w:type="spellStart"/>
      <w:r w:rsidRPr="00E11D50">
        <w:rPr>
          <w:i/>
        </w:rPr>
        <w:t>Lililwan</w:t>
      </w:r>
      <w:proofErr w:type="spellEnd"/>
      <w:r w:rsidRPr="00E11D50">
        <w:rPr>
          <w:i/>
        </w:rPr>
        <w:t xml:space="preserve"> Project,</w:t>
      </w:r>
      <w:r w:rsidRPr="00E11D50">
        <w:t xml:space="preserve"> Journal of Paediatrics and Child Health 51 (2015) 450–457.</w:t>
      </w:r>
    </w:p>
  </w:endnote>
  <w:endnote w:id="74">
    <w:p w14:paraId="4D9F01EF" w14:textId="4B8DBAD2" w:rsidR="0068666F" w:rsidRPr="00162879" w:rsidRDefault="0068666F" w:rsidP="00162879">
      <w:pPr>
        <w:pStyle w:val="EndnoteText"/>
        <w:rPr>
          <w:i/>
        </w:rPr>
      </w:pPr>
      <w:r w:rsidRPr="00E11D50">
        <w:rPr>
          <w:rStyle w:val="EndnoteReference"/>
          <w:rFonts w:cs="Arial"/>
          <w:sz w:val="20"/>
        </w:rPr>
        <w:endnoteRef/>
      </w:r>
      <w:r w:rsidRPr="00E11D50">
        <w:t xml:space="preserve"> Fitzpatrick J, Latimer J, Carter M, Oscar J</w:t>
      </w:r>
      <w:r>
        <w:t>,</w:t>
      </w:r>
      <w:r w:rsidRPr="00E11D50">
        <w:t xml:space="preserve"> et al, </w:t>
      </w:r>
      <w:r w:rsidRPr="00E11D50">
        <w:rPr>
          <w:i/>
        </w:rPr>
        <w:t xml:space="preserve">Prevalence of </w:t>
      </w:r>
      <w:proofErr w:type="spellStart"/>
      <w:r w:rsidRPr="00E11D50">
        <w:rPr>
          <w:i/>
        </w:rPr>
        <w:t>fetal</w:t>
      </w:r>
      <w:proofErr w:type="spellEnd"/>
      <w:r w:rsidRPr="00E11D50">
        <w:rPr>
          <w:i/>
        </w:rPr>
        <w:t xml:space="preserve"> alcohol syndrome in a population-based</w:t>
      </w:r>
      <w:r>
        <w:rPr>
          <w:i/>
        </w:rPr>
        <w:t xml:space="preserve"> </w:t>
      </w:r>
      <w:r w:rsidRPr="00E11D50">
        <w:rPr>
          <w:i/>
        </w:rPr>
        <w:t xml:space="preserve">sample of children living in remote Australia: The </w:t>
      </w:r>
      <w:proofErr w:type="spellStart"/>
      <w:r w:rsidRPr="00E11D50">
        <w:rPr>
          <w:i/>
        </w:rPr>
        <w:t>Lililwan</w:t>
      </w:r>
      <w:proofErr w:type="spellEnd"/>
      <w:r w:rsidRPr="00E11D50">
        <w:rPr>
          <w:i/>
        </w:rPr>
        <w:t xml:space="preserve"> Project</w:t>
      </w:r>
      <w:r w:rsidRPr="00E11D50">
        <w:t>, Journal of Paediatrics and Child Health 51 (2015) 450–457.</w:t>
      </w:r>
    </w:p>
  </w:endnote>
  <w:endnote w:id="75">
    <w:p w14:paraId="681A0783" w14:textId="667108C5"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Fonts w:cs="Arial"/>
          <w:color w:val="000000"/>
        </w:rPr>
        <w:t xml:space="preserve">p </w:t>
      </w:r>
      <w:r w:rsidRPr="00E11D50">
        <w:rPr>
          <w:rFonts w:cs="Arial"/>
          <w:color w:val="000000"/>
        </w:rPr>
        <w:t>62.</w:t>
      </w:r>
    </w:p>
  </w:endnote>
  <w:endnote w:id="76">
    <w:p w14:paraId="499F16B0" w14:textId="1F98178E"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Fonts w:cs="Arial"/>
          <w:color w:val="000000"/>
        </w:rPr>
        <w:t xml:space="preserve">p </w:t>
      </w:r>
      <w:r w:rsidRPr="00E11D50">
        <w:rPr>
          <w:rFonts w:cs="Arial"/>
          <w:color w:val="000000"/>
        </w:rPr>
        <w:t>62.</w:t>
      </w:r>
    </w:p>
  </w:endnote>
  <w:endnote w:id="77">
    <w:p w14:paraId="77363F91" w14:textId="77777777"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2015.</w:t>
      </w:r>
    </w:p>
  </w:endnote>
  <w:endnote w:id="78">
    <w:p w14:paraId="77319183" w14:textId="45C30ACF"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Fonts w:cs="Arial"/>
          <w:lang w:val="en-US"/>
        </w:rPr>
        <w:t xml:space="preserve">p </w:t>
      </w:r>
      <w:r w:rsidRPr="00E11D50">
        <w:rPr>
          <w:rFonts w:cs="Arial"/>
          <w:lang w:val="en-US"/>
        </w:rPr>
        <w:t>134.</w:t>
      </w:r>
    </w:p>
  </w:endnote>
  <w:endnote w:id="79">
    <w:p w14:paraId="43A847E6" w14:textId="4CC422C7"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2015</w:t>
      </w:r>
      <w:r>
        <w:rPr>
          <w:rFonts w:cs="Arial"/>
          <w:color w:val="000000"/>
        </w:rPr>
        <w:t xml:space="preserve">, </w:t>
      </w:r>
      <w:r>
        <w:rPr>
          <w:rFonts w:cs="Arial"/>
          <w:lang w:val="en-US"/>
        </w:rPr>
        <w:t xml:space="preserve">p </w:t>
      </w:r>
      <w:r w:rsidRPr="00E11D50">
        <w:rPr>
          <w:rFonts w:cs="Arial"/>
          <w:lang w:val="en-US"/>
        </w:rPr>
        <w:t>134.</w:t>
      </w:r>
    </w:p>
  </w:endnote>
  <w:endnote w:id="80">
    <w:p w14:paraId="29DB1F64" w14:textId="427A9DC5"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2015,</w:t>
      </w:r>
      <w:r w:rsidRPr="00E11D50">
        <w:rPr>
          <w:rFonts w:cs="Arial"/>
          <w:lang w:val="en-US"/>
        </w:rPr>
        <w:t xml:space="preserve"> </w:t>
      </w:r>
      <w:r>
        <w:rPr>
          <w:rFonts w:cs="Arial"/>
          <w:lang w:val="en-US"/>
        </w:rPr>
        <w:t xml:space="preserve">p </w:t>
      </w:r>
      <w:r w:rsidRPr="00E11D50">
        <w:rPr>
          <w:rFonts w:cs="Arial"/>
          <w:lang w:val="en-US"/>
        </w:rPr>
        <w:t>134.</w:t>
      </w:r>
    </w:p>
  </w:endnote>
  <w:endnote w:id="81">
    <w:p w14:paraId="56501B30" w14:textId="1FD4836E"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2015,</w:t>
      </w:r>
      <w:r w:rsidRPr="00E11D50">
        <w:rPr>
          <w:rFonts w:cs="Arial"/>
          <w:lang w:val="en-US"/>
        </w:rPr>
        <w:t xml:space="preserve"> </w:t>
      </w:r>
      <w:r>
        <w:rPr>
          <w:rFonts w:cs="Arial"/>
          <w:lang w:val="en-US"/>
        </w:rPr>
        <w:t xml:space="preserve">p </w:t>
      </w:r>
      <w:r w:rsidRPr="00E11D50">
        <w:rPr>
          <w:rFonts w:cs="Arial"/>
          <w:lang w:val="en-US"/>
        </w:rPr>
        <w:t>134.</w:t>
      </w:r>
    </w:p>
  </w:endnote>
  <w:endnote w:id="82">
    <w:p w14:paraId="5A2FF4CD" w14:textId="7FDB2E74"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Bailie J, </w:t>
      </w:r>
      <w:proofErr w:type="spellStart"/>
      <w:r w:rsidRPr="00E11D50">
        <w:rPr>
          <w:rFonts w:cs="Arial"/>
        </w:rPr>
        <w:t>Schierhout</w:t>
      </w:r>
      <w:proofErr w:type="spellEnd"/>
      <w:r w:rsidRPr="00E11D50">
        <w:rPr>
          <w:rFonts w:cs="Arial"/>
        </w:rPr>
        <w:t xml:space="preserve"> G</w:t>
      </w:r>
      <w:r>
        <w:rPr>
          <w:rFonts w:cs="Arial"/>
        </w:rPr>
        <w:t xml:space="preserve"> </w:t>
      </w:r>
      <w:r w:rsidRPr="00E11D50">
        <w:rPr>
          <w:rFonts w:cs="Arial"/>
        </w:rPr>
        <w:t xml:space="preserve">H, </w:t>
      </w:r>
      <w:proofErr w:type="spellStart"/>
      <w:r w:rsidRPr="00E11D50">
        <w:rPr>
          <w:rFonts w:cs="Arial"/>
        </w:rPr>
        <w:t>Kelaher</w:t>
      </w:r>
      <w:proofErr w:type="spellEnd"/>
      <w:r w:rsidRPr="00E11D50">
        <w:rPr>
          <w:rFonts w:cs="Arial"/>
        </w:rPr>
        <w:t xml:space="preserve"> M</w:t>
      </w:r>
      <w:r>
        <w:rPr>
          <w:rFonts w:cs="Arial"/>
        </w:rPr>
        <w:t xml:space="preserve"> </w:t>
      </w:r>
      <w:r w:rsidRPr="00E11D50">
        <w:rPr>
          <w:rFonts w:cs="Arial"/>
        </w:rPr>
        <w:t xml:space="preserve">A, </w:t>
      </w:r>
      <w:r w:rsidRPr="00E11D50">
        <w:rPr>
          <w:rFonts w:cs="Arial"/>
          <w:i/>
        </w:rPr>
        <w:t xml:space="preserve">Follow-up of Indigenous-specific health assessments — a </w:t>
      </w:r>
      <w:proofErr w:type="spellStart"/>
      <w:r w:rsidRPr="00E11D50">
        <w:rPr>
          <w:rFonts w:cs="Arial"/>
          <w:i/>
        </w:rPr>
        <w:t>socioecological</w:t>
      </w:r>
      <w:proofErr w:type="spellEnd"/>
      <w:r w:rsidRPr="00E11D50">
        <w:rPr>
          <w:rFonts w:cs="Arial"/>
          <w:i/>
        </w:rPr>
        <w:t xml:space="preserve"> analysis</w:t>
      </w:r>
      <w:r w:rsidRPr="00E11D50">
        <w:rPr>
          <w:rFonts w:cs="Arial"/>
        </w:rPr>
        <w:t xml:space="preserve">, Med J </w:t>
      </w:r>
      <w:proofErr w:type="spellStart"/>
      <w:r w:rsidRPr="00E11D50">
        <w:rPr>
          <w:rFonts w:cs="Arial"/>
        </w:rPr>
        <w:t>Aust</w:t>
      </w:r>
      <w:proofErr w:type="spellEnd"/>
      <w:r w:rsidRPr="00E11D50">
        <w:rPr>
          <w:rFonts w:cs="Arial"/>
        </w:rPr>
        <w:t xml:space="preserve"> 2014; 200 (11): 653-657. Available online at:</w:t>
      </w:r>
      <w:r w:rsidRPr="00E11D50">
        <w:rPr>
          <w:rFonts w:cs="Arial"/>
          <w:color w:val="535353"/>
        </w:rPr>
        <w:t xml:space="preserve"> </w:t>
      </w:r>
      <w:hyperlink r:id="rId22" w:history="1">
        <w:r w:rsidRPr="00E11D50">
          <w:rPr>
            <w:rStyle w:val="Hyperlink"/>
            <w:rFonts w:cs="Arial"/>
          </w:rPr>
          <w:t>https://www.mja.com.au/journal/2014/200/11/follow-indigenous-specific-health-assessments-socioecological-analysis</w:t>
        </w:r>
      </w:hyperlink>
      <w:r w:rsidRPr="00E11D50">
        <w:rPr>
          <w:rFonts w:cs="Arial"/>
        </w:rPr>
        <w:t>. [Verified 21 December 2015].</w:t>
      </w:r>
    </w:p>
  </w:endnote>
  <w:endnote w:id="83">
    <w:p w14:paraId="7CCF39AE" w14:textId="77777777"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Australian Government, </w:t>
      </w:r>
      <w:r w:rsidRPr="00E11D50">
        <w:rPr>
          <w:rFonts w:cs="Arial"/>
          <w:i/>
        </w:rPr>
        <w:t xml:space="preserve">Closing the Gap – </w:t>
      </w:r>
      <w:proofErr w:type="spellStart"/>
      <w:r w:rsidRPr="00E11D50">
        <w:rPr>
          <w:rFonts w:cs="Arial"/>
          <w:i/>
        </w:rPr>
        <w:t>PBS</w:t>
      </w:r>
      <w:proofErr w:type="spellEnd"/>
      <w:r w:rsidRPr="00E11D50">
        <w:rPr>
          <w:rFonts w:cs="Arial"/>
          <w:i/>
        </w:rPr>
        <w:t xml:space="preserve"> Co-payment Measure</w:t>
      </w:r>
      <w:r w:rsidRPr="00E11D50">
        <w:rPr>
          <w:rFonts w:cs="Arial"/>
        </w:rPr>
        <w:t xml:space="preserve">, 2015. Available online at </w:t>
      </w:r>
      <w:hyperlink r:id="rId23" w:history="1">
        <w:r w:rsidRPr="00E11D50">
          <w:rPr>
            <w:rStyle w:val="Hyperlink"/>
            <w:rFonts w:cs="Arial"/>
          </w:rPr>
          <w:t>http://www.humanservices.gov.au/health-professionals/services/pbs-closing-the-gap-co-payment-measure/</w:t>
        </w:r>
      </w:hyperlink>
      <w:r w:rsidRPr="00E11D50">
        <w:rPr>
          <w:rFonts w:cs="Arial"/>
        </w:rPr>
        <w:t>. [Verified 21 December 2015].</w:t>
      </w:r>
    </w:p>
  </w:endnote>
  <w:endnote w:id="84">
    <w:p w14:paraId="34E4C6EA" w14:textId="6943885B"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2015,</w:t>
      </w:r>
      <w:r w:rsidRPr="00E11D50">
        <w:rPr>
          <w:rFonts w:cs="Arial"/>
          <w:lang w:val="en-US"/>
        </w:rPr>
        <w:t xml:space="preserve"> </w:t>
      </w:r>
      <w:r>
        <w:rPr>
          <w:rFonts w:cs="Arial"/>
          <w:lang w:val="en-US"/>
        </w:rPr>
        <w:t xml:space="preserve">p </w:t>
      </w:r>
      <w:r w:rsidRPr="00E11D50">
        <w:rPr>
          <w:rFonts w:cs="Arial"/>
          <w:lang w:val="en-US"/>
        </w:rPr>
        <w:t>7.</w:t>
      </w:r>
    </w:p>
  </w:endnote>
  <w:endnote w:id="85">
    <w:p w14:paraId="47AFDED7" w14:textId="61529BC9"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2015,</w:t>
      </w:r>
      <w:r w:rsidRPr="00E11D50">
        <w:rPr>
          <w:rFonts w:cs="Arial"/>
          <w:lang w:val="en-US"/>
        </w:rPr>
        <w:t xml:space="preserve"> </w:t>
      </w:r>
      <w:r>
        <w:rPr>
          <w:rFonts w:cs="Arial"/>
          <w:lang w:val="en-US"/>
        </w:rPr>
        <w:t xml:space="preserve">p </w:t>
      </w:r>
      <w:r w:rsidRPr="00E11D50">
        <w:rPr>
          <w:rFonts w:cs="Arial"/>
          <w:lang w:val="en-US"/>
        </w:rPr>
        <w:t>7.</w:t>
      </w:r>
    </w:p>
  </w:endnote>
  <w:endnote w:id="86">
    <w:p w14:paraId="4104C428" w14:textId="77777777"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National Aboriginal Community Controlled Health Organisation, </w:t>
      </w:r>
      <w:proofErr w:type="spellStart"/>
      <w:r w:rsidRPr="00E11D50">
        <w:rPr>
          <w:rFonts w:cs="Arial"/>
          <w:bCs/>
          <w:i/>
          <w:color w:val="1C1C1C"/>
        </w:rPr>
        <w:t>QUMAX</w:t>
      </w:r>
      <w:proofErr w:type="spellEnd"/>
      <w:r w:rsidRPr="00E11D50">
        <w:rPr>
          <w:rFonts w:cs="Arial"/>
          <w:bCs/>
          <w:i/>
          <w:color w:val="1C1C1C"/>
        </w:rPr>
        <w:t xml:space="preserve"> – Quality Use of Medicines Maximised in Aboriginal and Torres Strait Islander Peoples Program</w:t>
      </w:r>
      <w:r w:rsidRPr="00E11D50">
        <w:rPr>
          <w:rFonts w:cs="Arial"/>
          <w:bCs/>
          <w:color w:val="1C1C1C"/>
        </w:rPr>
        <w:t xml:space="preserve">, 2014. Available online at: </w:t>
      </w:r>
      <w:hyperlink r:id="rId24" w:history="1">
        <w:r w:rsidRPr="00E11D50">
          <w:rPr>
            <w:rStyle w:val="Hyperlink"/>
            <w:rFonts w:cs="Arial"/>
          </w:rPr>
          <w:t>http://</w:t>
        </w:r>
        <w:proofErr w:type="spellStart"/>
        <w:r w:rsidRPr="00E11D50">
          <w:rPr>
            <w:rStyle w:val="Hyperlink"/>
            <w:rFonts w:cs="Arial"/>
          </w:rPr>
          <w:t>www.naccho.org.au</w:t>
        </w:r>
        <w:proofErr w:type="spellEnd"/>
        <w:r w:rsidRPr="00E11D50">
          <w:rPr>
            <w:rStyle w:val="Hyperlink"/>
            <w:rFonts w:cs="Arial"/>
          </w:rPr>
          <w:t>/promote-health/</w:t>
        </w:r>
        <w:proofErr w:type="spellStart"/>
        <w:r w:rsidRPr="00E11D50">
          <w:rPr>
            <w:rStyle w:val="Hyperlink"/>
            <w:rFonts w:cs="Arial"/>
          </w:rPr>
          <w:t>qumax</w:t>
        </w:r>
        <w:proofErr w:type="spellEnd"/>
        <w:r w:rsidRPr="00E11D50">
          <w:rPr>
            <w:rStyle w:val="Hyperlink"/>
            <w:rFonts w:cs="Arial"/>
          </w:rPr>
          <w:t>/</w:t>
        </w:r>
      </w:hyperlink>
      <w:r w:rsidRPr="00E11D50">
        <w:rPr>
          <w:rFonts w:cs="Arial"/>
        </w:rPr>
        <w:t>. [Verified 21 December 2015].</w:t>
      </w:r>
    </w:p>
  </w:endnote>
  <w:endnote w:id="87">
    <w:p w14:paraId="6EE61B81" w14:textId="3E8AFAA5"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Australian Government, Remote Area Aboriginal Health Services and the Pharmaceutical Benefits Scheme, 2015. Available online at </w:t>
      </w:r>
      <w:hyperlink r:id="rId25" w:history="1">
        <w:r w:rsidRPr="00E11D50">
          <w:rPr>
            <w:rStyle w:val="Hyperlink"/>
            <w:rFonts w:cs="Arial"/>
          </w:rPr>
          <w:t>http://www.humanservices.gov.au/health-professionals/services/remote-area-aboriginal-health-services-and-the-pbs/</w:t>
        </w:r>
      </w:hyperlink>
      <w:r>
        <w:rPr>
          <w:rFonts w:cs="Arial"/>
        </w:rPr>
        <w:t xml:space="preserve">. </w:t>
      </w:r>
      <w:r w:rsidRPr="00E11D50">
        <w:rPr>
          <w:rFonts w:cs="Arial"/>
        </w:rPr>
        <w:t>[Verified 21 December 2015].</w:t>
      </w:r>
    </w:p>
  </w:endnote>
  <w:endnote w:id="88">
    <w:p w14:paraId="0CBA1010" w14:textId="77777777"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Australian Government, </w:t>
      </w:r>
      <w:r w:rsidRPr="00E11D50">
        <w:rPr>
          <w:rFonts w:cs="Arial"/>
          <w:i/>
        </w:rPr>
        <w:t xml:space="preserve">Closing the Gap – </w:t>
      </w:r>
      <w:proofErr w:type="spellStart"/>
      <w:r w:rsidRPr="00E11D50">
        <w:rPr>
          <w:rFonts w:cs="Arial"/>
          <w:i/>
        </w:rPr>
        <w:t>PBS</w:t>
      </w:r>
      <w:proofErr w:type="spellEnd"/>
      <w:r w:rsidRPr="00E11D50">
        <w:rPr>
          <w:rFonts w:cs="Arial"/>
          <w:i/>
        </w:rPr>
        <w:t xml:space="preserve"> Co-payment Measure</w:t>
      </w:r>
      <w:r w:rsidRPr="00E11D50">
        <w:rPr>
          <w:rFonts w:cs="Arial"/>
        </w:rPr>
        <w:t xml:space="preserve">, 2015. Available online at </w:t>
      </w:r>
      <w:hyperlink r:id="rId26" w:history="1">
        <w:r w:rsidRPr="00E11D50">
          <w:rPr>
            <w:rStyle w:val="Hyperlink"/>
            <w:rFonts w:cs="Arial"/>
          </w:rPr>
          <w:t>http://www.humanservices.gov.au/health-professionals/services/pbs-closing-the-gap-co-payment-measure/</w:t>
        </w:r>
      </w:hyperlink>
      <w:r w:rsidRPr="00E11D50">
        <w:rPr>
          <w:rFonts w:cs="Arial"/>
        </w:rPr>
        <w:t>. [</w:t>
      </w:r>
      <w:proofErr w:type="spellStart"/>
      <w:r w:rsidRPr="00E11D50">
        <w:rPr>
          <w:rFonts w:cs="Arial"/>
        </w:rPr>
        <w:t>Verifie</w:t>
      </w:r>
      <w:proofErr w:type="spellEnd"/>
      <w:r w:rsidRPr="00E11D50">
        <w:rPr>
          <w:rFonts w:cs="Arial"/>
        </w:rPr>
        <w:t xml:space="preserve"> d 21 December 2015].</w:t>
      </w:r>
    </w:p>
  </w:endnote>
  <w:endnote w:id="89">
    <w:p w14:paraId="78C18B90" w14:textId="77777777" w:rsidR="0068666F" w:rsidRPr="00E11D50" w:rsidRDefault="0068666F" w:rsidP="00251ABD">
      <w:pPr>
        <w:pStyle w:val="EndnoteText"/>
        <w:rPr>
          <w:rFonts w:cs="Arial"/>
        </w:rPr>
      </w:pPr>
      <w:r w:rsidRPr="00E11D50">
        <w:rPr>
          <w:rStyle w:val="EndnoteReference"/>
          <w:rFonts w:cs="Arial"/>
          <w:sz w:val="20"/>
        </w:rPr>
        <w:endnoteRef/>
      </w:r>
      <w:r w:rsidRPr="00E11D50">
        <w:rPr>
          <w:rStyle w:val="EndnoteReference"/>
          <w:rFonts w:cs="Arial"/>
          <w:sz w:val="20"/>
        </w:rPr>
        <w:t xml:space="preserve"> </w:t>
      </w:r>
      <w:proofErr w:type="spellStart"/>
      <w:r w:rsidRPr="00E11D50">
        <w:rPr>
          <w:rFonts w:cs="Arial"/>
          <w:color w:val="000000"/>
        </w:rPr>
        <w:t>NACCHO</w:t>
      </w:r>
      <w:proofErr w:type="spellEnd"/>
      <w:r w:rsidRPr="00E11D50">
        <w:rPr>
          <w:rFonts w:cs="Arial"/>
          <w:color w:val="000000"/>
        </w:rPr>
        <w:t xml:space="preserve"> &amp; Australian Pharmacy Guild Joint Paper (2015) </w:t>
      </w:r>
      <w:hyperlink r:id="rId27" w:history="1">
        <w:r w:rsidRPr="00E11D50">
          <w:rPr>
            <w:rStyle w:val="Hyperlink"/>
          </w:rPr>
          <w:t>http://www.guild.org.au/docs/default-source/public-documents/issues-and-resources/20151028-ctg-pbs-copayment-measure-joint-guild-naccho-position-paper.pdf?sfvrsn=0</w:t>
        </w:r>
      </w:hyperlink>
      <w:r>
        <w:rPr>
          <w:rFonts w:cs="Arial"/>
          <w:color w:val="000000"/>
        </w:rPr>
        <w:t>.</w:t>
      </w:r>
    </w:p>
  </w:endnote>
  <w:endnote w:id="90">
    <w:p w14:paraId="7AD9FA69" w14:textId="77777777" w:rsidR="0068666F" w:rsidRPr="00E11D50" w:rsidRDefault="0068666F">
      <w:pPr>
        <w:pStyle w:val="EndnoteText"/>
        <w:rPr>
          <w:rFonts w:cs="Arial"/>
        </w:rPr>
      </w:pPr>
      <w:r w:rsidRPr="00E11D50">
        <w:rPr>
          <w:rStyle w:val="EndnoteReference"/>
          <w:rFonts w:cs="Arial"/>
          <w:sz w:val="20"/>
        </w:rPr>
        <w:endnoteRef/>
      </w:r>
      <w:r w:rsidRPr="00E11D50">
        <w:rPr>
          <w:rFonts w:cs="Arial"/>
        </w:rPr>
        <w:t xml:space="preserve"> </w:t>
      </w:r>
      <w:proofErr w:type="spellStart"/>
      <w:r w:rsidRPr="00E11D50">
        <w:rPr>
          <w:rFonts w:cs="Arial"/>
          <w:color w:val="000000" w:themeColor="text1"/>
        </w:rPr>
        <w:t>COAG</w:t>
      </w:r>
      <w:proofErr w:type="spellEnd"/>
      <w:r w:rsidRPr="00E11D50">
        <w:rPr>
          <w:rFonts w:cs="Arial"/>
          <w:color w:val="000000" w:themeColor="text1"/>
        </w:rPr>
        <w:t xml:space="preserve"> Reform Council, </w:t>
      </w:r>
      <w:r w:rsidRPr="00E11D50">
        <w:rPr>
          <w:rFonts w:cs="Arial"/>
          <w:i/>
          <w:color w:val="000000" w:themeColor="text1"/>
        </w:rPr>
        <w:t>Indigenous Reform 2012-13: Five years of Performance</w:t>
      </w:r>
      <w:r w:rsidRPr="00E11D50">
        <w:rPr>
          <w:rFonts w:cs="Arial"/>
          <w:color w:val="000000" w:themeColor="text1"/>
        </w:rPr>
        <w:t>, 2014</w:t>
      </w:r>
      <w:r w:rsidRPr="00E11D50">
        <w:rPr>
          <w:rFonts w:cs="Arial"/>
          <w:color w:val="000000" w:themeColor="text1"/>
          <w:lang w:val="en-US"/>
        </w:rPr>
        <w:t>.</w:t>
      </w:r>
    </w:p>
  </w:endnote>
  <w:endnote w:id="91">
    <w:p w14:paraId="176891CC" w14:textId="77777777"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proofErr w:type="spellStart"/>
      <w:r w:rsidRPr="00E11D50">
        <w:rPr>
          <w:rFonts w:cs="Arial"/>
        </w:rPr>
        <w:t>Panaretto</w:t>
      </w:r>
      <w:proofErr w:type="spellEnd"/>
      <w:r w:rsidRPr="00E11D50">
        <w:rPr>
          <w:rFonts w:cs="Arial"/>
        </w:rPr>
        <w:t xml:space="preserve"> K, </w:t>
      </w:r>
      <w:proofErr w:type="spellStart"/>
      <w:r w:rsidRPr="00E11D50">
        <w:rPr>
          <w:rFonts w:cs="Arial"/>
        </w:rPr>
        <w:t>Wenitong</w:t>
      </w:r>
      <w:proofErr w:type="spellEnd"/>
      <w:r w:rsidRPr="00E11D50">
        <w:rPr>
          <w:rFonts w:cs="Arial"/>
        </w:rPr>
        <w:t xml:space="preserve"> M, Button S and Ring I, ‘Aboriginal community controlled health services: leading the way in primary care’ (2014) 200(11) </w:t>
      </w:r>
      <w:r w:rsidRPr="00E11D50">
        <w:rPr>
          <w:rFonts w:cs="Arial"/>
          <w:i/>
        </w:rPr>
        <w:t>Medical Journal of Australia,</w:t>
      </w:r>
      <w:r w:rsidRPr="00E11D50">
        <w:rPr>
          <w:rFonts w:cs="Arial"/>
        </w:rPr>
        <w:t xml:space="preserve"> 200 (11) 649.</w:t>
      </w:r>
    </w:p>
  </w:endnote>
  <w:endnote w:id="92">
    <w:p w14:paraId="21ADF822" w14:textId="1744EDDF"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Style w:val="CommentReference"/>
          <w:rFonts w:cs="Arial"/>
          <w:sz w:val="20"/>
          <w:szCs w:val="20"/>
        </w:rPr>
        <w:t>Thompson S</w:t>
      </w:r>
      <w:r>
        <w:rPr>
          <w:rStyle w:val="CommentReference"/>
          <w:rFonts w:cs="Arial"/>
          <w:sz w:val="20"/>
          <w:szCs w:val="20"/>
        </w:rPr>
        <w:t xml:space="preserve"> </w:t>
      </w:r>
      <w:r w:rsidRPr="00E11D50">
        <w:rPr>
          <w:rStyle w:val="CommentReference"/>
          <w:rFonts w:cs="Arial"/>
          <w:sz w:val="20"/>
          <w:szCs w:val="20"/>
        </w:rPr>
        <w:t xml:space="preserve">C, Haynes E, </w:t>
      </w:r>
      <w:proofErr w:type="spellStart"/>
      <w:r w:rsidRPr="00E11D50">
        <w:rPr>
          <w:rStyle w:val="CommentReference"/>
          <w:rFonts w:cs="Arial"/>
          <w:sz w:val="20"/>
          <w:szCs w:val="20"/>
        </w:rPr>
        <w:t>Shahid</w:t>
      </w:r>
      <w:proofErr w:type="spellEnd"/>
      <w:r w:rsidRPr="00E11D50">
        <w:rPr>
          <w:rStyle w:val="CommentReference"/>
          <w:rFonts w:cs="Arial"/>
          <w:sz w:val="20"/>
          <w:szCs w:val="20"/>
        </w:rPr>
        <w:t xml:space="preserve"> S, Woods J</w:t>
      </w:r>
      <w:r>
        <w:rPr>
          <w:rStyle w:val="CommentReference"/>
          <w:rFonts w:cs="Arial"/>
          <w:sz w:val="20"/>
          <w:szCs w:val="20"/>
        </w:rPr>
        <w:t xml:space="preserve"> </w:t>
      </w:r>
      <w:r w:rsidRPr="00E11D50">
        <w:rPr>
          <w:rStyle w:val="CommentReference"/>
          <w:rFonts w:cs="Arial"/>
          <w:sz w:val="20"/>
          <w:szCs w:val="20"/>
        </w:rPr>
        <w:t xml:space="preserve">A, </w:t>
      </w:r>
      <w:proofErr w:type="spellStart"/>
      <w:r w:rsidRPr="00E11D50">
        <w:rPr>
          <w:rStyle w:val="CommentReference"/>
          <w:rFonts w:cs="Arial"/>
          <w:sz w:val="20"/>
          <w:szCs w:val="20"/>
        </w:rPr>
        <w:t>Katzenellengogen</w:t>
      </w:r>
      <w:proofErr w:type="spellEnd"/>
      <w:r w:rsidRPr="00E11D50">
        <w:rPr>
          <w:rStyle w:val="CommentReference"/>
          <w:rFonts w:cs="Arial"/>
          <w:sz w:val="20"/>
          <w:szCs w:val="20"/>
        </w:rPr>
        <w:t xml:space="preserve">, </w:t>
      </w:r>
      <w:proofErr w:type="spellStart"/>
      <w:r w:rsidRPr="00E11D50">
        <w:rPr>
          <w:rStyle w:val="CommentReference"/>
          <w:rFonts w:cs="Arial"/>
          <w:sz w:val="20"/>
          <w:szCs w:val="20"/>
        </w:rPr>
        <w:t>Teng</w:t>
      </w:r>
      <w:proofErr w:type="spellEnd"/>
      <w:r w:rsidRPr="00E11D50">
        <w:rPr>
          <w:rStyle w:val="CommentReference"/>
          <w:rFonts w:cs="Arial"/>
          <w:sz w:val="20"/>
          <w:szCs w:val="20"/>
        </w:rPr>
        <w:t xml:space="preserve"> T-H, Davidson PM and </w:t>
      </w:r>
      <w:proofErr w:type="spellStart"/>
      <w:r w:rsidRPr="00E11D50">
        <w:rPr>
          <w:rStyle w:val="CommentReference"/>
          <w:rFonts w:cs="Arial"/>
          <w:sz w:val="20"/>
          <w:szCs w:val="20"/>
        </w:rPr>
        <w:t>Boxall</w:t>
      </w:r>
      <w:proofErr w:type="spellEnd"/>
      <w:r w:rsidRPr="00E11D50">
        <w:rPr>
          <w:rStyle w:val="CommentReference"/>
          <w:rFonts w:cs="Arial"/>
          <w:sz w:val="20"/>
          <w:szCs w:val="20"/>
        </w:rPr>
        <w:t xml:space="preserve"> A, 'Effectiveness of primary health care for Aboriginal Australians'. Unpublished literature review commissioned by the Australian Government Department of Health, 2013 as cited in Mackey, P, </w:t>
      </w:r>
      <w:proofErr w:type="spellStart"/>
      <w:r w:rsidRPr="00E11D50">
        <w:rPr>
          <w:rStyle w:val="CommentReference"/>
          <w:rFonts w:cs="Arial"/>
          <w:sz w:val="20"/>
          <w:szCs w:val="20"/>
        </w:rPr>
        <w:t>Boxall</w:t>
      </w:r>
      <w:proofErr w:type="spellEnd"/>
      <w:r w:rsidRPr="00E11D50">
        <w:rPr>
          <w:rStyle w:val="CommentReference"/>
          <w:rFonts w:cs="Arial"/>
          <w:sz w:val="20"/>
          <w:szCs w:val="20"/>
        </w:rPr>
        <w:t xml:space="preserve">, A-M, </w:t>
      </w:r>
      <w:proofErr w:type="spellStart"/>
      <w:r w:rsidRPr="00E11D50">
        <w:rPr>
          <w:rStyle w:val="CommentReference"/>
          <w:rFonts w:cs="Arial"/>
          <w:sz w:val="20"/>
          <w:szCs w:val="20"/>
        </w:rPr>
        <w:t>Partel</w:t>
      </w:r>
      <w:proofErr w:type="spellEnd"/>
      <w:r w:rsidRPr="00E11D50">
        <w:rPr>
          <w:rStyle w:val="CommentReference"/>
          <w:rFonts w:cs="Arial"/>
          <w:sz w:val="20"/>
          <w:szCs w:val="20"/>
        </w:rPr>
        <w:t xml:space="preserve"> K (2014) ‘The relative effectiveness of Aboriginal Community Controlled Health Services compared with mainstream health service’, </w:t>
      </w:r>
      <w:proofErr w:type="spellStart"/>
      <w:r w:rsidRPr="00E11D50">
        <w:rPr>
          <w:rStyle w:val="CommentReference"/>
          <w:rFonts w:cs="Arial"/>
          <w:i/>
          <w:sz w:val="20"/>
          <w:szCs w:val="20"/>
        </w:rPr>
        <w:t>Deeble</w:t>
      </w:r>
      <w:proofErr w:type="spellEnd"/>
      <w:r w:rsidRPr="00E11D50">
        <w:rPr>
          <w:rStyle w:val="CommentReference"/>
          <w:rFonts w:cs="Arial"/>
          <w:i/>
          <w:sz w:val="20"/>
          <w:szCs w:val="20"/>
        </w:rPr>
        <w:t xml:space="preserve"> Institute Evidence Brief</w:t>
      </w:r>
      <w:r w:rsidRPr="00E11D50">
        <w:rPr>
          <w:rStyle w:val="CommentReference"/>
          <w:rFonts w:cs="Arial"/>
          <w:sz w:val="20"/>
          <w:szCs w:val="20"/>
        </w:rPr>
        <w:t>, No 12.</w:t>
      </w:r>
    </w:p>
  </w:endnote>
  <w:endnote w:id="93">
    <w:p w14:paraId="2A14EC98" w14:textId="25076FFC"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National Aboriginal Community Controlled Health Organisation, </w:t>
      </w:r>
      <w:r w:rsidRPr="00E11D50">
        <w:rPr>
          <w:rFonts w:cs="Arial"/>
          <w:bCs/>
          <w:i/>
          <w:color w:val="1C1C1C"/>
        </w:rPr>
        <w:t>Definitions,</w:t>
      </w:r>
      <w:r w:rsidRPr="00E11D50">
        <w:rPr>
          <w:rFonts w:cs="Arial"/>
          <w:bCs/>
          <w:color w:val="1C1C1C"/>
        </w:rPr>
        <w:t xml:space="preserve"> 2014. Available online at: </w:t>
      </w:r>
      <w:hyperlink r:id="rId28" w:history="1">
        <w:r w:rsidRPr="00E11D50">
          <w:rPr>
            <w:rStyle w:val="Hyperlink"/>
            <w:rFonts w:cs="Arial"/>
          </w:rPr>
          <w:t>http://</w:t>
        </w:r>
        <w:proofErr w:type="spellStart"/>
        <w:r w:rsidRPr="00E11D50">
          <w:rPr>
            <w:rStyle w:val="Hyperlink"/>
            <w:rFonts w:cs="Arial"/>
          </w:rPr>
          <w:t>www.naccho.org.au</w:t>
        </w:r>
        <w:proofErr w:type="spellEnd"/>
        <w:r w:rsidRPr="00E11D50">
          <w:rPr>
            <w:rStyle w:val="Hyperlink"/>
            <w:rFonts w:cs="Arial"/>
          </w:rPr>
          <w:t>/aboriginal-health/definitions/</w:t>
        </w:r>
      </w:hyperlink>
      <w:r w:rsidRPr="00E11D50">
        <w:rPr>
          <w:rFonts w:cs="Arial"/>
        </w:rPr>
        <w:t>. [Verified 21 December 2015].</w:t>
      </w:r>
    </w:p>
  </w:endnote>
  <w:endnote w:id="94">
    <w:p w14:paraId="7FC55E8E" w14:textId="77777777"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lang w:val="en-US"/>
        </w:rPr>
        <w:t>See: Australian Human Rights Commission, ‘</w:t>
      </w:r>
      <w:r w:rsidRPr="00E11D50">
        <w:rPr>
          <w:rFonts w:cs="Arial"/>
          <w:i/>
          <w:lang w:val="en-US"/>
        </w:rPr>
        <w:t>Right to self-determination’</w:t>
      </w:r>
      <w:r w:rsidRPr="00E11D50">
        <w:rPr>
          <w:rFonts w:cs="Arial"/>
          <w:lang w:val="en-US"/>
        </w:rPr>
        <w:t xml:space="preserve"> (undated). Available online at: </w:t>
      </w:r>
      <w:hyperlink r:id="rId29" w:history="1">
        <w:r w:rsidRPr="00E11D50">
          <w:rPr>
            <w:rStyle w:val="Hyperlink"/>
            <w:rFonts w:eastAsia="Calibri" w:cs="Arial"/>
          </w:rPr>
          <w:t>https://</w:t>
        </w:r>
        <w:proofErr w:type="spellStart"/>
        <w:r w:rsidRPr="00E11D50">
          <w:rPr>
            <w:rStyle w:val="Hyperlink"/>
            <w:rFonts w:eastAsia="Calibri" w:cs="Arial"/>
          </w:rPr>
          <w:t>www.humanrights.gov.au</w:t>
        </w:r>
        <w:proofErr w:type="spellEnd"/>
        <w:r w:rsidRPr="00E11D50">
          <w:rPr>
            <w:rStyle w:val="Hyperlink"/>
            <w:rFonts w:eastAsia="Calibri" w:cs="Arial"/>
          </w:rPr>
          <w:t>/right-self-determination</w:t>
        </w:r>
      </w:hyperlink>
      <w:r w:rsidRPr="00E11D50">
        <w:rPr>
          <w:rFonts w:cs="Arial"/>
          <w:lang w:val="en-US"/>
        </w:rPr>
        <w:t>. [Verified 20 August 2015].</w:t>
      </w:r>
    </w:p>
  </w:endnote>
  <w:endnote w:id="95">
    <w:p w14:paraId="51C95789" w14:textId="5C20AAFA" w:rsidR="0068666F" w:rsidRPr="00E11D50" w:rsidRDefault="0068666F">
      <w:pPr>
        <w:pStyle w:val="EndnoteText"/>
        <w:rPr>
          <w:rFonts w:cs="Arial"/>
        </w:rPr>
      </w:pPr>
      <w:r w:rsidRPr="00E11D50">
        <w:rPr>
          <w:rStyle w:val="EndnoteReference"/>
          <w:rFonts w:cs="Arial"/>
          <w:sz w:val="20"/>
        </w:rPr>
        <w:endnoteRef/>
      </w:r>
      <w:r w:rsidRPr="00E11D50">
        <w:rPr>
          <w:rFonts w:cs="Arial"/>
        </w:rPr>
        <w:t xml:space="preserve"> </w:t>
      </w:r>
      <w:proofErr w:type="spellStart"/>
      <w:r w:rsidRPr="00E11D50">
        <w:rPr>
          <w:rFonts w:cs="Arial"/>
        </w:rPr>
        <w:t>AHMAC</w:t>
      </w:r>
      <w:proofErr w:type="spellEnd"/>
      <w:r w:rsidRPr="00E11D50">
        <w:rPr>
          <w:rFonts w:cs="Arial"/>
        </w:rPr>
        <w:t xml:space="preserve"> Paper (2015) </w:t>
      </w:r>
      <w:hyperlink r:id="rId30" w:history="1">
        <w:r w:rsidRPr="00E11D50">
          <w:rPr>
            <w:rStyle w:val="Hyperlink"/>
            <w:rFonts w:cs="Arial"/>
          </w:rPr>
          <w:t>http://www.ahmrc.org.au/index.php?option=com_content&amp;view=article&amp;id=367:aboriginal-communities-improving-aboriginal-health-report&amp;catid=35:public-health&amp;Itemid=84</w:t>
        </w:r>
      </w:hyperlink>
      <w:r>
        <w:rPr>
          <w:rFonts w:cs="Arial"/>
        </w:rPr>
        <w:t>.</w:t>
      </w:r>
    </w:p>
  </w:endnote>
  <w:endnote w:id="96">
    <w:p w14:paraId="342FF69E" w14:textId="7BE7AEFE" w:rsidR="0068666F" w:rsidRPr="00E11D50" w:rsidRDefault="0068666F">
      <w:pPr>
        <w:pStyle w:val="EndnoteText"/>
        <w:rPr>
          <w:rFonts w:cs="Arial"/>
          <w:lang w:val="en-US"/>
        </w:rPr>
      </w:pPr>
      <w:r w:rsidRPr="00E11D50">
        <w:rPr>
          <w:rStyle w:val="EndnoteReference"/>
          <w:rFonts w:cs="Arial"/>
          <w:sz w:val="20"/>
        </w:rPr>
        <w:endnoteRef/>
      </w:r>
      <w:r>
        <w:rPr>
          <w:rFonts w:cs="Arial"/>
        </w:rPr>
        <w:t xml:space="preserve"> </w:t>
      </w:r>
      <w:r w:rsidRPr="00E11D50">
        <w:rPr>
          <w:rFonts w:cs="Arial"/>
        </w:rPr>
        <w:t xml:space="preserve">Australian Bureau of Statistics, </w:t>
      </w:r>
      <w:r w:rsidRPr="00E11D50">
        <w:rPr>
          <w:rFonts w:cs="Arial"/>
          <w:bCs/>
          <w:i/>
        </w:rPr>
        <w:t>Australian Aboriginal and Torres Strait Islander Health Survey: Users' Guide, 2012-13</w:t>
      </w:r>
      <w:r w:rsidRPr="00E11D50">
        <w:rPr>
          <w:rFonts w:cs="Arial"/>
          <w:bCs/>
        </w:rPr>
        <w:t>, ABS cat. No.</w:t>
      </w:r>
      <w:r w:rsidRPr="00E11D50">
        <w:rPr>
          <w:rFonts w:cs="Arial"/>
        </w:rPr>
        <w:t xml:space="preserve"> </w:t>
      </w:r>
      <w:r w:rsidRPr="00E11D50">
        <w:rPr>
          <w:rFonts w:cs="Arial"/>
          <w:bCs/>
        </w:rPr>
        <w:t>4727.0.55.</w:t>
      </w:r>
      <w:r>
        <w:rPr>
          <w:rFonts w:cs="Arial"/>
          <w:bCs/>
        </w:rPr>
        <w:t>002, 2013. Available online at:</w:t>
      </w:r>
      <w:r w:rsidRPr="00E11D50">
        <w:rPr>
          <w:rFonts w:cs="Arial"/>
          <w:bCs/>
        </w:rPr>
        <w:t xml:space="preserve"> </w:t>
      </w:r>
      <w:hyperlink r:id="rId31" w:history="1">
        <w:r w:rsidRPr="00E11D50">
          <w:rPr>
            <w:rStyle w:val="Hyperlink"/>
            <w:rFonts w:cs="Arial"/>
          </w:rPr>
          <w:t>http://www.abs.gov.au/ausstats/abs@.nsf/Lookup/4454DD168187E303CA257C2F00146279?opendocument</w:t>
        </w:r>
      </w:hyperlink>
      <w:r w:rsidRPr="00E11D50">
        <w:rPr>
          <w:rFonts w:cs="Arial"/>
        </w:rPr>
        <w:t>. [Verified 21 December 2015</w:t>
      </w:r>
      <w:r>
        <w:rPr>
          <w:rFonts w:cs="Arial"/>
        </w:rPr>
        <w:t>].</w:t>
      </w:r>
    </w:p>
  </w:endnote>
  <w:endnote w:id="97">
    <w:p w14:paraId="2F14C8B1" w14:textId="6987EAB1"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Australian Institute of Health and Welfare, </w:t>
      </w:r>
      <w:r w:rsidRPr="00E11D50">
        <w:rPr>
          <w:rFonts w:cs="Arial"/>
          <w:i/>
        </w:rPr>
        <w:t>Aboriginal and Torres Strait Islander health organisations: Online Services Report—key results 2013–14</w:t>
      </w:r>
      <w:r w:rsidRPr="00E11D50">
        <w:rPr>
          <w:rFonts w:cs="Arial"/>
        </w:rPr>
        <w:t xml:space="preserve">. Aboriginal and Torres Strait Islander health services report No. 6. </w:t>
      </w:r>
      <w:proofErr w:type="spellStart"/>
      <w:r w:rsidRPr="00E11D50">
        <w:rPr>
          <w:rFonts w:cs="Arial"/>
        </w:rPr>
        <w:t>IHW</w:t>
      </w:r>
      <w:proofErr w:type="spellEnd"/>
      <w:r w:rsidRPr="00E11D50">
        <w:rPr>
          <w:rFonts w:cs="Arial"/>
        </w:rPr>
        <w:t xml:space="preserve"> 152, Canberra, 2015</w:t>
      </w:r>
      <w:r w:rsidRPr="00E11D50">
        <w:rPr>
          <w:rFonts w:cs="Arial"/>
          <w:lang w:val="en-US"/>
        </w:rPr>
        <w:t xml:space="preserve">, </w:t>
      </w:r>
      <w:r>
        <w:rPr>
          <w:rFonts w:cs="Arial"/>
          <w:lang w:val="en-US"/>
        </w:rPr>
        <w:t xml:space="preserve">p </w:t>
      </w:r>
      <w:r w:rsidRPr="00E11D50">
        <w:rPr>
          <w:rFonts w:cs="Arial"/>
          <w:lang w:val="en-US"/>
        </w:rPr>
        <w:t>23.</w:t>
      </w:r>
    </w:p>
  </w:endnote>
  <w:endnote w:id="98">
    <w:p w14:paraId="4B63F81B" w14:textId="1B270499"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Fonts w:cs="Arial"/>
          <w:color w:val="000000"/>
        </w:rPr>
        <w:t xml:space="preserve">p </w:t>
      </w:r>
      <w:r w:rsidRPr="00E11D50">
        <w:rPr>
          <w:rFonts w:cs="Arial"/>
          <w:color w:val="000000"/>
        </w:rPr>
        <w:t>156.</w:t>
      </w:r>
    </w:p>
  </w:endnote>
  <w:endnote w:id="99">
    <w:p w14:paraId="5531FA6D" w14:textId="5BDBB95D"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Fonts w:cs="Arial"/>
          <w:color w:val="000000"/>
        </w:rPr>
        <w:t xml:space="preserve">p </w:t>
      </w:r>
      <w:r w:rsidRPr="00E11D50">
        <w:rPr>
          <w:rFonts w:cs="Arial"/>
          <w:color w:val="000000"/>
        </w:rPr>
        <w:t>164.</w:t>
      </w:r>
    </w:p>
  </w:endnote>
  <w:endnote w:id="100">
    <w:p w14:paraId="79610089" w14:textId="4BD4D18A"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Fonts w:cs="Arial"/>
          <w:color w:val="000000"/>
        </w:rPr>
        <w:t xml:space="preserve">p </w:t>
      </w:r>
      <w:r w:rsidRPr="00E11D50">
        <w:rPr>
          <w:rFonts w:cs="Arial"/>
          <w:color w:val="000000"/>
        </w:rPr>
        <w:t>164.</w:t>
      </w:r>
    </w:p>
  </w:endnote>
  <w:endnote w:id="101">
    <w:p w14:paraId="195E78EA" w14:textId="0681D522"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Fonts w:cs="Arial"/>
          <w:color w:val="000000"/>
        </w:rPr>
        <w:t xml:space="preserve">p </w:t>
      </w:r>
      <w:r w:rsidRPr="00E11D50">
        <w:rPr>
          <w:rFonts w:cs="Arial"/>
          <w:color w:val="000000"/>
        </w:rPr>
        <w:t>164.</w:t>
      </w:r>
    </w:p>
  </w:endnote>
  <w:endnote w:id="102">
    <w:p w14:paraId="58516746" w14:textId="4531DA29" w:rsidR="0068666F" w:rsidRPr="00E11D50" w:rsidRDefault="0068666F">
      <w:pPr>
        <w:pStyle w:val="EndnoteText"/>
        <w:rPr>
          <w:rFonts w:cs="Arial"/>
        </w:rPr>
      </w:pPr>
      <w:r w:rsidRPr="00E11D50">
        <w:rPr>
          <w:rStyle w:val="EndnoteReference"/>
          <w:rFonts w:cs="Arial"/>
          <w:sz w:val="20"/>
        </w:rPr>
        <w:endnoteRef/>
      </w:r>
      <w:r w:rsidRPr="00E11D50">
        <w:rPr>
          <w:rFonts w:cs="Arial"/>
        </w:rPr>
        <w:t xml:space="preserve"> Australian Bureau of Statistics, </w:t>
      </w:r>
      <w:r w:rsidRPr="00E11D50">
        <w:rPr>
          <w:rFonts w:cs="Arial"/>
          <w:i/>
        </w:rPr>
        <w:t>Estimates of Aboriginal and Torres Strait Islander Australians</w:t>
      </w:r>
      <w:r w:rsidRPr="00E11D50">
        <w:rPr>
          <w:rFonts w:cs="Arial"/>
        </w:rPr>
        <w:t xml:space="preserve">, ABS cat no. 3238.0.55.001, 2011. Available online at: </w:t>
      </w:r>
      <w:hyperlink r:id="rId32" w:history="1">
        <w:r w:rsidRPr="00E11D50">
          <w:rPr>
            <w:rStyle w:val="Hyperlink"/>
            <w:rFonts w:eastAsia="Calibri" w:cs="Arial"/>
          </w:rPr>
          <w:t xml:space="preserve">http://www.abs.gov.au/AUSSTATS/abs@.nsf/Lookup/3238.0.55.001Main+Features1June per cent </w:t>
        </w:r>
        <w:proofErr w:type="spellStart"/>
        <w:r w:rsidRPr="00E11D50">
          <w:rPr>
            <w:rStyle w:val="Hyperlink"/>
            <w:rFonts w:eastAsia="Calibri" w:cs="Arial"/>
          </w:rPr>
          <w:t>202011?OpenDocument</w:t>
        </w:r>
        <w:proofErr w:type="spellEnd"/>
      </w:hyperlink>
      <w:r>
        <w:rPr>
          <w:rFonts w:cs="Arial"/>
        </w:rPr>
        <w:t xml:space="preserve">. </w:t>
      </w:r>
      <w:r w:rsidRPr="00E11D50">
        <w:rPr>
          <w:rFonts w:cs="Arial"/>
        </w:rPr>
        <w:t>[Verified 17/12/13</w:t>
      </w:r>
      <w:r>
        <w:rPr>
          <w:rFonts w:cs="Arial"/>
        </w:rPr>
        <w:t>].</w:t>
      </w:r>
    </w:p>
  </w:endnote>
  <w:endnote w:id="103">
    <w:p w14:paraId="45F3C019" w14:textId="788BB4F0"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Australian Institute of Health and Welfare, </w:t>
      </w:r>
      <w:r w:rsidRPr="00E11D50">
        <w:rPr>
          <w:rFonts w:cs="Arial"/>
          <w:i/>
        </w:rPr>
        <w:t>Aboriginal and Torres Strait Islander health organisations: Online Services Report—key results 2013–14</w:t>
      </w:r>
      <w:r w:rsidRPr="00E11D50">
        <w:rPr>
          <w:rFonts w:cs="Arial"/>
        </w:rPr>
        <w:t xml:space="preserve">. Aboriginal and Torres Strait Islander health services report No. 6. </w:t>
      </w:r>
      <w:proofErr w:type="spellStart"/>
      <w:r w:rsidRPr="00E11D50">
        <w:rPr>
          <w:rFonts w:cs="Arial"/>
        </w:rPr>
        <w:t>IHW</w:t>
      </w:r>
      <w:proofErr w:type="spellEnd"/>
      <w:r w:rsidRPr="00E11D50">
        <w:rPr>
          <w:rFonts w:cs="Arial"/>
        </w:rPr>
        <w:t xml:space="preserve"> 152, Canberra, 2015, </w:t>
      </w:r>
      <w:r>
        <w:rPr>
          <w:rFonts w:cs="Arial"/>
          <w:lang w:val="en-US"/>
        </w:rPr>
        <w:t xml:space="preserve">p </w:t>
      </w:r>
      <w:r w:rsidRPr="00E11D50">
        <w:rPr>
          <w:rFonts w:cs="Arial"/>
          <w:lang w:val="en-US"/>
        </w:rPr>
        <w:t>24.</w:t>
      </w:r>
    </w:p>
  </w:endnote>
  <w:endnote w:id="104">
    <w:p w14:paraId="331D467D" w14:textId="57C1CA73" w:rsidR="0068666F" w:rsidRPr="00E11D50" w:rsidRDefault="0068666F">
      <w:pPr>
        <w:autoSpaceDE w:val="0"/>
        <w:autoSpaceDN w:val="0"/>
        <w:adjustRightInd w:val="0"/>
        <w:rPr>
          <w:rFonts w:cs="Arial"/>
          <w:sz w:val="20"/>
          <w:szCs w:val="20"/>
        </w:rPr>
      </w:pPr>
      <w:r w:rsidRPr="00E11D50">
        <w:rPr>
          <w:rStyle w:val="EndnoteReference"/>
          <w:rFonts w:cs="Arial"/>
          <w:sz w:val="20"/>
          <w:szCs w:val="20"/>
        </w:rPr>
        <w:endnoteRef/>
      </w:r>
      <w:r w:rsidRPr="00E11D50">
        <w:rPr>
          <w:rFonts w:cs="Arial"/>
          <w:sz w:val="20"/>
          <w:szCs w:val="20"/>
        </w:rPr>
        <w:t xml:space="preserve"> Australian Institute of Health and Welfare, </w:t>
      </w:r>
      <w:r w:rsidRPr="00E11D50">
        <w:rPr>
          <w:rFonts w:cs="Arial"/>
          <w:i/>
          <w:sz w:val="20"/>
          <w:szCs w:val="20"/>
        </w:rPr>
        <w:t xml:space="preserve">Aboriginal and Torres Strait Islander health </w:t>
      </w:r>
      <w:proofErr w:type="spellStart"/>
      <w:r w:rsidRPr="00E11D50">
        <w:rPr>
          <w:rFonts w:cs="Arial"/>
          <w:i/>
          <w:sz w:val="20"/>
          <w:szCs w:val="20"/>
        </w:rPr>
        <w:t>organisations</w:t>
      </w:r>
      <w:proofErr w:type="spellEnd"/>
      <w:r w:rsidRPr="00E11D50">
        <w:rPr>
          <w:rFonts w:cs="Arial"/>
          <w:i/>
          <w:sz w:val="20"/>
          <w:szCs w:val="20"/>
        </w:rPr>
        <w:t>: Online Services Report—key results 2013–14</w:t>
      </w:r>
      <w:r w:rsidRPr="00E11D50">
        <w:rPr>
          <w:rFonts w:cs="Arial"/>
          <w:sz w:val="20"/>
          <w:szCs w:val="20"/>
        </w:rPr>
        <w:t xml:space="preserve">. Aboriginal and Torres Strait Islander health services report No. 6. </w:t>
      </w:r>
      <w:proofErr w:type="spellStart"/>
      <w:r w:rsidRPr="00E11D50">
        <w:rPr>
          <w:rFonts w:cs="Arial"/>
          <w:sz w:val="20"/>
          <w:szCs w:val="20"/>
        </w:rPr>
        <w:t>IHW</w:t>
      </w:r>
      <w:proofErr w:type="spellEnd"/>
      <w:r w:rsidRPr="00E11D50">
        <w:rPr>
          <w:rFonts w:cs="Arial"/>
          <w:sz w:val="20"/>
          <w:szCs w:val="20"/>
        </w:rPr>
        <w:t xml:space="preserve"> 152, Canberra, 2015, </w:t>
      </w:r>
      <w:r>
        <w:rPr>
          <w:rFonts w:cs="Arial"/>
          <w:sz w:val="20"/>
          <w:szCs w:val="20"/>
        </w:rPr>
        <w:t xml:space="preserve">p </w:t>
      </w:r>
      <w:r w:rsidRPr="00E11D50">
        <w:rPr>
          <w:rFonts w:cs="Arial"/>
          <w:sz w:val="20"/>
          <w:szCs w:val="20"/>
        </w:rPr>
        <w:t>24.</w:t>
      </w:r>
    </w:p>
  </w:endnote>
  <w:endnote w:id="105">
    <w:p w14:paraId="05260739" w14:textId="1F81ABA5"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Australian Institute of Health and Welfare, </w:t>
      </w:r>
      <w:r w:rsidRPr="00E11D50">
        <w:rPr>
          <w:rFonts w:cs="Arial"/>
          <w:i/>
        </w:rPr>
        <w:t>Aboriginal and Torres Strait Islander health organisations: Online Services Report—key results 2013–14</w:t>
      </w:r>
      <w:r w:rsidRPr="00E11D50">
        <w:rPr>
          <w:rFonts w:cs="Arial"/>
        </w:rPr>
        <w:t xml:space="preserve">. Aboriginal and Torres Strait Islander health services report No. 6. </w:t>
      </w:r>
      <w:proofErr w:type="spellStart"/>
      <w:r w:rsidRPr="00E11D50">
        <w:rPr>
          <w:rFonts w:cs="Arial"/>
        </w:rPr>
        <w:t>IHW</w:t>
      </w:r>
      <w:proofErr w:type="spellEnd"/>
      <w:r w:rsidRPr="00E11D50">
        <w:rPr>
          <w:rFonts w:cs="Arial"/>
        </w:rPr>
        <w:t xml:space="preserve"> 152, Canberra, 2015, </w:t>
      </w:r>
      <w:r>
        <w:rPr>
          <w:rFonts w:cs="Arial"/>
          <w:lang w:val="en-US"/>
        </w:rPr>
        <w:t xml:space="preserve">p </w:t>
      </w:r>
      <w:r w:rsidRPr="00E11D50">
        <w:rPr>
          <w:rFonts w:cs="Arial"/>
          <w:lang w:val="en-US"/>
        </w:rPr>
        <w:t>28.</w:t>
      </w:r>
    </w:p>
  </w:endnote>
  <w:endnote w:id="106">
    <w:p w14:paraId="1EEFD912" w14:textId="0CFE7545"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Australian Bureau of Statistics, </w:t>
      </w:r>
      <w:r w:rsidRPr="00E11D50">
        <w:rPr>
          <w:rFonts w:cs="Arial"/>
          <w:i/>
        </w:rPr>
        <w:t>National Aboriginal and Torres Strait Islander Health Survey 2012-2013 Questionnaire</w:t>
      </w:r>
      <w:r w:rsidRPr="00E11D50">
        <w:rPr>
          <w:rFonts w:cs="Arial"/>
        </w:rPr>
        <w:t xml:space="preserve">. Available online at: </w:t>
      </w:r>
      <w:hyperlink r:id="rId33" w:history="1">
        <w:r w:rsidRPr="00E11D50">
          <w:rPr>
            <w:rStyle w:val="Hyperlink"/>
            <w:rFonts w:cs="Arial"/>
          </w:rPr>
          <w:t>http://www.ausstats.abs.gov.au/Ausstats/subscriber.nsf/0/227124B0B4610FAECA257D4E001722E3/$File/natsihs%202012-13%20questionnaire%20.pdf</w:t>
        </w:r>
      </w:hyperlink>
      <w:r w:rsidRPr="00E11D50">
        <w:rPr>
          <w:rFonts w:cs="Arial"/>
        </w:rPr>
        <w:t>. [Verified 21 December 2015</w:t>
      </w:r>
      <w:r>
        <w:rPr>
          <w:rFonts w:cs="Arial"/>
        </w:rPr>
        <w:t>].</w:t>
      </w:r>
    </w:p>
  </w:endnote>
  <w:endnote w:id="107">
    <w:p w14:paraId="72674654" w14:textId="15617A7B"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Fonts w:cs="Arial"/>
          <w:color w:val="000000"/>
        </w:rPr>
        <w:t xml:space="preserve">p </w:t>
      </w:r>
      <w:r w:rsidRPr="00E11D50">
        <w:rPr>
          <w:rFonts w:cs="Arial"/>
          <w:color w:val="000000"/>
        </w:rPr>
        <w:t>164.</w:t>
      </w:r>
    </w:p>
  </w:endnote>
  <w:endnote w:id="108">
    <w:p w14:paraId="7F01E698" w14:textId="77777777"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Australian Institute of Health and Welfare, </w:t>
      </w:r>
      <w:r w:rsidRPr="00E11D50">
        <w:rPr>
          <w:rFonts w:cs="Arial"/>
          <w:i/>
        </w:rPr>
        <w:t>Aboriginal and Torres Strait Islander health organisations: Online Services Report—key results 2013–14</w:t>
      </w:r>
      <w:r w:rsidRPr="00E11D50">
        <w:rPr>
          <w:rFonts w:cs="Arial"/>
        </w:rPr>
        <w:t xml:space="preserve">. Aboriginal and Torres Strait Islander health services report No. 6. </w:t>
      </w:r>
      <w:proofErr w:type="spellStart"/>
      <w:r w:rsidRPr="00E11D50">
        <w:rPr>
          <w:rFonts w:cs="Arial"/>
        </w:rPr>
        <w:t>IHW</w:t>
      </w:r>
      <w:proofErr w:type="spellEnd"/>
      <w:r w:rsidRPr="00E11D50">
        <w:rPr>
          <w:rFonts w:cs="Arial"/>
        </w:rPr>
        <w:t xml:space="preserve"> 152, Canberra, 2015.</w:t>
      </w:r>
    </w:p>
  </w:endnote>
  <w:endnote w:id="109">
    <w:p w14:paraId="06F84C95" w14:textId="5EEE8DB0"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Fonts w:cs="Arial"/>
          <w:color w:val="000000"/>
        </w:rPr>
        <w:t xml:space="preserve">p </w:t>
      </w:r>
      <w:r w:rsidRPr="00E11D50">
        <w:rPr>
          <w:rFonts w:cs="Arial"/>
          <w:color w:val="000000"/>
        </w:rPr>
        <w:t>164.</w:t>
      </w:r>
    </w:p>
  </w:endnote>
  <w:endnote w:id="110">
    <w:p w14:paraId="7E9EB13D" w14:textId="295F3EC3"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Fonts w:cs="Arial"/>
          <w:color w:val="000000"/>
        </w:rPr>
        <w:t xml:space="preserve">p </w:t>
      </w:r>
      <w:r w:rsidRPr="00E11D50">
        <w:rPr>
          <w:rFonts w:cs="Arial"/>
          <w:color w:val="000000"/>
        </w:rPr>
        <w:t>164.</w:t>
      </w:r>
    </w:p>
  </w:endnote>
  <w:endnote w:id="111">
    <w:p w14:paraId="29026B72" w14:textId="77777777"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Gee G, Dudgeon P, Schultz C, Hart A, and Kelly K, ‘Social and Emotional Wellbeing and Mental Health: An Aboriginal Perspective’, Chapter 4, In Dudgeon, Milroy and Walker (eds.) </w:t>
      </w:r>
      <w:r w:rsidRPr="00E11D50">
        <w:rPr>
          <w:rFonts w:cs="Arial"/>
          <w:i/>
        </w:rPr>
        <w:t>Working Together: Aboriginal and Torres Strait Islander Mental Health and Wellbeing Principles and Practice – Revised Edition</w:t>
      </w:r>
      <w:r w:rsidRPr="00E11D50">
        <w:rPr>
          <w:rFonts w:cs="Arial"/>
        </w:rPr>
        <w:t>, Commonwealth of Australia, Canberra, 2014</w:t>
      </w:r>
      <w:r w:rsidRPr="00E11D50">
        <w:rPr>
          <w:rFonts w:cs="Arial"/>
          <w:lang w:val="en-US"/>
        </w:rPr>
        <w:t>.</w:t>
      </w:r>
    </w:p>
  </w:endnote>
  <w:endnote w:id="112">
    <w:p w14:paraId="5CE0B8AC" w14:textId="4A6646D9"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lang w:val="en-US"/>
        </w:rPr>
        <w:t xml:space="preserve">Australian Institute of Health and Welfare 2015. </w:t>
      </w:r>
      <w:r w:rsidRPr="00E11D50">
        <w:rPr>
          <w:rFonts w:cs="Arial"/>
          <w:i/>
          <w:lang w:val="en-US"/>
        </w:rPr>
        <w:t xml:space="preserve">Aboriginal and Torres Strait Islander health </w:t>
      </w:r>
      <w:proofErr w:type="spellStart"/>
      <w:r w:rsidRPr="00E11D50">
        <w:rPr>
          <w:rFonts w:cs="Arial"/>
          <w:i/>
          <w:lang w:val="en-US"/>
        </w:rPr>
        <w:t>organisations</w:t>
      </w:r>
      <w:proofErr w:type="spellEnd"/>
      <w:r w:rsidRPr="00E11D50">
        <w:rPr>
          <w:rFonts w:cs="Arial"/>
          <w:i/>
          <w:lang w:val="en-US"/>
        </w:rPr>
        <w:t>: Online Services Report—key results 2013–14</w:t>
      </w:r>
      <w:r w:rsidRPr="00E11D50">
        <w:rPr>
          <w:rFonts w:cs="Arial"/>
          <w:lang w:val="en-US"/>
        </w:rPr>
        <w:t xml:space="preserve">. Aboriginal and Torres Strait Islander health services report No. 6. </w:t>
      </w:r>
      <w:proofErr w:type="spellStart"/>
      <w:r w:rsidRPr="00E11D50">
        <w:rPr>
          <w:rFonts w:cs="Arial"/>
          <w:lang w:val="en-US"/>
        </w:rPr>
        <w:t>IHW</w:t>
      </w:r>
      <w:proofErr w:type="spellEnd"/>
      <w:r w:rsidRPr="00E11D50">
        <w:rPr>
          <w:rFonts w:cs="Arial"/>
          <w:lang w:val="en-US"/>
        </w:rPr>
        <w:t xml:space="preserve"> 152. Canberra: </w:t>
      </w:r>
      <w:proofErr w:type="spellStart"/>
      <w:r w:rsidRPr="00E11D50">
        <w:rPr>
          <w:rFonts w:cs="Arial"/>
          <w:lang w:val="en-US"/>
        </w:rPr>
        <w:t>AIHW</w:t>
      </w:r>
      <w:proofErr w:type="spellEnd"/>
      <w:r w:rsidRPr="00E11D50">
        <w:rPr>
          <w:rFonts w:cs="Arial"/>
          <w:lang w:val="en-US"/>
        </w:rPr>
        <w:t>, p</w:t>
      </w:r>
      <w:r>
        <w:rPr>
          <w:rFonts w:cs="Arial"/>
          <w:lang w:val="en-US"/>
        </w:rPr>
        <w:t xml:space="preserve"> </w:t>
      </w:r>
      <w:r w:rsidRPr="00E11D50">
        <w:rPr>
          <w:rFonts w:cs="Arial"/>
          <w:lang w:val="en-US"/>
        </w:rPr>
        <w:t>53, Table 7.2.</w:t>
      </w:r>
    </w:p>
  </w:endnote>
  <w:endnote w:id="113">
    <w:p w14:paraId="34198A88" w14:textId="3BDBE600"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Ley, S (Minister for Health) </w:t>
      </w:r>
      <w:r w:rsidRPr="00E11D50">
        <w:rPr>
          <w:rFonts w:cs="Arial"/>
          <w:i/>
        </w:rPr>
        <w:t xml:space="preserve">Government Confirms Medicare consultation </w:t>
      </w:r>
      <w:r w:rsidRPr="00E11D50">
        <w:rPr>
          <w:rFonts w:cs="Arial"/>
        </w:rPr>
        <w:t xml:space="preserve">(Media Release), 3 March 2015. Available online at: </w:t>
      </w:r>
      <w:hyperlink r:id="rId34" w:history="1">
        <w:r w:rsidRPr="00E11D50">
          <w:rPr>
            <w:rStyle w:val="Hyperlink"/>
            <w:rFonts w:cs="Arial"/>
          </w:rPr>
          <w:t>http://www.health.gov.au/internet/ministers/publishing.nsf/Content/223AE2CC4BB4C324CA257DFD0014DDD3/$File/SL013.pdf</w:t>
        </w:r>
      </w:hyperlink>
      <w:r w:rsidRPr="00E11D50">
        <w:rPr>
          <w:rFonts w:cs="Arial"/>
        </w:rPr>
        <w:t>. [Verified 21 December 2015</w:t>
      </w:r>
      <w:r>
        <w:rPr>
          <w:rFonts w:cs="Arial"/>
        </w:rPr>
        <w:t>].</w:t>
      </w:r>
    </w:p>
  </w:endnote>
  <w:endnote w:id="114">
    <w:p w14:paraId="52E45A66" w14:textId="4A160E2E"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Australian Government, </w:t>
      </w:r>
      <w:r w:rsidRPr="00E11D50">
        <w:rPr>
          <w:rFonts w:cs="Arial"/>
          <w:i/>
          <w:color w:val="1A1A1A"/>
        </w:rPr>
        <w:t>2015 Private Health Insurance Premium Round Outcome and Outline of process</w:t>
      </w:r>
      <w:r w:rsidRPr="00E11D50">
        <w:rPr>
          <w:rFonts w:cs="Arial"/>
        </w:rPr>
        <w:t xml:space="preserve">, 13 April 2015. Available online at: </w:t>
      </w:r>
      <w:hyperlink r:id="rId35" w:history="1">
        <w:r w:rsidRPr="00E11D50">
          <w:rPr>
            <w:rStyle w:val="Hyperlink"/>
            <w:rFonts w:cs="Arial"/>
          </w:rPr>
          <w:t>http://www.health.gov.au/internet/main/publishing.nsf/Content/privatehealth-summary-premiumincreases</w:t>
        </w:r>
      </w:hyperlink>
      <w:r w:rsidRPr="00E11D50">
        <w:rPr>
          <w:rFonts w:cs="Arial"/>
        </w:rPr>
        <w:t>. [Verified 21 December 2015</w:t>
      </w:r>
      <w:r>
        <w:rPr>
          <w:rFonts w:cs="Arial"/>
        </w:rPr>
        <w:t>].</w:t>
      </w:r>
    </w:p>
  </w:endnote>
  <w:endnote w:id="115">
    <w:p w14:paraId="1D6CD07A" w14:textId="77BAE896"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Private Healthcare Australia, </w:t>
      </w:r>
      <w:r w:rsidRPr="00E11D50">
        <w:rPr>
          <w:rFonts w:cs="Arial"/>
          <w:bCs/>
          <w:i/>
          <w:color w:val="232323"/>
        </w:rPr>
        <w:t>Understanding Private Health Insurance Premiums</w:t>
      </w:r>
      <w:r w:rsidRPr="00E11D50">
        <w:rPr>
          <w:rFonts w:cs="Arial"/>
          <w:b/>
          <w:bCs/>
          <w:color w:val="232323"/>
        </w:rPr>
        <w:t xml:space="preserve">, </w:t>
      </w:r>
      <w:r w:rsidRPr="00E11D50">
        <w:rPr>
          <w:rFonts w:cs="Arial"/>
          <w:bCs/>
          <w:color w:val="232323"/>
        </w:rPr>
        <w:t>2015. Available online at:</w:t>
      </w:r>
      <w:r w:rsidRPr="00E11D50">
        <w:rPr>
          <w:rFonts w:cs="Arial"/>
          <w:b/>
          <w:bCs/>
          <w:color w:val="232323"/>
        </w:rPr>
        <w:t xml:space="preserve"> </w:t>
      </w:r>
      <w:hyperlink r:id="rId36" w:history="1">
        <w:r w:rsidRPr="00E11D50">
          <w:rPr>
            <w:rStyle w:val="Hyperlink"/>
            <w:rFonts w:cs="Arial"/>
          </w:rPr>
          <w:t>http://www.privatehealthcareaustralia.org.au/have-you-got-private-healthcare/why-private-health-insurance/understanding-private-health-insurance-premiums/</w:t>
        </w:r>
      </w:hyperlink>
      <w:r w:rsidRPr="00E11D50">
        <w:rPr>
          <w:rFonts w:cs="Arial"/>
        </w:rPr>
        <w:t>.</w:t>
      </w:r>
      <w:r>
        <w:rPr>
          <w:rFonts w:cs="Arial"/>
        </w:rPr>
        <w:t xml:space="preserve"> </w:t>
      </w:r>
      <w:r w:rsidRPr="00E11D50">
        <w:rPr>
          <w:rFonts w:cs="Arial"/>
        </w:rPr>
        <w:t>[Verified 21 December 2015].</w:t>
      </w:r>
    </w:p>
  </w:endnote>
  <w:endnote w:id="116">
    <w:p w14:paraId="72868E7E" w14:textId="5F6D52AB" w:rsidR="0068666F" w:rsidRPr="00E11D50" w:rsidRDefault="0068666F">
      <w:pPr>
        <w:pStyle w:val="EndnoteText"/>
        <w:rPr>
          <w:rFonts w:cs="Arial"/>
          <w:lang w:val="en-US"/>
        </w:rPr>
      </w:pPr>
      <w:r w:rsidRPr="00395891">
        <w:rPr>
          <w:rStyle w:val="EndnoteReference"/>
          <w:rFonts w:cs="Arial"/>
          <w:sz w:val="20"/>
        </w:rPr>
        <w:endnoteRef/>
      </w:r>
      <w:r w:rsidRPr="00395891">
        <w:rPr>
          <w:rFonts w:cs="Arial"/>
        </w:rPr>
        <w:t xml:space="preserve"> Harrison C, </w:t>
      </w:r>
      <w:proofErr w:type="spellStart"/>
      <w:r w:rsidRPr="00395891">
        <w:rPr>
          <w:rFonts w:cs="Arial"/>
        </w:rPr>
        <w:t>Bayram</w:t>
      </w:r>
      <w:proofErr w:type="spellEnd"/>
      <w:r w:rsidRPr="00395891">
        <w:rPr>
          <w:rFonts w:cs="Arial"/>
        </w:rPr>
        <w:t xml:space="preserve"> C, Miller G, et al, The cost of freezing general practice, Med J </w:t>
      </w:r>
      <w:proofErr w:type="spellStart"/>
      <w:r w:rsidRPr="00395891">
        <w:rPr>
          <w:rFonts w:cs="Arial"/>
        </w:rPr>
        <w:t>Aust</w:t>
      </w:r>
      <w:proofErr w:type="spellEnd"/>
      <w:r w:rsidRPr="00395891">
        <w:rPr>
          <w:rFonts w:cs="Arial"/>
        </w:rPr>
        <w:t xml:space="preserve"> 2015; 202 (6): 313-316. Available online at:</w:t>
      </w:r>
      <w:r w:rsidRPr="00E11D50">
        <w:rPr>
          <w:rFonts w:cs="Arial"/>
          <w:color w:val="262626"/>
        </w:rPr>
        <w:t xml:space="preserve"> </w:t>
      </w:r>
      <w:hyperlink r:id="rId37" w:history="1">
        <w:r w:rsidRPr="00E11D50">
          <w:rPr>
            <w:rStyle w:val="Hyperlink"/>
            <w:rFonts w:cs="Arial"/>
          </w:rPr>
          <w:t>https://www.mja.com.au/journal/2015/202/6/cost-freezing-general-practice</w:t>
        </w:r>
      </w:hyperlink>
      <w:r>
        <w:rPr>
          <w:rFonts w:cs="Arial"/>
        </w:rPr>
        <w:t>.</w:t>
      </w:r>
    </w:p>
  </w:endnote>
  <w:endnote w:id="117">
    <w:p w14:paraId="2F155E20" w14:textId="7AA510E5" w:rsidR="0068666F" w:rsidRPr="00A4382E" w:rsidRDefault="0068666F">
      <w:pPr>
        <w:pStyle w:val="EndnoteText"/>
        <w:rPr>
          <w:rFonts w:ascii="HelveticaNeueLTPro-Roman" w:hAnsi="HelveticaNeueLTPro-Roman" w:cs="HelveticaNeueLTPro-Roman"/>
          <w:color w:val="000000"/>
          <w:sz w:val="15"/>
          <w:szCs w:val="15"/>
          <w:lang w:val="en-US" w:eastAsia="en-US"/>
        </w:rPr>
      </w:pPr>
      <w:r w:rsidRPr="00A4382E">
        <w:rPr>
          <w:rStyle w:val="EndnoteReference"/>
          <w:rFonts w:cs="Arial"/>
          <w:sz w:val="20"/>
        </w:rPr>
        <w:endnoteRef/>
      </w:r>
      <w:r w:rsidRPr="00A4382E">
        <w:rPr>
          <w:rFonts w:cs="Arial"/>
        </w:rPr>
        <w:t xml:space="preserve"> </w:t>
      </w:r>
      <w:r w:rsidRPr="00A4382E">
        <w:rPr>
          <w:rFonts w:cs="Arial"/>
          <w:color w:val="000000"/>
          <w:lang w:val="en-US" w:eastAsia="en-US"/>
        </w:rPr>
        <w:t>Department Of Health: Primary Health Care Advisory Group (</w:t>
      </w:r>
      <w:proofErr w:type="spellStart"/>
      <w:r w:rsidRPr="00A4382E">
        <w:rPr>
          <w:rFonts w:cs="Arial"/>
          <w:color w:val="000000"/>
          <w:lang w:val="en-US" w:eastAsia="en-US"/>
        </w:rPr>
        <w:t>PHCAG</w:t>
      </w:r>
      <w:proofErr w:type="spellEnd"/>
      <w:r w:rsidRPr="00A4382E">
        <w:rPr>
          <w:rFonts w:cs="Arial"/>
          <w:color w:val="000000"/>
          <w:lang w:val="en-US" w:eastAsia="en-US"/>
        </w:rPr>
        <w:t>)</w:t>
      </w:r>
      <w:r w:rsidRPr="00A4382E">
        <w:rPr>
          <w:rFonts w:cs="Arial"/>
        </w:rPr>
        <w:t xml:space="preserve"> </w:t>
      </w:r>
      <w:hyperlink r:id="rId38" w:history="1">
        <w:r w:rsidRPr="00E11D50">
          <w:rPr>
            <w:rStyle w:val="Hyperlink"/>
            <w:rFonts w:cs="Arial"/>
          </w:rPr>
          <w:t>http://www.health.gov.au/internet/main/publishing.nsf/content/primaryhealthcareadvisorygroup-1</w:t>
        </w:r>
      </w:hyperlink>
      <w:r>
        <w:rPr>
          <w:rFonts w:cs="Arial"/>
        </w:rPr>
        <w:t>.</w:t>
      </w:r>
    </w:p>
  </w:endnote>
  <w:endnote w:id="118">
    <w:p w14:paraId="61C8D042" w14:textId="45645700"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2015,</w:t>
      </w:r>
      <w:r w:rsidRPr="00E11D50">
        <w:rPr>
          <w:rFonts w:cs="Arial"/>
          <w:lang w:val="en-US"/>
        </w:rPr>
        <w:t xml:space="preserve"> </w:t>
      </w:r>
      <w:r>
        <w:rPr>
          <w:rFonts w:cs="Arial"/>
          <w:lang w:val="en-US"/>
        </w:rPr>
        <w:t xml:space="preserve">p </w:t>
      </w:r>
      <w:r w:rsidRPr="00E11D50">
        <w:rPr>
          <w:rFonts w:cs="Arial"/>
          <w:lang w:val="en-US"/>
        </w:rPr>
        <w:t>142.</w:t>
      </w:r>
    </w:p>
  </w:endnote>
  <w:endnote w:id="119">
    <w:p w14:paraId="6FEA5D9F" w14:textId="4D3FAE3D"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2015,</w:t>
      </w:r>
      <w:r w:rsidRPr="00E11D50">
        <w:rPr>
          <w:rFonts w:cs="Arial"/>
          <w:lang w:val="en-US"/>
        </w:rPr>
        <w:t xml:space="preserve"> </w:t>
      </w:r>
      <w:r>
        <w:rPr>
          <w:rFonts w:cs="Arial"/>
          <w:lang w:val="en-US"/>
        </w:rPr>
        <w:t xml:space="preserve">p </w:t>
      </w:r>
      <w:r w:rsidRPr="00E11D50">
        <w:rPr>
          <w:rFonts w:cs="Arial"/>
          <w:lang w:val="en-US"/>
        </w:rPr>
        <w:t>142.</w:t>
      </w:r>
    </w:p>
  </w:endnote>
  <w:endnote w:id="120">
    <w:p w14:paraId="0D16A150" w14:textId="31EBD8E8"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2015,</w:t>
      </w:r>
      <w:r w:rsidRPr="00E11D50">
        <w:rPr>
          <w:rFonts w:cs="Arial"/>
          <w:lang w:val="en-US"/>
        </w:rPr>
        <w:t xml:space="preserve"> </w:t>
      </w:r>
      <w:r>
        <w:rPr>
          <w:rFonts w:cs="Arial"/>
          <w:lang w:val="en-US"/>
        </w:rPr>
        <w:t xml:space="preserve">p </w:t>
      </w:r>
      <w:r w:rsidRPr="00E11D50">
        <w:rPr>
          <w:rFonts w:cs="Arial"/>
          <w:lang w:val="en-US"/>
        </w:rPr>
        <w:t>142.</w:t>
      </w:r>
    </w:p>
  </w:endnote>
  <w:endnote w:id="121">
    <w:p w14:paraId="383739FA" w14:textId="03966A89"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Fonts w:cs="Arial"/>
          <w:lang w:val="en-US"/>
        </w:rPr>
        <w:t xml:space="preserve">p </w:t>
      </w:r>
      <w:r w:rsidRPr="00E11D50">
        <w:rPr>
          <w:rFonts w:cs="Arial"/>
          <w:lang w:val="en-US"/>
        </w:rPr>
        <w:t>142.</w:t>
      </w:r>
    </w:p>
  </w:endnote>
  <w:endnote w:id="122">
    <w:p w14:paraId="39B80356" w14:textId="57DB9058"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Fonts w:cs="Arial"/>
          <w:lang w:val="en-US"/>
        </w:rPr>
        <w:t xml:space="preserve">p </w:t>
      </w:r>
      <w:r w:rsidRPr="00E11D50">
        <w:rPr>
          <w:rFonts w:cs="Arial"/>
          <w:lang w:val="en-US"/>
        </w:rPr>
        <w:t>142.</w:t>
      </w:r>
    </w:p>
  </w:endnote>
  <w:endnote w:id="123">
    <w:p w14:paraId="6364DA13" w14:textId="55748E54"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2015,</w:t>
      </w:r>
      <w:r w:rsidRPr="00E11D50">
        <w:rPr>
          <w:rFonts w:cs="Arial"/>
          <w:lang w:val="en-US"/>
        </w:rPr>
        <w:t xml:space="preserve"> </w:t>
      </w:r>
      <w:r>
        <w:rPr>
          <w:rFonts w:cs="Arial"/>
          <w:lang w:val="en-US"/>
        </w:rPr>
        <w:t xml:space="preserve">p </w:t>
      </w:r>
      <w:r w:rsidRPr="00E11D50">
        <w:rPr>
          <w:rFonts w:cs="Arial"/>
          <w:lang w:val="en-US"/>
        </w:rPr>
        <w:t>142.</w:t>
      </w:r>
    </w:p>
  </w:endnote>
  <w:endnote w:id="124">
    <w:p w14:paraId="2F0EF0F5" w14:textId="517CC0CA"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Fonts w:cs="Arial"/>
          <w:lang w:val="en-US"/>
        </w:rPr>
        <w:t xml:space="preserve">p </w:t>
      </w:r>
      <w:r w:rsidRPr="00E11D50">
        <w:rPr>
          <w:rFonts w:cs="Arial"/>
          <w:lang w:val="en-US"/>
        </w:rPr>
        <w:t>142</w:t>
      </w:r>
    </w:p>
  </w:endnote>
  <w:endnote w:id="125">
    <w:p w14:paraId="6B3EA99D" w14:textId="5CB3329A"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Australian Government, </w:t>
      </w:r>
      <w:r w:rsidRPr="00E11D50">
        <w:rPr>
          <w:rFonts w:cs="Arial"/>
          <w:i/>
        </w:rPr>
        <w:t>National Aboriginal and Torres Strait Islander Health Plan 2013-2023</w:t>
      </w:r>
      <w:r w:rsidRPr="00E11D50">
        <w:rPr>
          <w:rFonts w:cs="Arial"/>
        </w:rPr>
        <w:t>, Commonweal</w:t>
      </w:r>
      <w:r>
        <w:rPr>
          <w:rFonts w:cs="Arial"/>
        </w:rPr>
        <w:t>th of Australia, Canberra, 2013,</w:t>
      </w:r>
      <w:r w:rsidRPr="00E11D50">
        <w:rPr>
          <w:rFonts w:cs="Arial"/>
          <w:lang w:val="en-US"/>
        </w:rPr>
        <w:t xml:space="preserve"> </w:t>
      </w:r>
      <w:r>
        <w:rPr>
          <w:rFonts w:cs="Arial"/>
          <w:lang w:val="en-US"/>
        </w:rPr>
        <w:t xml:space="preserve">p </w:t>
      </w:r>
      <w:r w:rsidRPr="00E11D50">
        <w:rPr>
          <w:rFonts w:cs="Arial"/>
          <w:lang w:val="en-US"/>
        </w:rPr>
        <w:t>8.</w:t>
      </w:r>
    </w:p>
  </w:endnote>
  <w:endnote w:id="126">
    <w:p w14:paraId="5DFDD83B" w14:textId="481A1503" w:rsidR="0068666F" w:rsidRPr="00E11D50" w:rsidRDefault="0068666F" w:rsidP="00040CF1">
      <w:pPr>
        <w:autoSpaceDE w:val="0"/>
        <w:autoSpaceDN w:val="0"/>
        <w:adjustRightInd w:val="0"/>
        <w:rPr>
          <w:rFonts w:cs="Arial"/>
          <w:sz w:val="20"/>
          <w:szCs w:val="20"/>
        </w:rPr>
      </w:pPr>
      <w:r w:rsidRPr="00E11D50">
        <w:rPr>
          <w:rStyle w:val="EndnoteReference"/>
          <w:rFonts w:cs="Arial"/>
          <w:sz w:val="20"/>
          <w:szCs w:val="20"/>
        </w:rPr>
        <w:endnoteRef/>
      </w:r>
      <w:r w:rsidRPr="00E11D50">
        <w:rPr>
          <w:rFonts w:cs="Arial"/>
          <w:sz w:val="20"/>
          <w:szCs w:val="20"/>
        </w:rPr>
        <w:t xml:space="preserve"> </w:t>
      </w:r>
      <w:r w:rsidRPr="00E11D50">
        <w:rPr>
          <w:rFonts w:cs="Arial"/>
          <w:color w:val="262626"/>
          <w:sz w:val="20"/>
          <w:szCs w:val="20"/>
        </w:rPr>
        <w:t xml:space="preserve">Henry B, Houston S, Mooney G, </w:t>
      </w:r>
      <w:r w:rsidRPr="00E11D50">
        <w:rPr>
          <w:rFonts w:cs="Arial"/>
          <w:color w:val="1A1A1A"/>
          <w:sz w:val="20"/>
          <w:szCs w:val="20"/>
        </w:rPr>
        <w:t xml:space="preserve">Institutional racism in Australian healthcare: a plea for decency, </w:t>
      </w:r>
      <w:r w:rsidRPr="00E11D50">
        <w:rPr>
          <w:rFonts w:cs="Arial"/>
          <w:sz w:val="20"/>
          <w:szCs w:val="20"/>
        </w:rPr>
        <w:t xml:space="preserve">Med J </w:t>
      </w:r>
      <w:proofErr w:type="spellStart"/>
      <w:r w:rsidRPr="00E11D50">
        <w:rPr>
          <w:rFonts w:cs="Arial"/>
          <w:sz w:val="20"/>
          <w:szCs w:val="20"/>
        </w:rPr>
        <w:t>Aust</w:t>
      </w:r>
      <w:proofErr w:type="spellEnd"/>
      <w:r w:rsidRPr="00E11D50">
        <w:rPr>
          <w:rFonts w:cs="Arial"/>
          <w:sz w:val="20"/>
          <w:szCs w:val="20"/>
        </w:rPr>
        <w:t xml:space="preserve"> 2004; 180 (10): 517-520. Available online at: </w:t>
      </w:r>
      <w:hyperlink r:id="rId39" w:history="1">
        <w:r w:rsidRPr="00E11D50">
          <w:rPr>
            <w:rStyle w:val="Hyperlink"/>
            <w:rFonts w:cs="Arial"/>
            <w:sz w:val="20"/>
            <w:szCs w:val="20"/>
          </w:rPr>
          <w:t>https://www.mja.com.au/journal/2004/180/10/institutional-racism-australian-healthcare-plea-decency</w:t>
        </w:r>
      </w:hyperlink>
      <w:r w:rsidRPr="00E11D50">
        <w:rPr>
          <w:rFonts w:cs="Arial"/>
          <w:sz w:val="20"/>
          <w:szCs w:val="20"/>
        </w:rPr>
        <w:t>. [Verified 21 December 2015</w:t>
      </w:r>
      <w:r>
        <w:rPr>
          <w:rFonts w:cs="Arial"/>
          <w:sz w:val="20"/>
          <w:szCs w:val="20"/>
        </w:rPr>
        <w:t>].</w:t>
      </w:r>
    </w:p>
  </w:endnote>
  <w:endnote w:id="127">
    <w:p w14:paraId="6E5D345C" w14:textId="76A8AC1B" w:rsidR="0068666F" w:rsidRPr="00E11D50" w:rsidRDefault="0068666F" w:rsidP="00040CF1">
      <w:pPr>
        <w:autoSpaceDE w:val="0"/>
        <w:autoSpaceDN w:val="0"/>
        <w:adjustRightInd w:val="0"/>
        <w:rPr>
          <w:rFonts w:cs="Arial"/>
          <w:sz w:val="20"/>
          <w:szCs w:val="20"/>
        </w:rPr>
      </w:pPr>
      <w:r w:rsidRPr="00E11D50">
        <w:rPr>
          <w:rStyle w:val="EndnoteReference"/>
          <w:rFonts w:cs="Arial"/>
          <w:sz w:val="20"/>
          <w:szCs w:val="20"/>
        </w:rPr>
        <w:endnoteRef/>
      </w:r>
      <w:r w:rsidRPr="00E11D50">
        <w:rPr>
          <w:rFonts w:cs="Arial"/>
          <w:sz w:val="20"/>
          <w:szCs w:val="20"/>
        </w:rPr>
        <w:t xml:space="preserve"> </w:t>
      </w:r>
      <w:r w:rsidRPr="00E11D50">
        <w:rPr>
          <w:rFonts w:eastAsia="Times New Roman" w:cs="Arial"/>
          <w:sz w:val="20"/>
          <w:szCs w:val="20"/>
        </w:rPr>
        <w:t>Britt H, Miller G</w:t>
      </w:r>
      <w:r>
        <w:rPr>
          <w:rFonts w:eastAsia="Times New Roman" w:cs="Arial"/>
          <w:sz w:val="20"/>
          <w:szCs w:val="20"/>
        </w:rPr>
        <w:t xml:space="preserve"> </w:t>
      </w:r>
      <w:r w:rsidRPr="00E11D50">
        <w:rPr>
          <w:rFonts w:eastAsia="Times New Roman" w:cs="Arial"/>
          <w:sz w:val="20"/>
          <w:szCs w:val="20"/>
        </w:rPr>
        <w:t xml:space="preserve">C, Henderson J, et al, </w:t>
      </w:r>
      <w:r w:rsidRPr="00E11D50">
        <w:rPr>
          <w:rFonts w:eastAsia="Times New Roman" w:cs="Arial"/>
          <w:i/>
          <w:sz w:val="20"/>
          <w:szCs w:val="20"/>
        </w:rPr>
        <w:t>A decade of Australian general practice activity 2005–06 to 2014–15</w:t>
      </w:r>
      <w:r w:rsidRPr="00E11D50">
        <w:rPr>
          <w:rFonts w:eastAsia="Times New Roman" w:cs="Arial"/>
          <w:sz w:val="20"/>
          <w:szCs w:val="20"/>
        </w:rPr>
        <w:t xml:space="preserve"> General practice series no. 39, Sydney University Press, Sydney 2015. Available online at: </w:t>
      </w:r>
      <w:proofErr w:type="spellStart"/>
      <w:r w:rsidRPr="00E11D50">
        <w:rPr>
          <w:rStyle w:val="Hyperlink"/>
          <w:sz w:val="20"/>
          <w:szCs w:val="20"/>
        </w:rPr>
        <w:t>purl.library.usyd.edu.au</w:t>
      </w:r>
      <w:proofErr w:type="spellEnd"/>
      <w:r w:rsidRPr="00E11D50">
        <w:rPr>
          <w:rStyle w:val="Hyperlink"/>
          <w:sz w:val="20"/>
          <w:szCs w:val="20"/>
        </w:rPr>
        <w:t>/sup/9781743324547</w:t>
      </w:r>
      <w:r w:rsidRPr="00E11D50">
        <w:rPr>
          <w:rFonts w:eastAsia="Times New Roman" w:cs="Arial"/>
          <w:sz w:val="20"/>
          <w:szCs w:val="20"/>
        </w:rPr>
        <w:t>. [Verified 21 December 2015</w:t>
      </w:r>
      <w:r>
        <w:rPr>
          <w:rFonts w:eastAsia="Times New Roman" w:cs="Arial"/>
          <w:sz w:val="20"/>
          <w:szCs w:val="20"/>
        </w:rPr>
        <w:t>].</w:t>
      </w:r>
    </w:p>
  </w:endnote>
  <w:endnote w:id="128">
    <w:p w14:paraId="08AEA0F7" w14:textId="2E51E70D"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Fonts w:cs="Arial"/>
          <w:lang w:val="en-US"/>
        </w:rPr>
        <w:t xml:space="preserve">p </w:t>
      </w:r>
      <w:r w:rsidRPr="00E11D50">
        <w:rPr>
          <w:rFonts w:cs="Arial"/>
          <w:lang w:val="en-US"/>
        </w:rPr>
        <w:t>138.</w:t>
      </w:r>
    </w:p>
  </w:endnote>
  <w:endnote w:id="129">
    <w:p w14:paraId="2E61DACE" w14:textId="61A9329B"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Fonts w:cs="Arial"/>
          <w:lang w:val="en-US"/>
        </w:rPr>
        <w:t xml:space="preserve">p </w:t>
      </w:r>
      <w:r w:rsidRPr="00E11D50">
        <w:rPr>
          <w:rFonts w:cs="Arial"/>
          <w:lang w:val="en-US"/>
        </w:rPr>
        <w:t>138.</w:t>
      </w:r>
    </w:p>
  </w:endnote>
  <w:endnote w:id="130">
    <w:p w14:paraId="7B13D7B7" w14:textId="102685D0"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Fonts w:cs="Arial"/>
          <w:lang w:val="en-US"/>
        </w:rPr>
        <w:t xml:space="preserve">p </w:t>
      </w:r>
      <w:r w:rsidRPr="00E11D50">
        <w:rPr>
          <w:rFonts w:cs="Arial"/>
          <w:lang w:val="en-US"/>
        </w:rPr>
        <w:t>138.</w:t>
      </w:r>
    </w:p>
  </w:endnote>
  <w:endnote w:id="131">
    <w:p w14:paraId="4347813D" w14:textId="02EADF7C"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Fonts w:cs="Arial"/>
          <w:lang w:val="en-US"/>
        </w:rPr>
        <w:t xml:space="preserve">p </w:t>
      </w:r>
      <w:r w:rsidRPr="00E11D50">
        <w:rPr>
          <w:rFonts w:cs="Arial"/>
          <w:lang w:val="en-US"/>
        </w:rPr>
        <w:t>138.</w:t>
      </w:r>
    </w:p>
  </w:endnote>
  <w:endnote w:id="132">
    <w:p w14:paraId="2935E172" w14:textId="65C1B1E9"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2015,</w:t>
      </w:r>
      <w:r>
        <w:rPr>
          <w:rFonts w:cs="Arial"/>
          <w:lang w:val="en-US"/>
        </w:rPr>
        <w:t xml:space="preserve"> p </w:t>
      </w:r>
      <w:r w:rsidRPr="00E11D50">
        <w:rPr>
          <w:rFonts w:cs="Arial"/>
          <w:lang w:val="en-US"/>
        </w:rPr>
        <w:t>138.</w:t>
      </w:r>
    </w:p>
  </w:endnote>
  <w:endnote w:id="133">
    <w:p w14:paraId="1316958E" w14:textId="47954FFB"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Fonts w:cs="Arial"/>
          <w:lang w:val="en-US"/>
        </w:rPr>
        <w:t xml:space="preserve">p </w:t>
      </w:r>
      <w:r w:rsidRPr="00E11D50">
        <w:rPr>
          <w:rFonts w:cs="Arial"/>
          <w:lang w:val="en-US"/>
        </w:rPr>
        <w:t>142.</w:t>
      </w:r>
    </w:p>
  </w:endnote>
  <w:endnote w:id="134">
    <w:p w14:paraId="64741278" w14:textId="39B5D7DA"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Fonts w:cs="Arial"/>
          <w:lang w:val="en-US"/>
        </w:rPr>
        <w:t xml:space="preserve">p </w:t>
      </w:r>
      <w:r w:rsidRPr="00E11D50">
        <w:rPr>
          <w:rFonts w:cs="Arial"/>
          <w:lang w:val="en-US"/>
        </w:rPr>
        <w:t>142.</w:t>
      </w:r>
    </w:p>
  </w:endnote>
  <w:endnote w:id="135">
    <w:p w14:paraId="53F5740A" w14:textId="57C11335"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Fonts w:cs="Arial"/>
          <w:lang w:val="en-US"/>
        </w:rPr>
        <w:t xml:space="preserve">p </w:t>
      </w:r>
      <w:r w:rsidRPr="00E11D50">
        <w:rPr>
          <w:rFonts w:cs="Arial"/>
          <w:lang w:val="en-US"/>
        </w:rPr>
        <w:t>142.</w:t>
      </w:r>
    </w:p>
  </w:endnote>
  <w:endnote w:id="136">
    <w:p w14:paraId="0A71736F" w14:textId="27FA21E6"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Fonts w:cs="Arial"/>
          <w:lang w:val="en-US"/>
        </w:rPr>
        <w:t xml:space="preserve">p </w:t>
      </w:r>
      <w:r w:rsidRPr="00E11D50">
        <w:rPr>
          <w:rFonts w:cs="Arial"/>
          <w:lang w:val="en-US"/>
        </w:rPr>
        <w:t>138.</w:t>
      </w:r>
    </w:p>
  </w:endnote>
  <w:endnote w:id="137">
    <w:p w14:paraId="3D662DF6" w14:textId="2BEE4311"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Fonts w:cs="Arial"/>
          <w:lang w:val="en-US"/>
        </w:rPr>
        <w:t xml:space="preserve">p </w:t>
      </w:r>
      <w:r w:rsidRPr="00E11D50">
        <w:rPr>
          <w:rFonts w:cs="Arial"/>
          <w:lang w:val="en-US"/>
        </w:rPr>
        <w:t>138.</w:t>
      </w:r>
    </w:p>
  </w:endnote>
  <w:endnote w:id="138">
    <w:p w14:paraId="13FDF888" w14:textId="4598C11A" w:rsidR="0068666F" w:rsidRPr="00E11D50" w:rsidRDefault="0068666F" w:rsidP="00040CF1">
      <w:pPr>
        <w:pStyle w:val="NormalWeb"/>
        <w:rPr>
          <w:rFonts w:ascii="Arial" w:hAnsi="Arial" w:cs="Arial"/>
          <w:sz w:val="20"/>
          <w:szCs w:val="20"/>
        </w:rPr>
      </w:pPr>
      <w:r w:rsidRPr="00E11D50">
        <w:rPr>
          <w:rStyle w:val="EndnoteReference"/>
          <w:rFonts w:cs="Arial"/>
          <w:sz w:val="20"/>
          <w:szCs w:val="20"/>
        </w:rPr>
        <w:endnoteRef/>
      </w:r>
      <w:r w:rsidRPr="00E11D50">
        <w:rPr>
          <w:rFonts w:ascii="Arial" w:hAnsi="Arial" w:cs="Arial"/>
          <w:sz w:val="20"/>
          <w:szCs w:val="20"/>
        </w:rPr>
        <w:t xml:space="preserve"> </w:t>
      </w:r>
      <w:proofErr w:type="spellStart"/>
      <w:r w:rsidRPr="00E11D50">
        <w:rPr>
          <w:rFonts w:ascii="Arial" w:hAnsi="Arial" w:cs="Arial"/>
          <w:sz w:val="20"/>
          <w:szCs w:val="20"/>
        </w:rPr>
        <w:t>Marrie</w:t>
      </w:r>
      <w:proofErr w:type="spellEnd"/>
      <w:r w:rsidRPr="00E11D50">
        <w:rPr>
          <w:rFonts w:ascii="Arial" w:hAnsi="Arial" w:cs="Arial"/>
          <w:sz w:val="20"/>
          <w:szCs w:val="20"/>
        </w:rPr>
        <w:t xml:space="preserve"> H, </w:t>
      </w:r>
      <w:proofErr w:type="spellStart"/>
      <w:r w:rsidRPr="00E11D50">
        <w:rPr>
          <w:rFonts w:ascii="Arial" w:hAnsi="Arial" w:cs="Arial"/>
          <w:sz w:val="20"/>
          <w:szCs w:val="20"/>
        </w:rPr>
        <w:t>Marrie</w:t>
      </w:r>
      <w:proofErr w:type="spellEnd"/>
      <w:r w:rsidRPr="00E11D50">
        <w:rPr>
          <w:rFonts w:ascii="Arial" w:hAnsi="Arial" w:cs="Arial"/>
          <w:sz w:val="20"/>
          <w:szCs w:val="20"/>
        </w:rPr>
        <w:t xml:space="preserve"> R, </w:t>
      </w:r>
      <w:r w:rsidRPr="00E11D50">
        <w:rPr>
          <w:rFonts w:ascii="Arial" w:eastAsia="Times New Roman" w:hAnsi="Arial" w:cs="Arial"/>
          <w:i/>
          <w:sz w:val="20"/>
          <w:szCs w:val="20"/>
        </w:rPr>
        <w:t>A Matrix for Identifying, Measuring and Monitoring Institutional Racism within Public Hospitals and Health Services</w:t>
      </w:r>
      <w:r w:rsidRPr="00E11D50">
        <w:rPr>
          <w:rFonts w:ascii="Arial" w:eastAsia="Times New Roman" w:hAnsi="Arial" w:cs="Arial"/>
          <w:sz w:val="20"/>
          <w:szCs w:val="20"/>
        </w:rPr>
        <w:t xml:space="preserve">, 2014. Available online at: </w:t>
      </w:r>
      <w:hyperlink r:id="rId40" w:history="1">
        <w:r w:rsidRPr="00E11D50">
          <w:rPr>
            <w:rStyle w:val="Hyperlink"/>
            <w:rFonts w:cs="Arial"/>
            <w:sz w:val="20"/>
            <w:szCs w:val="20"/>
          </w:rPr>
          <w:t>http://www.avidstudy.com/wp-content/uploads/2015/08/Matrix-Revised-2-9-14.pdf</w:t>
        </w:r>
      </w:hyperlink>
      <w:r w:rsidRPr="00E11D50">
        <w:rPr>
          <w:rFonts w:ascii="Arial" w:hAnsi="Arial" w:cs="Arial"/>
          <w:color w:val="092B36"/>
          <w:sz w:val="20"/>
          <w:szCs w:val="20"/>
        </w:rPr>
        <w:t>.</w:t>
      </w:r>
      <w:r w:rsidRPr="00E11D50">
        <w:rPr>
          <w:rFonts w:ascii="Arial" w:hAnsi="Arial" w:cs="Arial"/>
          <w:sz w:val="20"/>
          <w:szCs w:val="20"/>
        </w:rPr>
        <w:t xml:space="preserve"> [Verified 21 December 2015</w:t>
      </w:r>
      <w:r>
        <w:rPr>
          <w:rFonts w:ascii="Arial" w:hAnsi="Arial" w:cs="Arial"/>
          <w:sz w:val="20"/>
          <w:szCs w:val="20"/>
        </w:rPr>
        <w:t>].</w:t>
      </w:r>
    </w:p>
  </w:endnote>
  <w:endnote w:id="139">
    <w:p w14:paraId="11343BCC" w14:textId="57DC83B7" w:rsidR="0068666F" w:rsidRPr="00E11D50" w:rsidRDefault="0068666F" w:rsidP="00040CF1">
      <w:pPr>
        <w:pStyle w:val="NormalWeb"/>
        <w:rPr>
          <w:rFonts w:ascii="Arial" w:hAnsi="Arial" w:cs="Arial"/>
          <w:sz w:val="20"/>
          <w:szCs w:val="20"/>
        </w:rPr>
      </w:pPr>
      <w:r w:rsidRPr="00E11D50">
        <w:rPr>
          <w:rStyle w:val="EndnoteReference"/>
          <w:rFonts w:cs="Arial"/>
          <w:sz w:val="20"/>
          <w:szCs w:val="20"/>
        </w:rPr>
        <w:endnoteRef/>
      </w:r>
      <w:r w:rsidRPr="00E11D50">
        <w:rPr>
          <w:rFonts w:ascii="Arial" w:hAnsi="Arial" w:cs="Arial"/>
          <w:sz w:val="20"/>
          <w:szCs w:val="20"/>
        </w:rPr>
        <w:t xml:space="preserve"> </w:t>
      </w:r>
      <w:proofErr w:type="spellStart"/>
      <w:r w:rsidRPr="00E11D50">
        <w:rPr>
          <w:rFonts w:ascii="Arial" w:hAnsi="Arial" w:cs="Arial"/>
          <w:sz w:val="20"/>
          <w:szCs w:val="20"/>
        </w:rPr>
        <w:t>Marrie</w:t>
      </w:r>
      <w:proofErr w:type="spellEnd"/>
      <w:r w:rsidRPr="00E11D50">
        <w:rPr>
          <w:rFonts w:ascii="Arial" w:hAnsi="Arial" w:cs="Arial"/>
          <w:sz w:val="20"/>
          <w:szCs w:val="20"/>
        </w:rPr>
        <w:t xml:space="preserve"> H, </w:t>
      </w:r>
      <w:proofErr w:type="spellStart"/>
      <w:r w:rsidRPr="00E11D50">
        <w:rPr>
          <w:rFonts w:ascii="Arial" w:hAnsi="Arial" w:cs="Arial"/>
          <w:sz w:val="20"/>
          <w:szCs w:val="20"/>
        </w:rPr>
        <w:t>Marrie</w:t>
      </w:r>
      <w:proofErr w:type="spellEnd"/>
      <w:r w:rsidRPr="00E11D50">
        <w:rPr>
          <w:rFonts w:ascii="Arial" w:hAnsi="Arial" w:cs="Arial"/>
          <w:sz w:val="20"/>
          <w:szCs w:val="20"/>
        </w:rPr>
        <w:t xml:space="preserve"> R, </w:t>
      </w:r>
      <w:r w:rsidRPr="00E11D50">
        <w:rPr>
          <w:rFonts w:ascii="Arial" w:eastAsia="Times New Roman" w:hAnsi="Arial" w:cs="Arial"/>
          <w:sz w:val="20"/>
          <w:szCs w:val="20"/>
        </w:rPr>
        <w:t xml:space="preserve">A Matrix for Identifying, Measuring and Monitoring Institutional Racism within Public Hospitals and Health Services, 2014. Available online at: </w:t>
      </w:r>
      <w:hyperlink r:id="rId41" w:history="1">
        <w:r w:rsidRPr="00E11D50">
          <w:rPr>
            <w:rStyle w:val="Hyperlink"/>
            <w:rFonts w:cs="Arial"/>
            <w:sz w:val="20"/>
            <w:szCs w:val="20"/>
          </w:rPr>
          <w:t>http://www.avidstudy.com/wp-content/uploads/2015/08/Matrix-Revised-2-9-14.pdf</w:t>
        </w:r>
      </w:hyperlink>
      <w:r w:rsidRPr="00E11D50">
        <w:rPr>
          <w:rFonts w:ascii="Arial" w:hAnsi="Arial" w:cs="Arial"/>
          <w:color w:val="092B36"/>
          <w:sz w:val="20"/>
          <w:szCs w:val="20"/>
        </w:rPr>
        <w:t xml:space="preserve">. </w:t>
      </w:r>
      <w:r w:rsidRPr="00E11D50">
        <w:rPr>
          <w:rFonts w:ascii="Arial" w:hAnsi="Arial" w:cs="Arial"/>
          <w:sz w:val="20"/>
          <w:szCs w:val="20"/>
        </w:rPr>
        <w:t>[Verified 21 December 2015</w:t>
      </w:r>
      <w:r>
        <w:rPr>
          <w:rFonts w:ascii="Arial" w:hAnsi="Arial" w:cs="Arial"/>
          <w:sz w:val="20"/>
          <w:szCs w:val="20"/>
        </w:rPr>
        <w:t>].</w:t>
      </w:r>
    </w:p>
  </w:endnote>
  <w:endnote w:id="140">
    <w:p w14:paraId="1BE6B20A" w14:textId="10E29624" w:rsidR="0068666F" w:rsidRPr="00E11D50" w:rsidRDefault="0068666F">
      <w:pPr>
        <w:pStyle w:val="EndnoteText"/>
        <w:rPr>
          <w:rFonts w:cs="Arial"/>
          <w:lang w:val="en-US"/>
        </w:rPr>
      </w:pPr>
      <w:r w:rsidRPr="00E11D50">
        <w:rPr>
          <w:rStyle w:val="EndnoteReference"/>
          <w:rFonts w:cs="Arial"/>
          <w:sz w:val="20"/>
        </w:rPr>
        <w:endnoteRef/>
      </w:r>
      <w:r>
        <w:rPr>
          <w:rFonts w:cs="Arial"/>
        </w:rPr>
        <w:t xml:space="preserve"> Bainbridge, R., </w:t>
      </w:r>
      <w:proofErr w:type="spellStart"/>
      <w:r>
        <w:rPr>
          <w:rFonts w:cs="Arial"/>
        </w:rPr>
        <w:t>McCalman</w:t>
      </w:r>
      <w:proofErr w:type="spellEnd"/>
      <w:r>
        <w:rPr>
          <w:rFonts w:cs="Arial"/>
        </w:rPr>
        <w:t xml:space="preserve">, J, &amp; Clifford, A &amp; </w:t>
      </w:r>
      <w:proofErr w:type="spellStart"/>
      <w:r>
        <w:rPr>
          <w:rFonts w:cs="Arial"/>
        </w:rPr>
        <w:t>Tsey</w:t>
      </w:r>
      <w:proofErr w:type="spellEnd"/>
      <w:r>
        <w:rPr>
          <w:rFonts w:cs="Arial"/>
        </w:rPr>
        <w:t>, K</w:t>
      </w:r>
      <w:r w:rsidRPr="00E11D50">
        <w:rPr>
          <w:rFonts w:cs="Arial"/>
        </w:rPr>
        <w:t xml:space="preserve"> (2015). </w:t>
      </w:r>
      <w:r w:rsidRPr="00E11D50">
        <w:rPr>
          <w:rFonts w:cs="Arial"/>
          <w:i/>
        </w:rPr>
        <w:t xml:space="preserve">Cultural competency in the delivery of health services for Indigenous people. </w:t>
      </w:r>
      <w:r w:rsidRPr="00E11D50">
        <w:rPr>
          <w:rFonts w:cs="Arial"/>
        </w:rPr>
        <w:t>Issues paper no. 13. Canberra: Australian Institute of Health and Welfare &amp; Australian Institute of Family Studies.</w:t>
      </w:r>
    </w:p>
  </w:endnote>
  <w:endnote w:id="141">
    <w:p w14:paraId="7C48F48F" w14:textId="581674B9" w:rsidR="0068666F" w:rsidRPr="00E11D50" w:rsidRDefault="0068666F">
      <w:pPr>
        <w:pStyle w:val="EndnoteText"/>
        <w:rPr>
          <w:rFonts w:cs="Arial"/>
          <w:lang w:val="en-US"/>
        </w:rPr>
      </w:pPr>
      <w:r w:rsidRPr="00E11D50">
        <w:rPr>
          <w:rStyle w:val="EndnoteReference"/>
          <w:rFonts w:cs="Arial"/>
          <w:sz w:val="20"/>
        </w:rPr>
        <w:endnoteRef/>
      </w:r>
      <w:r>
        <w:rPr>
          <w:rFonts w:cs="Arial"/>
        </w:rPr>
        <w:t xml:space="preserve"> </w:t>
      </w:r>
      <w:proofErr w:type="spellStart"/>
      <w:r>
        <w:rPr>
          <w:rFonts w:cs="Arial"/>
        </w:rPr>
        <w:t>Durey</w:t>
      </w:r>
      <w:proofErr w:type="spellEnd"/>
      <w:r>
        <w:rPr>
          <w:rFonts w:cs="Arial"/>
        </w:rPr>
        <w:t>, A, Thompson, S C, &amp; Wood, M</w:t>
      </w:r>
      <w:r w:rsidRPr="00E11D50">
        <w:rPr>
          <w:rFonts w:cs="Arial"/>
        </w:rPr>
        <w:t xml:space="preserve"> (2011). “Time To Bring Down The Twin Towers of Poor Aboriginal Hospital Care: Addressing institutional racism and misunderstandings in communication.” </w:t>
      </w:r>
      <w:r w:rsidRPr="00E11D50">
        <w:rPr>
          <w:rFonts w:cs="Arial"/>
          <w:i/>
        </w:rPr>
        <w:t>Internal Medicine Journal</w:t>
      </w:r>
      <w:r w:rsidRPr="00E11D50">
        <w:rPr>
          <w:rFonts w:cs="Arial"/>
        </w:rPr>
        <w:t>, 17-23</w:t>
      </w:r>
    </w:p>
  </w:endnote>
  <w:endnote w:id="142">
    <w:p w14:paraId="15DB045E" w14:textId="16CAA1AA"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Pr>
          <w:rFonts w:cs="Arial"/>
        </w:rPr>
        <w:t xml:space="preserve">Bainbridge, R, </w:t>
      </w:r>
      <w:proofErr w:type="spellStart"/>
      <w:r>
        <w:rPr>
          <w:rFonts w:cs="Arial"/>
        </w:rPr>
        <w:t>McCalman</w:t>
      </w:r>
      <w:proofErr w:type="spellEnd"/>
      <w:r>
        <w:rPr>
          <w:rFonts w:cs="Arial"/>
        </w:rPr>
        <w:t xml:space="preserve">, J, &amp; Clifford, A &amp; </w:t>
      </w:r>
      <w:proofErr w:type="spellStart"/>
      <w:r>
        <w:rPr>
          <w:rFonts w:cs="Arial"/>
        </w:rPr>
        <w:t>Tsey</w:t>
      </w:r>
      <w:proofErr w:type="spellEnd"/>
      <w:r>
        <w:rPr>
          <w:rFonts w:cs="Arial"/>
        </w:rPr>
        <w:t>, K</w:t>
      </w:r>
      <w:r w:rsidRPr="00E11D50">
        <w:rPr>
          <w:rFonts w:cs="Arial"/>
        </w:rPr>
        <w:t xml:space="preserve"> (2015). </w:t>
      </w:r>
      <w:r w:rsidRPr="00E11D50">
        <w:rPr>
          <w:rFonts w:cs="Arial"/>
          <w:i/>
        </w:rPr>
        <w:t xml:space="preserve">Cultural competency in the delivery of health services for Indigenous people. </w:t>
      </w:r>
      <w:r w:rsidRPr="00E11D50">
        <w:rPr>
          <w:rFonts w:cs="Arial"/>
        </w:rPr>
        <w:t>Issues paper no. 13. Canberra: Australian Institute of Health and Welfare &amp; Australian Institute of Family Studies.</w:t>
      </w:r>
    </w:p>
  </w:endnote>
  <w:endnote w:id="143">
    <w:p w14:paraId="0E434BB7" w14:textId="187BD4D9" w:rsidR="0068666F" w:rsidRPr="00E11D50" w:rsidRDefault="0068666F">
      <w:pPr>
        <w:pStyle w:val="EndnoteText"/>
        <w:rPr>
          <w:rFonts w:cs="Arial"/>
          <w:lang w:val="en-US"/>
        </w:rPr>
      </w:pPr>
      <w:r w:rsidRPr="00E11D50">
        <w:rPr>
          <w:rStyle w:val="EndnoteReference"/>
          <w:rFonts w:cs="Arial"/>
          <w:sz w:val="20"/>
        </w:rPr>
        <w:endnoteRef/>
      </w:r>
      <w:r w:rsidRPr="00E11D50">
        <w:rPr>
          <w:rFonts w:cs="Arial"/>
          <w:color w:val="000000"/>
        </w:rPr>
        <w:t xml:space="preserve"> 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Fonts w:cs="Arial"/>
          <w:lang w:val="en-US"/>
        </w:rPr>
        <w:t xml:space="preserve">p </w:t>
      </w:r>
      <w:r w:rsidRPr="00E11D50">
        <w:rPr>
          <w:rFonts w:cs="Arial"/>
          <w:lang w:val="en-US"/>
        </w:rPr>
        <w:t>7.</w:t>
      </w:r>
    </w:p>
  </w:endnote>
  <w:endnote w:id="144">
    <w:p w14:paraId="46BC5C7C" w14:textId="77777777"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Freeman T, Edwards T, Baum F, et al, </w:t>
      </w:r>
      <w:r w:rsidRPr="00E11D50">
        <w:rPr>
          <w:rFonts w:cs="Arial"/>
          <w:i/>
        </w:rPr>
        <w:t>Cultural respect strategies in Australian Aboriginal primary health care services: beyond education and training of practitioners</w:t>
      </w:r>
      <w:r w:rsidRPr="00E11D50">
        <w:rPr>
          <w:rFonts w:cs="Arial"/>
        </w:rPr>
        <w:t xml:space="preserve">, </w:t>
      </w:r>
      <w:hyperlink r:id="rId42" w:history="1">
        <w:r w:rsidRPr="00E11D50">
          <w:rPr>
            <w:rFonts w:cs="Arial"/>
          </w:rPr>
          <w:t>Australian and New Zealand Journal of Public Health</w:t>
        </w:r>
      </w:hyperlink>
      <w:r w:rsidRPr="00E11D50">
        <w:rPr>
          <w:rFonts w:cs="Arial"/>
        </w:rPr>
        <w:t xml:space="preserve">, </w:t>
      </w:r>
      <w:hyperlink r:id="rId43" w:history="1">
        <w:r w:rsidRPr="00E11D50">
          <w:rPr>
            <w:rFonts w:cs="Arial"/>
          </w:rPr>
          <w:t>Volume 38, Issue 4</w:t>
        </w:r>
      </w:hyperlink>
      <w:r w:rsidRPr="00E11D50">
        <w:rPr>
          <w:rFonts w:cs="Arial"/>
        </w:rPr>
        <w:t>, 2014.</w:t>
      </w:r>
    </w:p>
  </w:endnote>
  <w:endnote w:id="145">
    <w:p w14:paraId="4334D2F2" w14:textId="77777777" w:rsidR="0068666F" w:rsidRPr="00E11D50" w:rsidRDefault="0068666F" w:rsidP="00040CF1">
      <w:pPr>
        <w:autoSpaceDE w:val="0"/>
        <w:autoSpaceDN w:val="0"/>
        <w:adjustRightInd w:val="0"/>
        <w:rPr>
          <w:rFonts w:cs="Arial"/>
          <w:b/>
          <w:bCs/>
          <w:color w:val="0E6C77"/>
          <w:sz w:val="20"/>
          <w:szCs w:val="20"/>
        </w:rPr>
      </w:pPr>
      <w:r w:rsidRPr="00E11D50">
        <w:rPr>
          <w:rStyle w:val="EndnoteReference"/>
          <w:rFonts w:cs="Arial"/>
          <w:sz w:val="20"/>
          <w:szCs w:val="20"/>
        </w:rPr>
        <w:endnoteRef/>
      </w:r>
      <w:r w:rsidRPr="00E11D50">
        <w:rPr>
          <w:rFonts w:cs="Arial"/>
          <w:sz w:val="20"/>
          <w:szCs w:val="20"/>
        </w:rPr>
        <w:t xml:space="preserve"> </w:t>
      </w:r>
      <w:r w:rsidRPr="00E11D50">
        <w:rPr>
          <w:rFonts w:eastAsia="Times New Roman" w:cs="Arial"/>
          <w:sz w:val="20"/>
          <w:szCs w:val="20"/>
          <w:lang w:eastAsia="en-AU"/>
        </w:rPr>
        <w:t xml:space="preserve">Freeman T, Edwards T, Baum F, et al, </w:t>
      </w:r>
      <w:r w:rsidRPr="00E11D50">
        <w:rPr>
          <w:rFonts w:eastAsia="Times New Roman" w:cs="Arial"/>
          <w:i/>
          <w:sz w:val="20"/>
          <w:szCs w:val="20"/>
          <w:lang w:eastAsia="en-AU"/>
        </w:rPr>
        <w:t>Cultural respect strategies in Australian Aboriginal primary health care services: beyond education and training of practitioners</w:t>
      </w:r>
      <w:r w:rsidRPr="00E11D50">
        <w:rPr>
          <w:rFonts w:eastAsia="Times New Roman" w:cs="Arial"/>
          <w:sz w:val="20"/>
          <w:szCs w:val="20"/>
          <w:lang w:eastAsia="en-AU"/>
        </w:rPr>
        <w:t xml:space="preserve">, </w:t>
      </w:r>
      <w:hyperlink r:id="rId44" w:history="1">
        <w:r w:rsidRPr="00E11D50">
          <w:rPr>
            <w:rFonts w:eastAsia="Times New Roman" w:cs="Arial"/>
            <w:sz w:val="20"/>
            <w:szCs w:val="20"/>
            <w:lang w:eastAsia="en-AU"/>
          </w:rPr>
          <w:t>Australian and New Zealand Journal of Public Health</w:t>
        </w:r>
      </w:hyperlink>
      <w:r w:rsidRPr="00E11D50">
        <w:rPr>
          <w:rFonts w:eastAsia="Times New Roman" w:cs="Arial"/>
          <w:sz w:val="20"/>
          <w:szCs w:val="20"/>
          <w:lang w:eastAsia="en-AU"/>
        </w:rPr>
        <w:t xml:space="preserve">, </w:t>
      </w:r>
      <w:hyperlink r:id="rId45" w:history="1">
        <w:r w:rsidRPr="00E11D50">
          <w:rPr>
            <w:rFonts w:eastAsia="Times New Roman" w:cs="Arial"/>
            <w:sz w:val="20"/>
            <w:szCs w:val="20"/>
            <w:lang w:eastAsia="en-AU"/>
          </w:rPr>
          <w:t>Volume 38, Issue 4</w:t>
        </w:r>
      </w:hyperlink>
      <w:r w:rsidRPr="00E11D50">
        <w:rPr>
          <w:rFonts w:eastAsia="Times New Roman" w:cs="Arial"/>
          <w:sz w:val="20"/>
          <w:szCs w:val="20"/>
          <w:lang w:eastAsia="en-AU"/>
        </w:rPr>
        <w:t>, 2014.</w:t>
      </w:r>
    </w:p>
  </w:endnote>
  <w:endnote w:id="146">
    <w:p w14:paraId="5C8D55D8" w14:textId="77777777"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Freeman T, Edwards T, Baum F, et al, </w:t>
      </w:r>
      <w:r w:rsidRPr="00E11D50">
        <w:rPr>
          <w:rFonts w:cs="Arial"/>
          <w:i/>
        </w:rPr>
        <w:t>Cultural respect strategies in Australian Aboriginal primary health care services: beyond education and training of practitioners</w:t>
      </w:r>
      <w:r w:rsidRPr="00E11D50">
        <w:rPr>
          <w:rFonts w:cs="Arial"/>
        </w:rPr>
        <w:t xml:space="preserve">, </w:t>
      </w:r>
      <w:hyperlink r:id="rId46" w:history="1">
        <w:r w:rsidRPr="00E11D50">
          <w:rPr>
            <w:rFonts w:cs="Arial"/>
          </w:rPr>
          <w:t>Australian and New Zealand Journal of Public Health</w:t>
        </w:r>
      </w:hyperlink>
      <w:r w:rsidRPr="00E11D50">
        <w:rPr>
          <w:rFonts w:cs="Arial"/>
        </w:rPr>
        <w:t xml:space="preserve">, </w:t>
      </w:r>
      <w:hyperlink r:id="rId47" w:history="1">
        <w:r w:rsidRPr="00E11D50">
          <w:rPr>
            <w:rFonts w:cs="Arial"/>
          </w:rPr>
          <w:t>Volume 38, Issue 4</w:t>
        </w:r>
      </w:hyperlink>
      <w:r w:rsidRPr="00E11D50">
        <w:rPr>
          <w:rFonts w:cs="Arial"/>
        </w:rPr>
        <w:t>, 2014.</w:t>
      </w:r>
    </w:p>
  </w:endnote>
  <w:endnote w:id="147">
    <w:p w14:paraId="352327B2" w14:textId="028AA941"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Australian Institute of Health and Welfare, </w:t>
      </w:r>
      <w:r w:rsidRPr="00E11D50">
        <w:rPr>
          <w:rFonts w:cs="Arial"/>
          <w:i/>
        </w:rPr>
        <w:t>Aboriginal and Torres Strait Islander health organisations: Online Services Report—key results 2013–14</w:t>
      </w:r>
      <w:r w:rsidRPr="00E11D50">
        <w:rPr>
          <w:rFonts w:cs="Arial"/>
        </w:rPr>
        <w:t xml:space="preserve">. Aboriginal and Torres Strait Islander health services report No. 6. </w:t>
      </w:r>
      <w:proofErr w:type="spellStart"/>
      <w:r w:rsidRPr="00E11D50">
        <w:rPr>
          <w:rFonts w:cs="Arial"/>
        </w:rPr>
        <w:t>IHW</w:t>
      </w:r>
      <w:proofErr w:type="spellEnd"/>
      <w:r w:rsidRPr="00E11D50">
        <w:rPr>
          <w:rFonts w:cs="Arial"/>
        </w:rPr>
        <w:t xml:space="preserve"> 152, Canberra, 2015, </w:t>
      </w:r>
      <w:r>
        <w:rPr>
          <w:rFonts w:cs="Arial"/>
          <w:lang w:val="en-US"/>
        </w:rPr>
        <w:t xml:space="preserve">p </w:t>
      </w:r>
      <w:r w:rsidRPr="00E11D50">
        <w:rPr>
          <w:rFonts w:cs="Arial"/>
          <w:lang w:val="en-US"/>
        </w:rPr>
        <w:t>12.</w:t>
      </w:r>
    </w:p>
  </w:endnote>
  <w:endnote w:id="148">
    <w:p w14:paraId="20B6A48B" w14:textId="77777777"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Freeman T, Edwards T, Baum F, et al, </w:t>
      </w:r>
      <w:r w:rsidRPr="00E11D50">
        <w:rPr>
          <w:rFonts w:cs="Arial"/>
          <w:i/>
        </w:rPr>
        <w:t>Cultural respect strategies in Australian Aboriginal primary health care services: beyond education and training of practitioners</w:t>
      </w:r>
      <w:r w:rsidRPr="00E11D50">
        <w:rPr>
          <w:rFonts w:cs="Arial"/>
        </w:rPr>
        <w:t xml:space="preserve">, </w:t>
      </w:r>
      <w:hyperlink r:id="rId48" w:history="1">
        <w:r w:rsidRPr="00E11D50">
          <w:rPr>
            <w:rFonts w:cs="Arial"/>
          </w:rPr>
          <w:t>Australian and New Zealand Journal of Public Health</w:t>
        </w:r>
      </w:hyperlink>
      <w:r w:rsidRPr="00E11D50">
        <w:rPr>
          <w:rFonts w:cs="Arial"/>
        </w:rPr>
        <w:t xml:space="preserve">, </w:t>
      </w:r>
      <w:hyperlink r:id="rId49" w:history="1">
        <w:r w:rsidRPr="00E11D50">
          <w:rPr>
            <w:rFonts w:cs="Arial"/>
          </w:rPr>
          <w:t>Volume 38, Issue 4</w:t>
        </w:r>
      </w:hyperlink>
      <w:r w:rsidRPr="00E11D50">
        <w:rPr>
          <w:rFonts w:cs="Arial"/>
        </w:rPr>
        <w:t>, 2014.</w:t>
      </w:r>
    </w:p>
  </w:endnote>
  <w:endnote w:id="149">
    <w:p w14:paraId="19D329E9" w14:textId="77777777"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Freeman T, Edwards T, Baum F, et al, </w:t>
      </w:r>
      <w:r w:rsidRPr="00E11D50">
        <w:rPr>
          <w:rFonts w:cs="Arial"/>
          <w:i/>
        </w:rPr>
        <w:t>Cultural respect strategies in Australian Aboriginal primary health care services: beyond education and training of practitioners</w:t>
      </w:r>
      <w:r w:rsidRPr="00E11D50">
        <w:rPr>
          <w:rFonts w:cs="Arial"/>
        </w:rPr>
        <w:t xml:space="preserve">, </w:t>
      </w:r>
      <w:hyperlink r:id="rId50" w:history="1">
        <w:r w:rsidRPr="00E11D50">
          <w:rPr>
            <w:rFonts w:cs="Arial"/>
          </w:rPr>
          <w:t>Australian and New Zealand Journal of Public Health</w:t>
        </w:r>
      </w:hyperlink>
      <w:r w:rsidRPr="00E11D50">
        <w:rPr>
          <w:rFonts w:cs="Arial"/>
        </w:rPr>
        <w:t xml:space="preserve">, </w:t>
      </w:r>
      <w:hyperlink r:id="rId51" w:history="1">
        <w:r w:rsidRPr="00E11D50">
          <w:rPr>
            <w:rFonts w:cs="Arial"/>
          </w:rPr>
          <w:t>Volume 38, Issue 4</w:t>
        </w:r>
      </w:hyperlink>
      <w:r w:rsidRPr="00E11D50">
        <w:rPr>
          <w:rFonts w:cs="Arial"/>
        </w:rPr>
        <w:t>, 2014.</w:t>
      </w:r>
    </w:p>
  </w:endnote>
  <w:endnote w:id="150">
    <w:p w14:paraId="54FB9913" w14:textId="3A311296"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Australian Institute of Health and Welfare, </w:t>
      </w:r>
      <w:r w:rsidRPr="00E11D50">
        <w:rPr>
          <w:rFonts w:cs="Arial"/>
          <w:i/>
        </w:rPr>
        <w:t>Aboriginal and Torres Strait Islander health organisations: Online Services Report—key results 2013–14</w:t>
      </w:r>
      <w:r w:rsidRPr="00E11D50">
        <w:rPr>
          <w:rFonts w:cs="Arial"/>
        </w:rPr>
        <w:t xml:space="preserve">. Aboriginal and Torres Strait Islander health services report No. 6. </w:t>
      </w:r>
      <w:proofErr w:type="spellStart"/>
      <w:r w:rsidRPr="00E11D50">
        <w:rPr>
          <w:rFonts w:cs="Arial"/>
        </w:rPr>
        <w:t>IHW</w:t>
      </w:r>
      <w:proofErr w:type="spellEnd"/>
      <w:r w:rsidRPr="00E11D50">
        <w:rPr>
          <w:rFonts w:cs="Arial"/>
        </w:rPr>
        <w:t xml:space="preserve"> 152, Canberra, 2015, </w:t>
      </w:r>
      <w:r>
        <w:rPr>
          <w:rFonts w:cs="Arial"/>
        </w:rPr>
        <w:t xml:space="preserve">p </w:t>
      </w:r>
      <w:r w:rsidRPr="00E11D50">
        <w:rPr>
          <w:rFonts w:cs="Arial"/>
        </w:rPr>
        <w:t>15</w:t>
      </w:r>
      <w:r w:rsidRPr="00E11D50">
        <w:rPr>
          <w:rFonts w:cs="Arial"/>
          <w:lang w:val="en-US"/>
        </w:rPr>
        <w:t>.</w:t>
      </w:r>
    </w:p>
  </w:endnote>
  <w:endnote w:id="151">
    <w:p w14:paraId="532C480A" w14:textId="0A69C065"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Australian Institute of Health and Welfare, </w:t>
      </w:r>
      <w:r w:rsidRPr="00E11D50">
        <w:rPr>
          <w:rFonts w:cs="Arial"/>
          <w:i/>
        </w:rPr>
        <w:t>Aboriginal and Torres Strait Islander health organisations: Online Services Report—key results 2013–14</w:t>
      </w:r>
      <w:r w:rsidRPr="00E11D50">
        <w:rPr>
          <w:rFonts w:cs="Arial"/>
        </w:rPr>
        <w:t xml:space="preserve">. Aboriginal and Torres Strait Islander health services report No. 6. </w:t>
      </w:r>
      <w:proofErr w:type="spellStart"/>
      <w:r w:rsidRPr="00E11D50">
        <w:rPr>
          <w:rFonts w:cs="Arial"/>
        </w:rPr>
        <w:t>IHW</w:t>
      </w:r>
      <w:proofErr w:type="spellEnd"/>
      <w:r w:rsidRPr="00E11D50">
        <w:rPr>
          <w:rFonts w:cs="Arial"/>
        </w:rPr>
        <w:t xml:space="preserve"> 152, Canberra, 2015, </w:t>
      </w:r>
      <w:r>
        <w:rPr>
          <w:rFonts w:cs="Arial"/>
        </w:rPr>
        <w:t xml:space="preserve">p </w:t>
      </w:r>
      <w:r w:rsidRPr="00E11D50">
        <w:rPr>
          <w:rFonts w:cs="Arial"/>
        </w:rPr>
        <w:t>15</w:t>
      </w:r>
      <w:r w:rsidRPr="00E11D50">
        <w:rPr>
          <w:rFonts w:cs="Arial"/>
          <w:lang w:val="en-US"/>
        </w:rPr>
        <w:t>.</w:t>
      </w:r>
    </w:p>
  </w:endnote>
  <w:endnote w:id="152">
    <w:p w14:paraId="64D4952D" w14:textId="180EC686"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Australian Institute of Health and Welfare, </w:t>
      </w:r>
      <w:r w:rsidRPr="00E11D50">
        <w:rPr>
          <w:rFonts w:cs="Arial"/>
          <w:i/>
        </w:rPr>
        <w:t>Aboriginal and Torres Strait Islander health organisations: Online Services Report—key results 2013–14</w:t>
      </w:r>
      <w:r w:rsidRPr="00E11D50">
        <w:rPr>
          <w:rFonts w:cs="Arial"/>
        </w:rPr>
        <w:t xml:space="preserve">. Aboriginal and Torres Strait Islander health services report No. 6. </w:t>
      </w:r>
      <w:proofErr w:type="spellStart"/>
      <w:r w:rsidRPr="00E11D50">
        <w:rPr>
          <w:rFonts w:cs="Arial"/>
        </w:rPr>
        <w:t>IHW</w:t>
      </w:r>
      <w:proofErr w:type="spellEnd"/>
      <w:r w:rsidRPr="00E11D50">
        <w:rPr>
          <w:rFonts w:cs="Arial"/>
        </w:rPr>
        <w:t xml:space="preserve"> 152, Canberra, 2015, </w:t>
      </w:r>
      <w:r>
        <w:rPr>
          <w:rFonts w:cs="Arial"/>
        </w:rPr>
        <w:t xml:space="preserve">p </w:t>
      </w:r>
      <w:r w:rsidRPr="00E11D50">
        <w:rPr>
          <w:rFonts w:cs="Arial"/>
        </w:rPr>
        <w:t>15</w:t>
      </w:r>
      <w:r w:rsidRPr="00E11D50">
        <w:rPr>
          <w:rFonts w:cs="Arial"/>
          <w:lang w:val="en-US"/>
        </w:rPr>
        <w:t>.</w:t>
      </w:r>
    </w:p>
  </w:endnote>
  <w:endnote w:id="153">
    <w:p w14:paraId="4A6BCE9E" w14:textId="5DC59C69"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Australian Institute of Health and Welfare, </w:t>
      </w:r>
      <w:r w:rsidRPr="00E11D50">
        <w:rPr>
          <w:rFonts w:cs="Arial"/>
          <w:i/>
        </w:rPr>
        <w:t>Aboriginal and Torres Strait Islander health organisations: Online Services Report—key results 2013–14</w:t>
      </w:r>
      <w:r w:rsidRPr="00E11D50">
        <w:rPr>
          <w:rFonts w:cs="Arial"/>
        </w:rPr>
        <w:t xml:space="preserve">. Aboriginal and Torres Strait Islander health services report No. 6. </w:t>
      </w:r>
      <w:proofErr w:type="spellStart"/>
      <w:r w:rsidRPr="00E11D50">
        <w:rPr>
          <w:rFonts w:cs="Arial"/>
        </w:rPr>
        <w:t>IHW</w:t>
      </w:r>
      <w:proofErr w:type="spellEnd"/>
      <w:r w:rsidRPr="00E11D50">
        <w:rPr>
          <w:rFonts w:cs="Arial"/>
        </w:rPr>
        <w:t xml:space="preserve"> 152, Canberra, 2015, </w:t>
      </w:r>
      <w:r>
        <w:rPr>
          <w:rFonts w:cs="Arial"/>
        </w:rPr>
        <w:t xml:space="preserve">p </w:t>
      </w:r>
      <w:r w:rsidRPr="00E11D50">
        <w:rPr>
          <w:rFonts w:cs="Arial"/>
        </w:rPr>
        <w:t>15</w:t>
      </w:r>
      <w:r w:rsidRPr="00E11D50">
        <w:rPr>
          <w:rFonts w:cs="Arial"/>
          <w:lang w:val="en-US"/>
        </w:rPr>
        <w:t>.</w:t>
      </w:r>
    </w:p>
  </w:endnote>
  <w:endnote w:id="154">
    <w:p w14:paraId="24E25320" w14:textId="1EA6A873"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Australian Institute of Health and Welfare, </w:t>
      </w:r>
      <w:r w:rsidRPr="00E11D50">
        <w:rPr>
          <w:rFonts w:cs="Arial"/>
          <w:i/>
        </w:rPr>
        <w:t>Aboriginal and Torres Strait Islander health organisations: Online Services Report—key results 2013–14</w:t>
      </w:r>
      <w:r w:rsidRPr="00E11D50">
        <w:rPr>
          <w:rFonts w:cs="Arial"/>
        </w:rPr>
        <w:t xml:space="preserve">. Aboriginal and Torres Strait Islander health services report No. 6. </w:t>
      </w:r>
      <w:proofErr w:type="spellStart"/>
      <w:r w:rsidRPr="00E11D50">
        <w:rPr>
          <w:rFonts w:cs="Arial"/>
        </w:rPr>
        <w:t>IHW</w:t>
      </w:r>
      <w:proofErr w:type="spellEnd"/>
      <w:r w:rsidRPr="00E11D50">
        <w:rPr>
          <w:rFonts w:cs="Arial"/>
        </w:rPr>
        <w:t xml:space="preserve"> 152, Canberra, 2015, </w:t>
      </w:r>
      <w:r>
        <w:rPr>
          <w:rFonts w:cs="Arial"/>
        </w:rPr>
        <w:t xml:space="preserve">p </w:t>
      </w:r>
      <w:r w:rsidRPr="00E11D50">
        <w:rPr>
          <w:rFonts w:cs="Arial"/>
        </w:rPr>
        <w:t>15</w:t>
      </w:r>
      <w:r w:rsidRPr="00E11D50">
        <w:rPr>
          <w:rFonts w:cs="Arial"/>
          <w:lang w:val="en-US"/>
        </w:rPr>
        <w:t>.</w:t>
      </w:r>
    </w:p>
  </w:endnote>
  <w:endnote w:id="155">
    <w:p w14:paraId="199BB04B" w14:textId="04405BAF" w:rsidR="0068666F" w:rsidRPr="00A4382E" w:rsidRDefault="0068666F">
      <w:pPr>
        <w:pStyle w:val="EndnoteText"/>
        <w:rPr>
          <w:rFonts w:cs="Arial"/>
          <w:lang w:val="en-US"/>
        </w:rPr>
      </w:pPr>
      <w:r w:rsidRPr="00A4382E">
        <w:rPr>
          <w:rStyle w:val="EndnoteReference"/>
          <w:rFonts w:cs="Arial"/>
          <w:sz w:val="20"/>
        </w:rPr>
        <w:endnoteRef/>
      </w:r>
      <w:r w:rsidRPr="00A4382E">
        <w:rPr>
          <w:rFonts w:cs="Arial"/>
        </w:rPr>
        <w:t xml:space="preserve"> </w:t>
      </w:r>
      <w:proofErr w:type="spellStart"/>
      <w:r w:rsidRPr="00A4382E">
        <w:rPr>
          <w:rFonts w:cs="Arial"/>
          <w:lang w:val="en-US"/>
        </w:rPr>
        <w:t>Durey</w:t>
      </w:r>
      <w:proofErr w:type="spellEnd"/>
      <w:r w:rsidRPr="00A4382E">
        <w:rPr>
          <w:rFonts w:cs="Arial"/>
          <w:lang w:val="en-US"/>
        </w:rPr>
        <w:t xml:space="preserve"> A, </w:t>
      </w:r>
      <w:r w:rsidRPr="00A4382E">
        <w:rPr>
          <w:rFonts w:cs="Arial"/>
          <w:i/>
          <w:lang w:val="en-US"/>
        </w:rPr>
        <w:t>Reducing racism in Aboriginal health care in Australia: where does cultural education fit?,</w:t>
      </w:r>
      <w:r w:rsidRPr="00A4382E">
        <w:rPr>
          <w:rFonts w:cs="Arial"/>
          <w:lang w:val="en-US"/>
        </w:rPr>
        <w:t xml:space="preserve"> Australian and New Zealan</w:t>
      </w:r>
      <w:r>
        <w:rPr>
          <w:rFonts w:cs="Arial"/>
          <w:lang w:val="en-US"/>
        </w:rPr>
        <w:t xml:space="preserve">d Journal of Public Health, 34: </w:t>
      </w:r>
      <w:proofErr w:type="spellStart"/>
      <w:r w:rsidRPr="00A4382E">
        <w:rPr>
          <w:rFonts w:cs="Arial"/>
          <w:lang w:val="en-US"/>
        </w:rPr>
        <w:t>S87</w:t>
      </w:r>
      <w:proofErr w:type="spellEnd"/>
      <w:r w:rsidRPr="00A4382E">
        <w:rPr>
          <w:rFonts w:cs="Arial"/>
          <w:lang w:val="en-US"/>
        </w:rPr>
        <w:t>–</w:t>
      </w:r>
      <w:proofErr w:type="spellStart"/>
      <w:r w:rsidRPr="00A4382E">
        <w:rPr>
          <w:rFonts w:cs="Arial"/>
          <w:lang w:val="en-US"/>
        </w:rPr>
        <w:t>S92</w:t>
      </w:r>
      <w:proofErr w:type="spellEnd"/>
      <w:r>
        <w:rPr>
          <w:rFonts w:cs="Arial"/>
          <w:lang w:val="en-US"/>
        </w:rPr>
        <w:t>, 2015</w:t>
      </w:r>
      <w:r w:rsidRPr="00A4382E">
        <w:rPr>
          <w:rFonts w:cs="Arial"/>
          <w:lang w:val="en-US"/>
        </w:rPr>
        <w:t>.</w:t>
      </w:r>
    </w:p>
  </w:endnote>
  <w:endnote w:id="156">
    <w:p w14:paraId="04C6F388" w14:textId="5AFEA284"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Fonts w:cs="Arial"/>
          <w:lang w:val="en-US"/>
        </w:rPr>
        <w:t xml:space="preserve">p </w:t>
      </w:r>
      <w:r w:rsidRPr="00E11D50">
        <w:rPr>
          <w:rFonts w:cs="Arial"/>
          <w:lang w:val="en-US"/>
        </w:rPr>
        <w:t>74.</w:t>
      </w:r>
    </w:p>
  </w:endnote>
  <w:endnote w:id="157">
    <w:p w14:paraId="5F796A6B" w14:textId="1D8F541B"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Fonts w:cs="Arial"/>
          <w:lang w:val="en-US"/>
        </w:rPr>
        <w:t xml:space="preserve">p </w:t>
      </w:r>
      <w:r w:rsidRPr="00E11D50">
        <w:rPr>
          <w:rFonts w:cs="Arial"/>
          <w:lang w:val="en-US"/>
        </w:rPr>
        <w:t>74.</w:t>
      </w:r>
    </w:p>
  </w:endnote>
  <w:endnote w:id="158">
    <w:p w14:paraId="4FF465AF" w14:textId="23A8E46E"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Fonts w:cs="Arial"/>
          <w:lang w:val="en-US"/>
        </w:rPr>
        <w:t xml:space="preserve">p </w:t>
      </w:r>
      <w:r w:rsidRPr="00E11D50">
        <w:rPr>
          <w:rFonts w:cs="Arial"/>
          <w:lang w:val="en-US"/>
        </w:rPr>
        <w:t>74.</w:t>
      </w:r>
    </w:p>
  </w:endnote>
  <w:endnote w:id="159">
    <w:p w14:paraId="6DEDCA1B" w14:textId="168C66C2"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Fonts w:cs="Arial"/>
          <w:lang w:val="en-US"/>
        </w:rPr>
        <w:t xml:space="preserve">p </w:t>
      </w:r>
      <w:r w:rsidRPr="00E11D50">
        <w:rPr>
          <w:rFonts w:cs="Arial"/>
          <w:lang w:val="en-US"/>
        </w:rPr>
        <w:t>74.</w:t>
      </w:r>
    </w:p>
  </w:endnote>
  <w:endnote w:id="160">
    <w:p w14:paraId="566F5E5A" w14:textId="232E7D6B"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Fonts w:cs="Arial"/>
          <w:lang w:val="en-US"/>
        </w:rPr>
        <w:t xml:space="preserve">p </w:t>
      </w:r>
      <w:r w:rsidRPr="00E11D50">
        <w:rPr>
          <w:rFonts w:cs="Arial"/>
          <w:lang w:val="en-US"/>
        </w:rPr>
        <w:t>74.</w:t>
      </w:r>
    </w:p>
  </w:endnote>
  <w:endnote w:id="161">
    <w:p w14:paraId="098375F2" w14:textId="6DD6D205"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Fonts w:cs="Arial"/>
          <w:lang w:val="en-US"/>
        </w:rPr>
        <w:t xml:space="preserve">p </w:t>
      </w:r>
      <w:r w:rsidRPr="00E11D50">
        <w:rPr>
          <w:rFonts w:cs="Arial"/>
          <w:lang w:val="en-US"/>
        </w:rPr>
        <w:t>74.</w:t>
      </w:r>
    </w:p>
  </w:endnote>
  <w:endnote w:id="162">
    <w:p w14:paraId="135070D3" w14:textId="7995695C"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Fonts w:cs="Arial"/>
          <w:lang w:val="en-US"/>
        </w:rPr>
        <w:t xml:space="preserve">p </w:t>
      </w:r>
      <w:r w:rsidRPr="00E11D50">
        <w:rPr>
          <w:rFonts w:cs="Arial"/>
          <w:lang w:val="en-US"/>
        </w:rPr>
        <w:t>74.</w:t>
      </w:r>
    </w:p>
  </w:endnote>
  <w:endnote w:id="163">
    <w:p w14:paraId="10051311" w14:textId="08B86B64"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Fonts w:cs="Arial"/>
          <w:lang w:val="en-US"/>
        </w:rPr>
        <w:t xml:space="preserve">p </w:t>
      </w:r>
      <w:r w:rsidRPr="00E11D50">
        <w:rPr>
          <w:rFonts w:cs="Arial"/>
          <w:lang w:val="en-US"/>
        </w:rPr>
        <w:t>140.</w:t>
      </w:r>
    </w:p>
  </w:endnote>
  <w:endnote w:id="164">
    <w:p w14:paraId="2DB9206F" w14:textId="661EB993"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 xml:space="preserve">2015, </w:t>
      </w:r>
      <w:r>
        <w:rPr>
          <w:rFonts w:cs="Arial"/>
          <w:lang w:val="en-US"/>
        </w:rPr>
        <w:t xml:space="preserve">p </w:t>
      </w:r>
      <w:r w:rsidRPr="00E11D50">
        <w:rPr>
          <w:rFonts w:cs="Arial"/>
          <w:lang w:val="en-US"/>
        </w:rPr>
        <w:t>140.</w:t>
      </w:r>
    </w:p>
  </w:endnote>
  <w:endnote w:id="165">
    <w:p w14:paraId="321E1113" w14:textId="094649E7" w:rsidR="0068666F" w:rsidRPr="00E11D50" w:rsidRDefault="0068666F">
      <w:pPr>
        <w:autoSpaceDE w:val="0"/>
        <w:autoSpaceDN w:val="0"/>
        <w:adjustRightInd w:val="0"/>
        <w:rPr>
          <w:rFonts w:cs="Arial"/>
          <w:sz w:val="20"/>
          <w:szCs w:val="20"/>
        </w:rPr>
      </w:pPr>
      <w:r w:rsidRPr="00E11D50">
        <w:rPr>
          <w:rStyle w:val="EndnoteReference"/>
          <w:rFonts w:cs="Arial"/>
          <w:sz w:val="20"/>
          <w:szCs w:val="20"/>
        </w:rPr>
        <w:endnoteRef/>
      </w:r>
      <w:r w:rsidRPr="00E11D50">
        <w:rPr>
          <w:rFonts w:cs="Arial"/>
          <w:sz w:val="20"/>
          <w:szCs w:val="20"/>
        </w:rPr>
        <w:t xml:space="preserve"> Australian Institute of Health and Welfare, </w:t>
      </w:r>
      <w:r w:rsidRPr="00E11D50">
        <w:rPr>
          <w:rFonts w:cs="Arial"/>
          <w:i/>
          <w:sz w:val="20"/>
          <w:szCs w:val="20"/>
        </w:rPr>
        <w:t>Spatial variation in Aboriginal and Torres Strait Islander people’s access to primary health care</w:t>
      </w:r>
      <w:r w:rsidRPr="00E11D50">
        <w:rPr>
          <w:rFonts w:cs="Arial"/>
          <w:sz w:val="20"/>
          <w:szCs w:val="20"/>
        </w:rPr>
        <w:t xml:space="preserve">. Cat. no. </w:t>
      </w:r>
      <w:proofErr w:type="spellStart"/>
      <w:r w:rsidRPr="00E11D50">
        <w:rPr>
          <w:rFonts w:cs="Arial"/>
          <w:sz w:val="20"/>
          <w:szCs w:val="20"/>
        </w:rPr>
        <w:t>IHW</w:t>
      </w:r>
      <w:proofErr w:type="spellEnd"/>
      <w:r w:rsidRPr="00E11D50">
        <w:rPr>
          <w:rFonts w:cs="Arial"/>
          <w:sz w:val="20"/>
          <w:szCs w:val="20"/>
        </w:rPr>
        <w:t xml:space="preserve"> 155. Canberra, 2015, </w:t>
      </w:r>
      <w:r>
        <w:rPr>
          <w:rFonts w:cs="Arial"/>
          <w:sz w:val="20"/>
          <w:szCs w:val="20"/>
        </w:rPr>
        <w:t xml:space="preserve">p </w:t>
      </w:r>
      <w:r w:rsidRPr="00E11D50">
        <w:rPr>
          <w:rFonts w:cs="Arial"/>
          <w:sz w:val="20"/>
          <w:szCs w:val="20"/>
        </w:rPr>
        <w:t>vii.</w:t>
      </w:r>
    </w:p>
  </w:endnote>
  <w:endnote w:id="166">
    <w:p w14:paraId="4681DC12" w14:textId="2701945D"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2015,</w:t>
      </w:r>
      <w:r w:rsidRPr="00E11D50">
        <w:rPr>
          <w:rFonts w:cs="Arial"/>
          <w:lang w:val="en-US"/>
        </w:rPr>
        <w:t xml:space="preserve"> </w:t>
      </w:r>
      <w:r>
        <w:rPr>
          <w:rFonts w:cs="Arial"/>
          <w:lang w:val="en-US"/>
        </w:rPr>
        <w:t xml:space="preserve">p </w:t>
      </w:r>
      <w:r w:rsidRPr="00E11D50">
        <w:rPr>
          <w:rFonts w:cs="Arial"/>
          <w:lang w:val="en-US"/>
        </w:rPr>
        <w:t>70.</w:t>
      </w:r>
    </w:p>
  </w:endnote>
  <w:endnote w:id="167">
    <w:p w14:paraId="7EE47407" w14:textId="1ED9029E"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rPr>
        <w:t xml:space="preserve">Australian Health Ministers’ Advisory Council, </w:t>
      </w:r>
      <w:r w:rsidRPr="00E11D50">
        <w:rPr>
          <w:rFonts w:cs="Arial"/>
          <w:i/>
          <w:iCs/>
          <w:color w:val="000000"/>
        </w:rPr>
        <w:t>Aboriginal and Torres Strait Islander Health Performance Framework 2014 Report</w:t>
      </w:r>
      <w:r w:rsidRPr="00E11D50">
        <w:rPr>
          <w:rFonts w:cs="Arial"/>
          <w:color w:val="000000"/>
        </w:rPr>
        <w:t xml:space="preserve">, </w:t>
      </w:r>
      <w:proofErr w:type="spellStart"/>
      <w:r w:rsidRPr="00E11D50">
        <w:rPr>
          <w:rFonts w:cs="Arial"/>
          <w:color w:val="000000"/>
        </w:rPr>
        <w:t>AHMAC</w:t>
      </w:r>
      <w:proofErr w:type="spellEnd"/>
      <w:r w:rsidRPr="00E11D50">
        <w:rPr>
          <w:rFonts w:cs="Arial"/>
          <w:color w:val="000000"/>
        </w:rPr>
        <w:t>, Canberra</w:t>
      </w:r>
      <w:r w:rsidRPr="00E11D50">
        <w:rPr>
          <w:rFonts w:cs="Arial"/>
          <w:lang w:val="en-US"/>
        </w:rPr>
        <w:t xml:space="preserve">, </w:t>
      </w:r>
      <w:r w:rsidRPr="00E11D50">
        <w:rPr>
          <w:rFonts w:cs="Arial"/>
          <w:color w:val="000000"/>
        </w:rPr>
        <w:t>2015,</w:t>
      </w:r>
      <w:r w:rsidRPr="00E11D50">
        <w:rPr>
          <w:rFonts w:cs="Arial"/>
          <w:lang w:val="en-US"/>
        </w:rPr>
        <w:t xml:space="preserve"> </w:t>
      </w:r>
      <w:r>
        <w:rPr>
          <w:rFonts w:cs="Arial"/>
          <w:lang w:val="en-US"/>
        </w:rPr>
        <w:t xml:space="preserve">p </w:t>
      </w:r>
      <w:r w:rsidRPr="00E11D50">
        <w:rPr>
          <w:rFonts w:cs="Arial"/>
          <w:lang w:val="en-US"/>
        </w:rPr>
        <w:t>70.</w:t>
      </w:r>
    </w:p>
  </w:endnote>
  <w:endnote w:id="168">
    <w:p w14:paraId="1D443A6A" w14:textId="06D86442" w:rsidR="0068666F" w:rsidRPr="00E11D50" w:rsidRDefault="0068666F">
      <w:pPr>
        <w:pStyle w:val="EndnoteText"/>
        <w:rPr>
          <w:rFonts w:cs="Arial"/>
        </w:rPr>
      </w:pPr>
      <w:r w:rsidRPr="00E11D50">
        <w:rPr>
          <w:rStyle w:val="EndnoteReference"/>
          <w:rFonts w:cs="Arial"/>
          <w:sz w:val="20"/>
        </w:rPr>
        <w:endnoteRef/>
      </w:r>
      <w:r w:rsidRPr="00E11D50">
        <w:rPr>
          <w:rFonts w:cs="Arial"/>
        </w:rPr>
        <w:t xml:space="preserve"> Thomas, S</w:t>
      </w:r>
      <w:r>
        <w:rPr>
          <w:rFonts w:cs="Arial"/>
        </w:rPr>
        <w:t xml:space="preserve"> </w:t>
      </w:r>
      <w:r w:rsidRPr="00E11D50">
        <w:rPr>
          <w:rFonts w:cs="Arial"/>
        </w:rPr>
        <w:t xml:space="preserve">L, Zhao, Y, Guthridge, SL &amp; </w:t>
      </w:r>
      <w:proofErr w:type="spellStart"/>
      <w:r w:rsidRPr="00E11D50">
        <w:rPr>
          <w:rFonts w:cs="Arial"/>
        </w:rPr>
        <w:t>Wakerman</w:t>
      </w:r>
      <w:proofErr w:type="spellEnd"/>
      <w:r w:rsidRPr="00E11D50">
        <w:rPr>
          <w:rFonts w:cs="Arial"/>
        </w:rPr>
        <w:t>, J</w:t>
      </w:r>
      <w:r>
        <w:rPr>
          <w:rFonts w:cs="Arial"/>
        </w:rPr>
        <w:t>,</w:t>
      </w:r>
      <w:r w:rsidRPr="00E11D50">
        <w:rPr>
          <w:rFonts w:cs="Arial"/>
        </w:rPr>
        <w:t xml:space="preserve"> 2014, ‘The cost-effectiveness of primary care for Indigenous Australians with diabetes living in remote Northern Territory communities’, The Medical journal of Australia, vol. 200, no. 11, </w:t>
      </w:r>
      <w:proofErr w:type="spellStart"/>
      <w:r w:rsidRPr="00E11D50">
        <w:rPr>
          <w:rFonts w:cs="Arial"/>
        </w:rPr>
        <w:t>p</w:t>
      </w:r>
      <w:r>
        <w:rPr>
          <w:rFonts w:cs="Arial"/>
        </w:rPr>
        <w:t>p</w:t>
      </w:r>
      <w:proofErr w:type="spellEnd"/>
      <w:r>
        <w:rPr>
          <w:rFonts w:cs="Arial"/>
        </w:rPr>
        <w:t xml:space="preserve"> </w:t>
      </w:r>
      <w:r w:rsidRPr="00E11D50">
        <w:rPr>
          <w:rFonts w:cs="Arial"/>
        </w:rPr>
        <w:t>658–62.</w:t>
      </w:r>
    </w:p>
  </w:endnote>
  <w:endnote w:id="169">
    <w:p w14:paraId="5D81B060" w14:textId="0D321364"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Thomas, S</w:t>
      </w:r>
      <w:r>
        <w:rPr>
          <w:rFonts w:cs="Arial"/>
        </w:rPr>
        <w:t xml:space="preserve"> </w:t>
      </w:r>
      <w:r w:rsidRPr="00E11D50">
        <w:rPr>
          <w:rFonts w:cs="Arial"/>
        </w:rPr>
        <w:t>L, Zhao, Y, Guthridge, S</w:t>
      </w:r>
      <w:r>
        <w:rPr>
          <w:rFonts w:cs="Arial"/>
        </w:rPr>
        <w:t xml:space="preserve"> </w:t>
      </w:r>
      <w:r w:rsidRPr="00E11D50">
        <w:rPr>
          <w:rFonts w:cs="Arial"/>
        </w:rPr>
        <w:t xml:space="preserve">L &amp; </w:t>
      </w:r>
      <w:proofErr w:type="spellStart"/>
      <w:r w:rsidRPr="00E11D50">
        <w:rPr>
          <w:rFonts w:cs="Arial"/>
        </w:rPr>
        <w:t>Wakerman</w:t>
      </w:r>
      <w:proofErr w:type="spellEnd"/>
      <w:r w:rsidRPr="00E11D50">
        <w:rPr>
          <w:rFonts w:cs="Arial"/>
        </w:rPr>
        <w:t>, J</w:t>
      </w:r>
      <w:r>
        <w:rPr>
          <w:rFonts w:cs="Arial"/>
        </w:rPr>
        <w:t>,</w:t>
      </w:r>
      <w:r w:rsidRPr="00E11D50">
        <w:rPr>
          <w:rFonts w:cs="Arial"/>
        </w:rPr>
        <w:t xml:space="preserve"> 2014, ‘The cost-effectiveness of primary care for Indigenous Australians with diabetes living in remote Northern Territory communities’, The Medical journal of Australia, vol. 200, no. 11, </w:t>
      </w:r>
      <w:proofErr w:type="spellStart"/>
      <w:r w:rsidRPr="00E11D50">
        <w:rPr>
          <w:rFonts w:cs="Arial"/>
        </w:rPr>
        <w:t>p</w:t>
      </w:r>
      <w:r>
        <w:rPr>
          <w:rFonts w:cs="Arial"/>
        </w:rPr>
        <w:t>p</w:t>
      </w:r>
      <w:proofErr w:type="spellEnd"/>
      <w:r>
        <w:rPr>
          <w:rFonts w:cs="Arial"/>
        </w:rPr>
        <w:t xml:space="preserve"> </w:t>
      </w:r>
      <w:r w:rsidRPr="00E11D50">
        <w:rPr>
          <w:rFonts w:cs="Arial"/>
        </w:rPr>
        <w:t>658–62.</w:t>
      </w:r>
    </w:p>
  </w:endnote>
  <w:endnote w:id="170">
    <w:p w14:paraId="535831BC" w14:textId="7A9EF172"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Bishop J (Minister for Foreign Affairs) </w:t>
      </w:r>
      <w:r w:rsidRPr="00E11D50">
        <w:rPr>
          <w:rFonts w:cs="Arial"/>
          <w:i/>
        </w:rPr>
        <w:t>National Statement – United Nations General Assembly 70</w:t>
      </w:r>
      <w:r w:rsidRPr="00E11D50">
        <w:rPr>
          <w:rFonts w:cs="Arial"/>
          <w:i/>
          <w:vertAlign w:val="superscript"/>
        </w:rPr>
        <w:t>th</w:t>
      </w:r>
      <w:r w:rsidRPr="00E11D50">
        <w:rPr>
          <w:rFonts w:cs="Arial"/>
          <w:i/>
        </w:rPr>
        <w:t xml:space="preserve"> session, </w:t>
      </w:r>
      <w:r w:rsidRPr="00E11D50">
        <w:rPr>
          <w:rFonts w:cs="Arial"/>
        </w:rPr>
        <w:t xml:space="preserve">9 September 2015. Available online at: </w:t>
      </w:r>
      <w:hyperlink r:id="rId52" w:history="1">
        <w:r w:rsidRPr="00E11D50">
          <w:rPr>
            <w:rStyle w:val="Hyperlink"/>
            <w:rFonts w:cs="Arial"/>
          </w:rPr>
          <w:t>http://foreignminister.gov.au/speeches/Pages/2015/jb_sp_150929a.aspx?w=tb1CaGpkPX%2FlS0K%2Bg9ZKEg%3D%3D</w:t>
        </w:r>
      </w:hyperlink>
      <w:r w:rsidRPr="00E11D50">
        <w:rPr>
          <w:rFonts w:cs="Arial"/>
        </w:rPr>
        <w:t>. [Verified 21 December 2015</w:t>
      </w:r>
      <w:r>
        <w:rPr>
          <w:rFonts w:cs="Arial"/>
        </w:rPr>
        <w:t>].</w:t>
      </w:r>
    </w:p>
  </w:endnote>
  <w:endnote w:id="171">
    <w:p w14:paraId="7978D17C" w14:textId="5B0AAC02"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Bishop J (Minister for Foreign Affairs) </w:t>
      </w:r>
      <w:r w:rsidRPr="00E11D50">
        <w:rPr>
          <w:rFonts w:cs="Arial"/>
          <w:i/>
        </w:rPr>
        <w:t>National Statement – United Nations General Assembly 70</w:t>
      </w:r>
      <w:r w:rsidRPr="00E11D50">
        <w:rPr>
          <w:rFonts w:cs="Arial"/>
          <w:i/>
          <w:vertAlign w:val="superscript"/>
        </w:rPr>
        <w:t>th</w:t>
      </w:r>
      <w:r w:rsidRPr="00E11D50">
        <w:rPr>
          <w:rFonts w:cs="Arial"/>
          <w:i/>
        </w:rPr>
        <w:t xml:space="preserve"> session, </w:t>
      </w:r>
      <w:r w:rsidRPr="00E11D50">
        <w:rPr>
          <w:rFonts w:cs="Arial"/>
        </w:rPr>
        <w:t xml:space="preserve">9 September 2015. Available online at: </w:t>
      </w:r>
      <w:hyperlink r:id="rId53" w:history="1">
        <w:r w:rsidRPr="00E11D50">
          <w:rPr>
            <w:rStyle w:val="Hyperlink"/>
            <w:rFonts w:cs="Arial"/>
          </w:rPr>
          <w:t>http://foreignminister.gov.au/speeches/Pages/2015/jb_sp_150929a.aspx?w=tb1CaGpkPX%2FlS0K%2Bg9ZKEg%3D%3D</w:t>
        </w:r>
      </w:hyperlink>
      <w:r w:rsidRPr="00E11D50">
        <w:rPr>
          <w:rFonts w:cs="Arial"/>
        </w:rPr>
        <w:t>. [Verified 21 December 2015</w:t>
      </w:r>
      <w:r>
        <w:rPr>
          <w:rFonts w:cs="Arial"/>
        </w:rPr>
        <w:t>].</w:t>
      </w:r>
    </w:p>
  </w:endnote>
  <w:endnote w:id="172">
    <w:p w14:paraId="2B097A3C" w14:textId="348F7475" w:rsidR="0068666F" w:rsidRPr="00E11D50" w:rsidRDefault="0068666F">
      <w:pPr>
        <w:pStyle w:val="EndnoteText"/>
        <w:rPr>
          <w:rFonts w:cs="Arial"/>
        </w:rPr>
      </w:pPr>
      <w:r w:rsidRPr="00E11D50">
        <w:rPr>
          <w:rStyle w:val="EndnoteReference"/>
          <w:rFonts w:cs="Arial"/>
          <w:sz w:val="20"/>
        </w:rPr>
        <w:endnoteRef/>
      </w:r>
      <w:r w:rsidRPr="00E11D50">
        <w:rPr>
          <w:rFonts w:cs="Arial"/>
        </w:rPr>
        <w:t xml:space="preserve"> United Nations General Assembly, </w:t>
      </w:r>
      <w:r w:rsidRPr="00E11D50">
        <w:rPr>
          <w:rFonts w:cs="Arial"/>
          <w:i/>
        </w:rPr>
        <w:t>Transforming our world: the 2030 Agenda for Sustainable Development</w:t>
      </w:r>
      <w:r w:rsidRPr="00E11D50">
        <w:rPr>
          <w:rFonts w:cs="Arial"/>
        </w:rPr>
        <w:t xml:space="preserve">, </w:t>
      </w:r>
      <w:r w:rsidRPr="00E11D50">
        <w:rPr>
          <w:rFonts w:cs="Arial"/>
          <w:color w:val="262626"/>
        </w:rPr>
        <w:t>A/70/</w:t>
      </w:r>
      <w:proofErr w:type="spellStart"/>
      <w:r w:rsidRPr="00E11D50">
        <w:rPr>
          <w:rFonts w:cs="Arial"/>
          <w:color w:val="262626"/>
        </w:rPr>
        <w:t>L.1</w:t>
      </w:r>
      <w:proofErr w:type="spellEnd"/>
      <w:r w:rsidRPr="00E11D50">
        <w:rPr>
          <w:rFonts w:cs="Arial"/>
        </w:rPr>
        <w:t xml:space="preserve"> </w:t>
      </w:r>
      <w:r w:rsidRPr="00E11D50">
        <w:rPr>
          <w:rFonts w:cs="Arial"/>
          <w:color w:val="262626"/>
        </w:rPr>
        <w:t xml:space="preserve">(18 September 2015), </w:t>
      </w:r>
      <w:proofErr w:type="spellStart"/>
      <w:r w:rsidRPr="00E11D50">
        <w:rPr>
          <w:rFonts w:cs="Arial"/>
          <w:lang w:val="en-US"/>
        </w:rPr>
        <w:t>para</w:t>
      </w:r>
      <w:proofErr w:type="spellEnd"/>
      <w:r w:rsidRPr="00E11D50">
        <w:rPr>
          <w:rFonts w:cs="Arial"/>
          <w:lang w:val="en-US"/>
        </w:rPr>
        <w:t xml:space="preserve"> 23. </w:t>
      </w:r>
      <w:r w:rsidRPr="00E11D50">
        <w:rPr>
          <w:rFonts w:cs="Arial"/>
          <w:color w:val="262626"/>
        </w:rPr>
        <w:t>Available online at:</w:t>
      </w:r>
      <w:r>
        <w:rPr>
          <w:rFonts w:cs="Arial"/>
        </w:rPr>
        <w:t xml:space="preserve"> </w:t>
      </w:r>
      <w:hyperlink r:id="rId54" w:history="1">
        <w:r w:rsidRPr="00E11D50">
          <w:rPr>
            <w:rStyle w:val="Hyperlink"/>
            <w:rFonts w:cs="Arial"/>
          </w:rPr>
          <w:t>http://</w:t>
        </w:r>
        <w:proofErr w:type="spellStart"/>
        <w:r w:rsidRPr="00E11D50">
          <w:rPr>
            <w:rStyle w:val="Hyperlink"/>
            <w:rFonts w:cs="Arial"/>
          </w:rPr>
          <w:t>www.un.org</w:t>
        </w:r>
        <w:proofErr w:type="spellEnd"/>
        <w:r w:rsidRPr="00E11D50">
          <w:rPr>
            <w:rStyle w:val="Hyperlink"/>
            <w:rFonts w:cs="Arial"/>
          </w:rPr>
          <w:t>/</w:t>
        </w:r>
        <w:proofErr w:type="spellStart"/>
        <w:r w:rsidRPr="00E11D50">
          <w:rPr>
            <w:rStyle w:val="Hyperlink"/>
            <w:rFonts w:cs="Arial"/>
          </w:rPr>
          <w:t>ga</w:t>
        </w:r>
        <w:proofErr w:type="spellEnd"/>
        <w:r w:rsidRPr="00E11D50">
          <w:rPr>
            <w:rStyle w:val="Hyperlink"/>
            <w:rFonts w:cs="Arial"/>
          </w:rPr>
          <w:t>/search/</w:t>
        </w:r>
        <w:proofErr w:type="spellStart"/>
        <w:r w:rsidRPr="00E11D50">
          <w:rPr>
            <w:rStyle w:val="Hyperlink"/>
            <w:rFonts w:cs="Arial"/>
          </w:rPr>
          <w:t>view_doc.asp?symbol</w:t>
        </w:r>
        <w:proofErr w:type="spellEnd"/>
        <w:r w:rsidRPr="00E11D50">
          <w:rPr>
            <w:rStyle w:val="Hyperlink"/>
            <w:rFonts w:cs="Arial"/>
          </w:rPr>
          <w:t>=A/70/</w:t>
        </w:r>
        <w:proofErr w:type="spellStart"/>
        <w:r w:rsidRPr="00E11D50">
          <w:rPr>
            <w:rStyle w:val="Hyperlink"/>
            <w:rFonts w:cs="Arial"/>
          </w:rPr>
          <w:t>L.1&amp;Lang</w:t>
        </w:r>
        <w:proofErr w:type="spellEnd"/>
        <w:r w:rsidRPr="00E11D50">
          <w:rPr>
            <w:rStyle w:val="Hyperlink"/>
            <w:rFonts w:cs="Arial"/>
          </w:rPr>
          <w:t>=E</w:t>
        </w:r>
      </w:hyperlink>
      <w:r w:rsidRPr="00E11D50">
        <w:rPr>
          <w:rFonts w:cs="Arial"/>
        </w:rPr>
        <w:t>. [Verified 21 December 2015</w:t>
      </w:r>
      <w:r>
        <w:rPr>
          <w:rFonts w:cs="Arial"/>
        </w:rPr>
        <w:t>].</w:t>
      </w:r>
    </w:p>
  </w:endnote>
  <w:endnote w:id="173">
    <w:p w14:paraId="25A310C3" w14:textId="63D69091"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Council of Australian Governments, </w:t>
      </w:r>
      <w:r w:rsidRPr="00E11D50">
        <w:rPr>
          <w:rFonts w:cs="Arial"/>
          <w:i/>
        </w:rPr>
        <w:t>National Indigenous Reform Agreement</w:t>
      </w:r>
      <w:r w:rsidRPr="00E11D50">
        <w:rPr>
          <w:rFonts w:cs="Arial"/>
        </w:rPr>
        <w:t xml:space="preserve"> (2008, revised September 2012), </w:t>
      </w:r>
      <w:proofErr w:type="spellStart"/>
      <w:r w:rsidRPr="00E11D50">
        <w:rPr>
          <w:rFonts w:cs="Arial"/>
        </w:rPr>
        <w:t>COAG</w:t>
      </w:r>
      <w:proofErr w:type="spellEnd"/>
      <w:r w:rsidRPr="00E11D50">
        <w:rPr>
          <w:rFonts w:cs="Arial"/>
        </w:rPr>
        <w:t xml:space="preserve">, Canberra, 2013, </w:t>
      </w:r>
      <w:r>
        <w:rPr>
          <w:rFonts w:cs="Arial"/>
        </w:rPr>
        <w:t xml:space="preserve">p </w:t>
      </w:r>
      <w:r w:rsidRPr="00E11D50">
        <w:rPr>
          <w:rFonts w:cs="Arial"/>
        </w:rPr>
        <w:t xml:space="preserve">3. Available online at: </w:t>
      </w:r>
      <w:hyperlink r:id="rId55" w:history="1">
        <w:r w:rsidRPr="00E11D50">
          <w:rPr>
            <w:rStyle w:val="Hyperlink"/>
            <w:rFonts w:cs="Arial"/>
          </w:rPr>
          <w:t>http://www.federalfinancialrelations.gov.au/content/npa/health_indigenous/indigenous-reform/national-agreement_sept_12.pdf</w:t>
        </w:r>
      </w:hyperlink>
      <w:r w:rsidRPr="00E11D50">
        <w:rPr>
          <w:rFonts w:cs="Arial"/>
        </w:rPr>
        <w:t>. [Verified 21 December 2015].</w:t>
      </w:r>
    </w:p>
  </w:endnote>
  <w:endnote w:id="174">
    <w:p w14:paraId="7BC6CED2" w14:textId="77777777"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Productivity Commission, </w:t>
      </w:r>
      <w:r w:rsidRPr="00E11D50">
        <w:rPr>
          <w:rFonts w:cs="Arial"/>
          <w:i/>
          <w:lang w:val="en-US"/>
        </w:rPr>
        <w:t>National Indigenous Reform Agreement Performance Assessment 2013-2014</w:t>
      </w:r>
      <w:r w:rsidRPr="00E11D50">
        <w:rPr>
          <w:rFonts w:cs="Arial"/>
          <w:lang w:val="en-US"/>
        </w:rPr>
        <w:t>, Productivity Commission. Melbourne, 2015.</w:t>
      </w:r>
    </w:p>
  </w:endnote>
  <w:endnote w:id="175">
    <w:p w14:paraId="14F94128" w14:textId="4227EED4"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See: Abbott A (Prime Minister)</w:t>
      </w:r>
      <w:r w:rsidRPr="00E11D50">
        <w:rPr>
          <w:rFonts w:cs="Arial"/>
          <w:color w:val="2C2C34"/>
        </w:rPr>
        <w:t xml:space="preserve"> </w:t>
      </w:r>
      <w:r w:rsidRPr="00E11D50">
        <w:rPr>
          <w:rFonts w:cs="Arial"/>
          <w:i/>
          <w:color w:val="2C2C34"/>
        </w:rPr>
        <w:t>Statement to the House of Representatives - Closing the Gap 2015</w:t>
      </w:r>
      <w:r w:rsidRPr="00E11D50">
        <w:rPr>
          <w:rFonts w:cs="Arial"/>
          <w:color w:val="2C2C34"/>
        </w:rPr>
        <w:t>, 2015. Available online at:</w:t>
      </w:r>
      <w:r w:rsidRPr="00E11D50">
        <w:rPr>
          <w:rFonts w:cs="Arial"/>
        </w:rPr>
        <w:t xml:space="preserve"> </w:t>
      </w:r>
      <w:hyperlink r:id="rId56" w:history="1">
        <w:r w:rsidRPr="00E11D50">
          <w:rPr>
            <w:rStyle w:val="Hyperlink"/>
            <w:rFonts w:cs="Arial"/>
          </w:rPr>
          <w:t>http://www.indigenous.gov.au/news-and-media/announcements/prime-minister-abbott-statement-house-representatives-closing-gap-2015</w:t>
        </w:r>
      </w:hyperlink>
      <w:r w:rsidRPr="00E11D50">
        <w:rPr>
          <w:rFonts w:cs="Arial"/>
        </w:rPr>
        <w:t>. [Verified 21 December 2015</w:t>
      </w:r>
      <w:r>
        <w:rPr>
          <w:rFonts w:cs="Arial"/>
        </w:rPr>
        <w:t>].</w:t>
      </w:r>
    </w:p>
  </w:endnote>
  <w:endnote w:id="176">
    <w:p w14:paraId="3945608A" w14:textId="18907F9A" w:rsidR="0068666F" w:rsidRPr="00E11D50" w:rsidRDefault="0068666F">
      <w:pPr>
        <w:pStyle w:val="NormalWeb"/>
        <w:rPr>
          <w:rFonts w:ascii="Arial" w:hAnsi="Arial" w:cs="Arial"/>
          <w:sz w:val="20"/>
          <w:szCs w:val="20"/>
        </w:rPr>
      </w:pPr>
      <w:r w:rsidRPr="00E11D50">
        <w:rPr>
          <w:rFonts w:ascii="Arial" w:hAnsi="Arial" w:cs="Arial"/>
          <w:color w:val="191919"/>
          <w:sz w:val="20"/>
          <w:szCs w:val="20"/>
          <w:vertAlign w:val="superscript"/>
        </w:rPr>
        <w:endnoteRef/>
      </w:r>
      <w:r w:rsidRPr="00E11D50">
        <w:rPr>
          <w:rFonts w:ascii="Arial" w:hAnsi="Arial" w:cs="Arial"/>
          <w:color w:val="191919"/>
          <w:sz w:val="20"/>
          <w:szCs w:val="20"/>
        </w:rPr>
        <w:t xml:space="preserve"> Australian Bureau of Statistics, ‘Imprisonment rates’ </w:t>
      </w:r>
      <w:r w:rsidRPr="00E11D50">
        <w:rPr>
          <w:rFonts w:ascii="Arial" w:hAnsi="Arial" w:cs="Arial"/>
          <w:i/>
          <w:color w:val="191919"/>
          <w:sz w:val="20"/>
          <w:szCs w:val="20"/>
        </w:rPr>
        <w:t>Prisoners in Australia 2014</w:t>
      </w:r>
      <w:r w:rsidRPr="00E11D50">
        <w:rPr>
          <w:rFonts w:ascii="Arial" w:hAnsi="Arial" w:cs="Arial"/>
          <w:color w:val="191919"/>
          <w:sz w:val="20"/>
          <w:szCs w:val="20"/>
        </w:rPr>
        <w:t xml:space="preserve">, ABS cat. no. 4517.0. Available online at: </w:t>
      </w:r>
      <w:hyperlink r:id="rId57" w:history="1">
        <w:r w:rsidRPr="00E11D50">
          <w:rPr>
            <w:rStyle w:val="Hyperlink"/>
            <w:rFonts w:cs="Arial"/>
            <w:sz w:val="20"/>
            <w:szCs w:val="20"/>
          </w:rPr>
          <w:t>http://</w:t>
        </w:r>
        <w:proofErr w:type="spellStart"/>
        <w:r w:rsidRPr="00E11D50">
          <w:rPr>
            <w:rStyle w:val="Hyperlink"/>
            <w:rFonts w:cs="Arial"/>
            <w:sz w:val="20"/>
            <w:szCs w:val="20"/>
          </w:rPr>
          <w:t>www.abs.gov.au</w:t>
        </w:r>
        <w:proofErr w:type="spellEnd"/>
        <w:r w:rsidRPr="00E11D50">
          <w:rPr>
            <w:rStyle w:val="Hyperlink"/>
            <w:rFonts w:cs="Arial"/>
            <w:sz w:val="20"/>
            <w:szCs w:val="20"/>
          </w:rPr>
          <w:t>/</w:t>
        </w:r>
        <w:proofErr w:type="spellStart"/>
        <w:r w:rsidRPr="00E11D50">
          <w:rPr>
            <w:rStyle w:val="Hyperlink"/>
            <w:rFonts w:cs="Arial"/>
            <w:sz w:val="20"/>
            <w:szCs w:val="20"/>
          </w:rPr>
          <w:t>ausstats</w:t>
        </w:r>
        <w:proofErr w:type="spellEnd"/>
        <w:r w:rsidRPr="00E11D50">
          <w:rPr>
            <w:rStyle w:val="Hyperlink"/>
            <w:rFonts w:cs="Arial"/>
            <w:sz w:val="20"/>
            <w:szCs w:val="20"/>
          </w:rPr>
          <w:t>/abs@.</w:t>
        </w:r>
        <w:proofErr w:type="spellStart"/>
        <w:r w:rsidRPr="00E11D50">
          <w:rPr>
            <w:rStyle w:val="Hyperlink"/>
            <w:rFonts w:cs="Arial"/>
            <w:sz w:val="20"/>
            <w:szCs w:val="20"/>
          </w:rPr>
          <w:t>nsf</w:t>
        </w:r>
        <w:proofErr w:type="spellEnd"/>
        <w:r w:rsidRPr="00E11D50">
          <w:rPr>
            <w:rStyle w:val="Hyperlink"/>
            <w:rFonts w:cs="Arial"/>
            <w:sz w:val="20"/>
            <w:szCs w:val="20"/>
          </w:rPr>
          <w:t xml:space="preserve">/Lookup/by per cent </w:t>
        </w:r>
        <w:proofErr w:type="spellStart"/>
        <w:r w:rsidRPr="00E11D50">
          <w:rPr>
            <w:rStyle w:val="Hyperlink"/>
            <w:rFonts w:cs="Arial"/>
            <w:sz w:val="20"/>
            <w:szCs w:val="20"/>
          </w:rPr>
          <w:t>20Subject</w:t>
        </w:r>
        <w:proofErr w:type="spellEnd"/>
        <w:r w:rsidRPr="00E11D50">
          <w:rPr>
            <w:rStyle w:val="Hyperlink"/>
            <w:rFonts w:cs="Arial"/>
            <w:sz w:val="20"/>
            <w:szCs w:val="20"/>
          </w:rPr>
          <w:t>/</w:t>
        </w:r>
        <w:proofErr w:type="spellStart"/>
        <w:r w:rsidRPr="00E11D50">
          <w:rPr>
            <w:rStyle w:val="Hyperlink"/>
            <w:rFonts w:cs="Arial"/>
            <w:sz w:val="20"/>
            <w:szCs w:val="20"/>
          </w:rPr>
          <w:t>4517.0~2014~Main</w:t>
        </w:r>
        <w:proofErr w:type="spellEnd"/>
        <w:r w:rsidRPr="00E11D50">
          <w:rPr>
            <w:rStyle w:val="Hyperlink"/>
            <w:rFonts w:cs="Arial"/>
            <w:sz w:val="20"/>
            <w:szCs w:val="20"/>
          </w:rPr>
          <w:t xml:space="preserve"> per cent </w:t>
        </w:r>
        <w:proofErr w:type="spellStart"/>
        <w:r w:rsidRPr="00E11D50">
          <w:rPr>
            <w:rStyle w:val="Hyperlink"/>
            <w:rFonts w:cs="Arial"/>
            <w:sz w:val="20"/>
            <w:szCs w:val="20"/>
          </w:rPr>
          <w:t>20Features~Imprisonment</w:t>
        </w:r>
        <w:proofErr w:type="spellEnd"/>
        <w:r w:rsidRPr="00E11D50">
          <w:rPr>
            <w:rStyle w:val="Hyperlink"/>
            <w:rFonts w:cs="Arial"/>
            <w:sz w:val="20"/>
            <w:szCs w:val="20"/>
          </w:rPr>
          <w:t xml:space="preserve"> per cent </w:t>
        </w:r>
        <w:proofErr w:type="spellStart"/>
        <w:r w:rsidRPr="00E11D50">
          <w:rPr>
            <w:rStyle w:val="Hyperlink"/>
            <w:rFonts w:cs="Arial"/>
            <w:sz w:val="20"/>
            <w:szCs w:val="20"/>
          </w:rPr>
          <w:t>20rates~10009</w:t>
        </w:r>
        <w:proofErr w:type="spellEnd"/>
      </w:hyperlink>
      <w:r w:rsidRPr="00E11D50">
        <w:rPr>
          <w:rFonts w:ascii="Arial" w:hAnsi="Arial" w:cs="Arial"/>
          <w:color w:val="191919"/>
          <w:sz w:val="20"/>
          <w:szCs w:val="20"/>
        </w:rPr>
        <w:t>. [Verified 29 June 2015</w:t>
      </w:r>
      <w:r>
        <w:rPr>
          <w:rFonts w:ascii="Arial" w:hAnsi="Arial" w:cs="Arial"/>
          <w:color w:val="191919"/>
          <w:sz w:val="20"/>
          <w:szCs w:val="20"/>
        </w:rPr>
        <w:t>].</w:t>
      </w:r>
    </w:p>
  </w:endnote>
  <w:endnote w:id="177">
    <w:p w14:paraId="35957323" w14:textId="029A37D8"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Based on data in: </w:t>
      </w:r>
      <w:r w:rsidRPr="00E11D50">
        <w:rPr>
          <w:rFonts w:cs="Arial"/>
          <w:color w:val="191919"/>
        </w:rPr>
        <w:t>Australian Bureau of Statistics, ‘</w:t>
      </w:r>
      <w:r w:rsidRPr="00E11D50">
        <w:rPr>
          <w:rFonts w:cs="Arial"/>
          <w:i/>
          <w:color w:val="191919"/>
        </w:rPr>
        <w:t>Corrective Services, Australia, March Quarter 2015</w:t>
      </w:r>
      <w:r w:rsidRPr="00E11D50">
        <w:rPr>
          <w:rFonts w:cs="Arial"/>
          <w:color w:val="191919"/>
        </w:rPr>
        <w:t xml:space="preserve"> ’ ABS cat. no. 4512.0, 2015. Available online at: </w:t>
      </w:r>
      <w:hyperlink r:id="rId58" w:history="1">
        <w:r w:rsidRPr="00E11D50">
          <w:rPr>
            <w:rStyle w:val="Hyperlink"/>
            <w:rFonts w:eastAsia="Calibri" w:cs="Arial"/>
          </w:rPr>
          <w:t xml:space="preserve">http://www.abs.gov.au/AUSSTATS/abs@.nsf/Lookup/4512.0Main+Features1March per cent </w:t>
        </w:r>
        <w:proofErr w:type="spellStart"/>
        <w:r w:rsidRPr="00E11D50">
          <w:rPr>
            <w:rStyle w:val="Hyperlink"/>
            <w:rFonts w:eastAsia="Calibri" w:cs="Arial"/>
          </w:rPr>
          <w:t>20Quarter</w:t>
        </w:r>
        <w:proofErr w:type="spellEnd"/>
        <w:r w:rsidRPr="00E11D50">
          <w:rPr>
            <w:rStyle w:val="Hyperlink"/>
            <w:rFonts w:eastAsia="Calibri" w:cs="Arial"/>
          </w:rPr>
          <w:t xml:space="preserve"> per cent </w:t>
        </w:r>
        <w:proofErr w:type="spellStart"/>
        <w:r w:rsidRPr="00E11D50">
          <w:rPr>
            <w:rStyle w:val="Hyperlink"/>
            <w:rFonts w:eastAsia="Calibri" w:cs="Arial"/>
          </w:rPr>
          <w:t>202015?OpenDocument</w:t>
        </w:r>
        <w:proofErr w:type="spellEnd"/>
      </w:hyperlink>
      <w:r w:rsidRPr="00E11D50">
        <w:rPr>
          <w:rFonts w:cs="Arial"/>
          <w:color w:val="191919"/>
        </w:rPr>
        <w:t xml:space="preserve">. Data Cube, </w:t>
      </w:r>
      <w:r w:rsidRPr="00E11D50">
        <w:rPr>
          <w:rFonts w:cs="Arial"/>
          <w:lang w:val="en-US"/>
        </w:rPr>
        <w:t>Table 13 [Verified 30 June 2015</w:t>
      </w:r>
      <w:r>
        <w:rPr>
          <w:rFonts w:cs="Arial"/>
          <w:lang w:val="en-US"/>
        </w:rPr>
        <w:t>].</w:t>
      </w:r>
    </w:p>
  </w:endnote>
  <w:endnote w:id="178">
    <w:p w14:paraId="416ED9DC" w14:textId="1B08631B" w:rsidR="0068666F" w:rsidRPr="00E11D50" w:rsidRDefault="0068666F">
      <w:pPr>
        <w:autoSpaceDE w:val="0"/>
        <w:autoSpaceDN w:val="0"/>
        <w:adjustRightInd w:val="0"/>
        <w:rPr>
          <w:rFonts w:cs="Arial"/>
          <w:sz w:val="20"/>
          <w:szCs w:val="20"/>
        </w:rPr>
      </w:pPr>
      <w:r w:rsidRPr="00E11D50">
        <w:rPr>
          <w:rStyle w:val="EndnoteReference"/>
          <w:rFonts w:cs="Arial"/>
          <w:sz w:val="20"/>
          <w:szCs w:val="20"/>
        </w:rPr>
        <w:endnoteRef/>
      </w:r>
      <w:r w:rsidRPr="00E11D50">
        <w:rPr>
          <w:rFonts w:cs="Arial"/>
          <w:sz w:val="20"/>
          <w:szCs w:val="20"/>
        </w:rPr>
        <w:t xml:space="preserve"> Australian Bureau of Statistics, ‘Sentenced Prisoners’ </w:t>
      </w:r>
      <w:r w:rsidRPr="00E11D50">
        <w:rPr>
          <w:rFonts w:cs="Arial"/>
          <w:i/>
          <w:sz w:val="20"/>
          <w:szCs w:val="20"/>
        </w:rPr>
        <w:t xml:space="preserve">Prisoners in Australia 2014, </w:t>
      </w:r>
      <w:r w:rsidRPr="00E11D50">
        <w:rPr>
          <w:rFonts w:cs="Arial"/>
          <w:sz w:val="20"/>
          <w:szCs w:val="20"/>
        </w:rPr>
        <w:t xml:space="preserve">ABS cat. no. 4517.0, 2015. Available online at: </w:t>
      </w:r>
      <w:hyperlink r:id="rId59" w:history="1">
        <w:proofErr w:type="spellStart"/>
        <w:r w:rsidRPr="00E11D50">
          <w:rPr>
            <w:rStyle w:val="Hyperlink"/>
            <w:rFonts w:cs="Arial"/>
            <w:sz w:val="20"/>
            <w:szCs w:val="20"/>
          </w:rPr>
          <w:t>www.abs.gov.au</w:t>
        </w:r>
        <w:proofErr w:type="spellEnd"/>
        <w:r w:rsidRPr="00E11D50">
          <w:rPr>
            <w:rStyle w:val="Hyperlink"/>
            <w:rFonts w:cs="Arial"/>
            <w:sz w:val="20"/>
            <w:szCs w:val="20"/>
          </w:rPr>
          <w:t>/</w:t>
        </w:r>
        <w:proofErr w:type="spellStart"/>
        <w:r w:rsidRPr="00E11D50">
          <w:rPr>
            <w:rStyle w:val="Hyperlink"/>
            <w:rFonts w:cs="Arial"/>
            <w:sz w:val="20"/>
            <w:szCs w:val="20"/>
          </w:rPr>
          <w:t>ausstats</w:t>
        </w:r>
        <w:proofErr w:type="spellEnd"/>
        <w:r w:rsidRPr="00E11D50">
          <w:rPr>
            <w:rStyle w:val="Hyperlink"/>
            <w:rFonts w:cs="Arial"/>
            <w:sz w:val="20"/>
            <w:szCs w:val="20"/>
          </w:rPr>
          <w:t>/abs@.</w:t>
        </w:r>
        <w:proofErr w:type="spellStart"/>
        <w:r w:rsidRPr="00E11D50">
          <w:rPr>
            <w:rStyle w:val="Hyperlink"/>
            <w:rFonts w:cs="Arial"/>
            <w:sz w:val="20"/>
            <w:szCs w:val="20"/>
          </w:rPr>
          <w:t>nsf</w:t>
        </w:r>
        <w:proofErr w:type="spellEnd"/>
        <w:r w:rsidRPr="00E11D50">
          <w:rPr>
            <w:rStyle w:val="Hyperlink"/>
            <w:rFonts w:cs="Arial"/>
            <w:sz w:val="20"/>
            <w:szCs w:val="20"/>
          </w:rPr>
          <w:t xml:space="preserve">/Lookup/by per cent </w:t>
        </w:r>
        <w:proofErr w:type="spellStart"/>
        <w:r w:rsidRPr="00E11D50">
          <w:rPr>
            <w:rStyle w:val="Hyperlink"/>
            <w:rFonts w:cs="Arial"/>
            <w:sz w:val="20"/>
            <w:szCs w:val="20"/>
          </w:rPr>
          <w:t>20Subject</w:t>
        </w:r>
        <w:proofErr w:type="spellEnd"/>
        <w:r w:rsidRPr="00E11D50">
          <w:rPr>
            <w:rStyle w:val="Hyperlink"/>
            <w:rFonts w:cs="Arial"/>
            <w:sz w:val="20"/>
            <w:szCs w:val="20"/>
          </w:rPr>
          <w:t>/</w:t>
        </w:r>
        <w:proofErr w:type="spellStart"/>
        <w:r w:rsidRPr="00E11D50">
          <w:rPr>
            <w:rStyle w:val="Hyperlink"/>
            <w:rFonts w:cs="Arial"/>
            <w:sz w:val="20"/>
            <w:szCs w:val="20"/>
          </w:rPr>
          <w:t>4517.0~2014~Main</w:t>
        </w:r>
        <w:proofErr w:type="spellEnd"/>
        <w:r w:rsidRPr="00E11D50">
          <w:rPr>
            <w:rStyle w:val="Hyperlink"/>
            <w:rFonts w:cs="Arial"/>
            <w:sz w:val="20"/>
            <w:szCs w:val="20"/>
          </w:rPr>
          <w:t xml:space="preserve"> per cent </w:t>
        </w:r>
        <w:proofErr w:type="spellStart"/>
        <w:r w:rsidRPr="00E11D50">
          <w:rPr>
            <w:rStyle w:val="Hyperlink"/>
            <w:rFonts w:cs="Arial"/>
            <w:sz w:val="20"/>
            <w:szCs w:val="20"/>
          </w:rPr>
          <w:t>20Features~Sentenced</w:t>
        </w:r>
        <w:proofErr w:type="spellEnd"/>
        <w:r w:rsidRPr="00E11D50">
          <w:rPr>
            <w:rStyle w:val="Hyperlink"/>
            <w:rFonts w:cs="Arial"/>
            <w:sz w:val="20"/>
            <w:szCs w:val="20"/>
          </w:rPr>
          <w:t xml:space="preserve"> per cent </w:t>
        </w:r>
        <w:proofErr w:type="spellStart"/>
        <w:r w:rsidRPr="00E11D50">
          <w:rPr>
            <w:rStyle w:val="Hyperlink"/>
            <w:rFonts w:cs="Arial"/>
            <w:sz w:val="20"/>
            <w:szCs w:val="20"/>
          </w:rPr>
          <w:t>20prisoners~10012</w:t>
        </w:r>
        <w:proofErr w:type="spellEnd"/>
      </w:hyperlink>
      <w:r w:rsidRPr="00E11D50">
        <w:rPr>
          <w:rFonts w:cs="Arial"/>
          <w:sz w:val="20"/>
          <w:szCs w:val="20"/>
        </w:rPr>
        <w:t xml:space="preserve"> [Accessed 29 June 2015</w:t>
      </w:r>
      <w:r>
        <w:rPr>
          <w:rFonts w:cs="Arial"/>
          <w:sz w:val="20"/>
          <w:szCs w:val="20"/>
        </w:rPr>
        <w:t>].</w:t>
      </w:r>
    </w:p>
  </w:endnote>
  <w:endnote w:id="179">
    <w:p w14:paraId="54A8A616" w14:textId="77D6DDEB"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Australian Bureau of Statistics, ‘</w:t>
      </w:r>
      <w:proofErr w:type="spellStart"/>
      <w:r w:rsidRPr="00E11D50">
        <w:rPr>
          <w:rFonts w:cs="Arial"/>
        </w:rPr>
        <w:t>Unsentenced</w:t>
      </w:r>
      <w:proofErr w:type="spellEnd"/>
      <w:r w:rsidRPr="00E11D50">
        <w:rPr>
          <w:rFonts w:cs="Arial"/>
        </w:rPr>
        <w:t xml:space="preserve"> Prisoners’ </w:t>
      </w:r>
      <w:r w:rsidRPr="00E11D50">
        <w:rPr>
          <w:rFonts w:cs="Arial"/>
          <w:i/>
        </w:rPr>
        <w:t xml:space="preserve">Prisoners in Australia 2014, </w:t>
      </w:r>
      <w:r w:rsidRPr="00E11D50">
        <w:rPr>
          <w:rFonts w:cs="Arial"/>
        </w:rPr>
        <w:t xml:space="preserve">ABS cat. no. 4517.0, 2015. Available online at: </w:t>
      </w:r>
      <w:hyperlink r:id="rId60" w:history="1">
        <w:r w:rsidRPr="00E11D50">
          <w:rPr>
            <w:rStyle w:val="Hyperlink"/>
            <w:rFonts w:eastAsia="Calibri" w:cs="Arial"/>
          </w:rPr>
          <w:t>http://</w:t>
        </w:r>
        <w:proofErr w:type="spellStart"/>
        <w:r w:rsidRPr="00E11D50">
          <w:rPr>
            <w:rStyle w:val="Hyperlink"/>
            <w:rFonts w:eastAsia="Calibri" w:cs="Arial"/>
          </w:rPr>
          <w:t>www.abs.gov.au</w:t>
        </w:r>
        <w:proofErr w:type="spellEnd"/>
        <w:r w:rsidRPr="00E11D50">
          <w:rPr>
            <w:rStyle w:val="Hyperlink"/>
            <w:rFonts w:eastAsia="Calibri" w:cs="Arial"/>
          </w:rPr>
          <w:t>/</w:t>
        </w:r>
        <w:proofErr w:type="spellStart"/>
        <w:r w:rsidRPr="00E11D50">
          <w:rPr>
            <w:rStyle w:val="Hyperlink"/>
            <w:rFonts w:eastAsia="Calibri" w:cs="Arial"/>
          </w:rPr>
          <w:t>ausstats</w:t>
        </w:r>
        <w:proofErr w:type="spellEnd"/>
        <w:r w:rsidRPr="00E11D50">
          <w:rPr>
            <w:rStyle w:val="Hyperlink"/>
            <w:rFonts w:eastAsia="Calibri" w:cs="Arial"/>
          </w:rPr>
          <w:t>/abs@.</w:t>
        </w:r>
        <w:proofErr w:type="spellStart"/>
        <w:r w:rsidRPr="00E11D50">
          <w:rPr>
            <w:rStyle w:val="Hyperlink"/>
            <w:rFonts w:eastAsia="Calibri" w:cs="Arial"/>
          </w:rPr>
          <w:t>nsf</w:t>
        </w:r>
        <w:proofErr w:type="spellEnd"/>
        <w:r w:rsidRPr="00E11D50">
          <w:rPr>
            <w:rStyle w:val="Hyperlink"/>
            <w:rFonts w:eastAsia="Calibri" w:cs="Arial"/>
          </w:rPr>
          <w:t xml:space="preserve">/Lookup/by per cent </w:t>
        </w:r>
        <w:proofErr w:type="spellStart"/>
        <w:r w:rsidRPr="00E11D50">
          <w:rPr>
            <w:rStyle w:val="Hyperlink"/>
            <w:rFonts w:eastAsia="Calibri" w:cs="Arial"/>
          </w:rPr>
          <w:t>20Subject</w:t>
        </w:r>
        <w:proofErr w:type="spellEnd"/>
        <w:r w:rsidRPr="00E11D50">
          <w:rPr>
            <w:rStyle w:val="Hyperlink"/>
            <w:rFonts w:eastAsia="Calibri" w:cs="Arial"/>
          </w:rPr>
          <w:t>/</w:t>
        </w:r>
        <w:proofErr w:type="spellStart"/>
        <w:r w:rsidRPr="00E11D50">
          <w:rPr>
            <w:rStyle w:val="Hyperlink"/>
            <w:rFonts w:eastAsia="Calibri" w:cs="Arial"/>
          </w:rPr>
          <w:t>4517.0~2014~Main</w:t>
        </w:r>
        <w:proofErr w:type="spellEnd"/>
        <w:r w:rsidRPr="00E11D50">
          <w:rPr>
            <w:rStyle w:val="Hyperlink"/>
            <w:rFonts w:eastAsia="Calibri" w:cs="Arial"/>
          </w:rPr>
          <w:t xml:space="preserve"> per cent </w:t>
        </w:r>
        <w:proofErr w:type="spellStart"/>
        <w:r w:rsidRPr="00E11D50">
          <w:rPr>
            <w:rStyle w:val="Hyperlink"/>
            <w:rFonts w:eastAsia="Calibri" w:cs="Arial"/>
          </w:rPr>
          <w:t>20Features~Unsentenced</w:t>
        </w:r>
        <w:proofErr w:type="spellEnd"/>
        <w:r w:rsidRPr="00E11D50">
          <w:rPr>
            <w:rStyle w:val="Hyperlink"/>
            <w:rFonts w:eastAsia="Calibri" w:cs="Arial"/>
          </w:rPr>
          <w:t xml:space="preserve"> per cent </w:t>
        </w:r>
        <w:proofErr w:type="spellStart"/>
        <w:r w:rsidRPr="00E11D50">
          <w:rPr>
            <w:rStyle w:val="Hyperlink"/>
            <w:rFonts w:eastAsia="Calibri" w:cs="Arial"/>
          </w:rPr>
          <w:t>20prisoners~10013</w:t>
        </w:r>
        <w:proofErr w:type="spellEnd"/>
      </w:hyperlink>
      <w:r w:rsidRPr="00E11D50">
        <w:rPr>
          <w:rFonts w:cs="Arial"/>
        </w:rPr>
        <w:t xml:space="preserve"> [Verified 29 June 2015</w:t>
      </w:r>
      <w:r>
        <w:rPr>
          <w:rFonts w:cs="Arial"/>
        </w:rPr>
        <w:t>].</w:t>
      </w:r>
    </w:p>
  </w:endnote>
  <w:endnote w:id="180">
    <w:p w14:paraId="64F879AC" w14:textId="3CBF1AFB" w:rsidR="0068666F" w:rsidRPr="00E11D50" w:rsidRDefault="0068666F">
      <w:pPr>
        <w:pStyle w:val="NormalWeb"/>
        <w:rPr>
          <w:rFonts w:ascii="Arial" w:hAnsi="Arial" w:cs="Arial"/>
          <w:color w:val="191919"/>
          <w:sz w:val="20"/>
          <w:szCs w:val="20"/>
        </w:rPr>
      </w:pPr>
      <w:r w:rsidRPr="00E11D50">
        <w:rPr>
          <w:rStyle w:val="EndnoteReference"/>
          <w:rFonts w:cs="Arial"/>
          <w:sz w:val="20"/>
          <w:szCs w:val="20"/>
        </w:rPr>
        <w:endnoteRef/>
      </w:r>
      <w:r w:rsidRPr="00E11D50">
        <w:rPr>
          <w:rFonts w:ascii="Arial" w:hAnsi="Arial" w:cs="Arial"/>
          <w:sz w:val="20"/>
          <w:szCs w:val="20"/>
        </w:rPr>
        <w:t xml:space="preserve"> </w:t>
      </w:r>
      <w:r w:rsidRPr="00E11D50">
        <w:rPr>
          <w:rFonts w:ascii="Arial" w:hAnsi="Arial" w:cs="Arial"/>
          <w:color w:val="191919"/>
          <w:sz w:val="20"/>
          <w:szCs w:val="20"/>
        </w:rPr>
        <w:t xml:space="preserve">Australian Bureau of Statistics, </w:t>
      </w:r>
      <w:r w:rsidRPr="00E11D50">
        <w:rPr>
          <w:rFonts w:ascii="Arial" w:hAnsi="Arial" w:cs="Arial"/>
          <w:i/>
          <w:color w:val="191919"/>
          <w:sz w:val="20"/>
          <w:szCs w:val="20"/>
        </w:rPr>
        <w:t>Estimates of Aboriginal and Torres Strait Islander Australians, June 2011</w:t>
      </w:r>
      <w:r w:rsidRPr="00E11D50">
        <w:rPr>
          <w:rFonts w:ascii="Arial" w:hAnsi="Arial" w:cs="Arial"/>
          <w:color w:val="191919"/>
          <w:sz w:val="20"/>
          <w:szCs w:val="20"/>
        </w:rPr>
        <w:t xml:space="preserve">, ABS cat. no. 328.0.55.001. Online publication: </w:t>
      </w:r>
      <w:hyperlink r:id="rId61" w:history="1">
        <w:r w:rsidRPr="00E11D50">
          <w:rPr>
            <w:rStyle w:val="Hyperlink"/>
            <w:rFonts w:cs="Arial"/>
            <w:sz w:val="20"/>
            <w:szCs w:val="20"/>
          </w:rPr>
          <w:t>http://</w:t>
        </w:r>
        <w:proofErr w:type="spellStart"/>
        <w:r w:rsidRPr="00E11D50">
          <w:rPr>
            <w:rStyle w:val="Hyperlink"/>
            <w:rFonts w:cs="Arial"/>
            <w:sz w:val="20"/>
            <w:szCs w:val="20"/>
          </w:rPr>
          <w:t>www.abs.gov.au</w:t>
        </w:r>
        <w:proofErr w:type="spellEnd"/>
        <w:r w:rsidRPr="00E11D50">
          <w:rPr>
            <w:rStyle w:val="Hyperlink"/>
            <w:rFonts w:cs="Arial"/>
            <w:sz w:val="20"/>
            <w:szCs w:val="20"/>
          </w:rPr>
          <w:t>/</w:t>
        </w:r>
        <w:proofErr w:type="spellStart"/>
        <w:r w:rsidRPr="00E11D50">
          <w:rPr>
            <w:rStyle w:val="Hyperlink"/>
            <w:rFonts w:cs="Arial"/>
            <w:sz w:val="20"/>
            <w:szCs w:val="20"/>
          </w:rPr>
          <w:t>ausstats</w:t>
        </w:r>
        <w:proofErr w:type="spellEnd"/>
        <w:r w:rsidRPr="00E11D50">
          <w:rPr>
            <w:rStyle w:val="Hyperlink"/>
            <w:rFonts w:cs="Arial"/>
            <w:sz w:val="20"/>
            <w:szCs w:val="20"/>
          </w:rPr>
          <w:t>/abs@.</w:t>
        </w:r>
        <w:proofErr w:type="spellStart"/>
        <w:r w:rsidRPr="00E11D50">
          <w:rPr>
            <w:rStyle w:val="Hyperlink"/>
            <w:rFonts w:cs="Arial"/>
            <w:sz w:val="20"/>
            <w:szCs w:val="20"/>
          </w:rPr>
          <w:t>nsf</w:t>
        </w:r>
        <w:proofErr w:type="spellEnd"/>
        <w:r w:rsidRPr="00E11D50">
          <w:rPr>
            <w:rStyle w:val="Hyperlink"/>
            <w:rFonts w:cs="Arial"/>
            <w:sz w:val="20"/>
            <w:szCs w:val="20"/>
          </w:rPr>
          <w:t>/mf/3238.0.55.001</w:t>
        </w:r>
      </w:hyperlink>
      <w:r>
        <w:rPr>
          <w:rFonts w:ascii="Arial" w:hAnsi="Arial" w:cs="Arial"/>
          <w:color w:val="191919"/>
          <w:sz w:val="20"/>
          <w:szCs w:val="20"/>
        </w:rPr>
        <w:t xml:space="preserve">. </w:t>
      </w:r>
      <w:r w:rsidRPr="00E11D50">
        <w:rPr>
          <w:rFonts w:ascii="Arial" w:hAnsi="Arial" w:cs="Arial"/>
          <w:color w:val="191919"/>
          <w:sz w:val="20"/>
          <w:szCs w:val="20"/>
        </w:rPr>
        <w:t>[Accessed 29 June 2015</w:t>
      </w:r>
      <w:r>
        <w:rPr>
          <w:rFonts w:ascii="Arial" w:hAnsi="Arial" w:cs="Arial"/>
          <w:color w:val="191919"/>
          <w:sz w:val="20"/>
          <w:szCs w:val="20"/>
        </w:rPr>
        <w:t>].</w:t>
      </w:r>
    </w:p>
  </w:endnote>
  <w:endnote w:id="181">
    <w:p w14:paraId="2B60B9F7" w14:textId="675BA0ED"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Australian Medical Association, </w:t>
      </w:r>
      <w:r w:rsidRPr="00E11D50">
        <w:rPr>
          <w:rFonts w:cs="Arial"/>
          <w:i/>
          <w:color w:val="000000" w:themeColor="text1"/>
        </w:rPr>
        <w:t xml:space="preserve">2015 </w:t>
      </w:r>
      <w:proofErr w:type="spellStart"/>
      <w:r w:rsidRPr="00E11D50">
        <w:rPr>
          <w:rFonts w:cs="Arial"/>
          <w:i/>
          <w:color w:val="000000" w:themeColor="text1"/>
        </w:rPr>
        <w:t>AMA</w:t>
      </w:r>
      <w:proofErr w:type="spellEnd"/>
      <w:r w:rsidRPr="00E11D50">
        <w:rPr>
          <w:rFonts w:cs="Arial"/>
          <w:i/>
          <w:color w:val="000000" w:themeColor="text1"/>
        </w:rPr>
        <w:t xml:space="preserve"> Report Card on Indigenous Health </w:t>
      </w:r>
      <w:r>
        <w:rPr>
          <w:rFonts w:cs="Arial"/>
          <w:i/>
          <w:color w:val="000000" w:themeColor="text1"/>
        </w:rPr>
        <w:t>–</w:t>
      </w:r>
      <w:r w:rsidRPr="00E11D50">
        <w:rPr>
          <w:rFonts w:cs="Arial"/>
          <w:i/>
          <w:color w:val="000000" w:themeColor="text1"/>
        </w:rPr>
        <w:t xml:space="preserve"> Closing the Gap on Indigenous Imprisonment Rates</w:t>
      </w:r>
      <w:r w:rsidRPr="00E11D50">
        <w:rPr>
          <w:rFonts w:cs="Arial"/>
          <w:color w:val="000000" w:themeColor="text1"/>
        </w:rPr>
        <w:t xml:space="preserve">, 2015. Available online at: </w:t>
      </w:r>
      <w:hyperlink r:id="rId62" w:history="1">
        <w:r w:rsidRPr="00E11D50">
          <w:rPr>
            <w:rStyle w:val="Hyperlink"/>
            <w:rFonts w:cs="Arial"/>
          </w:rPr>
          <w:t>https://ama.com.au/sites/default/files/documents/2015%20Report%20Card%20on%20Indigenous%20Health_0.pdf</w:t>
        </w:r>
      </w:hyperlink>
      <w:r w:rsidRPr="00E11D50">
        <w:rPr>
          <w:rFonts w:cs="Arial"/>
          <w:color w:val="000000" w:themeColor="text1"/>
        </w:rPr>
        <w:t>.</w:t>
      </w:r>
    </w:p>
  </w:endnote>
  <w:endnote w:id="182">
    <w:p w14:paraId="38CB0396" w14:textId="24C6A555"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See Gillard J (Prime Minister), Macklin J (Minister for Families, Communities, Housing and Indigenous Affairs), </w:t>
      </w:r>
      <w:r w:rsidRPr="00E11D50">
        <w:rPr>
          <w:rFonts w:cs="Arial"/>
          <w:color w:val="343434"/>
        </w:rPr>
        <w:t xml:space="preserve">Closing the gap for Indigenous people with disability (Media Release) 16 May 2013. Available online at: </w:t>
      </w:r>
      <w:hyperlink r:id="rId63" w:history="1">
        <w:r w:rsidRPr="00E11D50">
          <w:rPr>
            <w:rStyle w:val="Hyperlink"/>
            <w:rFonts w:cs="Arial"/>
          </w:rPr>
          <w:t>http://www.formerministers.dss.gov.au/13084/closing-the-gap-for-indigenous-people-with-disability/</w:t>
        </w:r>
      </w:hyperlink>
      <w:r>
        <w:rPr>
          <w:rFonts w:cs="Arial"/>
        </w:rPr>
        <w:t xml:space="preserve">. </w:t>
      </w:r>
      <w:r w:rsidRPr="00E11D50">
        <w:rPr>
          <w:rFonts w:cs="Arial"/>
        </w:rPr>
        <w:t>[Verified 21 December 2015</w:t>
      </w:r>
      <w:r>
        <w:rPr>
          <w:rFonts w:cs="Arial"/>
        </w:rPr>
        <w:t>].</w:t>
      </w:r>
    </w:p>
  </w:endnote>
  <w:endnote w:id="183">
    <w:p w14:paraId="5F555693" w14:textId="60446940"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Macklin J (Minister for Families, Communities, Housing and Indigenous Affairs), Closing the Gap (Media Release) 9 August 2013. Available online at: </w:t>
      </w:r>
      <w:hyperlink r:id="rId64" w:history="1">
        <w:r w:rsidRPr="00E11D50">
          <w:rPr>
            <w:rStyle w:val="Hyperlink"/>
            <w:rFonts w:cs="Arial"/>
          </w:rPr>
          <w:t>http://</w:t>
        </w:r>
        <w:proofErr w:type="spellStart"/>
        <w:r w:rsidRPr="00E11D50">
          <w:rPr>
            <w:rStyle w:val="Hyperlink"/>
            <w:rFonts w:cs="Arial"/>
          </w:rPr>
          <w:t>www.alp.org.au</w:t>
        </w:r>
        <w:proofErr w:type="spellEnd"/>
        <w:r w:rsidRPr="00E11D50">
          <w:rPr>
            <w:rStyle w:val="Hyperlink"/>
            <w:rFonts w:cs="Arial"/>
          </w:rPr>
          <w:t>/</w:t>
        </w:r>
        <w:proofErr w:type="spellStart"/>
        <w:r w:rsidRPr="00E11D50">
          <w:rPr>
            <w:rStyle w:val="Hyperlink"/>
            <w:rFonts w:cs="Arial"/>
          </w:rPr>
          <w:t>cm5_090813</w:t>
        </w:r>
        <w:proofErr w:type="spellEnd"/>
      </w:hyperlink>
      <w:r w:rsidRPr="00E11D50">
        <w:rPr>
          <w:rFonts w:cs="Arial"/>
        </w:rPr>
        <w:t>. [Verified 21 December 2015</w:t>
      </w:r>
      <w:r>
        <w:rPr>
          <w:rFonts w:cs="Arial"/>
        </w:rPr>
        <w:t>].</w:t>
      </w:r>
    </w:p>
  </w:endnote>
  <w:endnote w:id="184">
    <w:p w14:paraId="67E7315F" w14:textId="77777777"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proofErr w:type="spellStart"/>
      <w:r w:rsidRPr="00E11D50">
        <w:rPr>
          <w:rFonts w:cs="Arial"/>
          <w:lang w:val="en-US"/>
        </w:rPr>
        <w:t>Gooda</w:t>
      </w:r>
      <w:proofErr w:type="spellEnd"/>
      <w:r w:rsidRPr="00E11D50">
        <w:rPr>
          <w:rFonts w:cs="Arial"/>
          <w:lang w:val="en-US"/>
        </w:rPr>
        <w:t xml:space="preserve"> M (Aboriginal and Torres Strait Islander Social Justice Commissioner), </w:t>
      </w:r>
      <w:r w:rsidRPr="00E11D50">
        <w:rPr>
          <w:rFonts w:cs="Arial"/>
          <w:i/>
          <w:lang w:val="en-US"/>
        </w:rPr>
        <w:t xml:space="preserve">Social Justice and Native Title Report 2015, </w:t>
      </w:r>
      <w:r w:rsidRPr="00E11D50">
        <w:rPr>
          <w:rFonts w:cs="Arial"/>
          <w:lang w:val="en-US"/>
        </w:rPr>
        <w:t>Australian Human Rights Commission, Sydney, 2015.</w:t>
      </w:r>
    </w:p>
  </w:endnote>
  <w:endnote w:id="185">
    <w:p w14:paraId="2B5DFFE6" w14:textId="5D0369C1" w:rsidR="0068666F" w:rsidRPr="00E11D50" w:rsidRDefault="0068666F" w:rsidP="00040CF1">
      <w:pPr>
        <w:autoSpaceDE w:val="0"/>
        <w:autoSpaceDN w:val="0"/>
        <w:adjustRightInd w:val="0"/>
        <w:rPr>
          <w:rFonts w:cs="Arial"/>
          <w:sz w:val="20"/>
          <w:szCs w:val="20"/>
        </w:rPr>
      </w:pPr>
      <w:r w:rsidRPr="00E11D50">
        <w:rPr>
          <w:rStyle w:val="EndnoteReference"/>
          <w:rFonts w:cs="Arial"/>
          <w:sz w:val="20"/>
          <w:szCs w:val="20"/>
        </w:rPr>
        <w:endnoteRef/>
      </w:r>
      <w:r w:rsidRPr="00E11D50">
        <w:rPr>
          <w:rFonts w:cs="Arial"/>
          <w:sz w:val="20"/>
          <w:szCs w:val="20"/>
        </w:rPr>
        <w:t xml:space="preserve"> </w:t>
      </w:r>
      <w:r w:rsidRPr="00E11D50">
        <w:rPr>
          <w:rFonts w:eastAsia="Times New Roman" w:cs="Arial"/>
          <w:sz w:val="20"/>
          <w:szCs w:val="20"/>
        </w:rPr>
        <w:t xml:space="preserve">Australian Institute of Health and Welfare, </w:t>
      </w:r>
      <w:r w:rsidRPr="00E11D50">
        <w:rPr>
          <w:rFonts w:eastAsia="Times New Roman" w:cs="Arial"/>
          <w:i/>
          <w:sz w:val="20"/>
          <w:szCs w:val="20"/>
        </w:rPr>
        <w:t>The health and welfare of Australia’s Aboriginal and Torres Strait Islander peoples 2015</w:t>
      </w:r>
      <w:r w:rsidRPr="00E11D50">
        <w:rPr>
          <w:rFonts w:eastAsia="Times New Roman" w:cs="Arial"/>
          <w:sz w:val="20"/>
          <w:szCs w:val="20"/>
        </w:rPr>
        <w:t xml:space="preserve">. Cat. no. </w:t>
      </w:r>
      <w:proofErr w:type="spellStart"/>
      <w:r w:rsidRPr="00E11D50">
        <w:rPr>
          <w:rFonts w:eastAsia="Times New Roman" w:cs="Arial"/>
          <w:sz w:val="20"/>
          <w:szCs w:val="20"/>
        </w:rPr>
        <w:t>IHW</w:t>
      </w:r>
      <w:proofErr w:type="spellEnd"/>
      <w:r w:rsidRPr="00E11D50">
        <w:rPr>
          <w:rFonts w:eastAsia="Times New Roman" w:cs="Arial"/>
          <w:sz w:val="20"/>
          <w:szCs w:val="20"/>
        </w:rPr>
        <w:t xml:space="preserve"> 147, </w:t>
      </w:r>
      <w:proofErr w:type="spellStart"/>
      <w:r w:rsidRPr="00E11D50">
        <w:rPr>
          <w:rFonts w:eastAsia="Times New Roman" w:cs="Arial"/>
          <w:sz w:val="20"/>
          <w:szCs w:val="20"/>
        </w:rPr>
        <w:t>AIHW</w:t>
      </w:r>
      <w:proofErr w:type="spellEnd"/>
      <w:r w:rsidRPr="00E11D50">
        <w:rPr>
          <w:rFonts w:eastAsia="Times New Roman" w:cs="Arial"/>
          <w:sz w:val="20"/>
          <w:szCs w:val="20"/>
        </w:rPr>
        <w:t xml:space="preserve"> Canberra, 2015, </w:t>
      </w:r>
      <w:r>
        <w:rPr>
          <w:rFonts w:eastAsia="Times New Roman" w:cs="Arial"/>
          <w:sz w:val="20"/>
          <w:szCs w:val="20"/>
        </w:rPr>
        <w:t xml:space="preserve">p </w:t>
      </w:r>
      <w:r w:rsidRPr="00E11D50">
        <w:rPr>
          <w:rFonts w:eastAsia="Times New Roman" w:cs="Arial"/>
          <w:sz w:val="20"/>
          <w:szCs w:val="20"/>
        </w:rPr>
        <w:t>104.</w:t>
      </w:r>
    </w:p>
  </w:endnote>
  <w:endnote w:id="186">
    <w:p w14:paraId="502EF418" w14:textId="111EB52F"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Australian Institute of Health and Welfare, </w:t>
      </w:r>
      <w:r w:rsidRPr="00E11D50">
        <w:rPr>
          <w:rFonts w:cs="Arial"/>
          <w:i/>
        </w:rPr>
        <w:t>The health and welfare of Australia’s Aboriginal and Torres Strait Islander peoples 2015</w:t>
      </w:r>
      <w:r w:rsidRPr="00E11D50">
        <w:rPr>
          <w:rFonts w:cs="Arial"/>
        </w:rPr>
        <w:t xml:space="preserve">. Cat. no. </w:t>
      </w:r>
      <w:proofErr w:type="spellStart"/>
      <w:r w:rsidRPr="00E11D50">
        <w:rPr>
          <w:rFonts w:cs="Arial"/>
        </w:rPr>
        <w:t>IHW</w:t>
      </w:r>
      <w:proofErr w:type="spellEnd"/>
      <w:r w:rsidRPr="00E11D50">
        <w:rPr>
          <w:rFonts w:cs="Arial"/>
        </w:rPr>
        <w:t xml:space="preserve"> 147, </w:t>
      </w:r>
      <w:proofErr w:type="spellStart"/>
      <w:r w:rsidRPr="00E11D50">
        <w:rPr>
          <w:rFonts w:cs="Arial"/>
        </w:rPr>
        <w:t>AIHW</w:t>
      </w:r>
      <w:proofErr w:type="spellEnd"/>
      <w:r w:rsidRPr="00E11D50">
        <w:rPr>
          <w:rFonts w:cs="Arial"/>
        </w:rPr>
        <w:t xml:space="preserve"> Canberra, 2015, </w:t>
      </w:r>
      <w:r>
        <w:rPr>
          <w:rFonts w:cs="Arial"/>
        </w:rPr>
        <w:t xml:space="preserve">p </w:t>
      </w:r>
      <w:r w:rsidRPr="00E11D50">
        <w:rPr>
          <w:rFonts w:cs="Arial"/>
        </w:rPr>
        <w:t>105.</w:t>
      </w:r>
    </w:p>
  </w:endnote>
  <w:endnote w:id="187">
    <w:p w14:paraId="345718E2" w14:textId="09A91A18"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Australian Institute of Health and Welfare, </w:t>
      </w:r>
      <w:r w:rsidRPr="00E11D50">
        <w:rPr>
          <w:rFonts w:cs="Arial"/>
          <w:i/>
        </w:rPr>
        <w:t>The health and welfare of Australia’s Aboriginal and Torres Strait Islander peoples 2015</w:t>
      </w:r>
      <w:r w:rsidRPr="00E11D50">
        <w:rPr>
          <w:rFonts w:cs="Arial"/>
        </w:rPr>
        <w:t xml:space="preserve">. Cat. no. </w:t>
      </w:r>
      <w:proofErr w:type="spellStart"/>
      <w:r w:rsidRPr="00E11D50">
        <w:rPr>
          <w:rFonts w:cs="Arial"/>
        </w:rPr>
        <w:t>IHW</w:t>
      </w:r>
      <w:proofErr w:type="spellEnd"/>
      <w:r w:rsidRPr="00E11D50">
        <w:rPr>
          <w:rFonts w:cs="Arial"/>
        </w:rPr>
        <w:t xml:space="preserve"> 147, </w:t>
      </w:r>
      <w:proofErr w:type="spellStart"/>
      <w:r w:rsidRPr="00E11D50">
        <w:rPr>
          <w:rFonts w:cs="Arial"/>
        </w:rPr>
        <w:t>AIHW</w:t>
      </w:r>
      <w:proofErr w:type="spellEnd"/>
      <w:r w:rsidRPr="00E11D50">
        <w:rPr>
          <w:rFonts w:cs="Arial"/>
        </w:rPr>
        <w:t xml:space="preserve"> Canberra, 2015, </w:t>
      </w:r>
      <w:r>
        <w:rPr>
          <w:rFonts w:cs="Arial"/>
        </w:rPr>
        <w:t xml:space="preserve">p </w:t>
      </w:r>
      <w:r w:rsidRPr="00E11D50">
        <w:rPr>
          <w:rFonts w:cs="Arial"/>
        </w:rPr>
        <w:t>105.</w:t>
      </w:r>
    </w:p>
  </w:endnote>
  <w:endnote w:id="188">
    <w:p w14:paraId="0C62599E" w14:textId="2EA13CF3"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Australian Institute of Health and Welfare, </w:t>
      </w:r>
      <w:r w:rsidRPr="00E11D50">
        <w:rPr>
          <w:rFonts w:cs="Arial"/>
          <w:i/>
        </w:rPr>
        <w:t>The health and welfare of Australia’s Aboriginal and Torres Strait Islander peoples 2015</w:t>
      </w:r>
      <w:r w:rsidRPr="00E11D50">
        <w:rPr>
          <w:rFonts w:cs="Arial"/>
        </w:rPr>
        <w:t xml:space="preserve">. Cat. no. </w:t>
      </w:r>
      <w:proofErr w:type="spellStart"/>
      <w:r w:rsidRPr="00E11D50">
        <w:rPr>
          <w:rFonts w:cs="Arial"/>
        </w:rPr>
        <w:t>IHW</w:t>
      </w:r>
      <w:proofErr w:type="spellEnd"/>
      <w:r w:rsidRPr="00E11D50">
        <w:rPr>
          <w:rFonts w:cs="Arial"/>
        </w:rPr>
        <w:t xml:space="preserve"> 147, </w:t>
      </w:r>
      <w:proofErr w:type="spellStart"/>
      <w:r w:rsidRPr="00E11D50">
        <w:rPr>
          <w:rFonts w:cs="Arial"/>
        </w:rPr>
        <w:t>AIHW</w:t>
      </w:r>
      <w:proofErr w:type="spellEnd"/>
      <w:r w:rsidRPr="00E11D50">
        <w:rPr>
          <w:rFonts w:cs="Arial"/>
        </w:rPr>
        <w:t xml:space="preserve"> Canberra, 2015, </w:t>
      </w:r>
      <w:r>
        <w:rPr>
          <w:rFonts w:cs="Arial"/>
        </w:rPr>
        <w:t xml:space="preserve">p </w:t>
      </w:r>
      <w:r w:rsidRPr="00E11D50">
        <w:rPr>
          <w:rFonts w:cs="Arial"/>
        </w:rPr>
        <w:t>105.</w:t>
      </w:r>
    </w:p>
  </w:endnote>
  <w:endnote w:id="189">
    <w:p w14:paraId="3414A8C3" w14:textId="355AC76D"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Australian Institute of Health and Welfare, </w:t>
      </w:r>
      <w:r w:rsidRPr="00E11D50">
        <w:rPr>
          <w:rFonts w:cs="Arial"/>
          <w:i/>
        </w:rPr>
        <w:t>The health and welfare of Australia’s Aboriginal and Torres Strait Islander peoples 2015</w:t>
      </w:r>
      <w:r w:rsidRPr="00E11D50">
        <w:rPr>
          <w:rFonts w:cs="Arial"/>
        </w:rPr>
        <w:t xml:space="preserve">. Cat. no. </w:t>
      </w:r>
      <w:proofErr w:type="spellStart"/>
      <w:r w:rsidRPr="00E11D50">
        <w:rPr>
          <w:rFonts w:cs="Arial"/>
        </w:rPr>
        <w:t>IHW</w:t>
      </w:r>
      <w:proofErr w:type="spellEnd"/>
      <w:r w:rsidRPr="00E11D50">
        <w:rPr>
          <w:rFonts w:cs="Arial"/>
        </w:rPr>
        <w:t xml:space="preserve"> 147, </w:t>
      </w:r>
      <w:proofErr w:type="spellStart"/>
      <w:r w:rsidRPr="00E11D50">
        <w:rPr>
          <w:rFonts w:cs="Arial"/>
        </w:rPr>
        <w:t>AIHW</w:t>
      </w:r>
      <w:proofErr w:type="spellEnd"/>
      <w:r w:rsidRPr="00E11D50">
        <w:rPr>
          <w:rFonts w:cs="Arial"/>
        </w:rPr>
        <w:t xml:space="preserve"> Canberra, 2015, </w:t>
      </w:r>
      <w:r>
        <w:rPr>
          <w:rFonts w:cs="Arial"/>
        </w:rPr>
        <w:t xml:space="preserve">p </w:t>
      </w:r>
      <w:r w:rsidRPr="00E11D50">
        <w:rPr>
          <w:rFonts w:cs="Arial"/>
        </w:rPr>
        <w:t>105.</w:t>
      </w:r>
    </w:p>
  </w:endnote>
  <w:endnote w:id="190">
    <w:p w14:paraId="179B1AAF" w14:textId="2A114150"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Australian Institute of Health and Welfare, </w:t>
      </w:r>
      <w:r w:rsidRPr="00E11D50">
        <w:rPr>
          <w:rFonts w:cs="Arial"/>
          <w:i/>
        </w:rPr>
        <w:t>The health and welfare of Australia’s Aboriginal and Torres Strait Islander peoples 2015</w:t>
      </w:r>
      <w:r w:rsidRPr="00E11D50">
        <w:rPr>
          <w:rFonts w:cs="Arial"/>
        </w:rPr>
        <w:t xml:space="preserve">. Cat. no. </w:t>
      </w:r>
      <w:proofErr w:type="spellStart"/>
      <w:r w:rsidRPr="00E11D50">
        <w:rPr>
          <w:rFonts w:cs="Arial"/>
        </w:rPr>
        <w:t>IHW</w:t>
      </w:r>
      <w:proofErr w:type="spellEnd"/>
      <w:r w:rsidRPr="00E11D50">
        <w:rPr>
          <w:rFonts w:cs="Arial"/>
        </w:rPr>
        <w:t xml:space="preserve"> 147, </w:t>
      </w:r>
      <w:proofErr w:type="spellStart"/>
      <w:r w:rsidRPr="00E11D50">
        <w:rPr>
          <w:rFonts w:cs="Arial"/>
        </w:rPr>
        <w:t>AIHW</w:t>
      </w:r>
      <w:proofErr w:type="spellEnd"/>
      <w:r w:rsidRPr="00E11D50">
        <w:rPr>
          <w:rFonts w:cs="Arial"/>
        </w:rPr>
        <w:t xml:space="preserve"> Canberra, 2015, </w:t>
      </w:r>
      <w:r>
        <w:rPr>
          <w:rFonts w:cs="Arial"/>
        </w:rPr>
        <w:t xml:space="preserve">p </w:t>
      </w:r>
      <w:r w:rsidRPr="00E11D50">
        <w:rPr>
          <w:rFonts w:cs="Arial"/>
        </w:rPr>
        <w:t>107.</w:t>
      </w:r>
    </w:p>
  </w:endnote>
  <w:endnote w:id="191">
    <w:p w14:paraId="345B56E2" w14:textId="63015EF0"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Australian Institute of Health and Welfare, </w:t>
      </w:r>
      <w:r w:rsidRPr="00E11D50">
        <w:rPr>
          <w:rFonts w:cs="Arial"/>
          <w:i/>
        </w:rPr>
        <w:t>The health and welfare of Australia’s Aboriginal and Torres Strait Islander peoples 2015</w:t>
      </w:r>
      <w:r w:rsidRPr="00E11D50">
        <w:rPr>
          <w:rFonts w:cs="Arial"/>
        </w:rPr>
        <w:t xml:space="preserve">. Cat. no. </w:t>
      </w:r>
      <w:proofErr w:type="spellStart"/>
      <w:r w:rsidRPr="00E11D50">
        <w:rPr>
          <w:rFonts w:cs="Arial"/>
        </w:rPr>
        <w:t>IHW</w:t>
      </w:r>
      <w:proofErr w:type="spellEnd"/>
      <w:r w:rsidRPr="00E11D50">
        <w:rPr>
          <w:rFonts w:cs="Arial"/>
        </w:rPr>
        <w:t xml:space="preserve"> 147, </w:t>
      </w:r>
      <w:proofErr w:type="spellStart"/>
      <w:r w:rsidRPr="00E11D50">
        <w:rPr>
          <w:rFonts w:cs="Arial"/>
        </w:rPr>
        <w:t>AIHW</w:t>
      </w:r>
      <w:proofErr w:type="spellEnd"/>
      <w:r w:rsidRPr="00E11D50">
        <w:rPr>
          <w:rFonts w:cs="Arial"/>
        </w:rPr>
        <w:t xml:space="preserve"> Canberra, 2015, </w:t>
      </w:r>
      <w:r>
        <w:rPr>
          <w:rFonts w:cs="Arial"/>
        </w:rPr>
        <w:t xml:space="preserve">p </w:t>
      </w:r>
      <w:r w:rsidRPr="00E11D50">
        <w:rPr>
          <w:rFonts w:cs="Arial"/>
        </w:rPr>
        <w:t>107.</w:t>
      </w:r>
    </w:p>
  </w:endnote>
  <w:endnote w:id="192">
    <w:p w14:paraId="519F66E8" w14:textId="77777777" w:rsidR="0068666F" w:rsidRPr="00E11D50" w:rsidRDefault="0068666F" w:rsidP="00CB6F31">
      <w:pPr>
        <w:pStyle w:val="EndnoteText"/>
        <w:rPr>
          <w:rFonts w:cs="Arial"/>
          <w:color w:val="000000" w:themeColor="text1"/>
          <w:lang w:val="en-US"/>
        </w:rPr>
      </w:pPr>
      <w:r w:rsidRPr="00E11D50">
        <w:rPr>
          <w:rStyle w:val="EndnoteReference"/>
          <w:rFonts w:cs="Arial"/>
          <w:color w:val="000000" w:themeColor="text1"/>
          <w:sz w:val="20"/>
        </w:rPr>
        <w:endnoteRef/>
      </w:r>
      <w:r w:rsidRPr="00E11D50">
        <w:rPr>
          <w:rFonts w:cs="Arial"/>
          <w:color w:val="000000" w:themeColor="text1"/>
        </w:rPr>
        <w:t xml:space="preserve"> Australian Institute of Health and Welfare, </w:t>
      </w:r>
      <w:r w:rsidRPr="00E11D50">
        <w:rPr>
          <w:rFonts w:cs="Arial"/>
          <w:i/>
          <w:color w:val="000000" w:themeColor="text1"/>
        </w:rPr>
        <w:t>The health and welfare of Australia’s Aboriginal and Torres Strait Islander peoples 2015</w:t>
      </w:r>
      <w:r w:rsidRPr="00E11D50">
        <w:rPr>
          <w:rFonts w:cs="Arial"/>
          <w:color w:val="000000" w:themeColor="text1"/>
        </w:rPr>
        <w:t xml:space="preserve">. Cat. no. </w:t>
      </w:r>
      <w:proofErr w:type="spellStart"/>
      <w:r w:rsidRPr="00E11D50">
        <w:rPr>
          <w:rFonts w:cs="Arial"/>
          <w:color w:val="000000" w:themeColor="text1"/>
        </w:rPr>
        <w:t>IHW</w:t>
      </w:r>
      <w:proofErr w:type="spellEnd"/>
      <w:r w:rsidRPr="00E11D50">
        <w:rPr>
          <w:rFonts w:cs="Arial"/>
          <w:color w:val="000000" w:themeColor="text1"/>
        </w:rPr>
        <w:t xml:space="preserve"> 147, </w:t>
      </w:r>
      <w:proofErr w:type="spellStart"/>
      <w:r w:rsidRPr="00E11D50">
        <w:rPr>
          <w:rFonts w:cs="Arial"/>
          <w:color w:val="000000" w:themeColor="text1"/>
        </w:rPr>
        <w:t>AIHW</w:t>
      </w:r>
      <w:proofErr w:type="spellEnd"/>
      <w:r w:rsidRPr="00E11D50">
        <w:rPr>
          <w:rFonts w:cs="Arial"/>
          <w:color w:val="000000" w:themeColor="text1"/>
        </w:rPr>
        <w:t xml:space="preserve"> Canberra, 2015, </w:t>
      </w:r>
      <w:r>
        <w:rPr>
          <w:rFonts w:cs="Arial"/>
          <w:color w:val="000000" w:themeColor="text1"/>
        </w:rPr>
        <w:t xml:space="preserve">p </w:t>
      </w:r>
      <w:r w:rsidRPr="00E11D50">
        <w:rPr>
          <w:rFonts w:cs="Arial"/>
          <w:color w:val="000000" w:themeColor="text1"/>
        </w:rPr>
        <w:t>107.</w:t>
      </w:r>
    </w:p>
  </w:endnote>
  <w:endnote w:id="193">
    <w:p w14:paraId="6B3BBB54" w14:textId="77777777" w:rsidR="0068666F" w:rsidRPr="00E11D50" w:rsidRDefault="0068666F" w:rsidP="00CB6F31">
      <w:pPr>
        <w:pStyle w:val="EndnoteText"/>
        <w:rPr>
          <w:rFonts w:cs="Arial"/>
          <w:color w:val="000000" w:themeColor="text1"/>
          <w:lang w:val="en-US"/>
        </w:rPr>
      </w:pPr>
      <w:r w:rsidRPr="00E11D50">
        <w:rPr>
          <w:rStyle w:val="EndnoteReference"/>
          <w:rFonts w:cs="Arial"/>
          <w:color w:val="000000" w:themeColor="text1"/>
          <w:sz w:val="20"/>
        </w:rPr>
        <w:endnoteRef/>
      </w:r>
      <w:r w:rsidRPr="00E11D50">
        <w:rPr>
          <w:rFonts w:cs="Arial"/>
          <w:color w:val="000000" w:themeColor="text1"/>
        </w:rPr>
        <w:t xml:space="preserve"> Australian Institute of Health and Welfare, </w:t>
      </w:r>
      <w:r w:rsidRPr="00E11D50">
        <w:rPr>
          <w:rFonts w:cs="Arial"/>
          <w:i/>
          <w:color w:val="000000" w:themeColor="text1"/>
        </w:rPr>
        <w:t>The health and welfare of Australia’s Aboriginal and Torres Strait Islander peoples 2015</w:t>
      </w:r>
      <w:r w:rsidRPr="00E11D50">
        <w:rPr>
          <w:rFonts w:cs="Arial"/>
          <w:color w:val="000000" w:themeColor="text1"/>
        </w:rPr>
        <w:t xml:space="preserve">. Cat. no. </w:t>
      </w:r>
      <w:proofErr w:type="spellStart"/>
      <w:r w:rsidRPr="00E11D50">
        <w:rPr>
          <w:rFonts w:cs="Arial"/>
          <w:color w:val="000000" w:themeColor="text1"/>
        </w:rPr>
        <w:t>IHW</w:t>
      </w:r>
      <w:proofErr w:type="spellEnd"/>
      <w:r w:rsidRPr="00E11D50">
        <w:rPr>
          <w:rFonts w:cs="Arial"/>
          <w:color w:val="000000" w:themeColor="text1"/>
        </w:rPr>
        <w:t xml:space="preserve"> 147, </w:t>
      </w:r>
      <w:proofErr w:type="spellStart"/>
      <w:r w:rsidRPr="00E11D50">
        <w:rPr>
          <w:rFonts w:cs="Arial"/>
          <w:color w:val="000000" w:themeColor="text1"/>
        </w:rPr>
        <w:t>AIHW</w:t>
      </w:r>
      <w:proofErr w:type="spellEnd"/>
      <w:r w:rsidRPr="00E11D50">
        <w:rPr>
          <w:rFonts w:cs="Arial"/>
          <w:color w:val="000000" w:themeColor="text1"/>
        </w:rPr>
        <w:t xml:space="preserve"> Canberra, 2015, </w:t>
      </w:r>
      <w:r>
        <w:rPr>
          <w:rFonts w:cs="Arial"/>
          <w:color w:val="000000" w:themeColor="text1"/>
        </w:rPr>
        <w:t xml:space="preserve">p </w:t>
      </w:r>
      <w:r w:rsidRPr="00E11D50">
        <w:rPr>
          <w:rFonts w:cs="Arial"/>
          <w:color w:val="000000" w:themeColor="text1"/>
        </w:rPr>
        <w:t>107.</w:t>
      </w:r>
    </w:p>
  </w:endnote>
  <w:endnote w:id="194">
    <w:p w14:paraId="4A7118C1" w14:textId="375529B7" w:rsidR="0068666F" w:rsidRPr="00E11D50" w:rsidRDefault="0068666F">
      <w:pPr>
        <w:pStyle w:val="EndnoteText"/>
        <w:rPr>
          <w:rFonts w:cs="Arial"/>
          <w:color w:val="000000" w:themeColor="text1"/>
          <w:lang w:val="en-US"/>
        </w:rPr>
      </w:pPr>
      <w:r w:rsidRPr="00E11D50">
        <w:rPr>
          <w:rStyle w:val="EndnoteReference"/>
          <w:rFonts w:cs="Arial"/>
          <w:color w:val="000000" w:themeColor="text1"/>
          <w:sz w:val="20"/>
        </w:rPr>
        <w:endnoteRef/>
      </w:r>
      <w:r w:rsidRPr="00E11D50">
        <w:rPr>
          <w:rFonts w:cs="Arial"/>
          <w:color w:val="000000" w:themeColor="text1"/>
        </w:rPr>
        <w:t xml:space="preserve"> World Health Organization, </w:t>
      </w:r>
      <w:r w:rsidRPr="00E11D50">
        <w:rPr>
          <w:rFonts w:cs="Arial"/>
          <w:i/>
          <w:color w:val="000000" w:themeColor="text1"/>
        </w:rPr>
        <w:t>Global reference list of 100 core health indicators, 2015</w:t>
      </w:r>
      <w:r w:rsidRPr="00E11D50">
        <w:rPr>
          <w:rFonts w:cs="Arial"/>
          <w:color w:val="000000" w:themeColor="text1"/>
        </w:rPr>
        <w:t xml:space="preserve">, WHO, Geneva, 2015. Available online at: </w:t>
      </w:r>
      <w:hyperlink r:id="rId65" w:history="1">
        <w:r w:rsidRPr="00E11D50">
          <w:rPr>
            <w:rStyle w:val="Hyperlink"/>
          </w:rPr>
          <w:t>http://</w:t>
        </w:r>
        <w:proofErr w:type="spellStart"/>
        <w:r w:rsidRPr="00E11D50">
          <w:rPr>
            <w:rStyle w:val="Hyperlink"/>
          </w:rPr>
          <w:t>www.who.int</w:t>
        </w:r>
        <w:proofErr w:type="spellEnd"/>
        <w:r w:rsidRPr="00E11D50">
          <w:rPr>
            <w:rStyle w:val="Hyperlink"/>
          </w:rPr>
          <w:t>/</w:t>
        </w:r>
        <w:proofErr w:type="spellStart"/>
        <w:r w:rsidRPr="00E11D50">
          <w:rPr>
            <w:rStyle w:val="Hyperlink"/>
          </w:rPr>
          <w:t>healthinfo</w:t>
        </w:r>
        <w:proofErr w:type="spellEnd"/>
        <w:r w:rsidRPr="00E11D50">
          <w:rPr>
            <w:rStyle w:val="Hyperlink"/>
          </w:rPr>
          <w:t>/indicators/2015/en</w:t>
        </w:r>
      </w:hyperlink>
      <w:r>
        <w:rPr>
          <w:rFonts w:cs="Arial"/>
          <w:color w:val="000000" w:themeColor="text1"/>
        </w:rPr>
        <w:t xml:space="preserve">. </w:t>
      </w:r>
      <w:r w:rsidRPr="00E11D50">
        <w:rPr>
          <w:rFonts w:cs="Arial"/>
          <w:color w:val="000000" w:themeColor="text1"/>
        </w:rPr>
        <w:t>[Verified 20 December 2015</w:t>
      </w:r>
      <w:r>
        <w:rPr>
          <w:rFonts w:cs="Arial"/>
          <w:color w:val="000000" w:themeColor="text1"/>
        </w:rPr>
        <w:t>].</w:t>
      </w:r>
    </w:p>
  </w:endnote>
  <w:endnote w:id="195">
    <w:p w14:paraId="6FCF7017" w14:textId="5A10082B" w:rsidR="0068666F" w:rsidRPr="00BB0F06" w:rsidRDefault="0068666F" w:rsidP="00040CF1">
      <w:pPr>
        <w:autoSpaceDE w:val="0"/>
        <w:autoSpaceDN w:val="0"/>
        <w:adjustRightInd w:val="0"/>
        <w:rPr>
          <w:rFonts w:cs="Arial"/>
          <w:sz w:val="20"/>
          <w:szCs w:val="20"/>
        </w:rPr>
      </w:pPr>
      <w:r w:rsidRPr="00BB0F06">
        <w:rPr>
          <w:rStyle w:val="EndnoteReference"/>
          <w:rFonts w:cs="Arial"/>
          <w:sz w:val="20"/>
          <w:szCs w:val="20"/>
        </w:rPr>
        <w:endnoteRef/>
      </w:r>
      <w:r w:rsidRPr="00BB0F06">
        <w:rPr>
          <w:rFonts w:cs="Arial"/>
          <w:sz w:val="20"/>
          <w:szCs w:val="20"/>
        </w:rPr>
        <w:t xml:space="preserve"> Alford K, </w:t>
      </w:r>
      <w:r w:rsidRPr="00BB0F06">
        <w:rPr>
          <w:rFonts w:eastAsia="Times New Roman" w:cs="Arial"/>
          <w:i/>
          <w:sz w:val="20"/>
          <w:szCs w:val="20"/>
        </w:rPr>
        <w:t>Indigenous health expenditure deficits obscured in Closing the Gap reports</w:t>
      </w:r>
      <w:r w:rsidRPr="00BB0F06">
        <w:rPr>
          <w:rFonts w:eastAsia="Times New Roman" w:cs="Arial"/>
          <w:sz w:val="20"/>
          <w:szCs w:val="20"/>
        </w:rPr>
        <w:t xml:space="preserve">, Med J </w:t>
      </w:r>
      <w:proofErr w:type="spellStart"/>
      <w:r w:rsidRPr="00BB0F06">
        <w:rPr>
          <w:rFonts w:eastAsia="Times New Roman" w:cs="Arial"/>
          <w:sz w:val="20"/>
          <w:szCs w:val="20"/>
        </w:rPr>
        <w:t>Aust</w:t>
      </w:r>
      <w:proofErr w:type="spellEnd"/>
      <w:r w:rsidRPr="00BB0F06">
        <w:rPr>
          <w:rFonts w:eastAsia="Times New Roman" w:cs="Arial"/>
          <w:sz w:val="20"/>
          <w:szCs w:val="20"/>
        </w:rPr>
        <w:t xml:space="preserve"> 2015; 203 </w:t>
      </w:r>
      <w:r>
        <w:rPr>
          <w:rFonts w:eastAsia="Times New Roman" w:cs="Arial"/>
          <w:sz w:val="20"/>
          <w:szCs w:val="20"/>
        </w:rPr>
        <w:t>(10): 403. Available online at:</w:t>
      </w:r>
      <w:r w:rsidRPr="00BB0F06">
        <w:rPr>
          <w:rFonts w:eastAsia="Times New Roman" w:cs="Arial"/>
          <w:sz w:val="20"/>
          <w:szCs w:val="20"/>
        </w:rPr>
        <w:t xml:space="preserve"> </w:t>
      </w:r>
      <w:hyperlink r:id="rId66" w:history="1">
        <w:r w:rsidRPr="00BB0F06">
          <w:rPr>
            <w:rStyle w:val="Hyperlink"/>
            <w:sz w:val="20"/>
            <w:szCs w:val="20"/>
          </w:rPr>
          <w:t>https://www.mja.com.au/journal/2015/203/10/indigenous-health-expenditure-deficits-obscured-closing-gap-reports</w:t>
        </w:r>
      </w:hyperlink>
      <w:r>
        <w:rPr>
          <w:rFonts w:eastAsia="Times New Roman" w:cs="Arial"/>
          <w:sz w:val="20"/>
          <w:szCs w:val="20"/>
        </w:rPr>
        <w:t xml:space="preserve">. </w:t>
      </w:r>
      <w:r w:rsidRPr="00BB0F06">
        <w:rPr>
          <w:rFonts w:cs="Arial"/>
          <w:sz w:val="20"/>
          <w:szCs w:val="20"/>
        </w:rPr>
        <w:t>[Verified 20 December 2015</w:t>
      </w:r>
      <w:r>
        <w:rPr>
          <w:rFonts w:cs="Arial"/>
          <w:sz w:val="20"/>
          <w:szCs w:val="20"/>
        </w:rPr>
        <w:t>].</w:t>
      </w:r>
      <w:r w:rsidRPr="00BB0F06">
        <w:rPr>
          <w:rFonts w:cs="Arial"/>
          <w:sz w:val="20"/>
          <w:szCs w:val="20"/>
        </w:rPr>
        <w:t xml:space="preserve"> Article refers to:</w:t>
      </w:r>
      <w:r w:rsidRPr="00BB0F06">
        <w:rPr>
          <w:rFonts w:eastAsia="Times New Roman" w:cs="Arial"/>
          <w:sz w:val="20"/>
          <w:szCs w:val="20"/>
        </w:rPr>
        <w:t xml:space="preserve"> 1. Budget papers 2013–14. Final Budget outcome, Australian Government Canberra, 2014; 2. </w:t>
      </w:r>
      <w:r w:rsidRPr="00BB0F06">
        <w:rPr>
          <w:rFonts w:cs="Arial"/>
          <w:sz w:val="20"/>
          <w:szCs w:val="20"/>
        </w:rPr>
        <w:t>Budget papers 2015–16, Australian Government, Canberra, 2015, BP No. 1, Statement 5: Tables 3.1, 8, 8.1, commentary.</w:t>
      </w:r>
    </w:p>
  </w:endnote>
  <w:endnote w:id="196">
    <w:p w14:paraId="040C033E" w14:textId="73664CF0"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Get also </w:t>
      </w:r>
      <w:proofErr w:type="spellStart"/>
      <w:r w:rsidRPr="00E11D50">
        <w:rPr>
          <w:rFonts w:cs="Arial"/>
        </w:rPr>
        <w:t>NIRA</w:t>
      </w:r>
      <w:proofErr w:type="spellEnd"/>
      <w:r w:rsidRPr="00E11D50">
        <w:rPr>
          <w:rFonts w:cs="Arial"/>
        </w:rPr>
        <w:t xml:space="preserve">, </w:t>
      </w:r>
      <w:hyperlink r:id="rId67" w:history="1">
        <w:r w:rsidRPr="00E11D50">
          <w:rPr>
            <w:rStyle w:val="Hyperlink"/>
            <w:rFonts w:cs="Arial"/>
          </w:rPr>
          <w:t>https://www.coag.gov.au/sites/default/files/NIS_closing_the_gap.pdf</w:t>
        </w:r>
      </w:hyperlink>
      <w:r w:rsidRPr="00E11D50">
        <w:rPr>
          <w:rFonts w:cs="Arial"/>
        </w:rPr>
        <w:t>.</w:t>
      </w:r>
    </w:p>
  </w:endnote>
  <w:endnote w:id="197">
    <w:p w14:paraId="5BE50FC1" w14:textId="622EBE28"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themeColor="text1"/>
        </w:rPr>
        <w:t xml:space="preserve">Australian Institute of Health and Welfare, </w:t>
      </w:r>
      <w:r w:rsidRPr="00E11D50">
        <w:rPr>
          <w:rFonts w:cs="Arial"/>
          <w:i/>
          <w:color w:val="000000" w:themeColor="text1"/>
        </w:rPr>
        <w:t>The size and cause of the Indigenous Health Gap</w:t>
      </w:r>
      <w:r w:rsidRPr="00E11D50">
        <w:rPr>
          <w:rFonts w:cs="Arial"/>
          <w:color w:val="000000" w:themeColor="text1"/>
        </w:rPr>
        <w:t xml:space="preserve"> (Article in </w:t>
      </w:r>
      <w:r w:rsidRPr="00E11D50">
        <w:rPr>
          <w:rFonts w:cs="Arial"/>
          <w:i/>
          <w:color w:val="000000" w:themeColor="text1"/>
        </w:rPr>
        <w:t>Indigenous Health,</w:t>
      </w:r>
      <w:r w:rsidRPr="00E11D50">
        <w:rPr>
          <w:rFonts w:cs="Arial"/>
          <w:color w:val="000000" w:themeColor="text1"/>
        </w:rPr>
        <w:t xml:space="preserve"> </w:t>
      </w:r>
      <w:r w:rsidRPr="00E11D50">
        <w:rPr>
          <w:rFonts w:cs="Arial"/>
          <w:i/>
          <w:color w:val="000000" w:themeColor="text1"/>
        </w:rPr>
        <w:t>Australia’s Health 2014</w:t>
      </w:r>
      <w:r w:rsidRPr="00E11D50">
        <w:rPr>
          <w:rFonts w:cs="Arial"/>
          <w:color w:val="000000" w:themeColor="text1"/>
        </w:rPr>
        <w:t xml:space="preserve">) </w:t>
      </w:r>
      <w:proofErr w:type="spellStart"/>
      <w:r w:rsidRPr="00E11D50">
        <w:rPr>
          <w:rFonts w:cs="Arial"/>
          <w:color w:val="000000" w:themeColor="text1"/>
        </w:rPr>
        <w:t>AIHW</w:t>
      </w:r>
      <w:proofErr w:type="spellEnd"/>
      <w:r w:rsidRPr="00E11D50">
        <w:rPr>
          <w:rFonts w:cs="Arial"/>
          <w:color w:val="000000" w:themeColor="text1"/>
        </w:rPr>
        <w:t xml:space="preserve"> Canberra, 2015, </w:t>
      </w:r>
      <w:r>
        <w:rPr>
          <w:rFonts w:cs="Arial"/>
        </w:rPr>
        <w:t xml:space="preserve">p </w:t>
      </w:r>
      <w:r w:rsidRPr="00E11D50">
        <w:rPr>
          <w:rFonts w:cs="Arial"/>
        </w:rPr>
        <w:t xml:space="preserve">8. Available online at: </w:t>
      </w:r>
      <w:hyperlink r:id="rId68" w:history="1">
        <w:r w:rsidRPr="00E11D50">
          <w:rPr>
            <w:rStyle w:val="Hyperlink"/>
            <w:rFonts w:cs="Arial"/>
          </w:rPr>
          <w:t>http://www.aihw.gov.au/WorkArea/DownloadAsset.aspx?id=60129547777</w:t>
        </w:r>
      </w:hyperlink>
      <w:r>
        <w:rPr>
          <w:rFonts w:cs="Arial"/>
        </w:rPr>
        <w:t xml:space="preserve">. </w:t>
      </w:r>
      <w:r w:rsidRPr="00E11D50">
        <w:rPr>
          <w:rFonts w:cs="Arial"/>
        </w:rPr>
        <w:t>[Verified 21 October 2015].</w:t>
      </w:r>
    </w:p>
  </w:endnote>
  <w:endnote w:id="198">
    <w:p w14:paraId="7D9A3BB9" w14:textId="1D0A39FD"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themeColor="text1"/>
        </w:rPr>
        <w:t xml:space="preserve">Australian Institute of Health and Welfare, </w:t>
      </w:r>
      <w:r w:rsidRPr="00E11D50">
        <w:rPr>
          <w:rFonts w:cs="Arial"/>
          <w:i/>
          <w:color w:val="000000" w:themeColor="text1"/>
        </w:rPr>
        <w:t>The size and cause of the Indigenous Health Gap</w:t>
      </w:r>
      <w:r w:rsidRPr="00E11D50">
        <w:rPr>
          <w:rFonts w:cs="Arial"/>
          <w:color w:val="000000" w:themeColor="text1"/>
        </w:rPr>
        <w:t xml:space="preserve"> (Article in </w:t>
      </w:r>
      <w:r w:rsidRPr="00E11D50">
        <w:rPr>
          <w:rFonts w:cs="Arial"/>
          <w:i/>
          <w:color w:val="000000" w:themeColor="text1"/>
        </w:rPr>
        <w:t>Indigenous Health,</w:t>
      </w:r>
      <w:r w:rsidRPr="00E11D50">
        <w:rPr>
          <w:rFonts w:cs="Arial"/>
          <w:color w:val="000000" w:themeColor="text1"/>
        </w:rPr>
        <w:t xml:space="preserve"> </w:t>
      </w:r>
      <w:r w:rsidRPr="00E11D50">
        <w:rPr>
          <w:rFonts w:cs="Arial"/>
          <w:i/>
          <w:color w:val="000000" w:themeColor="text1"/>
        </w:rPr>
        <w:t>Australia’s Health 2014</w:t>
      </w:r>
      <w:r w:rsidRPr="00E11D50">
        <w:rPr>
          <w:rFonts w:cs="Arial"/>
          <w:color w:val="000000" w:themeColor="text1"/>
        </w:rPr>
        <w:t xml:space="preserve">) </w:t>
      </w:r>
      <w:proofErr w:type="spellStart"/>
      <w:r w:rsidRPr="00E11D50">
        <w:rPr>
          <w:rFonts w:cs="Arial"/>
          <w:color w:val="000000" w:themeColor="text1"/>
        </w:rPr>
        <w:t>AIHW</w:t>
      </w:r>
      <w:proofErr w:type="spellEnd"/>
      <w:r w:rsidRPr="00E11D50">
        <w:rPr>
          <w:rFonts w:cs="Arial"/>
          <w:color w:val="000000" w:themeColor="text1"/>
        </w:rPr>
        <w:t xml:space="preserve"> Canberra, 2015, </w:t>
      </w:r>
      <w:r>
        <w:rPr>
          <w:rFonts w:cs="Arial"/>
        </w:rPr>
        <w:t xml:space="preserve">p </w:t>
      </w:r>
      <w:r w:rsidRPr="00E11D50">
        <w:rPr>
          <w:rFonts w:cs="Arial"/>
        </w:rPr>
        <w:t xml:space="preserve">8. Available online at: </w:t>
      </w:r>
      <w:hyperlink r:id="rId69" w:history="1">
        <w:r w:rsidRPr="00E11D50">
          <w:rPr>
            <w:rStyle w:val="Hyperlink"/>
            <w:rFonts w:cs="Arial"/>
          </w:rPr>
          <w:t>http://www.aihw.gov.au/WorkArea/DownloadAsset.aspx?id=60129547777</w:t>
        </w:r>
      </w:hyperlink>
      <w:r>
        <w:rPr>
          <w:rFonts w:cs="Arial"/>
        </w:rPr>
        <w:t xml:space="preserve">. </w:t>
      </w:r>
      <w:r w:rsidRPr="00E11D50">
        <w:rPr>
          <w:rFonts w:cs="Arial"/>
        </w:rPr>
        <w:t>[Verified 21 October 2015].</w:t>
      </w:r>
    </w:p>
  </w:endnote>
  <w:endnote w:id="199">
    <w:p w14:paraId="20F21588" w14:textId="63A2C6B3"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themeColor="text1"/>
        </w:rPr>
        <w:t xml:space="preserve">Australian Institute of Health and Welfare, </w:t>
      </w:r>
      <w:r w:rsidRPr="00E11D50">
        <w:rPr>
          <w:rFonts w:cs="Arial"/>
          <w:i/>
          <w:color w:val="000000" w:themeColor="text1"/>
        </w:rPr>
        <w:t>The size and cause of the Indigenous Health Gap</w:t>
      </w:r>
      <w:r w:rsidRPr="00E11D50">
        <w:rPr>
          <w:rFonts w:cs="Arial"/>
          <w:color w:val="000000" w:themeColor="text1"/>
        </w:rPr>
        <w:t xml:space="preserve"> (Article in </w:t>
      </w:r>
      <w:r w:rsidRPr="00E11D50">
        <w:rPr>
          <w:rFonts w:cs="Arial"/>
          <w:i/>
          <w:color w:val="000000" w:themeColor="text1"/>
        </w:rPr>
        <w:t>Indigenous Health,</w:t>
      </w:r>
      <w:r w:rsidRPr="00E11D50">
        <w:rPr>
          <w:rFonts w:cs="Arial"/>
          <w:color w:val="000000" w:themeColor="text1"/>
        </w:rPr>
        <w:t xml:space="preserve"> </w:t>
      </w:r>
      <w:r w:rsidRPr="00E11D50">
        <w:rPr>
          <w:rFonts w:cs="Arial"/>
          <w:i/>
          <w:color w:val="000000" w:themeColor="text1"/>
        </w:rPr>
        <w:t>Australia’s Health 2014</w:t>
      </w:r>
      <w:r w:rsidRPr="00E11D50">
        <w:rPr>
          <w:rFonts w:cs="Arial"/>
          <w:color w:val="000000" w:themeColor="text1"/>
        </w:rPr>
        <w:t xml:space="preserve">) </w:t>
      </w:r>
      <w:proofErr w:type="spellStart"/>
      <w:r w:rsidRPr="00E11D50">
        <w:rPr>
          <w:rFonts w:cs="Arial"/>
          <w:color w:val="000000" w:themeColor="text1"/>
        </w:rPr>
        <w:t>AIHW</w:t>
      </w:r>
      <w:proofErr w:type="spellEnd"/>
      <w:r w:rsidRPr="00E11D50">
        <w:rPr>
          <w:rFonts w:cs="Arial"/>
          <w:color w:val="000000" w:themeColor="text1"/>
        </w:rPr>
        <w:t xml:space="preserve"> Canberra, 2015, </w:t>
      </w:r>
      <w:r>
        <w:rPr>
          <w:rFonts w:cs="Arial"/>
        </w:rPr>
        <w:t xml:space="preserve">p </w:t>
      </w:r>
      <w:r w:rsidRPr="00E11D50">
        <w:rPr>
          <w:rFonts w:cs="Arial"/>
        </w:rPr>
        <w:t xml:space="preserve">9. Available online at: </w:t>
      </w:r>
      <w:hyperlink r:id="rId70" w:history="1">
        <w:r w:rsidRPr="00E11D50">
          <w:rPr>
            <w:rStyle w:val="Hyperlink"/>
            <w:rFonts w:cs="Arial"/>
          </w:rPr>
          <w:t>http://www.aihw.gov.au/WorkArea/DownloadAsset.aspx?id=60129547777</w:t>
        </w:r>
      </w:hyperlink>
      <w:r>
        <w:rPr>
          <w:rFonts w:cs="Arial"/>
        </w:rPr>
        <w:t xml:space="preserve">. </w:t>
      </w:r>
      <w:r w:rsidRPr="00E11D50">
        <w:rPr>
          <w:rFonts w:cs="Arial"/>
        </w:rPr>
        <w:t>[Verified 21 October 2015].</w:t>
      </w:r>
    </w:p>
  </w:endnote>
  <w:endnote w:id="200">
    <w:p w14:paraId="0230B67C" w14:textId="7EF832D9"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themeColor="text1"/>
        </w:rPr>
        <w:t xml:space="preserve">Australian Institute of Health and Welfare, </w:t>
      </w:r>
      <w:r w:rsidRPr="00E11D50">
        <w:rPr>
          <w:rFonts w:cs="Arial"/>
          <w:i/>
          <w:color w:val="000000" w:themeColor="text1"/>
        </w:rPr>
        <w:t>The size and cause of the Indigenous Health Gap</w:t>
      </w:r>
      <w:r w:rsidRPr="00E11D50">
        <w:rPr>
          <w:rFonts w:cs="Arial"/>
          <w:color w:val="000000" w:themeColor="text1"/>
        </w:rPr>
        <w:t xml:space="preserve"> (Article in </w:t>
      </w:r>
      <w:r w:rsidRPr="00E11D50">
        <w:rPr>
          <w:rFonts w:cs="Arial"/>
          <w:i/>
          <w:color w:val="000000" w:themeColor="text1"/>
        </w:rPr>
        <w:t>Indigenous Health,</w:t>
      </w:r>
      <w:r w:rsidRPr="00E11D50">
        <w:rPr>
          <w:rFonts w:cs="Arial"/>
          <w:color w:val="000000" w:themeColor="text1"/>
        </w:rPr>
        <w:t xml:space="preserve"> </w:t>
      </w:r>
      <w:r w:rsidRPr="00E11D50">
        <w:rPr>
          <w:rFonts w:cs="Arial"/>
          <w:i/>
          <w:color w:val="000000" w:themeColor="text1"/>
        </w:rPr>
        <w:t>Australia’s Health 2014</w:t>
      </w:r>
      <w:r w:rsidRPr="00E11D50">
        <w:rPr>
          <w:rFonts w:cs="Arial"/>
          <w:color w:val="000000" w:themeColor="text1"/>
        </w:rPr>
        <w:t xml:space="preserve">) </w:t>
      </w:r>
      <w:proofErr w:type="spellStart"/>
      <w:r w:rsidRPr="00E11D50">
        <w:rPr>
          <w:rFonts w:cs="Arial"/>
          <w:color w:val="000000" w:themeColor="text1"/>
        </w:rPr>
        <w:t>AIHW</w:t>
      </w:r>
      <w:proofErr w:type="spellEnd"/>
      <w:r w:rsidRPr="00E11D50">
        <w:rPr>
          <w:rFonts w:cs="Arial"/>
          <w:color w:val="000000" w:themeColor="text1"/>
        </w:rPr>
        <w:t xml:space="preserve"> Canberra, 2015, </w:t>
      </w:r>
      <w:r>
        <w:rPr>
          <w:rFonts w:cs="Arial"/>
        </w:rPr>
        <w:t xml:space="preserve">p </w:t>
      </w:r>
      <w:r w:rsidRPr="00E11D50">
        <w:rPr>
          <w:rFonts w:cs="Arial"/>
        </w:rPr>
        <w:t xml:space="preserve">8. Available online at: </w:t>
      </w:r>
      <w:hyperlink r:id="rId71" w:history="1">
        <w:r w:rsidRPr="00E11D50">
          <w:rPr>
            <w:rStyle w:val="Hyperlink"/>
            <w:rFonts w:cs="Arial"/>
          </w:rPr>
          <w:t>http://www.aihw.gov.au/WorkArea/DownloadAsset.aspx?id=60129547777</w:t>
        </w:r>
      </w:hyperlink>
      <w:r>
        <w:rPr>
          <w:rFonts w:cs="Arial"/>
        </w:rPr>
        <w:t xml:space="preserve">. </w:t>
      </w:r>
      <w:r w:rsidRPr="00E11D50">
        <w:rPr>
          <w:rFonts w:cs="Arial"/>
        </w:rPr>
        <w:t>[Verified 21 October 2015].</w:t>
      </w:r>
    </w:p>
  </w:endnote>
  <w:endnote w:id="201">
    <w:p w14:paraId="21D56FBE" w14:textId="7904B3AB"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themeColor="text1"/>
        </w:rPr>
        <w:t xml:space="preserve">Australian Institute of Health and Welfare, </w:t>
      </w:r>
      <w:r w:rsidRPr="00E11D50">
        <w:rPr>
          <w:rFonts w:cs="Arial"/>
          <w:i/>
          <w:color w:val="000000" w:themeColor="text1"/>
        </w:rPr>
        <w:t>The size and cause of the Indigenous Health Gap</w:t>
      </w:r>
      <w:r w:rsidRPr="00E11D50">
        <w:rPr>
          <w:rFonts w:cs="Arial"/>
          <w:color w:val="000000" w:themeColor="text1"/>
        </w:rPr>
        <w:t xml:space="preserve"> (Article in </w:t>
      </w:r>
      <w:r w:rsidRPr="00E11D50">
        <w:rPr>
          <w:rFonts w:cs="Arial"/>
          <w:i/>
          <w:color w:val="000000" w:themeColor="text1"/>
        </w:rPr>
        <w:t>Indigenous Health,</w:t>
      </w:r>
      <w:r w:rsidRPr="00E11D50">
        <w:rPr>
          <w:rFonts w:cs="Arial"/>
          <w:color w:val="000000" w:themeColor="text1"/>
        </w:rPr>
        <w:t xml:space="preserve"> </w:t>
      </w:r>
      <w:r w:rsidRPr="00E11D50">
        <w:rPr>
          <w:rFonts w:cs="Arial"/>
          <w:i/>
          <w:color w:val="000000" w:themeColor="text1"/>
        </w:rPr>
        <w:t>Australia’s Health 2014</w:t>
      </w:r>
      <w:r w:rsidRPr="00E11D50">
        <w:rPr>
          <w:rFonts w:cs="Arial"/>
          <w:color w:val="000000" w:themeColor="text1"/>
        </w:rPr>
        <w:t xml:space="preserve">) </w:t>
      </w:r>
      <w:proofErr w:type="spellStart"/>
      <w:r w:rsidRPr="00E11D50">
        <w:rPr>
          <w:rFonts w:cs="Arial"/>
          <w:color w:val="000000" w:themeColor="text1"/>
        </w:rPr>
        <w:t>AIHW</w:t>
      </w:r>
      <w:proofErr w:type="spellEnd"/>
      <w:r w:rsidRPr="00E11D50">
        <w:rPr>
          <w:rFonts w:cs="Arial"/>
          <w:color w:val="000000" w:themeColor="text1"/>
        </w:rPr>
        <w:t xml:space="preserve"> Canberra, 2015, </w:t>
      </w:r>
      <w:r>
        <w:rPr>
          <w:rFonts w:cs="Arial"/>
        </w:rPr>
        <w:t xml:space="preserve">p </w:t>
      </w:r>
      <w:r w:rsidRPr="00E11D50">
        <w:rPr>
          <w:rFonts w:cs="Arial"/>
        </w:rPr>
        <w:t xml:space="preserve">9. Available online at: </w:t>
      </w:r>
      <w:hyperlink r:id="rId72" w:history="1">
        <w:r w:rsidRPr="00E11D50">
          <w:rPr>
            <w:rStyle w:val="Hyperlink"/>
            <w:rFonts w:cs="Arial"/>
          </w:rPr>
          <w:t>http://www.aihw.gov.au/WorkArea/DownloadAsset.aspx?id=60129547777</w:t>
        </w:r>
      </w:hyperlink>
      <w:r>
        <w:rPr>
          <w:rFonts w:cs="Arial"/>
        </w:rPr>
        <w:t xml:space="preserve">. </w:t>
      </w:r>
      <w:r w:rsidRPr="00E11D50">
        <w:rPr>
          <w:rFonts w:cs="Arial"/>
        </w:rPr>
        <w:t>[Verified 21 October 2015].</w:t>
      </w:r>
    </w:p>
  </w:endnote>
  <w:endnote w:id="202">
    <w:p w14:paraId="142C8473" w14:textId="3B49290A"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themeColor="text1"/>
        </w:rPr>
        <w:t xml:space="preserve">Australian Institute of Health and Welfare, </w:t>
      </w:r>
      <w:r w:rsidRPr="00E11D50">
        <w:rPr>
          <w:rFonts w:cs="Arial"/>
          <w:i/>
          <w:color w:val="000000" w:themeColor="text1"/>
        </w:rPr>
        <w:t>The size and cause of the Indigenous Health Gap</w:t>
      </w:r>
      <w:r w:rsidRPr="00E11D50">
        <w:rPr>
          <w:rFonts w:cs="Arial"/>
          <w:color w:val="000000" w:themeColor="text1"/>
        </w:rPr>
        <w:t xml:space="preserve"> (Article in </w:t>
      </w:r>
      <w:r w:rsidRPr="00E11D50">
        <w:rPr>
          <w:rFonts w:cs="Arial"/>
          <w:i/>
          <w:color w:val="000000" w:themeColor="text1"/>
        </w:rPr>
        <w:t>Indigenous Health,</w:t>
      </w:r>
      <w:r w:rsidRPr="00E11D50">
        <w:rPr>
          <w:rFonts w:cs="Arial"/>
          <w:color w:val="000000" w:themeColor="text1"/>
        </w:rPr>
        <w:t xml:space="preserve"> </w:t>
      </w:r>
      <w:r w:rsidRPr="00E11D50">
        <w:rPr>
          <w:rFonts w:cs="Arial"/>
          <w:i/>
          <w:color w:val="000000" w:themeColor="text1"/>
        </w:rPr>
        <w:t>Australia’s Health 2014</w:t>
      </w:r>
      <w:r w:rsidRPr="00E11D50">
        <w:rPr>
          <w:rFonts w:cs="Arial"/>
          <w:color w:val="000000" w:themeColor="text1"/>
        </w:rPr>
        <w:t xml:space="preserve">) </w:t>
      </w:r>
      <w:proofErr w:type="spellStart"/>
      <w:r w:rsidRPr="00E11D50">
        <w:rPr>
          <w:rFonts w:cs="Arial"/>
          <w:color w:val="000000" w:themeColor="text1"/>
        </w:rPr>
        <w:t>AIHW</w:t>
      </w:r>
      <w:proofErr w:type="spellEnd"/>
      <w:r w:rsidRPr="00E11D50">
        <w:rPr>
          <w:rFonts w:cs="Arial"/>
          <w:color w:val="000000" w:themeColor="text1"/>
        </w:rPr>
        <w:t xml:space="preserve"> Canberra, 2015, </w:t>
      </w:r>
      <w:r>
        <w:rPr>
          <w:rFonts w:cs="Arial"/>
        </w:rPr>
        <w:t xml:space="preserve">p </w:t>
      </w:r>
      <w:r w:rsidRPr="00E11D50">
        <w:rPr>
          <w:rFonts w:cs="Arial"/>
        </w:rPr>
        <w:t xml:space="preserve">9. Available online at: </w:t>
      </w:r>
      <w:hyperlink r:id="rId73" w:history="1">
        <w:r w:rsidRPr="00E11D50">
          <w:rPr>
            <w:rStyle w:val="Hyperlink"/>
            <w:rFonts w:cs="Arial"/>
          </w:rPr>
          <w:t>http://www.aihw.gov.au/WorkArea/DownloadAsset.aspx?id=60129547777</w:t>
        </w:r>
      </w:hyperlink>
      <w:r>
        <w:rPr>
          <w:rFonts w:cs="Arial"/>
        </w:rPr>
        <w:t xml:space="preserve">. </w:t>
      </w:r>
      <w:r w:rsidRPr="00E11D50">
        <w:rPr>
          <w:rFonts w:cs="Arial"/>
        </w:rPr>
        <w:t>[Verified 21 October 2015].</w:t>
      </w:r>
    </w:p>
  </w:endnote>
  <w:endnote w:id="203">
    <w:p w14:paraId="0AE1F1A5" w14:textId="35503001"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color w:val="000000" w:themeColor="text1"/>
        </w:rPr>
        <w:t xml:space="preserve">Australian Institute of Health and Welfare, </w:t>
      </w:r>
      <w:r w:rsidRPr="00E11D50">
        <w:rPr>
          <w:rFonts w:cs="Arial"/>
          <w:i/>
          <w:color w:val="000000" w:themeColor="text1"/>
        </w:rPr>
        <w:t>The size and cause of the Indigenous Health Gap</w:t>
      </w:r>
      <w:r w:rsidRPr="00E11D50">
        <w:rPr>
          <w:rFonts w:cs="Arial"/>
          <w:color w:val="000000" w:themeColor="text1"/>
        </w:rPr>
        <w:t xml:space="preserve"> (Article in </w:t>
      </w:r>
      <w:r w:rsidRPr="00E11D50">
        <w:rPr>
          <w:rFonts w:cs="Arial"/>
          <w:i/>
          <w:color w:val="000000" w:themeColor="text1"/>
        </w:rPr>
        <w:t>Indigenous Health,</w:t>
      </w:r>
      <w:r w:rsidRPr="00E11D50">
        <w:rPr>
          <w:rFonts w:cs="Arial"/>
          <w:color w:val="000000" w:themeColor="text1"/>
        </w:rPr>
        <w:t xml:space="preserve"> </w:t>
      </w:r>
      <w:r w:rsidRPr="00E11D50">
        <w:rPr>
          <w:rFonts w:cs="Arial"/>
          <w:i/>
          <w:color w:val="000000" w:themeColor="text1"/>
        </w:rPr>
        <w:t>Australia’s Health 2014</w:t>
      </w:r>
      <w:r w:rsidRPr="00E11D50">
        <w:rPr>
          <w:rFonts w:cs="Arial"/>
          <w:color w:val="000000" w:themeColor="text1"/>
        </w:rPr>
        <w:t xml:space="preserve">) </w:t>
      </w:r>
      <w:proofErr w:type="spellStart"/>
      <w:r w:rsidRPr="00E11D50">
        <w:rPr>
          <w:rFonts w:cs="Arial"/>
          <w:color w:val="000000" w:themeColor="text1"/>
        </w:rPr>
        <w:t>AIHW</w:t>
      </w:r>
      <w:proofErr w:type="spellEnd"/>
      <w:r w:rsidRPr="00E11D50">
        <w:rPr>
          <w:rFonts w:cs="Arial"/>
          <w:color w:val="000000" w:themeColor="text1"/>
        </w:rPr>
        <w:t xml:space="preserve"> Canberra, 2015, </w:t>
      </w:r>
      <w:r>
        <w:rPr>
          <w:rFonts w:cs="Arial"/>
        </w:rPr>
        <w:t xml:space="preserve">p </w:t>
      </w:r>
      <w:r w:rsidRPr="00E11D50">
        <w:rPr>
          <w:rFonts w:cs="Arial"/>
        </w:rPr>
        <w:t xml:space="preserve">1. Available online at: </w:t>
      </w:r>
      <w:hyperlink r:id="rId74" w:history="1">
        <w:r w:rsidRPr="00E11D50">
          <w:rPr>
            <w:rStyle w:val="Hyperlink"/>
            <w:rFonts w:cs="Arial"/>
          </w:rPr>
          <w:t>http://www.aihw.gov.au/WorkArea/DownloadAsset.aspx?id=60129547777</w:t>
        </w:r>
      </w:hyperlink>
      <w:r>
        <w:rPr>
          <w:rFonts w:cs="Arial"/>
        </w:rPr>
        <w:t xml:space="preserve">. </w:t>
      </w:r>
      <w:r w:rsidRPr="00E11D50">
        <w:rPr>
          <w:rFonts w:cs="Arial"/>
        </w:rPr>
        <w:t>[Verified 21 October 2015].</w:t>
      </w:r>
    </w:p>
  </w:endnote>
  <w:endnote w:id="204">
    <w:p w14:paraId="18FFED75" w14:textId="77777777" w:rsidR="0068666F" w:rsidRPr="00E11D50" w:rsidRDefault="0068666F">
      <w:pPr>
        <w:pStyle w:val="EndnoteText"/>
        <w:rPr>
          <w:rFonts w:cs="Arial"/>
          <w:color w:val="000000" w:themeColor="text1"/>
        </w:rPr>
      </w:pPr>
      <w:r w:rsidRPr="00E11D50">
        <w:rPr>
          <w:rStyle w:val="EndnoteReference"/>
          <w:rFonts w:cs="Arial"/>
          <w:color w:val="000000" w:themeColor="text1"/>
          <w:sz w:val="20"/>
        </w:rPr>
        <w:endnoteRef/>
      </w:r>
      <w:r w:rsidRPr="00E11D50">
        <w:rPr>
          <w:rFonts w:cs="Arial"/>
          <w:color w:val="000000" w:themeColor="text1"/>
        </w:rPr>
        <w:t xml:space="preserve"> Reeve R, Church J, Haas M, Bradford W and </w:t>
      </w:r>
      <w:proofErr w:type="spellStart"/>
      <w:r w:rsidRPr="00E11D50">
        <w:rPr>
          <w:rFonts w:cs="Arial"/>
          <w:color w:val="000000" w:themeColor="text1"/>
        </w:rPr>
        <w:t>Viney</w:t>
      </w:r>
      <w:proofErr w:type="spellEnd"/>
      <w:r w:rsidRPr="00E11D50">
        <w:rPr>
          <w:rFonts w:cs="Arial"/>
          <w:color w:val="000000" w:themeColor="text1"/>
        </w:rPr>
        <w:t xml:space="preserve"> R, ‘Factors that drive the gap in diabetes rates between Aboriginal and non-Aboriginal people in non-remote NSW’, (2014) 38 (5) </w:t>
      </w:r>
      <w:r w:rsidRPr="00E11D50">
        <w:rPr>
          <w:rFonts w:cs="Arial"/>
          <w:i/>
          <w:color w:val="000000" w:themeColor="text1"/>
        </w:rPr>
        <w:t>Australian and New Zealand Journal of Public Health</w:t>
      </w:r>
      <w:r w:rsidRPr="00E11D50">
        <w:rPr>
          <w:rFonts w:cs="Arial"/>
          <w:color w:val="000000" w:themeColor="text1"/>
        </w:rPr>
        <w:t xml:space="preserve"> 459.</w:t>
      </w:r>
    </w:p>
  </w:endnote>
  <w:endnote w:id="205">
    <w:p w14:paraId="2D4562EB" w14:textId="39BDD463"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proofErr w:type="spellStart"/>
      <w:r w:rsidRPr="00E11D50">
        <w:rPr>
          <w:rFonts w:cs="Arial"/>
          <w:color w:val="000000"/>
          <w:lang w:val="en-US"/>
        </w:rPr>
        <w:t>Griew</w:t>
      </w:r>
      <w:proofErr w:type="spellEnd"/>
      <w:r w:rsidRPr="00E11D50">
        <w:rPr>
          <w:rFonts w:cs="Arial"/>
          <w:color w:val="000000"/>
          <w:lang w:val="en-US"/>
        </w:rPr>
        <w:t xml:space="preserve">, R, </w:t>
      </w:r>
      <w:r w:rsidRPr="00E11D50">
        <w:rPr>
          <w:rFonts w:cs="Arial"/>
          <w:i/>
          <w:iCs/>
          <w:color w:val="000000"/>
          <w:lang w:val="en-US"/>
        </w:rPr>
        <w:t xml:space="preserve">The link between primary health care and health outcomes for Aboriginal and Torres Strait Islander Australians, </w:t>
      </w:r>
      <w:proofErr w:type="spellStart"/>
      <w:r>
        <w:rPr>
          <w:rFonts w:cs="Arial"/>
          <w:iCs/>
          <w:color w:val="000000"/>
          <w:lang w:val="en-US"/>
        </w:rPr>
        <w:t>OATSIH</w:t>
      </w:r>
      <w:proofErr w:type="spellEnd"/>
      <w:r>
        <w:rPr>
          <w:rFonts w:cs="Arial"/>
          <w:iCs/>
          <w:color w:val="000000"/>
          <w:lang w:val="en-US"/>
        </w:rPr>
        <w:t xml:space="preserve">, Canberra, 2008, p </w:t>
      </w:r>
      <w:r w:rsidRPr="00E11D50">
        <w:rPr>
          <w:rFonts w:cs="Arial"/>
          <w:iCs/>
          <w:color w:val="000000"/>
          <w:lang w:val="en-US"/>
        </w:rPr>
        <w:t xml:space="preserve">8. Available online at: </w:t>
      </w:r>
      <w:hyperlink r:id="rId75" w:history="1">
        <w:r w:rsidRPr="00E11D50">
          <w:rPr>
            <w:rStyle w:val="Hyperlink"/>
            <w:rFonts w:cs="Arial"/>
            <w:iCs/>
            <w:lang w:val="en-US"/>
          </w:rPr>
          <w:t>https://www.health.gov.au/internet/main/publishing.nsf/Content/EF81F462A8E8482BCA257BF0001ED788/$File/2008%20OATSIH%20Primary%20Health%20Care%20lit%20review%20FINAL%20ll.pdf</w:t>
        </w:r>
      </w:hyperlink>
      <w:r w:rsidRPr="00E11D50">
        <w:rPr>
          <w:rFonts w:cs="Arial"/>
          <w:iCs/>
          <w:color w:val="000000"/>
          <w:lang w:val="en-US"/>
        </w:rPr>
        <w:t xml:space="preserve">. </w:t>
      </w:r>
      <w:r w:rsidRPr="00E11D50">
        <w:rPr>
          <w:rFonts w:cs="Arial"/>
        </w:rPr>
        <w:t>[Verified 21 October 2015].</w:t>
      </w:r>
    </w:p>
  </w:endnote>
  <w:endnote w:id="206">
    <w:p w14:paraId="59F09ACD" w14:textId="372B5E5D"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proofErr w:type="spellStart"/>
      <w:r w:rsidRPr="00E11D50">
        <w:rPr>
          <w:rFonts w:cs="Arial"/>
          <w:color w:val="000000"/>
          <w:lang w:val="en-US"/>
        </w:rPr>
        <w:t>Griew</w:t>
      </w:r>
      <w:proofErr w:type="spellEnd"/>
      <w:r w:rsidRPr="00E11D50">
        <w:rPr>
          <w:rFonts w:cs="Arial"/>
          <w:color w:val="000000"/>
          <w:lang w:val="en-US"/>
        </w:rPr>
        <w:t xml:space="preserve">, R, </w:t>
      </w:r>
      <w:r w:rsidRPr="00E11D50">
        <w:rPr>
          <w:rFonts w:cs="Arial"/>
          <w:i/>
          <w:iCs/>
          <w:color w:val="000000"/>
          <w:lang w:val="en-US"/>
        </w:rPr>
        <w:t xml:space="preserve">The link between primary health care and health outcomes for Aboriginal and Torres Strait Islander Australians, </w:t>
      </w:r>
      <w:proofErr w:type="spellStart"/>
      <w:r w:rsidRPr="00E11D50">
        <w:rPr>
          <w:rFonts w:cs="Arial"/>
          <w:iCs/>
          <w:color w:val="000000"/>
          <w:lang w:val="en-US"/>
        </w:rPr>
        <w:t>OATSIH</w:t>
      </w:r>
      <w:proofErr w:type="spellEnd"/>
      <w:r w:rsidRPr="00E11D50">
        <w:rPr>
          <w:rFonts w:cs="Arial"/>
          <w:iCs/>
          <w:color w:val="000000"/>
          <w:lang w:val="en-US"/>
        </w:rPr>
        <w:t>, Canberra, 2008, p</w:t>
      </w:r>
      <w:r>
        <w:rPr>
          <w:rFonts w:cs="Arial"/>
          <w:iCs/>
          <w:color w:val="000000"/>
          <w:lang w:val="en-US"/>
        </w:rPr>
        <w:t xml:space="preserve"> </w:t>
      </w:r>
      <w:r w:rsidRPr="00E11D50">
        <w:rPr>
          <w:rFonts w:cs="Arial"/>
          <w:iCs/>
          <w:color w:val="000000"/>
          <w:lang w:val="en-US"/>
        </w:rPr>
        <w:t xml:space="preserve">8. Available online at: </w:t>
      </w:r>
      <w:hyperlink r:id="rId76" w:history="1">
        <w:r w:rsidRPr="00E11D50">
          <w:rPr>
            <w:rStyle w:val="Hyperlink"/>
            <w:rFonts w:cs="Arial"/>
            <w:iCs/>
            <w:lang w:val="en-US"/>
          </w:rPr>
          <w:t>https://www.health.gov.au/internet/main/publishing.nsf/Content/EF81F462A8E8482BCA257BF0001ED788/$File/2008%20OATSIH%20Primary%20Health%20Care%20lit%20review%20FINAL%20ll.pdf</w:t>
        </w:r>
      </w:hyperlink>
      <w:r w:rsidRPr="00E11D50">
        <w:rPr>
          <w:rFonts w:cs="Arial"/>
          <w:iCs/>
          <w:color w:val="000000"/>
          <w:lang w:val="en-US"/>
        </w:rPr>
        <w:t xml:space="preserve">. </w:t>
      </w:r>
      <w:r w:rsidRPr="00E11D50">
        <w:rPr>
          <w:rFonts w:cs="Arial"/>
        </w:rPr>
        <w:t>[Verified 21 October 2015].</w:t>
      </w:r>
    </w:p>
  </w:endnote>
  <w:endnote w:id="207">
    <w:p w14:paraId="7E6F849C" w14:textId="635413E0"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proofErr w:type="spellStart"/>
      <w:r w:rsidRPr="00E11D50">
        <w:rPr>
          <w:rFonts w:cs="Arial"/>
          <w:color w:val="000000"/>
          <w:lang w:val="en-US"/>
        </w:rPr>
        <w:t>Griew</w:t>
      </w:r>
      <w:proofErr w:type="spellEnd"/>
      <w:r w:rsidRPr="00E11D50">
        <w:rPr>
          <w:rFonts w:cs="Arial"/>
          <w:color w:val="000000"/>
          <w:lang w:val="en-US"/>
        </w:rPr>
        <w:t xml:space="preserve">, R, </w:t>
      </w:r>
      <w:r w:rsidRPr="00E11D50">
        <w:rPr>
          <w:rFonts w:cs="Arial"/>
          <w:i/>
          <w:iCs/>
          <w:color w:val="000000"/>
          <w:lang w:val="en-US"/>
        </w:rPr>
        <w:t xml:space="preserve">The link between primary health care and health outcomes for Aboriginal and Torres Strait Islander Australians, </w:t>
      </w:r>
      <w:proofErr w:type="spellStart"/>
      <w:r>
        <w:rPr>
          <w:rFonts w:cs="Arial"/>
          <w:iCs/>
          <w:color w:val="000000"/>
          <w:lang w:val="en-US"/>
        </w:rPr>
        <w:t>OATSIH</w:t>
      </w:r>
      <w:proofErr w:type="spellEnd"/>
      <w:r>
        <w:rPr>
          <w:rFonts w:cs="Arial"/>
          <w:iCs/>
          <w:color w:val="000000"/>
          <w:lang w:val="en-US"/>
        </w:rPr>
        <w:t xml:space="preserve">, Canberra, 2008, p </w:t>
      </w:r>
      <w:r w:rsidRPr="00E11D50">
        <w:rPr>
          <w:rFonts w:cs="Arial"/>
          <w:iCs/>
          <w:color w:val="000000"/>
          <w:lang w:val="en-US"/>
        </w:rPr>
        <w:t xml:space="preserve">8. Available online at: </w:t>
      </w:r>
      <w:hyperlink r:id="rId77" w:history="1">
        <w:r w:rsidRPr="00E11D50">
          <w:rPr>
            <w:rStyle w:val="Hyperlink"/>
            <w:rFonts w:cs="Arial"/>
            <w:iCs/>
            <w:lang w:val="en-US"/>
          </w:rPr>
          <w:t>https://www.health.gov.au/internet/main/publishing.nsf/Content/EF81F462A8E8482BCA257BF0001ED788/$File/2008%20OATSIH%20Primary%20Health%20Care%20lit%20review%20FINAL%20ll.pdf</w:t>
        </w:r>
      </w:hyperlink>
      <w:r w:rsidRPr="00E11D50">
        <w:rPr>
          <w:rFonts w:cs="Arial"/>
          <w:iCs/>
          <w:color w:val="000000"/>
          <w:lang w:val="en-US"/>
        </w:rPr>
        <w:t xml:space="preserve">. </w:t>
      </w:r>
      <w:r w:rsidRPr="00E11D50">
        <w:rPr>
          <w:rFonts w:cs="Arial"/>
        </w:rPr>
        <w:t>[Verified 21 October 2015].</w:t>
      </w:r>
    </w:p>
  </w:endnote>
  <w:endnote w:id="208">
    <w:p w14:paraId="173F4238" w14:textId="77777777"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Close the Gap Campaign Steering Committee, </w:t>
      </w:r>
      <w:r w:rsidRPr="00E11D50">
        <w:rPr>
          <w:rFonts w:cs="Arial"/>
          <w:i/>
        </w:rPr>
        <w:t>National Indigenous Health Equality Targets</w:t>
      </w:r>
      <w:r w:rsidRPr="00E11D50">
        <w:rPr>
          <w:rFonts w:cs="Arial"/>
        </w:rPr>
        <w:t xml:space="preserve">, 2008. Available online at: </w:t>
      </w:r>
      <w:hyperlink r:id="rId78" w:history="1">
        <w:r w:rsidRPr="00E11D50">
          <w:rPr>
            <w:rStyle w:val="Hyperlink"/>
            <w:rFonts w:cs="Arial"/>
          </w:rPr>
          <w:t>https://www.humanrights.gov.au/publications/closing-gap-national-indigenous-health-equality-targets-2008</w:t>
        </w:r>
      </w:hyperlink>
      <w:r w:rsidRPr="00E11D50">
        <w:rPr>
          <w:rFonts w:cs="Arial"/>
        </w:rPr>
        <w:t>.</w:t>
      </w:r>
    </w:p>
  </w:endnote>
  <w:endnote w:id="209">
    <w:p w14:paraId="70DC2765" w14:textId="54E8EEB5" w:rsidR="0068666F" w:rsidRPr="00E11D50" w:rsidRDefault="0068666F">
      <w:pPr>
        <w:autoSpaceDE w:val="0"/>
        <w:autoSpaceDN w:val="0"/>
        <w:adjustRightInd w:val="0"/>
        <w:rPr>
          <w:rFonts w:eastAsia="Times New Roman" w:cs="Arial"/>
          <w:sz w:val="20"/>
          <w:szCs w:val="20"/>
        </w:rPr>
      </w:pPr>
      <w:r w:rsidRPr="00E11D50">
        <w:rPr>
          <w:rStyle w:val="EndnoteReference"/>
          <w:rFonts w:cs="Arial"/>
          <w:sz w:val="20"/>
          <w:szCs w:val="20"/>
        </w:rPr>
        <w:endnoteRef/>
      </w:r>
      <w:r w:rsidRPr="00E11D50">
        <w:rPr>
          <w:rFonts w:cs="Arial"/>
          <w:sz w:val="20"/>
          <w:szCs w:val="20"/>
        </w:rPr>
        <w:t xml:space="preserve"> </w:t>
      </w:r>
      <w:proofErr w:type="spellStart"/>
      <w:r w:rsidRPr="00E11D50">
        <w:rPr>
          <w:rFonts w:eastAsia="Times New Roman" w:cs="Arial"/>
          <w:sz w:val="20"/>
          <w:szCs w:val="20"/>
        </w:rPr>
        <w:t>Duckett</w:t>
      </w:r>
      <w:proofErr w:type="spellEnd"/>
      <w:r w:rsidRPr="00E11D50">
        <w:rPr>
          <w:rFonts w:eastAsia="Times New Roman" w:cs="Arial"/>
          <w:sz w:val="20"/>
          <w:szCs w:val="20"/>
        </w:rPr>
        <w:t xml:space="preserve"> S, Beaumont M, Bell G</w:t>
      </w:r>
      <w:r w:rsidRPr="00745865">
        <w:rPr>
          <w:rFonts w:eastAsia="Times New Roman" w:cs="Arial"/>
          <w:sz w:val="20"/>
          <w:szCs w:val="20"/>
        </w:rPr>
        <w:t>, et al,</w:t>
      </w:r>
      <w:r w:rsidRPr="00E11D50">
        <w:rPr>
          <w:rFonts w:eastAsia="Times New Roman" w:cs="Arial"/>
          <w:sz w:val="20"/>
          <w:szCs w:val="20"/>
        </w:rPr>
        <w:t xml:space="preserve"> </w:t>
      </w:r>
      <w:r w:rsidRPr="00E11D50">
        <w:rPr>
          <w:rFonts w:eastAsia="Times New Roman" w:cs="Arial"/>
          <w:i/>
          <w:sz w:val="20"/>
          <w:szCs w:val="20"/>
        </w:rPr>
        <w:t>Leading Change in Primary Care: Boards of Primary Health Networks can help improve the Australian health care system</w:t>
      </w:r>
      <w:r w:rsidRPr="00E11D50">
        <w:rPr>
          <w:rFonts w:eastAsia="Times New Roman" w:cs="Arial"/>
          <w:sz w:val="20"/>
          <w:szCs w:val="20"/>
        </w:rPr>
        <w:t xml:space="preserve">, 2015. Available online at: </w:t>
      </w:r>
      <w:hyperlink r:id="rId79" w:history="1">
        <w:r w:rsidRPr="00E11D50">
          <w:rPr>
            <w:rStyle w:val="Hyperlink"/>
            <w:rFonts w:eastAsia="Times New Roman" w:cs="Arial"/>
            <w:sz w:val="20"/>
            <w:szCs w:val="20"/>
          </w:rPr>
          <w:t>https://ahha.asn.au/sites/default/files/docs/policy-issue/leading_change_in_primary_care.pdf</w:t>
        </w:r>
      </w:hyperlink>
      <w:r>
        <w:rPr>
          <w:rFonts w:eastAsia="Times New Roman" w:cs="Arial"/>
          <w:sz w:val="20"/>
          <w:szCs w:val="20"/>
        </w:rPr>
        <w:t xml:space="preserve">. </w:t>
      </w:r>
      <w:r w:rsidRPr="00E11D50">
        <w:rPr>
          <w:rFonts w:eastAsia="Times New Roman" w:cs="Arial"/>
          <w:sz w:val="20"/>
          <w:szCs w:val="20"/>
        </w:rPr>
        <w:t>[Verified 21 December 2015</w:t>
      </w:r>
      <w:r>
        <w:rPr>
          <w:rFonts w:eastAsia="Times New Roman" w:cs="Arial"/>
          <w:sz w:val="20"/>
          <w:szCs w:val="20"/>
        </w:rPr>
        <w:t>].</w:t>
      </w:r>
    </w:p>
  </w:endnote>
  <w:endnote w:id="210">
    <w:p w14:paraId="48E051B7" w14:textId="1E4E93D7"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Senate Select Committee on Health, </w:t>
      </w:r>
      <w:r w:rsidRPr="00E11D50">
        <w:rPr>
          <w:rFonts w:cs="Arial"/>
          <w:i/>
        </w:rPr>
        <w:t>First Interim Report</w:t>
      </w:r>
      <w:r w:rsidRPr="00E11D50">
        <w:rPr>
          <w:rFonts w:cs="Arial"/>
        </w:rPr>
        <w:t xml:space="preserve"> (on health policy, administration and expenditure), December 2014. Available online at: </w:t>
      </w:r>
      <w:hyperlink r:id="rId80" w:history="1">
        <w:r w:rsidRPr="00E11D50">
          <w:rPr>
            <w:rStyle w:val="Hyperlink"/>
            <w:rFonts w:cs="Arial"/>
          </w:rPr>
          <w:t>http://www.aph.gov.au/Parliamentary_Business/Committees/Senate/Health/Health/First%20Interim%20Report/c04</w:t>
        </w:r>
      </w:hyperlink>
      <w:r w:rsidRPr="00E11D50">
        <w:rPr>
          <w:rFonts w:cs="Arial"/>
        </w:rPr>
        <w:t>. [Verified 21 December 2015</w:t>
      </w:r>
      <w:r>
        <w:rPr>
          <w:rFonts w:cs="Arial"/>
        </w:rPr>
        <w:t>].</w:t>
      </w:r>
    </w:p>
  </w:endnote>
  <w:endnote w:id="211">
    <w:p w14:paraId="60ABB56A" w14:textId="209A6F49"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proofErr w:type="spellStart"/>
      <w:r w:rsidRPr="00E11D50">
        <w:rPr>
          <w:rFonts w:cs="Arial"/>
        </w:rPr>
        <w:t>Duckett</w:t>
      </w:r>
      <w:proofErr w:type="spellEnd"/>
      <w:r w:rsidRPr="00E11D50">
        <w:rPr>
          <w:rFonts w:cs="Arial"/>
        </w:rPr>
        <w:t xml:space="preserve"> S, Beaumont M, Bell G, </w:t>
      </w:r>
      <w:r w:rsidRPr="00E11D50">
        <w:rPr>
          <w:rFonts w:cs="Arial"/>
          <w:i/>
        </w:rPr>
        <w:t>et al</w:t>
      </w:r>
      <w:r w:rsidRPr="00E11D50">
        <w:rPr>
          <w:rFonts w:cs="Arial"/>
        </w:rPr>
        <w:t xml:space="preserve">, </w:t>
      </w:r>
      <w:r w:rsidRPr="00E11D50">
        <w:rPr>
          <w:rFonts w:cs="Arial"/>
          <w:i/>
        </w:rPr>
        <w:t>Leading Change in Primary Care: Boards of Primary Health Networks can help improve the Australian health care system</w:t>
      </w:r>
      <w:r w:rsidRPr="00E11D50">
        <w:rPr>
          <w:rFonts w:cs="Arial"/>
        </w:rPr>
        <w:t xml:space="preserve">, 2015. Available online at: </w:t>
      </w:r>
      <w:hyperlink r:id="rId81" w:history="1">
        <w:r w:rsidRPr="00E11D50">
          <w:rPr>
            <w:rStyle w:val="Hyperlink"/>
            <w:rFonts w:cs="Arial"/>
          </w:rPr>
          <w:t>https://ahha.asn.au/sites/default/files/docs/policy-issue/leading_change_in_primary_care.pdf</w:t>
        </w:r>
      </w:hyperlink>
      <w:r>
        <w:rPr>
          <w:rFonts w:cs="Arial"/>
        </w:rPr>
        <w:t xml:space="preserve">. </w:t>
      </w:r>
      <w:r w:rsidRPr="00E11D50">
        <w:rPr>
          <w:rFonts w:cs="Arial"/>
        </w:rPr>
        <w:t>[Verified 21 December 2015</w:t>
      </w:r>
      <w:r>
        <w:rPr>
          <w:rFonts w:cs="Arial"/>
        </w:rPr>
        <w:t>].</w:t>
      </w:r>
    </w:p>
  </w:endnote>
  <w:endnote w:id="212">
    <w:p w14:paraId="365B9ED7" w14:textId="74E6965F"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lang w:val="en-US"/>
        </w:rPr>
        <w:t xml:space="preserve">Department of Health, </w:t>
      </w:r>
      <w:proofErr w:type="spellStart"/>
      <w:r w:rsidRPr="00E11D50">
        <w:rPr>
          <w:rFonts w:cs="Arial"/>
          <w:i/>
          <w:lang w:val="en-US"/>
        </w:rPr>
        <w:t>PHN</w:t>
      </w:r>
      <w:proofErr w:type="spellEnd"/>
      <w:r w:rsidRPr="00E11D50">
        <w:rPr>
          <w:rFonts w:cs="Arial"/>
          <w:i/>
          <w:lang w:val="en-US"/>
        </w:rPr>
        <w:t xml:space="preserve"> fact sheet</w:t>
      </w:r>
      <w:r>
        <w:rPr>
          <w:rFonts w:cs="Arial"/>
          <w:lang w:val="en-US"/>
        </w:rPr>
        <w:t>, 1 July 2015.</w:t>
      </w:r>
    </w:p>
  </w:endnote>
  <w:endnote w:id="213">
    <w:p w14:paraId="73E97731" w14:textId="66658152"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Australian Medical Association, </w:t>
      </w:r>
      <w:proofErr w:type="spellStart"/>
      <w:r w:rsidRPr="00E11D50">
        <w:rPr>
          <w:rFonts w:cs="Arial"/>
        </w:rPr>
        <w:t>PHNs</w:t>
      </w:r>
      <w:proofErr w:type="spellEnd"/>
      <w:r w:rsidRPr="00E11D50">
        <w:rPr>
          <w:rFonts w:cs="Arial"/>
        </w:rPr>
        <w:t xml:space="preserve"> give many Medicare Locals New Lease of Life, Media Release (14 April 2015). Available online at: </w:t>
      </w:r>
      <w:hyperlink r:id="rId82" w:history="1">
        <w:r w:rsidRPr="00E11D50">
          <w:rPr>
            <w:rStyle w:val="Hyperlink"/>
            <w:rFonts w:cs="Arial"/>
          </w:rPr>
          <w:t>https://ama.com.au/ausmed/phns-give-many-medicare-locals-new-lease-life</w:t>
        </w:r>
      </w:hyperlink>
      <w:r w:rsidRPr="00745865">
        <w:rPr>
          <w:rStyle w:val="Hyperlink"/>
          <w:rFonts w:cs="Arial"/>
          <w:color w:val="auto"/>
          <w:u w:val="none"/>
        </w:rPr>
        <w:t>.</w:t>
      </w:r>
      <w:r>
        <w:rPr>
          <w:rFonts w:cs="Arial"/>
        </w:rPr>
        <w:t xml:space="preserve"> [Verified 21 December 2015].</w:t>
      </w:r>
    </w:p>
  </w:endnote>
  <w:endnote w:id="214">
    <w:p w14:paraId="5E8E91E1" w14:textId="44EEE092"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Australian Government, </w:t>
      </w:r>
      <w:proofErr w:type="spellStart"/>
      <w:r w:rsidRPr="00E11D50">
        <w:rPr>
          <w:rFonts w:cs="Arial"/>
        </w:rPr>
        <w:t>PHN</w:t>
      </w:r>
      <w:proofErr w:type="spellEnd"/>
      <w:r w:rsidRPr="00E11D50">
        <w:rPr>
          <w:rFonts w:cs="Arial"/>
        </w:rPr>
        <w:t xml:space="preserve"> Background, 8 December 2015. Available online at: </w:t>
      </w:r>
      <w:hyperlink r:id="rId83" w:history="1">
        <w:r w:rsidRPr="00E11D50">
          <w:rPr>
            <w:rStyle w:val="Hyperlink"/>
            <w:rFonts w:cs="Arial"/>
          </w:rPr>
          <w:t>http://www.health.gov.au/internet/main/publishing.nsf/Content/PHN-Background</w:t>
        </w:r>
      </w:hyperlink>
      <w:r w:rsidRPr="00E11D50">
        <w:rPr>
          <w:rFonts w:cs="Arial"/>
          <w:color w:val="1A1A1A"/>
        </w:rPr>
        <w:t xml:space="preserve">. </w:t>
      </w:r>
      <w:r w:rsidRPr="00E11D50">
        <w:rPr>
          <w:rFonts w:cs="Arial"/>
        </w:rPr>
        <w:t>[Verified 21 December 2015</w:t>
      </w:r>
      <w:r>
        <w:rPr>
          <w:rFonts w:cs="Arial"/>
        </w:rPr>
        <w:t>].</w:t>
      </w:r>
    </w:p>
  </w:endnote>
  <w:endnote w:id="215">
    <w:p w14:paraId="12EC814D" w14:textId="3B83A252"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lang w:val="en-US"/>
        </w:rPr>
        <w:t xml:space="preserve">Australian Government, </w:t>
      </w:r>
      <w:r w:rsidRPr="00E11D50">
        <w:rPr>
          <w:rFonts w:cs="Arial"/>
          <w:i/>
          <w:lang w:val="en-US"/>
        </w:rPr>
        <w:t xml:space="preserve">Australian Government Response to ‘Contributing Lives, Thriving Communities – Review of Mental Health </w:t>
      </w:r>
      <w:proofErr w:type="spellStart"/>
      <w:r w:rsidRPr="00E11D50">
        <w:rPr>
          <w:rFonts w:cs="Arial"/>
          <w:i/>
          <w:lang w:val="en-US"/>
        </w:rPr>
        <w:t>Programmes</w:t>
      </w:r>
      <w:proofErr w:type="spellEnd"/>
      <w:r w:rsidRPr="00E11D50">
        <w:rPr>
          <w:rFonts w:cs="Arial"/>
          <w:i/>
          <w:lang w:val="en-US"/>
        </w:rPr>
        <w:t xml:space="preserve"> and Services</w:t>
      </w:r>
      <w:r w:rsidRPr="00E11D50">
        <w:rPr>
          <w:rFonts w:cs="Arial"/>
          <w:lang w:val="en-US"/>
        </w:rPr>
        <w:t xml:space="preserve">, Commonwealth of Australia, Canberra, 2015. Available online at: </w:t>
      </w:r>
      <w:hyperlink r:id="rId84" w:history="1">
        <w:r w:rsidRPr="00E11D50">
          <w:rPr>
            <w:rStyle w:val="Hyperlink"/>
            <w:rFonts w:eastAsia="Calibri" w:cs="Arial"/>
          </w:rPr>
          <w:t>https://www.health.gov.au/internet/main/publishing.nsf/Content/0DBEF2D78F7CB9E7CA257F07001ACC6D/$File/response.pdf</w:t>
        </w:r>
      </w:hyperlink>
      <w:r w:rsidRPr="00E11D50">
        <w:rPr>
          <w:rFonts w:cs="Arial"/>
          <w:lang w:val="en-US"/>
        </w:rPr>
        <w:t>. [Verified 16 December 2015</w:t>
      </w:r>
      <w:r>
        <w:rPr>
          <w:rFonts w:cs="Arial"/>
          <w:lang w:val="en-US"/>
        </w:rPr>
        <w:t>].</w:t>
      </w:r>
    </w:p>
  </w:endnote>
  <w:endnote w:id="216">
    <w:p w14:paraId="45131AFB" w14:textId="76475154"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w:t>
      </w:r>
      <w:r w:rsidRPr="00E11D50">
        <w:rPr>
          <w:rFonts w:cs="Arial"/>
          <w:lang w:val="en-US"/>
        </w:rPr>
        <w:t xml:space="preserve">Australian Government, </w:t>
      </w:r>
      <w:r w:rsidRPr="00E11D50">
        <w:rPr>
          <w:rFonts w:cs="Arial"/>
          <w:i/>
          <w:lang w:val="en-US"/>
        </w:rPr>
        <w:t xml:space="preserve">Australian Government Response to ‘Contributing Lives, Thriving Communities – Review of Mental Health </w:t>
      </w:r>
      <w:proofErr w:type="spellStart"/>
      <w:r w:rsidRPr="00E11D50">
        <w:rPr>
          <w:rFonts w:cs="Arial"/>
          <w:i/>
          <w:lang w:val="en-US"/>
        </w:rPr>
        <w:t>Programmes</w:t>
      </w:r>
      <w:proofErr w:type="spellEnd"/>
      <w:r w:rsidRPr="00E11D50">
        <w:rPr>
          <w:rFonts w:cs="Arial"/>
          <w:i/>
          <w:lang w:val="en-US"/>
        </w:rPr>
        <w:t xml:space="preserve"> and Services</w:t>
      </w:r>
      <w:r w:rsidRPr="00E11D50">
        <w:rPr>
          <w:rFonts w:cs="Arial"/>
          <w:lang w:val="en-US"/>
        </w:rPr>
        <w:t xml:space="preserve">, Commonwealth of Australia, Canberra, 2015. Available online at: </w:t>
      </w:r>
      <w:hyperlink r:id="rId85" w:history="1">
        <w:r w:rsidRPr="00E11D50">
          <w:rPr>
            <w:rStyle w:val="Hyperlink"/>
            <w:rFonts w:eastAsia="Calibri" w:cs="Arial"/>
          </w:rPr>
          <w:t>https://www.health.gov.au/internet/main/publishing.nsf/Content/0DBEF2D78F7CB9E7CA257F07001ACC6D/$File/response.pdf</w:t>
        </w:r>
      </w:hyperlink>
      <w:r w:rsidRPr="00E11D50">
        <w:rPr>
          <w:rFonts w:cs="Arial"/>
          <w:lang w:val="en-US"/>
        </w:rPr>
        <w:t>.</w:t>
      </w:r>
      <w:r>
        <w:rPr>
          <w:rFonts w:cs="Arial"/>
          <w:lang w:val="en-US"/>
        </w:rPr>
        <w:t xml:space="preserve"> </w:t>
      </w:r>
      <w:r w:rsidRPr="00E11D50">
        <w:rPr>
          <w:rFonts w:cs="Arial"/>
          <w:lang w:val="en-US"/>
        </w:rPr>
        <w:t>[Verified 16 December 2015</w:t>
      </w:r>
      <w:r>
        <w:rPr>
          <w:rFonts w:cs="Arial"/>
          <w:lang w:val="en-US"/>
        </w:rPr>
        <w:t>].</w:t>
      </w:r>
    </w:p>
  </w:endnote>
  <w:endnote w:id="217">
    <w:p w14:paraId="347DF107" w14:textId="3280C73B"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Australian Government, Taking Action to Combat Ice, December 2015. Available online at:</w:t>
      </w:r>
      <w:r>
        <w:rPr>
          <w:rFonts w:cs="Arial"/>
        </w:rPr>
        <w:t xml:space="preserve"> </w:t>
      </w:r>
      <w:hyperlink r:id="rId86" w:history="1">
        <w:r w:rsidRPr="00E11D50">
          <w:rPr>
            <w:rStyle w:val="Hyperlink"/>
            <w:rFonts w:cs="Arial"/>
          </w:rPr>
          <w:t>http://www.health.gov.au/internet/main/publishing.nsf/content/396377B005C71DD0CA257F100005FD5C/$File/combat%20ICE%20glossy.pdf</w:t>
        </w:r>
      </w:hyperlink>
      <w:r w:rsidRPr="00E11D50">
        <w:rPr>
          <w:rFonts w:cs="Arial"/>
        </w:rPr>
        <w:t xml:space="preserve">. </w:t>
      </w:r>
      <w:r w:rsidRPr="00E11D50">
        <w:rPr>
          <w:rFonts w:cs="Arial"/>
          <w:lang w:val="en-US"/>
        </w:rPr>
        <w:t>[Verified 16 December 2015</w:t>
      </w:r>
      <w:r>
        <w:rPr>
          <w:rFonts w:cs="Arial"/>
          <w:lang w:val="en-US"/>
        </w:rPr>
        <w:t>].</w:t>
      </w:r>
    </w:p>
  </w:endnote>
  <w:endnote w:id="218">
    <w:p w14:paraId="5E9469A4" w14:textId="5C5745D6"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Australian Government (Department of the Prime Minister and Cabinet), </w:t>
      </w:r>
      <w:r w:rsidRPr="00E11D50">
        <w:rPr>
          <w:rFonts w:cs="Arial"/>
          <w:i/>
        </w:rPr>
        <w:t>Indigenous Advancement Strategy,</w:t>
      </w:r>
      <w:r w:rsidRPr="00E11D50">
        <w:rPr>
          <w:rFonts w:cs="Arial"/>
        </w:rPr>
        <w:t xml:space="preserve"> (undated). Available online at: </w:t>
      </w:r>
      <w:hyperlink r:id="rId87" w:history="1">
        <w:r w:rsidRPr="00E11D50">
          <w:rPr>
            <w:rStyle w:val="Hyperlink"/>
            <w:rFonts w:cs="Arial"/>
          </w:rPr>
          <w:t>http://www.dpmc.gov.au/indigenous-affairs/about/indigenous-advancement-strategy</w:t>
        </w:r>
      </w:hyperlink>
      <w:r w:rsidRPr="00E11D50">
        <w:rPr>
          <w:rFonts w:cs="Arial"/>
        </w:rPr>
        <w:t xml:space="preserve">. </w:t>
      </w:r>
      <w:r w:rsidRPr="00E11D50">
        <w:rPr>
          <w:rFonts w:cs="Arial"/>
          <w:lang w:val="en-US"/>
        </w:rPr>
        <w:t>[Verified 16 December 2015</w:t>
      </w:r>
      <w:r>
        <w:rPr>
          <w:rFonts w:cs="Arial"/>
          <w:lang w:val="en-US"/>
        </w:rPr>
        <w:t>].</w:t>
      </w:r>
    </w:p>
  </w:endnote>
  <w:endnote w:id="219">
    <w:p w14:paraId="7EA59915" w14:textId="0E3FD824"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Australian Government (Department of the Prime Minister and Cabinet), </w:t>
      </w:r>
      <w:r w:rsidRPr="00E11D50">
        <w:rPr>
          <w:rFonts w:cs="Arial"/>
          <w:i/>
        </w:rPr>
        <w:t>Indigenous Advancement Strategy,</w:t>
      </w:r>
      <w:r w:rsidRPr="00E11D50">
        <w:rPr>
          <w:rFonts w:cs="Arial"/>
        </w:rPr>
        <w:t xml:space="preserve"> (undated). Available online at: </w:t>
      </w:r>
      <w:hyperlink r:id="rId88" w:history="1">
        <w:r w:rsidRPr="00E11D50">
          <w:rPr>
            <w:rStyle w:val="Hyperlink"/>
            <w:rFonts w:cs="Arial"/>
          </w:rPr>
          <w:t>http://www.dpmc.gov.au/indigenous-affairs/about/indigenous-advancement-strategy</w:t>
        </w:r>
      </w:hyperlink>
      <w:r w:rsidRPr="00E11D50">
        <w:rPr>
          <w:rFonts w:cs="Arial"/>
        </w:rPr>
        <w:t xml:space="preserve">. </w:t>
      </w:r>
      <w:r w:rsidRPr="00E11D50">
        <w:rPr>
          <w:rFonts w:cs="Arial"/>
          <w:lang w:val="en-US"/>
        </w:rPr>
        <w:t>[Verified 16 December 2015</w:t>
      </w:r>
      <w:r>
        <w:rPr>
          <w:rFonts w:cs="Arial"/>
          <w:lang w:val="en-US"/>
        </w:rPr>
        <w:t>].</w:t>
      </w:r>
    </w:p>
  </w:endnote>
  <w:endnote w:id="220">
    <w:p w14:paraId="31EEB909" w14:textId="1C503894"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Australian Government (Department of the Prime Minister and Cabinet), </w:t>
      </w:r>
      <w:r w:rsidRPr="00E11D50">
        <w:rPr>
          <w:rFonts w:cs="Arial"/>
          <w:i/>
        </w:rPr>
        <w:t>Indigenous Advancement Strategy Funding Round,</w:t>
      </w:r>
      <w:r w:rsidRPr="00E11D50">
        <w:rPr>
          <w:rFonts w:cs="Arial"/>
        </w:rPr>
        <w:t xml:space="preserve"> (20 August 2014). Available online </w:t>
      </w:r>
      <w:r w:rsidRPr="00745865">
        <w:rPr>
          <w:rStyle w:val="Hyperlink"/>
        </w:rPr>
        <w:t>http://www.indigenous.gov.au/indigenous-advancement-strategy-funding-round</w:t>
      </w:r>
      <w:r w:rsidRPr="00E11D50">
        <w:rPr>
          <w:rFonts w:cs="Arial"/>
        </w:rPr>
        <w:t xml:space="preserve">. </w:t>
      </w:r>
      <w:r w:rsidRPr="00E11D50">
        <w:rPr>
          <w:rFonts w:cs="Arial"/>
          <w:lang w:val="en-US"/>
        </w:rPr>
        <w:t>[Verified 16 December 2015</w:t>
      </w:r>
      <w:r>
        <w:rPr>
          <w:rFonts w:cs="Arial"/>
          <w:lang w:val="en-US"/>
        </w:rPr>
        <w:t>].</w:t>
      </w:r>
    </w:p>
  </w:endnote>
  <w:endnote w:id="221">
    <w:p w14:paraId="2E3D523B" w14:textId="613C6887"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Australian Government (Department of the Prime Minister and Cabinet), </w:t>
      </w:r>
      <w:r w:rsidRPr="00E11D50">
        <w:rPr>
          <w:rFonts w:cs="Arial"/>
          <w:i/>
        </w:rPr>
        <w:t>Indigenous Advancement Strategy Funding Round,</w:t>
      </w:r>
      <w:r w:rsidRPr="00E11D50">
        <w:rPr>
          <w:rFonts w:cs="Arial"/>
        </w:rPr>
        <w:t xml:space="preserve"> (20 August 2014). Available online </w:t>
      </w:r>
      <w:r w:rsidRPr="006B2B31">
        <w:rPr>
          <w:rStyle w:val="Hyperlink"/>
        </w:rPr>
        <w:t>http://www.indigenous.gov.au/indigenous-advancement-strategy-funding-round</w:t>
      </w:r>
      <w:r w:rsidRPr="00E11D50">
        <w:rPr>
          <w:rFonts w:cs="Arial"/>
        </w:rPr>
        <w:t xml:space="preserve">. </w:t>
      </w:r>
      <w:r w:rsidRPr="00E11D50">
        <w:rPr>
          <w:rFonts w:cs="Arial"/>
          <w:lang w:val="en-US"/>
        </w:rPr>
        <w:t>[Verified 16 December 2015</w:t>
      </w:r>
      <w:r>
        <w:rPr>
          <w:rFonts w:cs="Arial"/>
          <w:lang w:val="en-US"/>
        </w:rPr>
        <w:t>].</w:t>
      </w:r>
    </w:p>
  </w:endnote>
  <w:endnote w:id="222">
    <w:p w14:paraId="0188719C" w14:textId="6CECC765"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Australian Government (Department of the Prime Minister and Cabinet), </w:t>
      </w:r>
      <w:r w:rsidRPr="00E11D50">
        <w:rPr>
          <w:rFonts w:cs="Arial"/>
          <w:i/>
        </w:rPr>
        <w:t>Indigenous Advancement Strategy Funding Round,</w:t>
      </w:r>
      <w:r w:rsidRPr="00E11D50">
        <w:rPr>
          <w:rFonts w:cs="Arial"/>
        </w:rPr>
        <w:t xml:space="preserve"> (20 August 2014). Available online </w:t>
      </w:r>
      <w:r w:rsidRPr="006B2B31">
        <w:rPr>
          <w:rStyle w:val="Hyperlink"/>
        </w:rPr>
        <w:t>http://www.indigenous.gov.au/indigenous-advancement-strategy-funding-round</w:t>
      </w:r>
      <w:r w:rsidRPr="00E11D50">
        <w:rPr>
          <w:rFonts w:cs="Arial"/>
        </w:rPr>
        <w:t xml:space="preserve">. </w:t>
      </w:r>
      <w:r w:rsidRPr="00E11D50">
        <w:rPr>
          <w:rFonts w:cs="Arial"/>
          <w:lang w:val="en-US"/>
        </w:rPr>
        <w:t>[Verified 16 December 2015</w:t>
      </w:r>
      <w:r>
        <w:rPr>
          <w:rFonts w:cs="Arial"/>
          <w:lang w:val="en-US"/>
        </w:rPr>
        <w:t>].</w:t>
      </w:r>
    </w:p>
  </w:endnote>
  <w:endnote w:id="223">
    <w:p w14:paraId="6A7B2EC8" w14:textId="6C4CFE48" w:rsidR="0068666F" w:rsidRPr="00E11D50" w:rsidRDefault="0068666F">
      <w:pPr>
        <w:pStyle w:val="EndnoteText"/>
        <w:rPr>
          <w:rFonts w:cs="Arial"/>
          <w:lang w:val="en-US"/>
        </w:rPr>
      </w:pPr>
      <w:r w:rsidRPr="00E11D50">
        <w:rPr>
          <w:rStyle w:val="EndnoteReference"/>
          <w:rFonts w:cs="Arial"/>
          <w:sz w:val="20"/>
        </w:rPr>
        <w:endnoteRef/>
      </w:r>
      <w:r w:rsidRPr="00E11D50">
        <w:rPr>
          <w:rFonts w:cs="Arial"/>
        </w:rPr>
        <w:t xml:space="preserve"> Senate Finance and Public Administration References Committee, </w:t>
      </w:r>
      <w:r w:rsidRPr="00E11D50">
        <w:rPr>
          <w:rFonts w:cs="Arial"/>
          <w:i/>
        </w:rPr>
        <w:t>Commonwealth Indigenous Advancement Strategy tendering process</w:t>
      </w:r>
      <w:r w:rsidRPr="00E11D50">
        <w:rPr>
          <w:rFonts w:cs="Arial"/>
        </w:rPr>
        <w:t xml:space="preserve">, 2015. Available online at: </w:t>
      </w:r>
      <w:hyperlink r:id="rId89" w:history="1">
        <w:r w:rsidRPr="00E11D50">
          <w:rPr>
            <w:rStyle w:val="Hyperlink"/>
            <w:rFonts w:cs="Arial"/>
          </w:rPr>
          <w:t>http://www.aph.gov.au/Parliamentary_Business/Committees/Senate/Finance_and_Public_Administration/Commonwealth_Indigenous</w:t>
        </w:r>
      </w:hyperlink>
      <w:r w:rsidRPr="00E11D50">
        <w:rPr>
          <w:rFonts w:cs="Arial"/>
        </w:rPr>
        <w:t xml:space="preserve"> </w:t>
      </w:r>
      <w:r w:rsidRPr="00E11D50">
        <w:rPr>
          <w:rFonts w:cs="Arial"/>
          <w:lang w:val="en-US"/>
        </w:rPr>
        <w:t>[Verified 16 December 2015</w:t>
      </w:r>
      <w:r>
        <w:rPr>
          <w:rFonts w:cs="Arial"/>
          <w:lang w:val="en-US"/>
        </w:rPr>
        <w:t>].</w:t>
      </w:r>
    </w:p>
  </w:endnote>
  <w:endnote w:id="224">
    <w:p w14:paraId="12BEA8F2" w14:textId="69A12AC4" w:rsidR="0068666F" w:rsidRPr="00E11D50" w:rsidRDefault="0068666F" w:rsidP="00E0727A">
      <w:pPr>
        <w:pStyle w:val="EndnoteText"/>
        <w:rPr>
          <w:rFonts w:cs="Arial"/>
        </w:rPr>
      </w:pPr>
      <w:r w:rsidRPr="00E11D50">
        <w:rPr>
          <w:rStyle w:val="EndnoteReference"/>
          <w:rFonts w:cs="Arial"/>
          <w:sz w:val="20"/>
        </w:rPr>
        <w:endnoteRef/>
      </w:r>
      <w:r>
        <w:rPr>
          <w:rFonts w:cs="Arial"/>
        </w:rPr>
        <w:t xml:space="preserve"> APO NT</w:t>
      </w:r>
      <w:r w:rsidRPr="00E11D50">
        <w:rPr>
          <w:rFonts w:cs="Arial"/>
        </w:rPr>
        <w:t>, Indigenous Advancement Program Senate Inquiry Submission refers to to an Alice Springs survey by the</w:t>
      </w:r>
      <w:r>
        <w:rPr>
          <w:rFonts w:cs="Arial"/>
        </w:rPr>
        <w:t xml:space="preserve"> Chamber of Commerce on page 39</w:t>
      </w:r>
      <w:r w:rsidRPr="00E11D50">
        <w:rPr>
          <w:rFonts w:cs="Arial"/>
        </w:rPr>
        <w:t xml:space="preserve">: </w:t>
      </w:r>
      <w:hyperlink r:id="rId90" w:history="1">
        <w:r w:rsidRPr="00E11D50">
          <w:rPr>
            <w:rStyle w:val="Hyperlink"/>
            <w:rFonts w:cs="Arial"/>
          </w:rPr>
          <w:t>http://www.alicespringsnews.com.au/2015/03/19/funding-cuts-hurt-alice-chamber-of-commerce-survey/</w:t>
        </w:r>
      </w:hyperlink>
      <w:r>
        <w:rPr>
          <w:rFonts w:cs="Arial"/>
        </w:rPr>
        <w:t>.</w:t>
      </w:r>
    </w:p>
  </w:endnote>
  <w:endnote w:id="225">
    <w:p w14:paraId="3763F546" w14:textId="77777777" w:rsidR="0068666F" w:rsidRPr="00E11D50" w:rsidRDefault="0068666F">
      <w:pPr>
        <w:pStyle w:val="Default"/>
        <w:rPr>
          <w:rFonts w:cs="Arial"/>
          <w:sz w:val="20"/>
          <w:szCs w:val="20"/>
        </w:rPr>
      </w:pPr>
      <w:r w:rsidRPr="00E11D50">
        <w:rPr>
          <w:rStyle w:val="EndnoteReference"/>
          <w:rFonts w:cs="Arial"/>
          <w:sz w:val="20"/>
          <w:szCs w:val="20"/>
        </w:rPr>
        <w:endnoteRef/>
      </w:r>
      <w:r w:rsidRPr="00E11D50">
        <w:rPr>
          <w:rFonts w:cs="Arial"/>
          <w:sz w:val="20"/>
          <w:szCs w:val="20"/>
        </w:rPr>
        <w:t xml:space="preserve"> </w:t>
      </w:r>
      <w:proofErr w:type="spellStart"/>
      <w:r w:rsidRPr="00E11D50">
        <w:rPr>
          <w:rFonts w:cs="Arial"/>
          <w:sz w:val="20"/>
          <w:szCs w:val="20"/>
        </w:rPr>
        <w:t>Calma</w:t>
      </w:r>
      <w:proofErr w:type="spellEnd"/>
      <w:r w:rsidRPr="00E11D50">
        <w:rPr>
          <w:rFonts w:cs="Arial"/>
          <w:sz w:val="20"/>
          <w:szCs w:val="20"/>
        </w:rPr>
        <w:t xml:space="preserve"> T, </w:t>
      </w:r>
      <w:r w:rsidRPr="00E11D50">
        <w:rPr>
          <w:rFonts w:cs="Arial"/>
          <w:i/>
          <w:sz w:val="20"/>
          <w:szCs w:val="20"/>
        </w:rPr>
        <w:t>Social Justice Report 2005</w:t>
      </w:r>
      <w:r w:rsidRPr="00E11D50">
        <w:rPr>
          <w:rFonts w:cs="Arial"/>
          <w:sz w:val="20"/>
          <w:szCs w:val="20"/>
        </w:rPr>
        <w:t xml:space="preserve">, 2005. URL </w:t>
      </w:r>
      <w:hyperlink r:id="rId91" w:history="1">
        <w:r w:rsidRPr="00E11D50">
          <w:rPr>
            <w:rStyle w:val="Hyperlink"/>
            <w:rFonts w:cs="Arial"/>
            <w:sz w:val="20"/>
            <w:szCs w:val="20"/>
          </w:rPr>
          <w:t>https://www.humanrights.gov.au/publications/social-justice-report-2005-home</w:t>
        </w:r>
      </w:hyperlink>
      <w:r w:rsidRPr="00E11D50">
        <w:rPr>
          <w:rFonts w:cs="Arial"/>
          <w:sz w:val="20"/>
          <w:szCs w:val="20"/>
        </w:rPr>
        <w:t>.</w:t>
      </w:r>
    </w:p>
    <w:p w14:paraId="76A6FFBF" w14:textId="77777777" w:rsidR="0068666F" w:rsidRPr="00E11D50" w:rsidRDefault="0068666F">
      <w:pPr>
        <w:pStyle w:val="Default"/>
        <w:rPr>
          <w:rFonts w:cs="Arial"/>
          <w:sz w:val="20"/>
          <w:szCs w:val="20"/>
        </w:rPr>
      </w:pPr>
    </w:p>
  </w:endnote>
  <w:endnote w:id="226">
    <w:p w14:paraId="10C56276" w14:textId="00419CD8" w:rsidR="0068666F" w:rsidRPr="00E11D50" w:rsidRDefault="0068666F">
      <w:pPr>
        <w:pStyle w:val="EndnoteText"/>
        <w:rPr>
          <w:rFonts w:cs="Arial"/>
        </w:rPr>
      </w:pPr>
      <w:r w:rsidRPr="00E11D50">
        <w:rPr>
          <w:rStyle w:val="EndnoteReference"/>
          <w:rFonts w:cs="Arial"/>
          <w:sz w:val="20"/>
        </w:rPr>
        <w:endnoteRef/>
      </w:r>
      <w:r w:rsidRPr="00E11D50">
        <w:rPr>
          <w:rFonts w:cs="Arial"/>
        </w:rPr>
        <w:t xml:space="preserve"> More than 195,000 people have signed the pledge at the time of writing: Oxfam Australia, </w:t>
      </w:r>
      <w:r w:rsidRPr="00E11D50">
        <w:rPr>
          <w:rFonts w:cs="Arial"/>
          <w:i/>
        </w:rPr>
        <w:t>Sign the Close the Gap Pledge</w:t>
      </w:r>
      <w:r w:rsidRPr="00E11D50">
        <w:rPr>
          <w:rFonts w:cs="Arial"/>
        </w:rPr>
        <w:t xml:space="preserve">. URL </w:t>
      </w:r>
      <w:hyperlink r:id="rId92" w:history="1">
        <w:r w:rsidRPr="00E11D50">
          <w:rPr>
            <w:rStyle w:val="Hyperlink"/>
            <w:rFonts w:cs="Arial"/>
          </w:rPr>
          <w:t>https://</w:t>
        </w:r>
        <w:proofErr w:type="spellStart"/>
        <w:r w:rsidRPr="00E11D50">
          <w:rPr>
            <w:rStyle w:val="Hyperlink"/>
            <w:rFonts w:cs="Arial"/>
          </w:rPr>
          <w:t>www.oxfam.org.au</w:t>
        </w:r>
        <w:proofErr w:type="spellEnd"/>
        <w:r w:rsidRPr="00E11D50">
          <w:rPr>
            <w:rStyle w:val="Hyperlink"/>
            <w:rFonts w:cs="Arial"/>
          </w:rPr>
          <w:t>/my/act/sign-the-close-the-gap-pledge</w:t>
        </w:r>
      </w:hyperlink>
      <w:r>
        <w:rPr>
          <w:rFonts w:cs="Arial"/>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OpenSymbol">
    <w:charset w:val="00"/>
    <w:family w:val="auto"/>
    <w:pitch w:val="default"/>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ArialMT">
    <w:altName w:val="Arial"/>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yriad Pro">
    <w:panose1 w:val="020B050303040302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Myriad Pro Light">
    <w:panose1 w:val="020B0403030403020204"/>
    <w:charset w:val="00"/>
    <w:family w:val="auto"/>
    <w:pitch w:val="variable"/>
    <w:sig w:usb0="00000003" w:usb1="00000000" w:usb2="00000000" w:usb3="00000000" w:csb0="00000001" w:csb1="00000000"/>
  </w:font>
  <w:font w:name="Archer">
    <w:altName w:val="Cambria"/>
    <w:panose1 w:val="00000000000000000000"/>
    <w:charset w:val="4D"/>
    <w:family w:val="roman"/>
    <w:notTrueType/>
    <w:pitch w:val="default"/>
    <w:sig w:usb0="00000003" w:usb1="00000000" w:usb2="00000000" w:usb3="00000000" w:csb0="00000001" w:csb1="00000000"/>
  </w:font>
  <w:font w:name="Calibri Light">
    <w:panose1 w:val="020F0302020204030204"/>
    <w:charset w:val="00"/>
    <w:family w:val="auto"/>
    <w:pitch w:val="variable"/>
    <w:sig w:usb0="00000003" w:usb1="00000000" w:usb2="00000000" w:usb3="00000000" w:csb0="00000001" w:csb1="00000000"/>
  </w:font>
  <w:font w:name="MinionPro-Regular">
    <w:altName w:val="Times New Roman"/>
    <w:charset w:val="00"/>
    <w:family w:val="auto"/>
    <w:pitch w:val="variable"/>
    <w:sig w:usb0="00000003" w:usb1="00000001" w:usb2="00000000" w:usb3="00000000" w:csb0="0000019F" w:csb1="00000000"/>
  </w:font>
  <w:font w:name="MS Minngs">
    <w:altName w:val="Arial Unicode MS"/>
    <w:panose1 w:val="00000000000000000000"/>
    <w:charset w:val="80"/>
    <w:family w:val="auto"/>
    <w:notTrueType/>
    <w:pitch w:val="variable"/>
    <w:sig w:usb0="00000001" w:usb1="08070000" w:usb2="00000010" w:usb3="00000000" w:csb0="00020000" w:csb1="00000000"/>
  </w:font>
  <w:font w:name="HelveticaNeueLTPro-Roman">
    <w:altName w:val="HelveticaNeueLT Pro 55 Roman"/>
    <w:panose1 w:val="00000000000000000000"/>
    <w:charset w:val="4D"/>
    <w:family w:val="auto"/>
    <w:notTrueType/>
    <w:pitch w:val="default"/>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HelveticaNeueLTPro-MdCn">
    <w:altName w:val="HelveticaNeueLT Pro 67 MdCn"/>
    <w:panose1 w:val="00000000000000000000"/>
    <w:charset w:val="4D"/>
    <w:family w:val="auto"/>
    <w:notTrueType/>
    <w:pitch w:val="default"/>
    <w:sig w:usb0="00000003" w:usb1="00000000" w:usb2="00000000" w:usb3="00000000" w:csb0="00000001" w:csb1="00000000"/>
  </w:font>
  <w:font w:name="HelveticaNeueLT Pro 67 MdCn">
    <w:panose1 w:val="020B0606030502030204"/>
    <w:charset w:val="00"/>
    <w:family w:val="auto"/>
    <w:pitch w:val="variable"/>
    <w:sig w:usb0="00000003" w:usb1="00000000" w:usb2="00000000" w:usb3="00000000" w:csb0="00000001" w:csb1="00000000"/>
  </w:font>
  <w:font w:name="Arial Hebrew">
    <w:panose1 w:val="00000000000000000000"/>
    <w:charset w:val="00"/>
    <w:family w:val="auto"/>
    <w:pitch w:val="variable"/>
    <w:sig w:usb0="80000843" w:usb1="40002002" w:usb2="00000000" w:usb3="00000000" w:csb0="00000021" w:csb1="00000000"/>
  </w:font>
  <w:font w:name="Helvetica Neue">
    <w:altName w:val="Helvetica Neue"/>
    <w:panose1 w:val="02000503000000020004"/>
    <w:charset w:val="00"/>
    <w:family w:val="auto"/>
    <w:pitch w:val="variable"/>
    <w:sig w:usb0="E50002FF" w:usb1="500079DB" w:usb2="00000010" w:usb3="00000000" w:csb0="00000001" w:csb1="00000000"/>
  </w:font>
  <w:font w:name="OpenSans">
    <w:altName w:val="Calibri"/>
    <w:panose1 w:val="00000000000000000000"/>
    <w:charset w:val="00"/>
    <w:family w:val="auto"/>
    <w:notTrueType/>
    <w:pitch w:val="default"/>
    <w:sig w:usb0="00000003" w:usb1="00000000" w:usb2="00000000" w:usb3="00000000" w:csb0="00000001" w:csb1="00000000"/>
  </w:font>
  <w:font w:name="ProximaNova-Regular">
    <w:altName w:val="Calibri"/>
    <w:panose1 w:val="00000000000000000000"/>
    <w:charset w:val="00"/>
    <w:family w:val="auto"/>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Eyswnevzlhphbsxxhevmqhptaur">
    <w:altName w:val="Calibri"/>
    <w:panose1 w:val="00000000000000000000"/>
    <w:charset w:val="00"/>
    <w:family w:val="auto"/>
    <w:notTrueType/>
    <w:pitch w:val="default"/>
    <w:sig w:usb0="00000003" w:usb1="00000000" w:usb2="00000000" w:usb3="00000000" w:csb0="00000001" w:csb1="00000000"/>
  </w:font>
  <w:font w:name="ProximaNovaT-Thin">
    <w:altName w:val="Calibri"/>
    <w:panose1 w:val="00000000000000000000"/>
    <w:charset w:val="00"/>
    <w:family w:val="auto"/>
    <w:notTrueType/>
    <w:pitch w:val="default"/>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MS MinNew Roman">
    <w:altName w:val="Roman"/>
    <w:panose1 w:val="00000000000000000000"/>
    <w:charset w:val="80"/>
    <w:family w:val="roman"/>
    <w:notTrueType/>
    <w:pitch w:val="fixed"/>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F8A6F3" w14:textId="4A65DDE0" w:rsidR="0068666F" w:rsidRPr="00F659F8" w:rsidRDefault="0068666F" w:rsidP="00CF288A">
    <w:pPr>
      <w:pStyle w:val="Footer"/>
      <w:rPr>
        <w:sz w:val="20"/>
        <w:szCs w:val="20"/>
      </w:rPr>
    </w:pPr>
    <w:r w:rsidRPr="00F659F8">
      <w:rPr>
        <w:sz w:val="20"/>
        <w:szCs w:val="20"/>
      </w:rPr>
      <w:t xml:space="preserve">CLOSE THE GAP PROGRESS AND PRIORITIES REPORT </w:t>
    </w:r>
    <w:r w:rsidRPr="00EE41C4">
      <w:rPr>
        <w:color w:val="007DA7"/>
        <w:sz w:val="20"/>
        <w:szCs w:val="20"/>
      </w:rPr>
      <w:t>•</w:t>
    </w:r>
    <w:r w:rsidRPr="00F659F8">
      <w:rPr>
        <w:sz w:val="20"/>
        <w:szCs w:val="20"/>
      </w:rPr>
      <w:t xml:space="preserve"> </w:t>
    </w:r>
    <w:r w:rsidRPr="00F659F8">
      <w:rPr>
        <w:sz w:val="20"/>
        <w:szCs w:val="20"/>
      </w:rPr>
      <w:fldChar w:fldCharType="begin"/>
    </w:r>
    <w:r w:rsidRPr="00F659F8">
      <w:rPr>
        <w:sz w:val="20"/>
        <w:szCs w:val="20"/>
      </w:rPr>
      <w:instrText xml:space="preserve"> PAGE   \* MERGEFORMAT </w:instrText>
    </w:r>
    <w:r w:rsidRPr="00F659F8">
      <w:rPr>
        <w:sz w:val="20"/>
        <w:szCs w:val="20"/>
      </w:rPr>
      <w:fldChar w:fldCharType="separate"/>
    </w:r>
    <w:r w:rsidR="00891864">
      <w:rPr>
        <w:noProof/>
        <w:sz w:val="20"/>
        <w:szCs w:val="20"/>
      </w:rPr>
      <w:t>2</w:t>
    </w:r>
    <w:r w:rsidRPr="00F659F8">
      <w:rPr>
        <w:sz w:val="20"/>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4C8CAF" w14:textId="77777777" w:rsidR="0068666F" w:rsidRDefault="0068666F" w:rsidP="00CF288A">
      <w:r>
        <w:separator/>
      </w:r>
    </w:p>
  </w:footnote>
  <w:footnote w:type="continuationSeparator" w:id="0">
    <w:p w14:paraId="15688940" w14:textId="77777777" w:rsidR="0068666F" w:rsidRDefault="0068666F" w:rsidP="00CF288A">
      <w:r>
        <w:continuationSeparator/>
      </w:r>
    </w:p>
  </w:footnote>
  <w:footnote w:id="1">
    <w:p w14:paraId="6C1D8AA5" w14:textId="77777777" w:rsidR="0068666F" w:rsidRPr="00B71B46" w:rsidRDefault="0068666F">
      <w:pPr>
        <w:pStyle w:val="FootnoteText"/>
        <w:rPr>
          <w:rFonts w:cs="Arial"/>
        </w:rPr>
      </w:pPr>
      <w:r w:rsidRPr="00B71B46">
        <w:rPr>
          <w:rStyle w:val="FootnoteReference"/>
          <w:rFonts w:cs="Arial"/>
        </w:rPr>
        <w:footnoteRef/>
      </w:r>
      <w:r w:rsidRPr="00B71B46">
        <w:rPr>
          <w:rFonts w:cs="Arial"/>
        </w:rPr>
        <w:t xml:space="preserve"> ‘Fatal burden’ is measured in years of life lost, which is the sum of the number of years of life lost due to premature death from disease and injury.</w:t>
      </w:r>
      <w:r w:rsidRPr="00B71B46">
        <w:rPr>
          <w:rFonts w:cs="Arial"/>
          <w:color w:val="000000"/>
          <w:vertAlign w:val="superscript"/>
        </w:rP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30A94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2">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3">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4">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5">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6">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7">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8">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9">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10">
    <w:nsid w:val="FFFFFF89"/>
    <w:multiLevelType w:val="singleLevel"/>
    <w:tmpl w:val="548259C4"/>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numFmt w:val="bullet"/>
      <w:lvlText w:val="."/>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0D"/>
    <w:multiLevelType w:val="multilevel"/>
    <w:tmpl w:val="0000000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nsid w:val="000328E7"/>
    <w:multiLevelType w:val="hybridMultilevel"/>
    <w:tmpl w:val="B00C54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00783C61"/>
    <w:multiLevelType w:val="hybridMultilevel"/>
    <w:tmpl w:val="3AD681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010F4385"/>
    <w:multiLevelType w:val="hybridMultilevel"/>
    <w:tmpl w:val="2A94D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30329CA"/>
    <w:multiLevelType w:val="multilevel"/>
    <w:tmpl w:val="004A8DE6"/>
    <w:name w:val="StandardBulletedList"/>
    <w:lvl w:ilvl="0">
      <w:start w:val="1"/>
      <w:numFmt w:val="bullet"/>
      <w:pStyle w:val="Bullet"/>
      <w:lvlText w:val="•"/>
      <w:lvlJc w:val="left"/>
      <w:pPr>
        <w:tabs>
          <w:tab w:val="num" w:pos="567"/>
        </w:tabs>
        <w:ind w:left="567" w:hanging="567"/>
      </w:pPr>
      <w:rPr>
        <w:rFonts w:ascii="Times New Roman" w:hAnsi="Times New Roman" w:cs="Times New Roman"/>
      </w:rPr>
    </w:lvl>
    <w:lvl w:ilvl="1">
      <w:start w:val="1"/>
      <w:numFmt w:val="bullet"/>
      <w:pStyle w:val="Dash"/>
      <w:lvlText w:val="–"/>
      <w:lvlJc w:val="left"/>
      <w:pPr>
        <w:tabs>
          <w:tab w:val="num" w:pos="1134"/>
        </w:tabs>
        <w:ind w:left="1134" w:hanging="567"/>
      </w:pPr>
      <w:rPr>
        <w:rFonts w:ascii="Times New Roman" w:hAnsi="Times New Roman" w:cs="Times New Roman"/>
      </w:rPr>
    </w:lvl>
    <w:lvl w:ilvl="2">
      <w:start w:val="1"/>
      <w:numFmt w:val="bullet"/>
      <w:pStyle w:val="DoubleDo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064364E1"/>
    <w:multiLevelType w:val="hybridMultilevel"/>
    <w:tmpl w:val="E46C9C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08FD0E1C"/>
    <w:multiLevelType w:val="hybridMultilevel"/>
    <w:tmpl w:val="9D880D58"/>
    <w:lvl w:ilvl="0" w:tplc="0C09001B">
      <w:start w:val="1"/>
      <w:numFmt w:val="lowerRoman"/>
      <w:lvlText w:val="%1."/>
      <w:lvlJc w:val="righ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2">
    <w:nsid w:val="0A21395D"/>
    <w:multiLevelType w:val="multilevel"/>
    <w:tmpl w:val="DB3E5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0AD778A9"/>
    <w:multiLevelType w:val="multilevel"/>
    <w:tmpl w:val="86ACE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0BBC5C49"/>
    <w:multiLevelType w:val="multilevel"/>
    <w:tmpl w:val="F8824744"/>
    <w:lvl w:ilvl="0">
      <w:start w:val="2"/>
      <w:numFmt w:val="decimal"/>
      <w:lvlText w:val="%1"/>
      <w:lvlJc w:val="left"/>
      <w:pPr>
        <w:ind w:left="439" w:hanging="334"/>
        <w:jc w:val="left"/>
      </w:pPr>
      <w:rPr>
        <w:rFonts w:hint="default"/>
      </w:rPr>
    </w:lvl>
    <w:lvl w:ilvl="1">
      <w:start w:val="5"/>
      <w:numFmt w:val="decimal"/>
      <w:lvlText w:val="%1.%2"/>
      <w:lvlJc w:val="left"/>
      <w:pPr>
        <w:ind w:left="439" w:hanging="334"/>
        <w:jc w:val="left"/>
      </w:pPr>
      <w:rPr>
        <w:rFonts w:ascii="Tahoma" w:eastAsia="Tahoma" w:hAnsi="Tahoma" w:hint="default"/>
        <w:color w:val="231F20"/>
        <w:w w:val="99"/>
        <w:sz w:val="20"/>
        <w:szCs w:val="20"/>
      </w:rPr>
    </w:lvl>
    <w:lvl w:ilvl="2">
      <w:start w:val="1"/>
      <w:numFmt w:val="bullet"/>
      <w:lvlText w:val="•"/>
      <w:lvlJc w:val="left"/>
      <w:pPr>
        <w:ind w:left="977" w:hanging="284"/>
      </w:pPr>
      <w:rPr>
        <w:rFonts w:ascii="Tahoma" w:eastAsia="Tahoma" w:hAnsi="Tahoma" w:hint="default"/>
        <w:color w:val="0080A6"/>
        <w:w w:val="76"/>
        <w:sz w:val="22"/>
        <w:szCs w:val="22"/>
      </w:rPr>
    </w:lvl>
    <w:lvl w:ilvl="3">
      <w:start w:val="1"/>
      <w:numFmt w:val="bullet"/>
      <w:lvlText w:val="•"/>
      <w:lvlJc w:val="left"/>
      <w:pPr>
        <w:ind w:left="2830" w:hanging="284"/>
      </w:pPr>
      <w:rPr>
        <w:rFonts w:hint="default"/>
      </w:rPr>
    </w:lvl>
    <w:lvl w:ilvl="4">
      <w:start w:val="1"/>
      <w:numFmt w:val="bullet"/>
      <w:lvlText w:val="•"/>
      <w:lvlJc w:val="left"/>
      <w:pPr>
        <w:ind w:left="3755" w:hanging="284"/>
      </w:pPr>
      <w:rPr>
        <w:rFonts w:hint="default"/>
      </w:rPr>
    </w:lvl>
    <w:lvl w:ilvl="5">
      <w:start w:val="1"/>
      <w:numFmt w:val="bullet"/>
      <w:lvlText w:val="•"/>
      <w:lvlJc w:val="left"/>
      <w:pPr>
        <w:ind w:left="4680" w:hanging="284"/>
      </w:pPr>
      <w:rPr>
        <w:rFonts w:hint="default"/>
      </w:rPr>
    </w:lvl>
    <w:lvl w:ilvl="6">
      <w:start w:val="1"/>
      <w:numFmt w:val="bullet"/>
      <w:lvlText w:val="•"/>
      <w:lvlJc w:val="left"/>
      <w:pPr>
        <w:ind w:left="5605" w:hanging="284"/>
      </w:pPr>
      <w:rPr>
        <w:rFonts w:hint="default"/>
      </w:rPr>
    </w:lvl>
    <w:lvl w:ilvl="7">
      <w:start w:val="1"/>
      <w:numFmt w:val="bullet"/>
      <w:lvlText w:val="•"/>
      <w:lvlJc w:val="left"/>
      <w:pPr>
        <w:ind w:left="6530" w:hanging="284"/>
      </w:pPr>
      <w:rPr>
        <w:rFonts w:hint="default"/>
      </w:rPr>
    </w:lvl>
    <w:lvl w:ilvl="8">
      <w:start w:val="1"/>
      <w:numFmt w:val="bullet"/>
      <w:lvlText w:val="•"/>
      <w:lvlJc w:val="left"/>
      <w:pPr>
        <w:ind w:left="7455" w:hanging="284"/>
      </w:pPr>
      <w:rPr>
        <w:rFonts w:hint="default"/>
      </w:rPr>
    </w:lvl>
  </w:abstractNum>
  <w:abstractNum w:abstractNumId="25">
    <w:nsid w:val="0C65437D"/>
    <w:multiLevelType w:val="hybridMultilevel"/>
    <w:tmpl w:val="555AD14A"/>
    <w:lvl w:ilvl="0" w:tplc="B7F23F70">
      <w:start w:val="1"/>
      <w:numFmt w:val="decimal"/>
      <w:lvlText w:val="%1."/>
      <w:lvlJc w:val="left"/>
      <w:pPr>
        <w:ind w:left="360" w:hanging="360"/>
      </w:pPr>
      <w:rPr>
        <w:rFonts w:hint="default"/>
        <w:color w:val="007DA7"/>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0CDC09D6"/>
    <w:multiLevelType w:val="hybridMultilevel"/>
    <w:tmpl w:val="10D62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D0F3958"/>
    <w:multiLevelType w:val="hybridMultilevel"/>
    <w:tmpl w:val="B4709B42"/>
    <w:lvl w:ilvl="0" w:tplc="E88E37A2">
      <w:start w:val="1"/>
      <w:numFmt w:val="decimal"/>
      <w:pStyle w:val="Normal-Numberedlist"/>
      <w:lvlText w:val="%1."/>
      <w:lvlJc w:val="left"/>
      <w:pPr>
        <w:ind w:left="360" w:hanging="36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nsid w:val="0EC01677"/>
    <w:multiLevelType w:val="multilevel"/>
    <w:tmpl w:val="0A8E5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0ED5243B"/>
    <w:multiLevelType w:val="multilevel"/>
    <w:tmpl w:val="4FDC01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0">
    <w:nsid w:val="12557DC1"/>
    <w:multiLevelType w:val="hybridMultilevel"/>
    <w:tmpl w:val="4294AB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125B5F2F"/>
    <w:multiLevelType w:val="hybridMultilevel"/>
    <w:tmpl w:val="FDBA62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13962877"/>
    <w:multiLevelType w:val="hybridMultilevel"/>
    <w:tmpl w:val="D1B0CB74"/>
    <w:lvl w:ilvl="0" w:tplc="04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58B2889"/>
    <w:multiLevelType w:val="hybridMultilevel"/>
    <w:tmpl w:val="73920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623695A"/>
    <w:multiLevelType w:val="hybridMultilevel"/>
    <w:tmpl w:val="E3803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174A177C"/>
    <w:multiLevelType w:val="multilevel"/>
    <w:tmpl w:val="30384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81F0825"/>
    <w:multiLevelType w:val="hybridMultilevel"/>
    <w:tmpl w:val="4C6A1194"/>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37">
    <w:nsid w:val="18412D67"/>
    <w:multiLevelType w:val="hybridMultilevel"/>
    <w:tmpl w:val="1F2AF2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196B5039"/>
    <w:multiLevelType w:val="hybridMultilevel"/>
    <w:tmpl w:val="E6689FCA"/>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39">
    <w:nsid w:val="1B042BEA"/>
    <w:multiLevelType w:val="hybridMultilevel"/>
    <w:tmpl w:val="C0DE9912"/>
    <w:lvl w:ilvl="0" w:tplc="EE609F9A">
      <w:start w:val="1"/>
      <w:numFmt w:val="bullet"/>
      <w:lvlText w:val="•"/>
      <w:lvlJc w:val="left"/>
      <w:pPr>
        <w:tabs>
          <w:tab w:val="num" w:pos="720"/>
        </w:tabs>
        <w:ind w:left="720" w:hanging="360"/>
      </w:pPr>
      <w:rPr>
        <w:rFonts w:ascii="Arial" w:hAnsi="Arial" w:hint="default"/>
      </w:rPr>
    </w:lvl>
    <w:lvl w:ilvl="1" w:tplc="897A7842" w:tentative="1">
      <w:start w:val="1"/>
      <w:numFmt w:val="bullet"/>
      <w:lvlText w:val="•"/>
      <w:lvlJc w:val="left"/>
      <w:pPr>
        <w:tabs>
          <w:tab w:val="num" w:pos="1440"/>
        </w:tabs>
        <w:ind w:left="1440" w:hanging="360"/>
      </w:pPr>
      <w:rPr>
        <w:rFonts w:ascii="Arial" w:hAnsi="Arial" w:hint="default"/>
      </w:rPr>
    </w:lvl>
    <w:lvl w:ilvl="2" w:tplc="D83050A2" w:tentative="1">
      <w:start w:val="1"/>
      <w:numFmt w:val="bullet"/>
      <w:lvlText w:val="•"/>
      <w:lvlJc w:val="left"/>
      <w:pPr>
        <w:tabs>
          <w:tab w:val="num" w:pos="2160"/>
        </w:tabs>
        <w:ind w:left="2160" w:hanging="360"/>
      </w:pPr>
      <w:rPr>
        <w:rFonts w:ascii="Arial" w:hAnsi="Arial" w:hint="default"/>
      </w:rPr>
    </w:lvl>
    <w:lvl w:ilvl="3" w:tplc="ACAE0012" w:tentative="1">
      <w:start w:val="1"/>
      <w:numFmt w:val="bullet"/>
      <w:lvlText w:val="•"/>
      <w:lvlJc w:val="left"/>
      <w:pPr>
        <w:tabs>
          <w:tab w:val="num" w:pos="2880"/>
        </w:tabs>
        <w:ind w:left="2880" w:hanging="360"/>
      </w:pPr>
      <w:rPr>
        <w:rFonts w:ascii="Arial" w:hAnsi="Arial" w:hint="default"/>
      </w:rPr>
    </w:lvl>
    <w:lvl w:ilvl="4" w:tplc="10D89456" w:tentative="1">
      <w:start w:val="1"/>
      <w:numFmt w:val="bullet"/>
      <w:lvlText w:val="•"/>
      <w:lvlJc w:val="left"/>
      <w:pPr>
        <w:tabs>
          <w:tab w:val="num" w:pos="3600"/>
        </w:tabs>
        <w:ind w:left="3600" w:hanging="360"/>
      </w:pPr>
      <w:rPr>
        <w:rFonts w:ascii="Arial" w:hAnsi="Arial" w:hint="default"/>
      </w:rPr>
    </w:lvl>
    <w:lvl w:ilvl="5" w:tplc="1BFA9A5C" w:tentative="1">
      <w:start w:val="1"/>
      <w:numFmt w:val="bullet"/>
      <w:lvlText w:val="•"/>
      <w:lvlJc w:val="left"/>
      <w:pPr>
        <w:tabs>
          <w:tab w:val="num" w:pos="4320"/>
        </w:tabs>
        <w:ind w:left="4320" w:hanging="360"/>
      </w:pPr>
      <w:rPr>
        <w:rFonts w:ascii="Arial" w:hAnsi="Arial" w:hint="default"/>
      </w:rPr>
    </w:lvl>
    <w:lvl w:ilvl="6" w:tplc="6BAC4602" w:tentative="1">
      <w:start w:val="1"/>
      <w:numFmt w:val="bullet"/>
      <w:lvlText w:val="•"/>
      <w:lvlJc w:val="left"/>
      <w:pPr>
        <w:tabs>
          <w:tab w:val="num" w:pos="5040"/>
        </w:tabs>
        <w:ind w:left="5040" w:hanging="360"/>
      </w:pPr>
      <w:rPr>
        <w:rFonts w:ascii="Arial" w:hAnsi="Arial" w:hint="default"/>
      </w:rPr>
    </w:lvl>
    <w:lvl w:ilvl="7" w:tplc="366ACCCC" w:tentative="1">
      <w:start w:val="1"/>
      <w:numFmt w:val="bullet"/>
      <w:lvlText w:val="•"/>
      <w:lvlJc w:val="left"/>
      <w:pPr>
        <w:tabs>
          <w:tab w:val="num" w:pos="5760"/>
        </w:tabs>
        <w:ind w:left="5760" w:hanging="360"/>
      </w:pPr>
      <w:rPr>
        <w:rFonts w:ascii="Arial" w:hAnsi="Arial" w:hint="default"/>
      </w:rPr>
    </w:lvl>
    <w:lvl w:ilvl="8" w:tplc="34A4D240" w:tentative="1">
      <w:start w:val="1"/>
      <w:numFmt w:val="bullet"/>
      <w:lvlText w:val="•"/>
      <w:lvlJc w:val="left"/>
      <w:pPr>
        <w:tabs>
          <w:tab w:val="num" w:pos="6480"/>
        </w:tabs>
        <w:ind w:left="6480" w:hanging="360"/>
      </w:pPr>
      <w:rPr>
        <w:rFonts w:ascii="Arial" w:hAnsi="Arial" w:hint="default"/>
      </w:rPr>
    </w:lvl>
  </w:abstractNum>
  <w:abstractNum w:abstractNumId="40">
    <w:nsid w:val="1B956C46"/>
    <w:multiLevelType w:val="hybridMultilevel"/>
    <w:tmpl w:val="F648D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2">
    <w:nsid w:val="24034815"/>
    <w:multiLevelType w:val="hybridMultilevel"/>
    <w:tmpl w:val="DDF6AC3C"/>
    <w:lvl w:ilvl="0" w:tplc="FB523578">
      <w:start w:val="1"/>
      <w:numFmt w:val="bullet"/>
      <w:lvlText w:val=""/>
      <w:lvlJc w:val="left"/>
      <w:pPr>
        <w:ind w:left="720" w:hanging="360"/>
      </w:pPr>
      <w:rPr>
        <w:rFonts w:ascii="Symbol" w:hAnsi="Symbol" w:hint="default"/>
        <w:color w:val="007DA7"/>
      </w:rPr>
    </w:lvl>
    <w:lvl w:ilvl="1" w:tplc="0C090003" w:tentative="1">
      <w:start w:val="1"/>
      <w:numFmt w:val="bullet"/>
      <w:lvlText w:val="o"/>
      <w:lvlJc w:val="left"/>
      <w:pPr>
        <w:ind w:left="1440" w:hanging="360"/>
      </w:pPr>
      <w:rPr>
        <w:rFonts w:ascii="Courier New" w:hAnsi="Courier New" w:cs="Tahom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Tahoma"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Tahoma"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242B4EF4"/>
    <w:multiLevelType w:val="hybridMultilevel"/>
    <w:tmpl w:val="DAA48076"/>
    <w:lvl w:ilvl="0" w:tplc="291EDF66">
      <w:start w:val="1"/>
      <w:numFmt w:val="lowerLetter"/>
      <w:lvlText w:val="(%1)"/>
      <w:lvlJc w:val="left"/>
      <w:pPr>
        <w:ind w:left="720" w:hanging="360"/>
      </w:pPr>
      <w:rPr>
        <w:rFonts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4C30BB5"/>
    <w:multiLevelType w:val="hybridMultilevel"/>
    <w:tmpl w:val="8E54A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256F3EAE"/>
    <w:multiLevelType w:val="hybridMultilevel"/>
    <w:tmpl w:val="AF003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97471B5"/>
    <w:multiLevelType w:val="hybridMultilevel"/>
    <w:tmpl w:val="96501B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297817C3"/>
    <w:multiLevelType w:val="multilevel"/>
    <w:tmpl w:val="259AE29E"/>
    <w:lvl w:ilvl="0">
      <w:start w:val="1"/>
      <w:numFmt w:val="decimal"/>
      <w:lvlText w:val="%1"/>
      <w:lvlJc w:val="left"/>
      <w:pPr>
        <w:tabs>
          <w:tab w:val="num" w:pos="851"/>
        </w:tabs>
        <w:ind w:left="851" w:hanging="851"/>
      </w:pPr>
      <w:rPr>
        <w:rFonts w:hint="default"/>
      </w:rPr>
    </w:lvl>
    <w:lvl w:ilvl="1">
      <w:start w:val="1"/>
      <w:numFmt w:val="decimal"/>
      <w:pStyle w:val="Heading2"/>
      <w:lvlText w:val="%1.%2"/>
      <w:lvlJc w:val="left"/>
      <w:pPr>
        <w:tabs>
          <w:tab w:val="num" w:pos="993"/>
        </w:tabs>
        <w:ind w:left="993" w:hanging="851"/>
      </w:pPr>
      <w:rPr>
        <w:rFonts w:hint="default"/>
      </w:rPr>
    </w:lvl>
    <w:lvl w:ilvl="2">
      <w:start w:val="1"/>
      <w:numFmt w:val="lowerLetter"/>
      <w:pStyle w:val="Heading3"/>
      <w:lvlText w:val="(%3)"/>
      <w:lvlJc w:val="left"/>
      <w:pPr>
        <w:tabs>
          <w:tab w:val="num" w:pos="1121"/>
        </w:tabs>
        <w:ind w:left="1121" w:hanging="851"/>
      </w:pPr>
      <w:rPr>
        <w:rFonts w:asciiTheme="majorHAnsi" w:hAnsiTheme="majorHAnsi" w:hint="default"/>
        <w:b w:val="0"/>
        <w:i/>
        <w:sz w:val="22"/>
        <w:szCs w:val="22"/>
      </w:rPr>
    </w:lvl>
    <w:lvl w:ilvl="3">
      <w:start w:val="1"/>
      <w:numFmt w:val="lowerRoman"/>
      <w:pStyle w:val="Heading4"/>
      <w:lvlText w:val="(%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nsid w:val="29891E42"/>
    <w:multiLevelType w:val="multilevel"/>
    <w:tmpl w:val="259AE29E"/>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993"/>
        </w:tabs>
        <w:ind w:left="993" w:hanging="851"/>
      </w:pPr>
      <w:rPr>
        <w:rFonts w:hint="default"/>
      </w:rPr>
    </w:lvl>
    <w:lvl w:ilvl="2">
      <w:start w:val="1"/>
      <w:numFmt w:val="lowerLetter"/>
      <w:lvlText w:val="(%3)"/>
      <w:lvlJc w:val="left"/>
      <w:pPr>
        <w:tabs>
          <w:tab w:val="num" w:pos="1121"/>
        </w:tabs>
        <w:ind w:left="1121" w:hanging="851"/>
      </w:pPr>
      <w:rPr>
        <w:rFonts w:asciiTheme="majorHAnsi" w:hAnsiTheme="majorHAnsi" w:hint="default"/>
        <w:b w:val="0"/>
        <w:i/>
        <w:sz w:val="22"/>
        <w:szCs w:val="22"/>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nsid w:val="31BF35A7"/>
    <w:multiLevelType w:val="hybridMultilevel"/>
    <w:tmpl w:val="F246F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33C669AB"/>
    <w:multiLevelType w:val="hybridMultilevel"/>
    <w:tmpl w:val="1D9C65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34752EFA"/>
    <w:multiLevelType w:val="hybridMultilevel"/>
    <w:tmpl w:val="E8302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5FD740A"/>
    <w:multiLevelType w:val="hybridMultilevel"/>
    <w:tmpl w:val="FF10D6C4"/>
    <w:lvl w:ilvl="0" w:tplc="00000001">
      <w:numFmt w:val="bullet"/>
      <w:lvlText w:val="."/>
      <w:lvlJc w:val="left"/>
      <w:pPr>
        <w:ind w:left="36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8F02171"/>
    <w:multiLevelType w:val="hybridMultilevel"/>
    <w:tmpl w:val="7062DD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3A917D64"/>
    <w:multiLevelType w:val="hybridMultilevel"/>
    <w:tmpl w:val="9D206C82"/>
    <w:lvl w:ilvl="0" w:tplc="2F1EEA8E">
      <w:start w:val="1"/>
      <w:numFmt w:val="bullet"/>
      <w:lvlText w:val=""/>
      <w:lvlJc w:val="left"/>
      <w:pPr>
        <w:ind w:left="720" w:hanging="360"/>
      </w:pPr>
      <w:rPr>
        <w:rFonts w:ascii="Symbol" w:hAnsi="Symbol" w:hint="default"/>
        <w:color w:val="007DA7"/>
      </w:rPr>
    </w:lvl>
    <w:lvl w:ilvl="1" w:tplc="0C090003" w:tentative="1">
      <w:start w:val="1"/>
      <w:numFmt w:val="bullet"/>
      <w:lvlText w:val="o"/>
      <w:lvlJc w:val="left"/>
      <w:pPr>
        <w:ind w:left="1440" w:hanging="360"/>
      </w:pPr>
      <w:rPr>
        <w:rFonts w:ascii="Courier New" w:hAnsi="Courier New"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3B3E7D65"/>
    <w:multiLevelType w:val="hybridMultilevel"/>
    <w:tmpl w:val="C96A8A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3DA7736A"/>
    <w:multiLevelType w:val="hybridMultilevel"/>
    <w:tmpl w:val="69848F36"/>
    <w:lvl w:ilvl="0" w:tplc="04090019">
      <w:start w:val="3"/>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3EBA3940"/>
    <w:multiLevelType w:val="hybridMultilevel"/>
    <w:tmpl w:val="74CA0E5E"/>
    <w:lvl w:ilvl="0" w:tplc="04090001">
      <w:start w:val="1"/>
      <w:numFmt w:val="bullet"/>
      <w:lvlText w:val=""/>
      <w:lvlJc w:val="left"/>
      <w:pPr>
        <w:ind w:left="580" w:hanging="360"/>
      </w:pPr>
      <w:rPr>
        <w:rFonts w:ascii="Symbol" w:hAnsi="Symbol" w:hint="default"/>
      </w:rPr>
    </w:lvl>
    <w:lvl w:ilvl="1" w:tplc="17241E56">
      <w:numFmt w:val="bullet"/>
      <w:lvlText w:val="–"/>
      <w:lvlJc w:val="left"/>
      <w:pPr>
        <w:ind w:left="1300" w:hanging="360"/>
      </w:pPr>
      <w:rPr>
        <w:rFonts w:ascii="Calibri" w:eastAsia="Times New Roman" w:hAnsi="Calibri" w:cs="Times New Roman" w:hint="default"/>
      </w:rPr>
    </w:lvl>
    <w:lvl w:ilvl="2" w:tplc="8B4A3678">
      <w:numFmt w:val="bullet"/>
      <w:lvlText w:val="•"/>
      <w:lvlJc w:val="left"/>
      <w:pPr>
        <w:ind w:left="2020" w:hanging="360"/>
      </w:pPr>
      <w:rPr>
        <w:rFonts w:ascii="Calibri" w:eastAsia="Times New Roman" w:hAnsi="Calibri" w:cs="Time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58">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nsid w:val="3FB6747B"/>
    <w:multiLevelType w:val="hybridMultilevel"/>
    <w:tmpl w:val="53487828"/>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0">
    <w:nsid w:val="41040AEE"/>
    <w:multiLevelType w:val="hybridMultilevel"/>
    <w:tmpl w:val="FC3E62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418722D9"/>
    <w:multiLevelType w:val="hybridMultilevel"/>
    <w:tmpl w:val="2766DC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45C00A6E"/>
    <w:multiLevelType w:val="hybridMultilevel"/>
    <w:tmpl w:val="B0309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48D962F3"/>
    <w:multiLevelType w:val="hybridMultilevel"/>
    <w:tmpl w:val="7FAEC0F6"/>
    <w:lvl w:ilvl="0" w:tplc="04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13">
      <w:start w:val="1"/>
      <w:numFmt w:val="upperRoman"/>
      <w:lvlText w:val="%3."/>
      <w:lvlJc w:val="right"/>
      <w:pPr>
        <w:ind w:left="2160" w:hanging="360"/>
      </w:pPr>
      <w:rPr>
        <w:rFont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49C00C3F"/>
    <w:multiLevelType w:val="multilevel"/>
    <w:tmpl w:val="FD402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4ABD0B46"/>
    <w:multiLevelType w:val="multilevel"/>
    <w:tmpl w:val="8676E80A"/>
    <w:styleLink w:val="StyleNumbered"/>
    <w:lvl w:ilvl="0">
      <w:start w:val="1"/>
      <w:numFmt w:val="decimal"/>
      <w:lvlText w:val="%1."/>
      <w:lvlJc w:val="left"/>
      <w:pPr>
        <w:tabs>
          <w:tab w:val="num" w:pos="720"/>
        </w:tabs>
        <w:ind w:left="720" w:hanging="360"/>
      </w:pPr>
      <w:rPr>
        <w:rFonts w:ascii="Arial" w:hAnsi="Arial"/>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6">
    <w:nsid w:val="4CF511CC"/>
    <w:multiLevelType w:val="hybridMultilevel"/>
    <w:tmpl w:val="F5C8A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4F857632"/>
    <w:multiLevelType w:val="multilevel"/>
    <w:tmpl w:val="630C27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51EB700E"/>
    <w:multiLevelType w:val="hybridMultilevel"/>
    <w:tmpl w:val="4B7E884C"/>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554A4501"/>
    <w:multiLevelType w:val="hybridMultilevel"/>
    <w:tmpl w:val="29FE5A8A"/>
    <w:lvl w:ilvl="0" w:tplc="BD26EBA8">
      <w:start w:val="1"/>
      <w:numFmt w:val="decimal"/>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71">
    <w:nsid w:val="55E20A5D"/>
    <w:multiLevelType w:val="hybridMultilevel"/>
    <w:tmpl w:val="7B32B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68747C7"/>
    <w:multiLevelType w:val="hybridMultilevel"/>
    <w:tmpl w:val="5B984CDA"/>
    <w:lvl w:ilvl="0" w:tplc="02DE5946">
      <w:numFmt w:val="bullet"/>
      <w:lvlText w:val="-"/>
      <w:lvlJc w:val="left"/>
      <w:pPr>
        <w:ind w:left="720"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nsid w:val="59CB0CC0"/>
    <w:multiLevelType w:val="multilevel"/>
    <w:tmpl w:val="2766DCA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74">
    <w:nsid w:val="5B23183D"/>
    <w:multiLevelType w:val="hybridMultilevel"/>
    <w:tmpl w:val="14A0980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5">
    <w:nsid w:val="5EBD519D"/>
    <w:multiLevelType w:val="hybridMultilevel"/>
    <w:tmpl w:val="97FE6F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5F40530C"/>
    <w:multiLevelType w:val="hybridMultilevel"/>
    <w:tmpl w:val="992EFB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62F76419"/>
    <w:multiLevelType w:val="hybridMultilevel"/>
    <w:tmpl w:val="B298DF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63A740E2"/>
    <w:multiLevelType w:val="hybridMultilevel"/>
    <w:tmpl w:val="9E3E38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652D3A58"/>
    <w:multiLevelType w:val="hybridMultilevel"/>
    <w:tmpl w:val="2252065E"/>
    <w:lvl w:ilvl="0" w:tplc="B5029FDC">
      <w:start w:val="1"/>
      <w:numFmt w:val="bullet"/>
      <w:lvlText w:val=""/>
      <w:lvlJc w:val="left"/>
      <w:pPr>
        <w:ind w:left="1080" w:hanging="360"/>
      </w:pPr>
      <w:rPr>
        <w:rFonts w:ascii="Symbol" w:hAnsi="Symbol" w:hint="default"/>
        <w:color w:val="007DA7"/>
      </w:rPr>
    </w:lvl>
    <w:lvl w:ilvl="1" w:tplc="0C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65EE2FE1"/>
    <w:multiLevelType w:val="hybridMultilevel"/>
    <w:tmpl w:val="F956E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60F18DA"/>
    <w:multiLevelType w:val="hybridMultilevel"/>
    <w:tmpl w:val="B82630B0"/>
    <w:lvl w:ilvl="0" w:tplc="866C4DB6">
      <w:start w:val="1"/>
      <w:numFmt w:val="lowerLetter"/>
      <w:lvlText w:val="%1."/>
      <w:lvlJc w:val="left"/>
      <w:pPr>
        <w:ind w:left="360" w:hanging="360"/>
      </w:pPr>
      <w:rPr>
        <w:rFonts w:cs="Times New Roman" w:hint="default"/>
        <w:color w:val="00000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2">
    <w:nsid w:val="662A18E2"/>
    <w:multiLevelType w:val="hybridMultilevel"/>
    <w:tmpl w:val="AFF01F6C"/>
    <w:lvl w:ilvl="0" w:tplc="EF7AA350">
      <w:start w:val="1"/>
      <w:numFmt w:val="bullet"/>
      <w:lvlText w:val=""/>
      <w:lvlJc w:val="left"/>
      <w:pPr>
        <w:ind w:left="580" w:hanging="360"/>
      </w:pPr>
      <w:rPr>
        <w:rFonts w:ascii="Symbol" w:hAnsi="Symbol" w:hint="default"/>
        <w:color w:val="007DA7"/>
      </w:rPr>
    </w:lvl>
    <w:lvl w:ilvl="1" w:tplc="04090003">
      <w:start w:val="1"/>
      <w:numFmt w:val="bullet"/>
      <w:lvlText w:val="o"/>
      <w:lvlJc w:val="left"/>
      <w:pPr>
        <w:ind w:left="1300" w:hanging="360"/>
      </w:pPr>
      <w:rPr>
        <w:rFonts w:ascii="Courier New" w:hAnsi="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83">
    <w:nsid w:val="666F6FA8"/>
    <w:multiLevelType w:val="hybridMultilevel"/>
    <w:tmpl w:val="69D8DF32"/>
    <w:lvl w:ilvl="0" w:tplc="0409000F">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84">
    <w:nsid w:val="66982A28"/>
    <w:multiLevelType w:val="hybridMultilevel"/>
    <w:tmpl w:val="09E0145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nsid w:val="67E4625A"/>
    <w:multiLevelType w:val="hybridMultilevel"/>
    <w:tmpl w:val="90E87A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6C27728D"/>
    <w:multiLevelType w:val="hybridMultilevel"/>
    <w:tmpl w:val="D0D297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6C501669"/>
    <w:multiLevelType w:val="hybridMultilevel"/>
    <w:tmpl w:val="CF4AEE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70E00606"/>
    <w:multiLevelType w:val="hybridMultilevel"/>
    <w:tmpl w:val="29FE5A8A"/>
    <w:lvl w:ilvl="0" w:tplc="BD26EBA8">
      <w:start w:val="1"/>
      <w:numFmt w:val="decimal"/>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89">
    <w:nsid w:val="7395720D"/>
    <w:multiLevelType w:val="hybridMultilevel"/>
    <w:tmpl w:val="AD6E0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754647D7"/>
    <w:multiLevelType w:val="hybridMultilevel"/>
    <w:tmpl w:val="C320302E"/>
    <w:lvl w:ilvl="0" w:tplc="DA5A5A52">
      <w:start w:val="1"/>
      <w:numFmt w:val="bullet"/>
      <w:lvlText w:val=""/>
      <w:lvlJc w:val="left"/>
      <w:pPr>
        <w:ind w:left="720" w:hanging="360"/>
      </w:pPr>
      <w:rPr>
        <w:rFonts w:ascii="Symbol" w:hAnsi="Symbol" w:hint="default"/>
        <w:color w:val="007DA7"/>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58A7980"/>
    <w:multiLevelType w:val="hybridMultilevel"/>
    <w:tmpl w:val="E424C0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780D6CAC"/>
    <w:multiLevelType w:val="hybridMultilevel"/>
    <w:tmpl w:val="BF12B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nsid w:val="78A943D2"/>
    <w:multiLevelType w:val="hybridMultilevel"/>
    <w:tmpl w:val="3F1EEEB6"/>
    <w:lvl w:ilvl="0" w:tplc="7C20F054">
      <w:start w:val="1"/>
      <w:numFmt w:val="bullet"/>
      <w:lvlText w:val=""/>
      <w:lvlJc w:val="left"/>
      <w:pPr>
        <w:tabs>
          <w:tab w:val="num" w:pos="936"/>
        </w:tabs>
        <w:ind w:left="936" w:hanging="360"/>
      </w:pPr>
      <w:rPr>
        <w:rFonts w:ascii="Symbol" w:eastAsia="Times New Roman" w:hAnsi="Symbol" w:hint="default"/>
      </w:rPr>
    </w:lvl>
    <w:lvl w:ilvl="1" w:tplc="00030409" w:tentative="1">
      <w:start w:val="1"/>
      <w:numFmt w:val="bullet"/>
      <w:lvlText w:val="o"/>
      <w:lvlJc w:val="left"/>
      <w:pPr>
        <w:tabs>
          <w:tab w:val="num" w:pos="1656"/>
        </w:tabs>
        <w:ind w:left="1656" w:hanging="360"/>
      </w:pPr>
      <w:rPr>
        <w:rFonts w:ascii="Courier New" w:hAnsi="Courier New" w:hint="default"/>
      </w:rPr>
    </w:lvl>
    <w:lvl w:ilvl="2" w:tplc="00050409" w:tentative="1">
      <w:start w:val="1"/>
      <w:numFmt w:val="bullet"/>
      <w:lvlText w:val=""/>
      <w:lvlJc w:val="left"/>
      <w:pPr>
        <w:tabs>
          <w:tab w:val="num" w:pos="2376"/>
        </w:tabs>
        <w:ind w:left="2376" w:hanging="360"/>
      </w:pPr>
      <w:rPr>
        <w:rFonts w:ascii="Wingdings" w:hAnsi="Wingdings" w:hint="default"/>
      </w:rPr>
    </w:lvl>
    <w:lvl w:ilvl="3" w:tplc="00010409" w:tentative="1">
      <w:start w:val="1"/>
      <w:numFmt w:val="bullet"/>
      <w:lvlText w:val=""/>
      <w:lvlJc w:val="left"/>
      <w:pPr>
        <w:tabs>
          <w:tab w:val="num" w:pos="3096"/>
        </w:tabs>
        <w:ind w:left="3096" w:hanging="360"/>
      </w:pPr>
      <w:rPr>
        <w:rFonts w:ascii="Symbol" w:hAnsi="Symbol" w:hint="default"/>
      </w:rPr>
    </w:lvl>
    <w:lvl w:ilvl="4" w:tplc="00030409" w:tentative="1">
      <w:start w:val="1"/>
      <w:numFmt w:val="bullet"/>
      <w:lvlText w:val="o"/>
      <w:lvlJc w:val="left"/>
      <w:pPr>
        <w:tabs>
          <w:tab w:val="num" w:pos="3816"/>
        </w:tabs>
        <w:ind w:left="3816" w:hanging="360"/>
      </w:pPr>
      <w:rPr>
        <w:rFonts w:ascii="Courier New" w:hAnsi="Courier New" w:hint="default"/>
      </w:rPr>
    </w:lvl>
    <w:lvl w:ilvl="5" w:tplc="00050409" w:tentative="1">
      <w:start w:val="1"/>
      <w:numFmt w:val="bullet"/>
      <w:lvlText w:val=""/>
      <w:lvlJc w:val="left"/>
      <w:pPr>
        <w:tabs>
          <w:tab w:val="num" w:pos="4536"/>
        </w:tabs>
        <w:ind w:left="4536" w:hanging="360"/>
      </w:pPr>
      <w:rPr>
        <w:rFonts w:ascii="Wingdings" w:hAnsi="Wingdings" w:hint="default"/>
      </w:rPr>
    </w:lvl>
    <w:lvl w:ilvl="6" w:tplc="00010409" w:tentative="1">
      <w:start w:val="1"/>
      <w:numFmt w:val="bullet"/>
      <w:lvlText w:val=""/>
      <w:lvlJc w:val="left"/>
      <w:pPr>
        <w:tabs>
          <w:tab w:val="num" w:pos="5256"/>
        </w:tabs>
        <w:ind w:left="5256" w:hanging="360"/>
      </w:pPr>
      <w:rPr>
        <w:rFonts w:ascii="Symbol" w:hAnsi="Symbol" w:hint="default"/>
      </w:rPr>
    </w:lvl>
    <w:lvl w:ilvl="7" w:tplc="00030409" w:tentative="1">
      <w:start w:val="1"/>
      <w:numFmt w:val="bullet"/>
      <w:lvlText w:val="o"/>
      <w:lvlJc w:val="left"/>
      <w:pPr>
        <w:tabs>
          <w:tab w:val="num" w:pos="5976"/>
        </w:tabs>
        <w:ind w:left="5976" w:hanging="360"/>
      </w:pPr>
      <w:rPr>
        <w:rFonts w:ascii="Courier New" w:hAnsi="Courier New" w:hint="default"/>
      </w:rPr>
    </w:lvl>
    <w:lvl w:ilvl="8" w:tplc="00050409" w:tentative="1">
      <w:start w:val="1"/>
      <w:numFmt w:val="bullet"/>
      <w:lvlText w:val=""/>
      <w:lvlJc w:val="left"/>
      <w:pPr>
        <w:tabs>
          <w:tab w:val="num" w:pos="6696"/>
        </w:tabs>
        <w:ind w:left="6696" w:hanging="360"/>
      </w:pPr>
      <w:rPr>
        <w:rFonts w:ascii="Wingdings" w:hAnsi="Wingdings" w:hint="default"/>
      </w:rPr>
    </w:lvl>
  </w:abstractNum>
  <w:abstractNum w:abstractNumId="94">
    <w:nsid w:val="79785405"/>
    <w:multiLevelType w:val="hybridMultilevel"/>
    <w:tmpl w:val="1A547B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7AC05F51"/>
    <w:multiLevelType w:val="hybridMultilevel"/>
    <w:tmpl w:val="E496FF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7C4D6FD5"/>
    <w:multiLevelType w:val="hybridMultilevel"/>
    <w:tmpl w:val="30963D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7FBC21AB"/>
    <w:multiLevelType w:val="hybridMultilevel"/>
    <w:tmpl w:val="C672A36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2"/>
  </w:num>
  <w:num w:numId="8">
    <w:abstractNumId w:val="1"/>
  </w:num>
  <w:num w:numId="9">
    <w:abstractNumId w:val="4"/>
  </w:num>
  <w:num w:numId="10">
    <w:abstractNumId w:val="3"/>
  </w:num>
  <w:num w:numId="11">
    <w:abstractNumId w:val="67"/>
  </w:num>
  <w:num w:numId="12">
    <w:abstractNumId w:val="58"/>
  </w:num>
  <w:num w:numId="13">
    <w:abstractNumId w:val="41"/>
  </w:num>
  <w:num w:numId="14">
    <w:abstractNumId w:val="65"/>
  </w:num>
  <w:num w:numId="15">
    <w:abstractNumId w:val="47"/>
  </w:num>
  <w:num w:numId="16">
    <w:abstractNumId w:val="19"/>
  </w:num>
  <w:num w:numId="17">
    <w:abstractNumId w:val="37"/>
  </w:num>
  <w:num w:numId="18">
    <w:abstractNumId w:val="32"/>
  </w:num>
  <w:num w:numId="19">
    <w:abstractNumId w:val="54"/>
  </w:num>
  <w:num w:numId="20">
    <w:abstractNumId w:val="93"/>
  </w:num>
  <w:num w:numId="21">
    <w:abstractNumId w:val="42"/>
  </w:num>
  <w:num w:numId="22">
    <w:abstractNumId w:val="90"/>
  </w:num>
  <w:num w:numId="23">
    <w:abstractNumId w:val="29"/>
  </w:num>
  <w:num w:numId="24">
    <w:abstractNumId w:val="40"/>
  </w:num>
  <w:num w:numId="25">
    <w:abstractNumId w:val="89"/>
  </w:num>
  <w:num w:numId="26">
    <w:abstractNumId w:val="83"/>
  </w:num>
  <w:num w:numId="27">
    <w:abstractNumId w:val="77"/>
  </w:num>
  <w:num w:numId="28">
    <w:abstractNumId w:val="17"/>
  </w:num>
  <w:num w:numId="29">
    <w:abstractNumId w:val="49"/>
  </w:num>
  <w:num w:numId="30">
    <w:abstractNumId w:val="30"/>
  </w:num>
  <w:num w:numId="31">
    <w:abstractNumId w:val="80"/>
  </w:num>
  <w:num w:numId="32">
    <w:abstractNumId w:val="95"/>
  </w:num>
  <w:num w:numId="33">
    <w:abstractNumId w:val="16"/>
  </w:num>
  <w:num w:numId="34">
    <w:abstractNumId w:val="78"/>
  </w:num>
  <w:num w:numId="35">
    <w:abstractNumId w:val="96"/>
  </w:num>
  <w:num w:numId="36">
    <w:abstractNumId w:val="61"/>
  </w:num>
  <w:num w:numId="37">
    <w:abstractNumId w:val="20"/>
  </w:num>
  <w:num w:numId="38">
    <w:abstractNumId w:val="46"/>
  </w:num>
  <w:num w:numId="39">
    <w:abstractNumId w:val="50"/>
  </w:num>
  <w:num w:numId="40">
    <w:abstractNumId w:val="34"/>
  </w:num>
  <w:num w:numId="41">
    <w:abstractNumId w:val="62"/>
  </w:num>
  <w:num w:numId="42">
    <w:abstractNumId w:val="44"/>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4"/>
  </w:num>
  <w:num w:numId="45">
    <w:abstractNumId w:val="55"/>
  </w:num>
  <w:num w:numId="46">
    <w:abstractNumId w:val="85"/>
  </w:num>
  <w:num w:numId="47">
    <w:abstractNumId w:val="56"/>
  </w:num>
  <w:num w:numId="48">
    <w:abstractNumId w:val="66"/>
  </w:num>
  <w:num w:numId="49">
    <w:abstractNumId w:val="21"/>
  </w:num>
  <w:num w:numId="50">
    <w:abstractNumId w:val="92"/>
  </w:num>
  <w:num w:numId="51">
    <w:abstractNumId w:val="59"/>
  </w:num>
  <w:num w:numId="52">
    <w:abstractNumId w:val="64"/>
  </w:num>
  <w:num w:numId="53">
    <w:abstractNumId w:val="74"/>
  </w:num>
  <w:num w:numId="54">
    <w:abstractNumId w:val="11"/>
  </w:num>
  <w:num w:numId="55">
    <w:abstractNumId w:val="38"/>
  </w:num>
  <w:num w:numId="56">
    <w:abstractNumId w:val="71"/>
  </w:num>
  <w:num w:numId="57">
    <w:abstractNumId w:val="26"/>
  </w:num>
  <w:num w:numId="58">
    <w:abstractNumId w:val="36"/>
  </w:num>
  <w:num w:numId="59">
    <w:abstractNumId w:val="28"/>
  </w:num>
  <w:num w:numId="60">
    <w:abstractNumId w:val="27"/>
  </w:num>
  <w:num w:numId="61">
    <w:abstractNumId w:val="68"/>
  </w:num>
  <w:num w:numId="62">
    <w:abstractNumId w:val="75"/>
  </w:num>
  <w:num w:numId="63">
    <w:abstractNumId w:val="51"/>
  </w:num>
  <w:num w:numId="64">
    <w:abstractNumId w:val="18"/>
  </w:num>
  <w:num w:numId="65">
    <w:abstractNumId w:val="86"/>
  </w:num>
  <w:num w:numId="66">
    <w:abstractNumId w:val="15"/>
  </w:num>
  <w:num w:numId="67">
    <w:abstractNumId w:val="31"/>
  </w:num>
  <w:num w:numId="68">
    <w:abstractNumId w:val="84"/>
  </w:num>
  <w:num w:numId="69">
    <w:abstractNumId w:val="63"/>
  </w:num>
  <w:num w:numId="70">
    <w:abstractNumId w:val="39"/>
  </w:num>
  <w:num w:numId="71">
    <w:abstractNumId w:val="97"/>
  </w:num>
  <w:num w:numId="72">
    <w:abstractNumId w:val="72"/>
  </w:num>
  <w:num w:numId="73">
    <w:abstractNumId w:val="76"/>
  </w:num>
  <w:num w:numId="74">
    <w:abstractNumId w:val="12"/>
  </w:num>
  <w:num w:numId="75">
    <w:abstractNumId w:val="13"/>
  </w:num>
  <w:num w:numId="76">
    <w:abstractNumId w:val="14"/>
  </w:num>
  <w:num w:numId="77">
    <w:abstractNumId w:val="22"/>
  </w:num>
  <w:num w:numId="78">
    <w:abstractNumId w:val="35"/>
  </w:num>
  <w:num w:numId="79">
    <w:abstractNumId w:val="60"/>
  </w:num>
  <w:num w:numId="80">
    <w:abstractNumId w:val="53"/>
  </w:num>
  <w:num w:numId="81">
    <w:abstractNumId w:val="45"/>
  </w:num>
  <w:num w:numId="82">
    <w:abstractNumId w:val="23"/>
  </w:num>
  <w:num w:numId="83">
    <w:abstractNumId w:val="87"/>
  </w:num>
  <w:num w:numId="84">
    <w:abstractNumId w:val="88"/>
  </w:num>
  <w:num w:numId="85">
    <w:abstractNumId w:val="70"/>
  </w:num>
  <w:num w:numId="86">
    <w:abstractNumId w:val="52"/>
  </w:num>
  <w:num w:numId="87">
    <w:abstractNumId w:val="73"/>
  </w:num>
  <w:num w:numId="88">
    <w:abstractNumId w:val="82"/>
  </w:num>
  <w:num w:numId="89">
    <w:abstractNumId w:val="91"/>
  </w:num>
  <w:num w:numId="90">
    <w:abstractNumId w:val="43"/>
  </w:num>
  <w:num w:numId="91">
    <w:abstractNumId w:val="57"/>
  </w:num>
  <w:num w:numId="92">
    <w:abstractNumId w:val="25"/>
  </w:num>
  <w:num w:numId="93">
    <w:abstractNumId w:val="79"/>
  </w:num>
  <w:num w:numId="94">
    <w:abstractNumId w:val="5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1"/>
  </w:num>
  <w:num w:numId="96">
    <w:abstractNumId w:val="69"/>
  </w:num>
  <w:num w:numId="97">
    <w:abstractNumId w:val="48"/>
  </w:num>
  <w:num w:numId="98">
    <w:abstractNumId w:val="0"/>
  </w:num>
  <w:num w:numId="99">
    <w:abstractNumId w:val="24"/>
  </w:num>
  <w:num w:numId="100">
    <w:abstractNumId w:val="33"/>
  </w:num>
  <w:numIdMacAtCleanup w:val="9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ul Wright">
    <w15:presenceInfo w15:providerId="AD" w15:userId="S-1-5-21-796845957-220523388-682003330-256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4A8"/>
    <w:rsid w:val="00001F2B"/>
    <w:rsid w:val="00002BE3"/>
    <w:rsid w:val="00004925"/>
    <w:rsid w:val="00004A24"/>
    <w:rsid w:val="00007CD9"/>
    <w:rsid w:val="0001138D"/>
    <w:rsid w:val="00011647"/>
    <w:rsid w:val="00011D35"/>
    <w:rsid w:val="00011FDF"/>
    <w:rsid w:val="0001351F"/>
    <w:rsid w:val="000141BB"/>
    <w:rsid w:val="00015233"/>
    <w:rsid w:val="00015E8C"/>
    <w:rsid w:val="000163D9"/>
    <w:rsid w:val="00016A7D"/>
    <w:rsid w:val="00020348"/>
    <w:rsid w:val="0002062F"/>
    <w:rsid w:val="00022BB3"/>
    <w:rsid w:val="00023433"/>
    <w:rsid w:val="00023963"/>
    <w:rsid w:val="0002418B"/>
    <w:rsid w:val="00024945"/>
    <w:rsid w:val="000255B4"/>
    <w:rsid w:val="00026373"/>
    <w:rsid w:val="000274AE"/>
    <w:rsid w:val="0003024F"/>
    <w:rsid w:val="00030A8A"/>
    <w:rsid w:val="00030C99"/>
    <w:rsid w:val="00030F98"/>
    <w:rsid w:val="000338E7"/>
    <w:rsid w:val="00034B66"/>
    <w:rsid w:val="00035049"/>
    <w:rsid w:val="000359E1"/>
    <w:rsid w:val="000378B8"/>
    <w:rsid w:val="00037937"/>
    <w:rsid w:val="000404BD"/>
    <w:rsid w:val="00040CF1"/>
    <w:rsid w:val="00041205"/>
    <w:rsid w:val="00041868"/>
    <w:rsid w:val="0004193D"/>
    <w:rsid w:val="0004245E"/>
    <w:rsid w:val="000424A8"/>
    <w:rsid w:val="00042C5A"/>
    <w:rsid w:val="00043311"/>
    <w:rsid w:val="00043646"/>
    <w:rsid w:val="00043FBD"/>
    <w:rsid w:val="000452A5"/>
    <w:rsid w:val="00045AB2"/>
    <w:rsid w:val="0004639C"/>
    <w:rsid w:val="00046A5E"/>
    <w:rsid w:val="00046D78"/>
    <w:rsid w:val="00050623"/>
    <w:rsid w:val="0005093E"/>
    <w:rsid w:val="00050FD5"/>
    <w:rsid w:val="000514A1"/>
    <w:rsid w:val="0005286C"/>
    <w:rsid w:val="0005379F"/>
    <w:rsid w:val="00053DD7"/>
    <w:rsid w:val="00060D30"/>
    <w:rsid w:val="0006108B"/>
    <w:rsid w:val="000612EF"/>
    <w:rsid w:val="00062458"/>
    <w:rsid w:val="0006271C"/>
    <w:rsid w:val="00062F98"/>
    <w:rsid w:val="00063055"/>
    <w:rsid w:val="00063E63"/>
    <w:rsid w:val="00064C11"/>
    <w:rsid w:val="000652B2"/>
    <w:rsid w:val="0006537D"/>
    <w:rsid w:val="00065E38"/>
    <w:rsid w:val="00066131"/>
    <w:rsid w:val="000671AF"/>
    <w:rsid w:val="00070878"/>
    <w:rsid w:val="0007112D"/>
    <w:rsid w:val="000720CA"/>
    <w:rsid w:val="00072EC3"/>
    <w:rsid w:val="000730D7"/>
    <w:rsid w:val="00074BEF"/>
    <w:rsid w:val="00075C1D"/>
    <w:rsid w:val="00076DC9"/>
    <w:rsid w:val="00076F55"/>
    <w:rsid w:val="00080771"/>
    <w:rsid w:val="00081632"/>
    <w:rsid w:val="000832C4"/>
    <w:rsid w:val="000835DE"/>
    <w:rsid w:val="000839BD"/>
    <w:rsid w:val="00083B2F"/>
    <w:rsid w:val="00084B59"/>
    <w:rsid w:val="00084E1B"/>
    <w:rsid w:val="00085F6A"/>
    <w:rsid w:val="000876A4"/>
    <w:rsid w:val="00087D0E"/>
    <w:rsid w:val="00090063"/>
    <w:rsid w:val="0009176D"/>
    <w:rsid w:val="00092F72"/>
    <w:rsid w:val="000932EB"/>
    <w:rsid w:val="00093FAB"/>
    <w:rsid w:val="00095255"/>
    <w:rsid w:val="00096052"/>
    <w:rsid w:val="00096CE8"/>
    <w:rsid w:val="00097283"/>
    <w:rsid w:val="000A09F4"/>
    <w:rsid w:val="000A399D"/>
    <w:rsid w:val="000A49D8"/>
    <w:rsid w:val="000A4AAE"/>
    <w:rsid w:val="000A4B89"/>
    <w:rsid w:val="000A5C13"/>
    <w:rsid w:val="000A6C00"/>
    <w:rsid w:val="000A7262"/>
    <w:rsid w:val="000A7CE8"/>
    <w:rsid w:val="000A7E61"/>
    <w:rsid w:val="000B0583"/>
    <w:rsid w:val="000B06F0"/>
    <w:rsid w:val="000B1321"/>
    <w:rsid w:val="000B157D"/>
    <w:rsid w:val="000B16D6"/>
    <w:rsid w:val="000B19B2"/>
    <w:rsid w:val="000B24ED"/>
    <w:rsid w:val="000B2756"/>
    <w:rsid w:val="000B2A22"/>
    <w:rsid w:val="000B2FD5"/>
    <w:rsid w:val="000B335D"/>
    <w:rsid w:val="000B4411"/>
    <w:rsid w:val="000B469A"/>
    <w:rsid w:val="000B4968"/>
    <w:rsid w:val="000B56FE"/>
    <w:rsid w:val="000B635E"/>
    <w:rsid w:val="000B6B47"/>
    <w:rsid w:val="000B6D6F"/>
    <w:rsid w:val="000B7BF5"/>
    <w:rsid w:val="000C0C85"/>
    <w:rsid w:val="000C0F59"/>
    <w:rsid w:val="000C2671"/>
    <w:rsid w:val="000C33E7"/>
    <w:rsid w:val="000C3A66"/>
    <w:rsid w:val="000C3E17"/>
    <w:rsid w:val="000C58F8"/>
    <w:rsid w:val="000C5F1C"/>
    <w:rsid w:val="000C68F4"/>
    <w:rsid w:val="000D0136"/>
    <w:rsid w:val="000D1142"/>
    <w:rsid w:val="000D1192"/>
    <w:rsid w:val="000D198F"/>
    <w:rsid w:val="000D511D"/>
    <w:rsid w:val="000D5999"/>
    <w:rsid w:val="000D5FFC"/>
    <w:rsid w:val="000D6C55"/>
    <w:rsid w:val="000D7EE0"/>
    <w:rsid w:val="000E229B"/>
    <w:rsid w:val="000E2ACC"/>
    <w:rsid w:val="000E3E9C"/>
    <w:rsid w:val="000E4221"/>
    <w:rsid w:val="000E4B3D"/>
    <w:rsid w:val="000E4B85"/>
    <w:rsid w:val="000E4B9A"/>
    <w:rsid w:val="000E51B7"/>
    <w:rsid w:val="000E6D9A"/>
    <w:rsid w:val="000F2B02"/>
    <w:rsid w:val="000F2B3C"/>
    <w:rsid w:val="000F352A"/>
    <w:rsid w:val="000F4498"/>
    <w:rsid w:val="000F4E95"/>
    <w:rsid w:val="000F5297"/>
    <w:rsid w:val="000F598F"/>
    <w:rsid w:val="0010031A"/>
    <w:rsid w:val="001009B1"/>
    <w:rsid w:val="00100C79"/>
    <w:rsid w:val="0010141A"/>
    <w:rsid w:val="0010193D"/>
    <w:rsid w:val="00101B7E"/>
    <w:rsid w:val="0010288D"/>
    <w:rsid w:val="00102B25"/>
    <w:rsid w:val="00103682"/>
    <w:rsid w:val="0010543F"/>
    <w:rsid w:val="00105628"/>
    <w:rsid w:val="00105F8E"/>
    <w:rsid w:val="001076E5"/>
    <w:rsid w:val="00110561"/>
    <w:rsid w:val="0011064B"/>
    <w:rsid w:val="0011154B"/>
    <w:rsid w:val="001116A1"/>
    <w:rsid w:val="001116C1"/>
    <w:rsid w:val="00111F85"/>
    <w:rsid w:val="00111F92"/>
    <w:rsid w:val="001131DB"/>
    <w:rsid w:val="00113240"/>
    <w:rsid w:val="0011352B"/>
    <w:rsid w:val="00113C40"/>
    <w:rsid w:val="00114A86"/>
    <w:rsid w:val="00115560"/>
    <w:rsid w:val="00116B6E"/>
    <w:rsid w:val="00117695"/>
    <w:rsid w:val="00117B0D"/>
    <w:rsid w:val="001202A6"/>
    <w:rsid w:val="001205FA"/>
    <w:rsid w:val="00121B4D"/>
    <w:rsid w:val="00122363"/>
    <w:rsid w:val="0012263C"/>
    <w:rsid w:val="00122ED1"/>
    <w:rsid w:val="00124743"/>
    <w:rsid w:val="001249BA"/>
    <w:rsid w:val="001258EA"/>
    <w:rsid w:val="00127386"/>
    <w:rsid w:val="001325F4"/>
    <w:rsid w:val="00134B54"/>
    <w:rsid w:val="00134E92"/>
    <w:rsid w:val="001355FE"/>
    <w:rsid w:val="001357F8"/>
    <w:rsid w:val="00135B22"/>
    <w:rsid w:val="00135B68"/>
    <w:rsid w:val="00135BE1"/>
    <w:rsid w:val="00135CB0"/>
    <w:rsid w:val="00136595"/>
    <w:rsid w:val="0014042C"/>
    <w:rsid w:val="001407A1"/>
    <w:rsid w:val="00141775"/>
    <w:rsid w:val="0014181F"/>
    <w:rsid w:val="0014216C"/>
    <w:rsid w:val="00142952"/>
    <w:rsid w:val="00142FFC"/>
    <w:rsid w:val="00143144"/>
    <w:rsid w:val="00144CEB"/>
    <w:rsid w:val="001457AF"/>
    <w:rsid w:val="0014590E"/>
    <w:rsid w:val="00146A5D"/>
    <w:rsid w:val="00146B34"/>
    <w:rsid w:val="001507EC"/>
    <w:rsid w:val="0015222F"/>
    <w:rsid w:val="00153761"/>
    <w:rsid w:val="0015385C"/>
    <w:rsid w:val="001540B3"/>
    <w:rsid w:val="001546A5"/>
    <w:rsid w:val="00155CF7"/>
    <w:rsid w:val="00155DC3"/>
    <w:rsid w:val="00156C1F"/>
    <w:rsid w:val="00157E91"/>
    <w:rsid w:val="00160325"/>
    <w:rsid w:val="00161B44"/>
    <w:rsid w:val="00162879"/>
    <w:rsid w:val="00162AA1"/>
    <w:rsid w:val="00162CAC"/>
    <w:rsid w:val="0016361C"/>
    <w:rsid w:val="0016371C"/>
    <w:rsid w:val="001647C8"/>
    <w:rsid w:val="0016568F"/>
    <w:rsid w:val="00165F78"/>
    <w:rsid w:val="00165FA6"/>
    <w:rsid w:val="001668D5"/>
    <w:rsid w:val="001677AD"/>
    <w:rsid w:val="0017088D"/>
    <w:rsid w:val="00172013"/>
    <w:rsid w:val="001734B1"/>
    <w:rsid w:val="00173506"/>
    <w:rsid w:val="00174775"/>
    <w:rsid w:val="00175B11"/>
    <w:rsid w:val="00176BB4"/>
    <w:rsid w:val="00177569"/>
    <w:rsid w:val="0018031B"/>
    <w:rsid w:val="0018076A"/>
    <w:rsid w:val="00181A2F"/>
    <w:rsid w:val="00182048"/>
    <w:rsid w:val="00182071"/>
    <w:rsid w:val="00182AD6"/>
    <w:rsid w:val="001847D2"/>
    <w:rsid w:val="00185836"/>
    <w:rsid w:val="00190392"/>
    <w:rsid w:val="00190A39"/>
    <w:rsid w:val="00190C5D"/>
    <w:rsid w:val="0019122C"/>
    <w:rsid w:val="00191883"/>
    <w:rsid w:val="0019189D"/>
    <w:rsid w:val="00191DAB"/>
    <w:rsid w:val="001928CF"/>
    <w:rsid w:val="00192CFB"/>
    <w:rsid w:val="001936F1"/>
    <w:rsid w:val="001936F4"/>
    <w:rsid w:val="00194022"/>
    <w:rsid w:val="0019438E"/>
    <w:rsid w:val="00194A21"/>
    <w:rsid w:val="001962C8"/>
    <w:rsid w:val="00196648"/>
    <w:rsid w:val="00196E86"/>
    <w:rsid w:val="001A1A2A"/>
    <w:rsid w:val="001A223A"/>
    <w:rsid w:val="001A271A"/>
    <w:rsid w:val="001A29C4"/>
    <w:rsid w:val="001A2BCA"/>
    <w:rsid w:val="001A5BCF"/>
    <w:rsid w:val="001A5EF4"/>
    <w:rsid w:val="001A5F62"/>
    <w:rsid w:val="001B032D"/>
    <w:rsid w:val="001B1130"/>
    <w:rsid w:val="001B17CF"/>
    <w:rsid w:val="001B1ABA"/>
    <w:rsid w:val="001B28AD"/>
    <w:rsid w:val="001B2F2F"/>
    <w:rsid w:val="001B3703"/>
    <w:rsid w:val="001B3878"/>
    <w:rsid w:val="001B395B"/>
    <w:rsid w:val="001B5088"/>
    <w:rsid w:val="001B648A"/>
    <w:rsid w:val="001B72F7"/>
    <w:rsid w:val="001C1FCC"/>
    <w:rsid w:val="001C29B3"/>
    <w:rsid w:val="001C323F"/>
    <w:rsid w:val="001C4966"/>
    <w:rsid w:val="001C4EA8"/>
    <w:rsid w:val="001C658D"/>
    <w:rsid w:val="001C6C2B"/>
    <w:rsid w:val="001C6FA7"/>
    <w:rsid w:val="001D0870"/>
    <w:rsid w:val="001D14D5"/>
    <w:rsid w:val="001D1625"/>
    <w:rsid w:val="001D1B01"/>
    <w:rsid w:val="001D2097"/>
    <w:rsid w:val="001D350C"/>
    <w:rsid w:val="001D3830"/>
    <w:rsid w:val="001D389A"/>
    <w:rsid w:val="001D4345"/>
    <w:rsid w:val="001D473E"/>
    <w:rsid w:val="001D5C4C"/>
    <w:rsid w:val="001D76F4"/>
    <w:rsid w:val="001E10C7"/>
    <w:rsid w:val="001E149E"/>
    <w:rsid w:val="001E1AC3"/>
    <w:rsid w:val="001E224D"/>
    <w:rsid w:val="001E46C9"/>
    <w:rsid w:val="001E47FF"/>
    <w:rsid w:val="001E6614"/>
    <w:rsid w:val="001E6C19"/>
    <w:rsid w:val="001F029F"/>
    <w:rsid w:val="001F0777"/>
    <w:rsid w:val="001F150D"/>
    <w:rsid w:val="001F1625"/>
    <w:rsid w:val="001F1E6F"/>
    <w:rsid w:val="001F2623"/>
    <w:rsid w:val="001F413E"/>
    <w:rsid w:val="001F4FF2"/>
    <w:rsid w:val="001F72B7"/>
    <w:rsid w:val="0020077A"/>
    <w:rsid w:val="0020093E"/>
    <w:rsid w:val="00200E38"/>
    <w:rsid w:val="0020321F"/>
    <w:rsid w:val="00203440"/>
    <w:rsid w:val="0020382A"/>
    <w:rsid w:val="00203AF0"/>
    <w:rsid w:val="00203DE9"/>
    <w:rsid w:val="0020427A"/>
    <w:rsid w:val="00204CE1"/>
    <w:rsid w:val="002052A7"/>
    <w:rsid w:val="00206718"/>
    <w:rsid w:val="00206FA0"/>
    <w:rsid w:val="00207171"/>
    <w:rsid w:val="00207EFC"/>
    <w:rsid w:val="00211081"/>
    <w:rsid w:val="002121D7"/>
    <w:rsid w:val="002126D5"/>
    <w:rsid w:val="002165AE"/>
    <w:rsid w:val="002178E8"/>
    <w:rsid w:val="00221769"/>
    <w:rsid w:val="00221A61"/>
    <w:rsid w:val="0022236D"/>
    <w:rsid w:val="00223141"/>
    <w:rsid w:val="002234DF"/>
    <w:rsid w:val="00223803"/>
    <w:rsid w:val="00223BA8"/>
    <w:rsid w:val="00224A51"/>
    <w:rsid w:val="00224EE0"/>
    <w:rsid w:val="00226537"/>
    <w:rsid w:val="00226EFF"/>
    <w:rsid w:val="0022707F"/>
    <w:rsid w:val="002272DF"/>
    <w:rsid w:val="002279EA"/>
    <w:rsid w:val="00227ED7"/>
    <w:rsid w:val="0023175D"/>
    <w:rsid w:val="00231792"/>
    <w:rsid w:val="00233909"/>
    <w:rsid w:val="00234B74"/>
    <w:rsid w:val="00234DCA"/>
    <w:rsid w:val="002352E7"/>
    <w:rsid w:val="002354A5"/>
    <w:rsid w:val="00236169"/>
    <w:rsid w:val="002362EF"/>
    <w:rsid w:val="00236876"/>
    <w:rsid w:val="00236D00"/>
    <w:rsid w:val="002375C4"/>
    <w:rsid w:val="0023765F"/>
    <w:rsid w:val="002376DC"/>
    <w:rsid w:val="00240BB1"/>
    <w:rsid w:val="002416D4"/>
    <w:rsid w:val="002416DF"/>
    <w:rsid w:val="002416F6"/>
    <w:rsid w:val="002418E8"/>
    <w:rsid w:val="00243365"/>
    <w:rsid w:val="00243883"/>
    <w:rsid w:val="00247BEC"/>
    <w:rsid w:val="00250437"/>
    <w:rsid w:val="00250995"/>
    <w:rsid w:val="00250C79"/>
    <w:rsid w:val="0025143E"/>
    <w:rsid w:val="00251ABD"/>
    <w:rsid w:val="002530C3"/>
    <w:rsid w:val="002531CA"/>
    <w:rsid w:val="002534D7"/>
    <w:rsid w:val="00253874"/>
    <w:rsid w:val="002543BA"/>
    <w:rsid w:val="002547CB"/>
    <w:rsid w:val="00255650"/>
    <w:rsid w:val="00256176"/>
    <w:rsid w:val="00256B2F"/>
    <w:rsid w:val="00256FFE"/>
    <w:rsid w:val="002573EB"/>
    <w:rsid w:val="00257561"/>
    <w:rsid w:val="002579E4"/>
    <w:rsid w:val="0026089B"/>
    <w:rsid w:val="002612A4"/>
    <w:rsid w:val="002612B5"/>
    <w:rsid w:val="002632C5"/>
    <w:rsid w:val="00263FEC"/>
    <w:rsid w:val="002644D5"/>
    <w:rsid w:val="002658AD"/>
    <w:rsid w:val="00265D77"/>
    <w:rsid w:val="0026620A"/>
    <w:rsid w:val="002664A3"/>
    <w:rsid w:val="00266620"/>
    <w:rsid w:val="00266878"/>
    <w:rsid w:val="00266952"/>
    <w:rsid w:val="00267204"/>
    <w:rsid w:val="002678B2"/>
    <w:rsid w:val="00267B75"/>
    <w:rsid w:val="00267CEF"/>
    <w:rsid w:val="00270195"/>
    <w:rsid w:val="00270B56"/>
    <w:rsid w:val="00271A02"/>
    <w:rsid w:val="00271B91"/>
    <w:rsid w:val="002733FE"/>
    <w:rsid w:val="00273F3F"/>
    <w:rsid w:val="0027452C"/>
    <w:rsid w:val="0027548D"/>
    <w:rsid w:val="00275667"/>
    <w:rsid w:val="00276098"/>
    <w:rsid w:val="00276F0C"/>
    <w:rsid w:val="00277FB2"/>
    <w:rsid w:val="00280410"/>
    <w:rsid w:val="00281EC1"/>
    <w:rsid w:val="0028289A"/>
    <w:rsid w:val="00282929"/>
    <w:rsid w:val="002847EE"/>
    <w:rsid w:val="002847F9"/>
    <w:rsid w:val="002852C5"/>
    <w:rsid w:val="002852FC"/>
    <w:rsid w:val="002853CD"/>
    <w:rsid w:val="0028661F"/>
    <w:rsid w:val="0028720C"/>
    <w:rsid w:val="002874C1"/>
    <w:rsid w:val="002878EC"/>
    <w:rsid w:val="00291B1D"/>
    <w:rsid w:val="00291B5D"/>
    <w:rsid w:val="0029209E"/>
    <w:rsid w:val="00292677"/>
    <w:rsid w:val="0029312E"/>
    <w:rsid w:val="0029324B"/>
    <w:rsid w:val="00293EBE"/>
    <w:rsid w:val="00295314"/>
    <w:rsid w:val="00295A08"/>
    <w:rsid w:val="00296142"/>
    <w:rsid w:val="002964ED"/>
    <w:rsid w:val="0029751D"/>
    <w:rsid w:val="002975ED"/>
    <w:rsid w:val="002A0E5E"/>
    <w:rsid w:val="002A3144"/>
    <w:rsid w:val="002A3C78"/>
    <w:rsid w:val="002A3D72"/>
    <w:rsid w:val="002A404C"/>
    <w:rsid w:val="002A6933"/>
    <w:rsid w:val="002A6FD3"/>
    <w:rsid w:val="002B10F4"/>
    <w:rsid w:val="002B1E56"/>
    <w:rsid w:val="002B4AC2"/>
    <w:rsid w:val="002B4D48"/>
    <w:rsid w:val="002B4E85"/>
    <w:rsid w:val="002B4F34"/>
    <w:rsid w:val="002B5006"/>
    <w:rsid w:val="002B5F00"/>
    <w:rsid w:val="002B7ABE"/>
    <w:rsid w:val="002C2456"/>
    <w:rsid w:val="002C3F12"/>
    <w:rsid w:val="002C3FC5"/>
    <w:rsid w:val="002C4918"/>
    <w:rsid w:val="002C4C51"/>
    <w:rsid w:val="002C4CF8"/>
    <w:rsid w:val="002C7532"/>
    <w:rsid w:val="002C7D13"/>
    <w:rsid w:val="002D2770"/>
    <w:rsid w:val="002D28F1"/>
    <w:rsid w:val="002D2F7A"/>
    <w:rsid w:val="002D35C1"/>
    <w:rsid w:val="002D3B7A"/>
    <w:rsid w:val="002D47EF"/>
    <w:rsid w:val="002D5491"/>
    <w:rsid w:val="002D630D"/>
    <w:rsid w:val="002D7142"/>
    <w:rsid w:val="002D7687"/>
    <w:rsid w:val="002D7C12"/>
    <w:rsid w:val="002E169D"/>
    <w:rsid w:val="002E2D37"/>
    <w:rsid w:val="002E487B"/>
    <w:rsid w:val="002E528B"/>
    <w:rsid w:val="002E7CB7"/>
    <w:rsid w:val="002F08E5"/>
    <w:rsid w:val="002F37FA"/>
    <w:rsid w:val="002F6426"/>
    <w:rsid w:val="002F797E"/>
    <w:rsid w:val="003001CB"/>
    <w:rsid w:val="00301578"/>
    <w:rsid w:val="00301AD4"/>
    <w:rsid w:val="00301D01"/>
    <w:rsid w:val="00301D34"/>
    <w:rsid w:val="00304501"/>
    <w:rsid w:val="0030582B"/>
    <w:rsid w:val="00305D14"/>
    <w:rsid w:val="00306B67"/>
    <w:rsid w:val="00306F43"/>
    <w:rsid w:val="00307791"/>
    <w:rsid w:val="00307DD4"/>
    <w:rsid w:val="00310F27"/>
    <w:rsid w:val="00311A57"/>
    <w:rsid w:val="00311B83"/>
    <w:rsid w:val="003129B4"/>
    <w:rsid w:val="00312D83"/>
    <w:rsid w:val="00322014"/>
    <w:rsid w:val="003228C6"/>
    <w:rsid w:val="00323DC8"/>
    <w:rsid w:val="00324499"/>
    <w:rsid w:val="00325B9D"/>
    <w:rsid w:val="003261C1"/>
    <w:rsid w:val="003267B2"/>
    <w:rsid w:val="00327E8A"/>
    <w:rsid w:val="00331882"/>
    <w:rsid w:val="00331A3C"/>
    <w:rsid w:val="00332336"/>
    <w:rsid w:val="00334DFF"/>
    <w:rsid w:val="0033574A"/>
    <w:rsid w:val="00335B5F"/>
    <w:rsid w:val="0033686A"/>
    <w:rsid w:val="00336C53"/>
    <w:rsid w:val="00340833"/>
    <w:rsid w:val="00340BE6"/>
    <w:rsid w:val="0034107E"/>
    <w:rsid w:val="003437E9"/>
    <w:rsid w:val="003469D0"/>
    <w:rsid w:val="003469D2"/>
    <w:rsid w:val="00347C96"/>
    <w:rsid w:val="003506CD"/>
    <w:rsid w:val="00350A53"/>
    <w:rsid w:val="00352055"/>
    <w:rsid w:val="00352704"/>
    <w:rsid w:val="00352E93"/>
    <w:rsid w:val="00353E10"/>
    <w:rsid w:val="003544E3"/>
    <w:rsid w:val="003551BA"/>
    <w:rsid w:val="00355DC6"/>
    <w:rsid w:val="003561A0"/>
    <w:rsid w:val="00357068"/>
    <w:rsid w:val="003579FD"/>
    <w:rsid w:val="003603E1"/>
    <w:rsid w:val="00362CD7"/>
    <w:rsid w:val="003634C3"/>
    <w:rsid w:val="0036393E"/>
    <w:rsid w:val="00363A7F"/>
    <w:rsid w:val="00364818"/>
    <w:rsid w:val="00364D3B"/>
    <w:rsid w:val="003651A3"/>
    <w:rsid w:val="00366D51"/>
    <w:rsid w:val="00366F2E"/>
    <w:rsid w:val="003707DA"/>
    <w:rsid w:val="003715E5"/>
    <w:rsid w:val="00371837"/>
    <w:rsid w:val="003722E4"/>
    <w:rsid w:val="00373C49"/>
    <w:rsid w:val="00374524"/>
    <w:rsid w:val="003771A2"/>
    <w:rsid w:val="00380A59"/>
    <w:rsid w:val="00381479"/>
    <w:rsid w:val="00381F26"/>
    <w:rsid w:val="00383229"/>
    <w:rsid w:val="00384156"/>
    <w:rsid w:val="0038452B"/>
    <w:rsid w:val="003853F8"/>
    <w:rsid w:val="0038740C"/>
    <w:rsid w:val="0038759E"/>
    <w:rsid w:val="00387E8D"/>
    <w:rsid w:val="00387F46"/>
    <w:rsid w:val="00390526"/>
    <w:rsid w:val="00390CCC"/>
    <w:rsid w:val="00391B48"/>
    <w:rsid w:val="00391D9C"/>
    <w:rsid w:val="00392183"/>
    <w:rsid w:val="00392BBB"/>
    <w:rsid w:val="003932F1"/>
    <w:rsid w:val="0039428B"/>
    <w:rsid w:val="00394314"/>
    <w:rsid w:val="00394D53"/>
    <w:rsid w:val="00394ECF"/>
    <w:rsid w:val="003953B6"/>
    <w:rsid w:val="00395488"/>
    <w:rsid w:val="00395891"/>
    <w:rsid w:val="00395965"/>
    <w:rsid w:val="0039601D"/>
    <w:rsid w:val="003966FF"/>
    <w:rsid w:val="00397556"/>
    <w:rsid w:val="003A00FC"/>
    <w:rsid w:val="003A0BAB"/>
    <w:rsid w:val="003A232C"/>
    <w:rsid w:val="003A2F56"/>
    <w:rsid w:val="003A37FC"/>
    <w:rsid w:val="003A3D95"/>
    <w:rsid w:val="003A44CC"/>
    <w:rsid w:val="003A5188"/>
    <w:rsid w:val="003A56A1"/>
    <w:rsid w:val="003A5F1B"/>
    <w:rsid w:val="003A6828"/>
    <w:rsid w:val="003A74FE"/>
    <w:rsid w:val="003A750C"/>
    <w:rsid w:val="003A7BF0"/>
    <w:rsid w:val="003A7E67"/>
    <w:rsid w:val="003B03A5"/>
    <w:rsid w:val="003B08FB"/>
    <w:rsid w:val="003B244C"/>
    <w:rsid w:val="003B25F3"/>
    <w:rsid w:val="003B27D9"/>
    <w:rsid w:val="003B3120"/>
    <w:rsid w:val="003B3C2D"/>
    <w:rsid w:val="003B3FC3"/>
    <w:rsid w:val="003B501C"/>
    <w:rsid w:val="003B56A4"/>
    <w:rsid w:val="003B6792"/>
    <w:rsid w:val="003B713B"/>
    <w:rsid w:val="003B73B3"/>
    <w:rsid w:val="003C00B0"/>
    <w:rsid w:val="003C1E89"/>
    <w:rsid w:val="003C1F4B"/>
    <w:rsid w:val="003C23DA"/>
    <w:rsid w:val="003C2B24"/>
    <w:rsid w:val="003C3B18"/>
    <w:rsid w:val="003C3D2C"/>
    <w:rsid w:val="003C4136"/>
    <w:rsid w:val="003C5760"/>
    <w:rsid w:val="003C5A1E"/>
    <w:rsid w:val="003C7D7A"/>
    <w:rsid w:val="003D07C5"/>
    <w:rsid w:val="003D0F38"/>
    <w:rsid w:val="003D32B8"/>
    <w:rsid w:val="003D354B"/>
    <w:rsid w:val="003D4966"/>
    <w:rsid w:val="003D5770"/>
    <w:rsid w:val="003D5F20"/>
    <w:rsid w:val="003D62A0"/>
    <w:rsid w:val="003E000A"/>
    <w:rsid w:val="003E0285"/>
    <w:rsid w:val="003E1C87"/>
    <w:rsid w:val="003E22A9"/>
    <w:rsid w:val="003E2E6A"/>
    <w:rsid w:val="003E3758"/>
    <w:rsid w:val="003E44E7"/>
    <w:rsid w:val="003E6532"/>
    <w:rsid w:val="003E65A3"/>
    <w:rsid w:val="003E69FB"/>
    <w:rsid w:val="003E7F80"/>
    <w:rsid w:val="003F0AD0"/>
    <w:rsid w:val="003F0BF0"/>
    <w:rsid w:val="003F1650"/>
    <w:rsid w:val="003F1954"/>
    <w:rsid w:val="003F1C64"/>
    <w:rsid w:val="003F1CC6"/>
    <w:rsid w:val="003F22CB"/>
    <w:rsid w:val="003F439F"/>
    <w:rsid w:val="003F6141"/>
    <w:rsid w:val="003F63CA"/>
    <w:rsid w:val="0040002C"/>
    <w:rsid w:val="0040056B"/>
    <w:rsid w:val="00400B79"/>
    <w:rsid w:val="0040193B"/>
    <w:rsid w:val="00401D26"/>
    <w:rsid w:val="00401EC1"/>
    <w:rsid w:val="00404585"/>
    <w:rsid w:val="0040620B"/>
    <w:rsid w:val="00406A1F"/>
    <w:rsid w:val="004072C4"/>
    <w:rsid w:val="004076AC"/>
    <w:rsid w:val="00407A37"/>
    <w:rsid w:val="00407A7B"/>
    <w:rsid w:val="00407F2F"/>
    <w:rsid w:val="00410B3C"/>
    <w:rsid w:val="00411A29"/>
    <w:rsid w:val="00411E38"/>
    <w:rsid w:val="004123B8"/>
    <w:rsid w:val="004123DE"/>
    <w:rsid w:val="00415A44"/>
    <w:rsid w:val="00415DEE"/>
    <w:rsid w:val="00415F2F"/>
    <w:rsid w:val="00416F21"/>
    <w:rsid w:val="00417260"/>
    <w:rsid w:val="00420AD3"/>
    <w:rsid w:val="0042201D"/>
    <w:rsid w:val="004221A1"/>
    <w:rsid w:val="0042250E"/>
    <w:rsid w:val="00422588"/>
    <w:rsid w:val="00422C31"/>
    <w:rsid w:val="00424200"/>
    <w:rsid w:val="004255E4"/>
    <w:rsid w:val="00425B43"/>
    <w:rsid w:val="00425D5C"/>
    <w:rsid w:val="004267E7"/>
    <w:rsid w:val="004273BE"/>
    <w:rsid w:val="004278FB"/>
    <w:rsid w:val="004279E1"/>
    <w:rsid w:val="00427E16"/>
    <w:rsid w:val="004303C7"/>
    <w:rsid w:val="00431F1A"/>
    <w:rsid w:val="0043275B"/>
    <w:rsid w:val="004328A5"/>
    <w:rsid w:val="00433363"/>
    <w:rsid w:val="0043399E"/>
    <w:rsid w:val="00433EAC"/>
    <w:rsid w:val="004357CA"/>
    <w:rsid w:val="00436ED4"/>
    <w:rsid w:val="00437160"/>
    <w:rsid w:val="00437374"/>
    <w:rsid w:val="00437B11"/>
    <w:rsid w:val="00437EE8"/>
    <w:rsid w:val="00440816"/>
    <w:rsid w:val="004411E7"/>
    <w:rsid w:val="00441A7F"/>
    <w:rsid w:val="00442102"/>
    <w:rsid w:val="00444A18"/>
    <w:rsid w:val="00445A2E"/>
    <w:rsid w:val="004460B9"/>
    <w:rsid w:val="00447825"/>
    <w:rsid w:val="00447D09"/>
    <w:rsid w:val="00450CF1"/>
    <w:rsid w:val="00451C0D"/>
    <w:rsid w:val="0045238D"/>
    <w:rsid w:val="00452F01"/>
    <w:rsid w:val="00453F37"/>
    <w:rsid w:val="00454440"/>
    <w:rsid w:val="00454EDB"/>
    <w:rsid w:val="004562B5"/>
    <w:rsid w:val="00456543"/>
    <w:rsid w:val="0045678C"/>
    <w:rsid w:val="00456B6A"/>
    <w:rsid w:val="004570C0"/>
    <w:rsid w:val="00457570"/>
    <w:rsid w:val="00460097"/>
    <w:rsid w:val="004601F7"/>
    <w:rsid w:val="00460260"/>
    <w:rsid w:val="00460FD2"/>
    <w:rsid w:val="0046105F"/>
    <w:rsid w:val="004613CE"/>
    <w:rsid w:val="004620B0"/>
    <w:rsid w:val="004631CD"/>
    <w:rsid w:val="0046329D"/>
    <w:rsid w:val="00463DA9"/>
    <w:rsid w:val="004646A5"/>
    <w:rsid w:val="004663E8"/>
    <w:rsid w:val="004676BE"/>
    <w:rsid w:val="00467DEF"/>
    <w:rsid w:val="00470315"/>
    <w:rsid w:val="00470F7B"/>
    <w:rsid w:val="004721CA"/>
    <w:rsid w:val="0047224A"/>
    <w:rsid w:val="0047277D"/>
    <w:rsid w:val="00472B04"/>
    <w:rsid w:val="00472F50"/>
    <w:rsid w:val="0047490E"/>
    <w:rsid w:val="004753E4"/>
    <w:rsid w:val="0047544F"/>
    <w:rsid w:val="00476761"/>
    <w:rsid w:val="0047790C"/>
    <w:rsid w:val="00480D72"/>
    <w:rsid w:val="00482412"/>
    <w:rsid w:val="00482474"/>
    <w:rsid w:val="0048496E"/>
    <w:rsid w:val="00484E5F"/>
    <w:rsid w:val="0048509B"/>
    <w:rsid w:val="0048544A"/>
    <w:rsid w:val="00485606"/>
    <w:rsid w:val="004865B5"/>
    <w:rsid w:val="00486C9F"/>
    <w:rsid w:val="004877EC"/>
    <w:rsid w:val="00487A5E"/>
    <w:rsid w:val="0049025D"/>
    <w:rsid w:val="00490C3F"/>
    <w:rsid w:val="004910FD"/>
    <w:rsid w:val="00491872"/>
    <w:rsid w:val="00492A42"/>
    <w:rsid w:val="00493449"/>
    <w:rsid w:val="00494541"/>
    <w:rsid w:val="0049665C"/>
    <w:rsid w:val="00496F45"/>
    <w:rsid w:val="00497226"/>
    <w:rsid w:val="00497E59"/>
    <w:rsid w:val="004A07C2"/>
    <w:rsid w:val="004A14BE"/>
    <w:rsid w:val="004A1E8F"/>
    <w:rsid w:val="004A4789"/>
    <w:rsid w:val="004A4A15"/>
    <w:rsid w:val="004A55DF"/>
    <w:rsid w:val="004A6FA0"/>
    <w:rsid w:val="004A7407"/>
    <w:rsid w:val="004A776F"/>
    <w:rsid w:val="004B0C22"/>
    <w:rsid w:val="004B172A"/>
    <w:rsid w:val="004B1EFC"/>
    <w:rsid w:val="004B2C9D"/>
    <w:rsid w:val="004B319F"/>
    <w:rsid w:val="004B32C7"/>
    <w:rsid w:val="004B34A8"/>
    <w:rsid w:val="004B43BB"/>
    <w:rsid w:val="004B71CF"/>
    <w:rsid w:val="004C0042"/>
    <w:rsid w:val="004C05E5"/>
    <w:rsid w:val="004C07DC"/>
    <w:rsid w:val="004C0890"/>
    <w:rsid w:val="004C153D"/>
    <w:rsid w:val="004C38C6"/>
    <w:rsid w:val="004C4C0D"/>
    <w:rsid w:val="004C591E"/>
    <w:rsid w:val="004C78A7"/>
    <w:rsid w:val="004C7BB4"/>
    <w:rsid w:val="004D0B36"/>
    <w:rsid w:val="004D1020"/>
    <w:rsid w:val="004D10E4"/>
    <w:rsid w:val="004D18CB"/>
    <w:rsid w:val="004D225B"/>
    <w:rsid w:val="004D2762"/>
    <w:rsid w:val="004D325E"/>
    <w:rsid w:val="004D359A"/>
    <w:rsid w:val="004D39F8"/>
    <w:rsid w:val="004D48BA"/>
    <w:rsid w:val="004D565D"/>
    <w:rsid w:val="004D5EC2"/>
    <w:rsid w:val="004D6036"/>
    <w:rsid w:val="004D6708"/>
    <w:rsid w:val="004D73FA"/>
    <w:rsid w:val="004D7745"/>
    <w:rsid w:val="004E104E"/>
    <w:rsid w:val="004E1574"/>
    <w:rsid w:val="004E2B02"/>
    <w:rsid w:val="004E3664"/>
    <w:rsid w:val="004E4410"/>
    <w:rsid w:val="004E5AE8"/>
    <w:rsid w:val="004E60BD"/>
    <w:rsid w:val="004E63DA"/>
    <w:rsid w:val="004E6C05"/>
    <w:rsid w:val="004E796B"/>
    <w:rsid w:val="004F09E0"/>
    <w:rsid w:val="004F15D4"/>
    <w:rsid w:val="004F1C32"/>
    <w:rsid w:val="004F1E19"/>
    <w:rsid w:val="004F4109"/>
    <w:rsid w:val="004F4F82"/>
    <w:rsid w:val="004F56FE"/>
    <w:rsid w:val="004F5C94"/>
    <w:rsid w:val="004F62AC"/>
    <w:rsid w:val="004F64C0"/>
    <w:rsid w:val="004F6E5E"/>
    <w:rsid w:val="004F7309"/>
    <w:rsid w:val="004F7585"/>
    <w:rsid w:val="004F7B1A"/>
    <w:rsid w:val="00500484"/>
    <w:rsid w:val="005009AC"/>
    <w:rsid w:val="0050183D"/>
    <w:rsid w:val="005022E3"/>
    <w:rsid w:val="00502411"/>
    <w:rsid w:val="00502C48"/>
    <w:rsid w:val="00504B2F"/>
    <w:rsid w:val="00505FB9"/>
    <w:rsid w:val="00506BBA"/>
    <w:rsid w:val="00506D29"/>
    <w:rsid w:val="0050751B"/>
    <w:rsid w:val="0051063A"/>
    <w:rsid w:val="0051180F"/>
    <w:rsid w:val="005118DC"/>
    <w:rsid w:val="00511AA3"/>
    <w:rsid w:val="00511B76"/>
    <w:rsid w:val="005139D1"/>
    <w:rsid w:val="00514E69"/>
    <w:rsid w:val="00517DF0"/>
    <w:rsid w:val="00517EE3"/>
    <w:rsid w:val="00520474"/>
    <w:rsid w:val="00520496"/>
    <w:rsid w:val="00523F7F"/>
    <w:rsid w:val="00524628"/>
    <w:rsid w:val="005246A3"/>
    <w:rsid w:val="005247C0"/>
    <w:rsid w:val="005251DE"/>
    <w:rsid w:val="00526DD3"/>
    <w:rsid w:val="00527BBB"/>
    <w:rsid w:val="00531B0E"/>
    <w:rsid w:val="00532F9C"/>
    <w:rsid w:val="005340BF"/>
    <w:rsid w:val="0053459C"/>
    <w:rsid w:val="0053490B"/>
    <w:rsid w:val="00535840"/>
    <w:rsid w:val="005359D3"/>
    <w:rsid w:val="005368ED"/>
    <w:rsid w:val="00537038"/>
    <w:rsid w:val="005376E1"/>
    <w:rsid w:val="00540F88"/>
    <w:rsid w:val="005436EC"/>
    <w:rsid w:val="005447CF"/>
    <w:rsid w:val="005448C4"/>
    <w:rsid w:val="00544DE4"/>
    <w:rsid w:val="005452C7"/>
    <w:rsid w:val="0054554C"/>
    <w:rsid w:val="00545F88"/>
    <w:rsid w:val="00546692"/>
    <w:rsid w:val="00547722"/>
    <w:rsid w:val="005479AC"/>
    <w:rsid w:val="00547F49"/>
    <w:rsid w:val="0055003C"/>
    <w:rsid w:val="00551947"/>
    <w:rsid w:val="00551CC6"/>
    <w:rsid w:val="00552883"/>
    <w:rsid w:val="0055372D"/>
    <w:rsid w:val="005538C1"/>
    <w:rsid w:val="00553EC6"/>
    <w:rsid w:val="00556F2C"/>
    <w:rsid w:val="00557735"/>
    <w:rsid w:val="00560F76"/>
    <w:rsid w:val="00560FB2"/>
    <w:rsid w:val="00561499"/>
    <w:rsid w:val="005623C0"/>
    <w:rsid w:val="00563A1A"/>
    <w:rsid w:val="005649ED"/>
    <w:rsid w:val="00564A26"/>
    <w:rsid w:val="005667AE"/>
    <w:rsid w:val="00566FE7"/>
    <w:rsid w:val="00567E08"/>
    <w:rsid w:val="00570328"/>
    <w:rsid w:val="005716A2"/>
    <w:rsid w:val="005725D2"/>
    <w:rsid w:val="0057355E"/>
    <w:rsid w:val="00573EC3"/>
    <w:rsid w:val="005741A8"/>
    <w:rsid w:val="0057547A"/>
    <w:rsid w:val="0057583A"/>
    <w:rsid w:val="00575B73"/>
    <w:rsid w:val="00576616"/>
    <w:rsid w:val="00576CC1"/>
    <w:rsid w:val="005772F7"/>
    <w:rsid w:val="00577E83"/>
    <w:rsid w:val="00580395"/>
    <w:rsid w:val="0058176C"/>
    <w:rsid w:val="00582331"/>
    <w:rsid w:val="005832DC"/>
    <w:rsid w:val="005840C6"/>
    <w:rsid w:val="00584411"/>
    <w:rsid w:val="00585579"/>
    <w:rsid w:val="00585F0D"/>
    <w:rsid w:val="00586163"/>
    <w:rsid w:val="00586DBF"/>
    <w:rsid w:val="00587870"/>
    <w:rsid w:val="00590881"/>
    <w:rsid w:val="00590D34"/>
    <w:rsid w:val="00590D88"/>
    <w:rsid w:val="00591072"/>
    <w:rsid w:val="005936C8"/>
    <w:rsid w:val="0059384F"/>
    <w:rsid w:val="00593F86"/>
    <w:rsid w:val="005942A7"/>
    <w:rsid w:val="00595256"/>
    <w:rsid w:val="00595750"/>
    <w:rsid w:val="00595AA7"/>
    <w:rsid w:val="00596434"/>
    <w:rsid w:val="00596C22"/>
    <w:rsid w:val="00596DC9"/>
    <w:rsid w:val="00596ECB"/>
    <w:rsid w:val="00597615"/>
    <w:rsid w:val="005A14D7"/>
    <w:rsid w:val="005A2D13"/>
    <w:rsid w:val="005A34B3"/>
    <w:rsid w:val="005A3D9A"/>
    <w:rsid w:val="005A412B"/>
    <w:rsid w:val="005A6B27"/>
    <w:rsid w:val="005B04AA"/>
    <w:rsid w:val="005B1898"/>
    <w:rsid w:val="005B20FE"/>
    <w:rsid w:val="005B27F1"/>
    <w:rsid w:val="005B36CF"/>
    <w:rsid w:val="005B49FC"/>
    <w:rsid w:val="005B4E0D"/>
    <w:rsid w:val="005B51BB"/>
    <w:rsid w:val="005B5330"/>
    <w:rsid w:val="005B58E9"/>
    <w:rsid w:val="005B68EA"/>
    <w:rsid w:val="005C0608"/>
    <w:rsid w:val="005C07DC"/>
    <w:rsid w:val="005C0983"/>
    <w:rsid w:val="005C0A41"/>
    <w:rsid w:val="005C14B0"/>
    <w:rsid w:val="005C2447"/>
    <w:rsid w:val="005C2864"/>
    <w:rsid w:val="005C3514"/>
    <w:rsid w:val="005C54BF"/>
    <w:rsid w:val="005C5AD9"/>
    <w:rsid w:val="005C5B81"/>
    <w:rsid w:val="005C5D44"/>
    <w:rsid w:val="005C5D95"/>
    <w:rsid w:val="005C60F9"/>
    <w:rsid w:val="005C672E"/>
    <w:rsid w:val="005C7FC0"/>
    <w:rsid w:val="005D0009"/>
    <w:rsid w:val="005D0457"/>
    <w:rsid w:val="005D0802"/>
    <w:rsid w:val="005D24A9"/>
    <w:rsid w:val="005D2610"/>
    <w:rsid w:val="005D27C0"/>
    <w:rsid w:val="005D2B5B"/>
    <w:rsid w:val="005D43F4"/>
    <w:rsid w:val="005D545D"/>
    <w:rsid w:val="005D54EF"/>
    <w:rsid w:val="005D6864"/>
    <w:rsid w:val="005D7207"/>
    <w:rsid w:val="005D739E"/>
    <w:rsid w:val="005D73EF"/>
    <w:rsid w:val="005D76A1"/>
    <w:rsid w:val="005D7CF0"/>
    <w:rsid w:val="005E08DE"/>
    <w:rsid w:val="005E13DF"/>
    <w:rsid w:val="005E1808"/>
    <w:rsid w:val="005E36C2"/>
    <w:rsid w:val="005E3AE1"/>
    <w:rsid w:val="005E3E0B"/>
    <w:rsid w:val="005E3F74"/>
    <w:rsid w:val="005E52A5"/>
    <w:rsid w:val="005E74EA"/>
    <w:rsid w:val="005E791A"/>
    <w:rsid w:val="005F00BD"/>
    <w:rsid w:val="005F0E89"/>
    <w:rsid w:val="005F1A25"/>
    <w:rsid w:val="005F1ED7"/>
    <w:rsid w:val="005F25D6"/>
    <w:rsid w:val="005F44FC"/>
    <w:rsid w:val="005F5772"/>
    <w:rsid w:val="005F6484"/>
    <w:rsid w:val="005F65F7"/>
    <w:rsid w:val="005F6F99"/>
    <w:rsid w:val="005F78D2"/>
    <w:rsid w:val="006010A3"/>
    <w:rsid w:val="0060185C"/>
    <w:rsid w:val="00601DB4"/>
    <w:rsid w:val="006028E7"/>
    <w:rsid w:val="0060331B"/>
    <w:rsid w:val="00603B92"/>
    <w:rsid w:val="006069C2"/>
    <w:rsid w:val="0060739B"/>
    <w:rsid w:val="00607830"/>
    <w:rsid w:val="006105E5"/>
    <w:rsid w:val="00610A22"/>
    <w:rsid w:val="00611608"/>
    <w:rsid w:val="00611E79"/>
    <w:rsid w:val="006143EA"/>
    <w:rsid w:val="00615FE1"/>
    <w:rsid w:val="0061654D"/>
    <w:rsid w:val="00616DA2"/>
    <w:rsid w:val="00617A9F"/>
    <w:rsid w:val="00620B56"/>
    <w:rsid w:val="00621ADE"/>
    <w:rsid w:val="006220E0"/>
    <w:rsid w:val="00622767"/>
    <w:rsid w:val="00625080"/>
    <w:rsid w:val="0062574E"/>
    <w:rsid w:val="006259F1"/>
    <w:rsid w:val="00625B06"/>
    <w:rsid w:val="00626563"/>
    <w:rsid w:val="0062663C"/>
    <w:rsid w:val="006270E7"/>
    <w:rsid w:val="006307AA"/>
    <w:rsid w:val="00630FF6"/>
    <w:rsid w:val="006312E7"/>
    <w:rsid w:val="00631D21"/>
    <w:rsid w:val="00632212"/>
    <w:rsid w:val="00632337"/>
    <w:rsid w:val="006323A0"/>
    <w:rsid w:val="00632870"/>
    <w:rsid w:val="0063287E"/>
    <w:rsid w:val="00632FBD"/>
    <w:rsid w:val="006338C1"/>
    <w:rsid w:val="00633E65"/>
    <w:rsid w:val="006347C8"/>
    <w:rsid w:val="0063556B"/>
    <w:rsid w:val="006366C8"/>
    <w:rsid w:val="00636D46"/>
    <w:rsid w:val="00636F76"/>
    <w:rsid w:val="006401AB"/>
    <w:rsid w:val="006402CC"/>
    <w:rsid w:val="00640416"/>
    <w:rsid w:val="006407CD"/>
    <w:rsid w:val="00640800"/>
    <w:rsid w:val="0064307D"/>
    <w:rsid w:val="00643EBC"/>
    <w:rsid w:val="00644563"/>
    <w:rsid w:val="00644C87"/>
    <w:rsid w:val="006452E3"/>
    <w:rsid w:val="0064573C"/>
    <w:rsid w:val="006466FC"/>
    <w:rsid w:val="00646DB3"/>
    <w:rsid w:val="00651BC2"/>
    <w:rsid w:val="00651D20"/>
    <w:rsid w:val="00651E23"/>
    <w:rsid w:val="006532C5"/>
    <w:rsid w:val="00653326"/>
    <w:rsid w:val="00653618"/>
    <w:rsid w:val="00653E91"/>
    <w:rsid w:val="006543FE"/>
    <w:rsid w:val="00654E40"/>
    <w:rsid w:val="0065520A"/>
    <w:rsid w:val="00656FBF"/>
    <w:rsid w:val="00657575"/>
    <w:rsid w:val="00657C20"/>
    <w:rsid w:val="0066021A"/>
    <w:rsid w:val="00661B5C"/>
    <w:rsid w:val="006647C1"/>
    <w:rsid w:val="006651CA"/>
    <w:rsid w:val="00665FC4"/>
    <w:rsid w:val="00666A67"/>
    <w:rsid w:val="00670EAC"/>
    <w:rsid w:val="006740D0"/>
    <w:rsid w:val="00675A40"/>
    <w:rsid w:val="00675BEE"/>
    <w:rsid w:val="00676549"/>
    <w:rsid w:val="00676A8F"/>
    <w:rsid w:val="00677DA1"/>
    <w:rsid w:val="00680044"/>
    <w:rsid w:val="006806E8"/>
    <w:rsid w:val="00681EB0"/>
    <w:rsid w:val="00682E69"/>
    <w:rsid w:val="00683A6D"/>
    <w:rsid w:val="00684000"/>
    <w:rsid w:val="00684798"/>
    <w:rsid w:val="006852C3"/>
    <w:rsid w:val="0068666F"/>
    <w:rsid w:val="00686EF4"/>
    <w:rsid w:val="00687447"/>
    <w:rsid w:val="006916AB"/>
    <w:rsid w:val="0069223B"/>
    <w:rsid w:val="006926F9"/>
    <w:rsid w:val="00692A8E"/>
    <w:rsid w:val="006950FB"/>
    <w:rsid w:val="0069581E"/>
    <w:rsid w:val="00697931"/>
    <w:rsid w:val="006A0950"/>
    <w:rsid w:val="006A1559"/>
    <w:rsid w:val="006A185E"/>
    <w:rsid w:val="006A1AF6"/>
    <w:rsid w:val="006A1BBC"/>
    <w:rsid w:val="006A24D8"/>
    <w:rsid w:val="006A2A38"/>
    <w:rsid w:val="006A3740"/>
    <w:rsid w:val="006A412B"/>
    <w:rsid w:val="006A432D"/>
    <w:rsid w:val="006A462E"/>
    <w:rsid w:val="006A4635"/>
    <w:rsid w:val="006A473D"/>
    <w:rsid w:val="006A4906"/>
    <w:rsid w:val="006A5B52"/>
    <w:rsid w:val="006A5C3A"/>
    <w:rsid w:val="006A67DB"/>
    <w:rsid w:val="006A68DD"/>
    <w:rsid w:val="006A7E17"/>
    <w:rsid w:val="006B0D74"/>
    <w:rsid w:val="006B13F2"/>
    <w:rsid w:val="006B2234"/>
    <w:rsid w:val="006B2404"/>
    <w:rsid w:val="006B25C9"/>
    <w:rsid w:val="006B2B19"/>
    <w:rsid w:val="006B2B31"/>
    <w:rsid w:val="006B3D2D"/>
    <w:rsid w:val="006B3DE7"/>
    <w:rsid w:val="006B44D8"/>
    <w:rsid w:val="006B4556"/>
    <w:rsid w:val="006B5699"/>
    <w:rsid w:val="006B5A0C"/>
    <w:rsid w:val="006B6101"/>
    <w:rsid w:val="006B66D5"/>
    <w:rsid w:val="006B6DA5"/>
    <w:rsid w:val="006B78F3"/>
    <w:rsid w:val="006C0474"/>
    <w:rsid w:val="006C0856"/>
    <w:rsid w:val="006C1DF2"/>
    <w:rsid w:val="006C2042"/>
    <w:rsid w:val="006C22A9"/>
    <w:rsid w:val="006C3FE2"/>
    <w:rsid w:val="006C4CD6"/>
    <w:rsid w:val="006C5233"/>
    <w:rsid w:val="006C6445"/>
    <w:rsid w:val="006C74D3"/>
    <w:rsid w:val="006D0670"/>
    <w:rsid w:val="006D0AF7"/>
    <w:rsid w:val="006D14ED"/>
    <w:rsid w:val="006D1616"/>
    <w:rsid w:val="006D1814"/>
    <w:rsid w:val="006D35C0"/>
    <w:rsid w:val="006D456C"/>
    <w:rsid w:val="006D530A"/>
    <w:rsid w:val="006D79DC"/>
    <w:rsid w:val="006E0B0A"/>
    <w:rsid w:val="006E0C06"/>
    <w:rsid w:val="006E30C9"/>
    <w:rsid w:val="006E3467"/>
    <w:rsid w:val="006E4A9F"/>
    <w:rsid w:val="006E4FBF"/>
    <w:rsid w:val="006E5B55"/>
    <w:rsid w:val="006E5DBD"/>
    <w:rsid w:val="006E6153"/>
    <w:rsid w:val="006E7978"/>
    <w:rsid w:val="006E7EAF"/>
    <w:rsid w:val="006F00AA"/>
    <w:rsid w:val="006F0530"/>
    <w:rsid w:val="006F273C"/>
    <w:rsid w:val="006F52E5"/>
    <w:rsid w:val="006F6170"/>
    <w:rsid w:val="006F623E"/>
    <w:rsid w:val="006F65A2"/>
    <w:rsid w:val="006F69FD"/>
    <w:rsid w:val="006F6F65"/>
    <w:rsid w:val="006F7E28"/>
    <w:rsid w:val="00700C91"/>
    <w:rsid w:val="007020EE"/>
    <w:rsid w:val="00702D3E"/>
    <w:rsid w:val="0070304A"/>
    <w:rsid w:val="0070314F"/>
    <w:rsid w:val="0070384D"/>
    <w:rsid w:val="007045DB"/>
    <w:rsid w:val="007048C0"/>
    <w:rsid w:val="00704BBE"/>
    <w:rsid w:val="00706020"/>
    <w:rsid w:val="0070619B"/>
    <w:rsid w:val="0070686F"/>
    <w:rsid w:val="007069E9"/>
    <w:rsid w:val="00707615"/>
    <w:rsid w:val="00710125"/>
    <w:rsid w:val="0071071F"/>
    <w:rsid w:val="00712DFB"/>
    <w:rsid w:val="00712F7D"/>
    <w:rsid w:val="00713B2B"/>
    <w:rsid w:val="00713C93"/>
    <w:rsid w:val="00713DC8"/>
    <w:rsid w:val="0071401E"/>
    <w:rsid w:val="00714665"/>
    <w:rsid w:val="007149CE"/>
    <w:rsid w:val="007160BB"/>
    <w:rsid w:val="00716750"/>
    <w:rsid w:val="007167AE"/>
    <w:rsid w:val="00716F49"/>
    <w:rsid w:val="00721BC3"/>
    <w:rsid w:val="007220BB"/>
    <w:rsid w:val="0072253B"/>
    <w:rsid w:val="007242C6"/>
    <w:rsid w:val="00724418"/>
    <w:rsid w:val="007259E3"/>
    <w:rsid w:val="00726869"/>
    <w:rsid w:val="007279EF"/>
    <w:rsid w:val="00730354"/>
    <w:rsid w:val="00732A86"/>
    <w:rsid w:val="00733F75"/>
    <w:rsid w:val="00734184"/>
    <w:rsid w:val="00735996"/>
    <w:rsid w:val="00737D79"/>
    <w:rsid w:val="007404FF"/>
    <w:rsid w:val="00740ADB"/>
    <w:rsid w:val="00740CC4"/>
    <w:rsid w:val="00740E69"/>
    <w:rsid w:val="007413A5"/>
    <w:rsid w:val="00742F9B"/>
    <w:rsid w:val="007438E1"/>
    <w:rsid w:val="007439FB"/>
    <w:rsid w:val="00744106"/>
    <w:rsid w:val="00744442"/>
    <w:rsid w:val="0074540C"/>
    <w:rsid w:val="00745865"/>
    <w:rsid w:val="00745C3D"/>
    <w:rsid w:val="00747580"/>
    <w:rsid w:val="007506F5"/>
    <w:rsid w:val="00750C74"/>
    <w:rsid w:val="00750CFA"/>
    <w:rsid w:val="00754300"/>
    <w:rsid w:val="0075628B"/>
    <w:rsid w:val="00756737"/>
    <w:rsid w:val="00756961"/>
    <w:rsid w:val="007572F2"/>
    <w:rsid w:val="007573F3"/>
    <w:rsid w:val="00760F83"/>
    <w:rsid w:val="00761990"/>
    <w:rsid w:val="00761AF9"/>
    <w:rsid w:val="00761B1A"/>
    <w:rsid w:val="007623EC"/>
    <w:rsid w:val="00763A8C"/>
    <w:rsid w:val="00763D24"/>
    <w:rsid w:val="007644AE"/>
    <w:rsid w:val="0076519A"/>
    <w:rsid w:val="007653DD"/>
    <w:rsid w:val="00765872"/>
    <w:rsid w:val="00765E7B"/>
    <w:rsid w:val="00766147"/>
    <w:rsid w:val="00766F98"/>
    <w:rsid w:val="00770255"/>
    <w:rsid w:val="00770697"/>
    <w:rsid w:val="00770D6A"/>
    <w:rsid w:val="00771C37"/>
    <w:rsid w:val="00772C7F"/>
    <w:rsid w:val="00773122"/>
    <w:rsid w:val="0077399B"/>
    <w:rsid w:val="00773BA9"/>
    <w:rsid w:val="007741C6"/>
    <w:rsid w:val="007757CA"/>
    <w:rsid w:val="007758E5"/>
    <w:rsid w:val="00775978"/>
    <w:rsid w:val="0077685D"/>
    <w:rsid w:val="0077688A"/>
    <w:rsid w:val="00777402"/>
    <w:rsid w:val="00781F46"/>
    <w:rsid w:val="00781FCB"/>
    <w:rsid w:val="00783167"/>
    <w:rsid w:val="007839F2"/>
    <w:rsid w:val="00784085"/>
    <w:rsid w:val="0078608D"/>
    <w:rsid w:val="00786B05"/>
    <w:rsid w:val="0078742B"/>
    <w:rsid w:val="00787DEB"/>
    <w:rsid w:val="0079132A"/>
    <w:rsid w:val="0079224A"/>
    <w:rsid w:val="00792F60"/>
    <w:rsid w:val="00793531"/>
    <w:rsid w:val="0079357A"/>
    <w:rsid w:val="00793E41"/>
    <w:rsid w:val="0079419E"/>
    <w:rsid w:val="007951C9"/>
    <w:rsid w:val="00795892"/>
    <w:rsid w:val="00796E64"/>
    <w:rsid w:val="00797607"/>
    <w:rsid w:val="00797978"/>
    <w:rsid w:val="00797D8B"/>
    <w:rsid w:val="007A1906"/>
    <w:rsid w:val="007A3108"/>
    <w:rsid w:val="007A3C28"/>
    <w:rsid w:val="007A40C5"/>
    <w:rsid w:val="007A5CD3"/>
    <w:rsid w:val="007A711C"/>
    <w:rsid w:val="007A7BC4"/>
    <w:rsid w:val="007B2FBA"/>
    <w:rsid w:val="007B390B"/>
    <w:rsid w:val="007B3EBD"/>
    <w:rsid w:val="007B51BE"/>
    <w:rsid w:val="007B62EB"/>
    <w:rsid w:val="007B772F"/>
    <w:rsid w:val="007B7D0E"/>
    <w:rsid w:val="007C06A9"/>
    <w:rsid w:val="007C14F2"/>
    <w:rsid w:val="007C16E2"/>
    <w:rsid w:val="007C42E5"/>
    <w:rsid w:val="007C4BB1"/>
    <w:rsid w:val="007C5447"/>
    <w:rsid w:val="007C588A"/>
    <w:rsid w:val="007C5989"/>
    <w:rsid w:val="007C661D"/>
    <w:rsid w:val="007C6B22"/>
    <w:rsid w:val="007C778C"/>
    <w:rsid w:val="007D0032"/>
    <w:rsid w:val="007D1A0B"/>
    <w:rsid w:val="007D1F6A"/>
    <w:rsid w:val="007D23D0"/>
    <w:rsid w:val="007D26F3"/>
    <w:rsid w:val="007D2EA4"/>
    <w:rsid w:val="007D4A54"/>
    <w:rsid w:val="007D56C5"/>
    <w:rsid w:val="007D595A"/>
    <w:rsid w:val="007D62E0"/>
    <w:rsid w:val="007D6527"/>
    <w:rsid w:val="007D7171"/>
    <w:rsid w:val="007D7616"/>
    <w:rsid w:val="007D76FF"/>
    <w:rsid w:val="007E0085"/>
    <w:rsid w:val="007E061F"/>
    <w:rsid w:val="007E1296"/>
    <w:rsid w:val="007E1591"/>
    <w:rsid w:val="007E1769"/>
    <w:rsid w:val="007E1E69"/>
    <w:rsid w:val="007E4214"/>
    <w:rsid w:val="007E452B"/>
    <w:rsid w:val="007E46D0"/>
    <w:rsid w:val="007E4795"/>
    <w:rsid w:val="007E543A"/>
    <w:rsid w:val="007E5D4B"/>
    <w:rsid w:val="007E6C9A"/>
    <w:rsid w:val="007E71A4"/>
    <w:rsid w:val="007E7399"/>
    <w:rsid w:val="007E7E9E"/>
    <w:rsid w:val="007F0212"/>
    <w:rsid w:val="007F0695"/>
    <w:rsid w:val="007F0F69"/>
    <w:rsid w:val="007F103A"/>
    <w:rsid w:val="007F291C"/>
    <w:rsid w:val="007F35D0"/>
    <w:rsid w:val="007F3D12"/>
    <w:rsid w:val="007F439C"/>
    <w:rsid w:val="007F4C30"/>
    <w:rsid w:val="007F64E7"/>
    <w:rsid w:val="007F7596"/>
    <w:rsid w:val="007F7FFC"/>
    <w:rsid w:val="0080151B"/>
    <w:rsid w:val="008016C5"/>
    <w:rsid w:val="00801DCD"/>
    <w:rsid w:val="0080218E"/>
    <w:rsid w:val="00802AEF"/>
    <w:rsid w:val="00802E83"/>
    <w:rsid w:val="00802F49"/>
    <w:rsid w:val="00803DF1"/>
    <w:rsid w:val="00803E6F"/>
    <w:rsid w:val="008044DF"/>
    <w:rsid w:val="00804679"/>
    <w:rsid w:val="00804E3A"/>
    <w:rsid w:val="0080516B"/>
    <w:rsid w:val="00805AEF"/>
    <w:rsid w:val="00806802"/>
    <w:rsid w:val="00806ADC"/>
    <w:rsid w:val="008071AB"/>
    <w:rsid w:val="008072DA"/>
    <w:rsid w:val="00811591"/>
    <w:rsid w:val="00812B45"/>
    <w:rsid w:val="00813C3D"/>
    <w:rsid w:val="00813D73"/>
    <w:rsid w:val="00814869"/>
    <w:rsid w:val="00816013"/>
    <w:rsid w:val="00816FEF"/>
    <w:rsid w:val="00820646"/>
    <w:rsid w:val="00821EAB"/>
    <w:rsid w:val="008221C5"/>
    <w:rsid w:val="0082225C"/>
    <w:rsid w:val="00822DC5"/>
    <w:rsid w:val="00824157"/>
    <w:rsid w:val="00824EC0"/>
    <w:rsid w:val="00825764"/>
    <w:rsid w:val="0082751B"/>
    <w:rsid w:val="00830462"/>
    <w:rsid w:val="00834325"/>
    <w:rsid w:val="00834A05"/>
    <w:rsid w:val="00834DBE"/>
    <w:rsid w:val="00834EF2"/>
    <w:rsid w:val="00835E5C"/>
    <w:rsid w:val="00842B0D"/>
    <w:rsid w:val="00842F17"/>
    <w:rsid w:val="00843500"/>
    <w:rsid w:val="00843FAD"/>
    <w:rsid w:val="00845428"/>
    <w:rsid w:val="008467F3"/>
    <w:rsid w:val="00850DB8"/>
    <w:rsid w:val="00851201"/>
    <w:rsid w:val="00852172"/>
    <w:rsid w:val="00852357"/>
    <w:rsid w:val="00852CE7"/>
    <w:rsid w:val="00853597"/>
    <w:rsid w:val="00854036"/>
    <w:rsid w:val="00854E6B"/>
    <w:rsid w:val="008551F6"/>
    <w:rsid w:val="00860F82"/>
    <w:rsid w:val="0086131F"/>
    <w:rsid w:val="00861615"/>
    <w:rsid w:val="008624CF"/>
    <w:rsid w:val="00863D45"/>
    <w:rsid w:val="0086418F"/>
    <w:rsid w:val="00864B2D"/>
    <w:rsid w:val="008675D6"/>
    <w:rsid w:val="00871657"/>
    <w:rsid w:val="0087278D"/>
    <w:rsid w:val="00872C21"/>
    <w:rsid w:val="00874048"/>
    <w:rsid w:val="00874073"/>
    <w:rsid w:val="00874352"/>
    <w:rsid w:val="00874D53"/>
    <w:rsid w:val="00874DAD"/>
    <w:rsid w:val="008754CF"/>
    <w:rsid w:val="00875859"/>
    <w:rsid w:val="00875E79"/>
    <w:rsid w:val="0087723F"/>
    <w:rsid w:val="00877F4A"/>
    <w:rsid w:val="00880952"/>
    <w:rsid w:val="00880FE2"/>
    <w:rsid w:val="008821C8"/>
    <w:rsid w:val="00882F4C"/>
    <w:rsid w:val="008836C5"/>
    <w:rsid w:val="00883DC5"/>
    <w:rsid w:val="0088419B"/>
    <w:rsid w:val="00884536"/>
    <w:rsid w:val="00885C31"/>
    <w:rsid w:val="00886029"/>
    <w:rsid w:val="00886482"/>
    <w:rsid w:val="008864E5"/>
    <w:rsid w:val="00886643"/>
    <w:rsid w:val="00887464"/>
    <w:rsid w:val="0088787A"/>
    <w:rsid w:val="00887DC1"/>
    <w:rsid w:val="0089068D"/>
    <w:rsid w:val="0089094D"/>
    <w:rsid w:val="0089182A"/>
    <w:rsid w:val="00891864"/>
    <w:rsid w:val="00891BD7"/>
    <w:rsid w:val="008926F7"/>
    <w:rsid w:val="00893220"/>
    <w:rsid w:val="00893A93"/>
    <w:rsid w:val="00893CAF"/>
    <w:rsid w:val="00893F43"/>
    <w:rsid w:val="0089427B"/>
    <w:rsid w:val="0089444F"/>
    <w:rsid w:val="00897AC2"/>
    <w:rsid w:val="008A07FB"/>
    <w:rsid w:val="008A08C1"/>
    <w:rsid w:val="008A0F7A"/>
    <w:rsid w:val="008A1594"/>
    <w:rsid w:val="008A176E"/>
    <w:rsid w:val="008A2192"/>
    <w:rsid w:val="008A253F"/>
    <w:rsid w:val="008A2885"/>
    <w:rsid w:val="008A3099"/>
    <w:rsid w:val="008A3552"/>
    <w:rsid w:val="008A3AB4"/>
    <w:rsid w:val="008A43B4"/>
    <w:rsid w:val="008A4542"/>
    <w:rsid w:val="008A4A42"/>
    <w:rsid w:val="008A630B"/>
    <w:rsid w:val="008A67D8"/>
    <w:rsid w:val="008A6985"/>
    <w:rsid w:val="008A786B"/>
    <w:rsid w:val="008B067D"/>
    <w:rsid w:val="008B0D76"/>
    <w:rsid w:val="008B3431"/>
    <w:rsid w:val="008B399C"/>
    <w:rsid w:val="008B4300"/>
    <w:rsid w:val="008B4A6B"/>
    <w:rsid w:val="008B4DB7"/>
    <w:rsid w:val="008B5206"/>
    <w:rsid w:val="008B5DE3"/>
    <w:rsid w:val="008B66DF"/>
    <w:rsid w:val="008B6BFB"/>
    <w:rsid w:val="008B6E3E"/>
    <w:rsid w:val="008C1366"/>
    <w:rsid w:val="008C14C0"/>
    <w:rsid w:val="008C1740"/>
    <w:rsid w:val="008C35CF"/>
    <w:rsid w:val="008C3F51"/>
    <w:rsid w:val="008C4FB0"/>
    <w:rsid w:val="008C5A82"/>
    <w:rsid w:val="008C63EF"/>
    <w:rsid w:val="008C76F9"/>
    <w:rsid w:val="008C7857"/>
    <w:rsid w:val="008D283F"/>
    <w:rsid w:val="008D2AA3"/>
    <w:rsid w:val="008D3674"/>
    <w:rsid w:val="008D4079"/>
    <w:rsid w:val="008D466A"/>
    <w:rsid w:val="008D4AAA"/>
    <w:rsid w:val="008D61CB"/>
    <w:rsid w:val="008E05AD"/>
    <w:rsid w:val="008E1346"/>
    <w:rsid w:val="008E2A4A"/>
    <w:rsid w:val="008E3B69"/>
    <w:rsid w:val="008E3E7A"/>
    <w:rsid w:val="008E549F"/>
    <w:rsid w:val="008E5F96"/>
    <w:rsid w:val="008E671A"/>
    <w:rsid w:val="008E7B53"/>
    <w:rsid w:val="008F185D"/>
    <w:rsid w:val="008F18AA"/>
    <w:rsid w:val="008F3210"/>
    <w:rsid w:val="008F3308"/>
    <w:rsid w:val="008F3B6C"/>
    <w:rsid w:val="008F3B95"/>
    <w:rsid w:val="008F3E99"/>
    <w:rsid w:val="008F3ED9"/>
    <w:rsid w:val="008F45DA"/>
    <w:rsid w:val="008F4B6A"/>
    <w:rsid w:val="008F6882"/>
    <w:rsid w:val="008F782F"/>
    <w:rsid w:val="0090294F"/>
    <w:rsid w:val="0090669A"/>
    <w:rsid w:val="00906B62"/>
    <w:rsid w:val="00907575"/>
    <w:rsid w:val="009076D6"/>
    <w:rsid w:val="00907C08"/>
    <w:rsid w:val="009103A3"/>
    <w:rsid w:val="0091063C"/>
    <w:rsid w:val="0091393D"/>
    <w:rsid w:val="009145B4"/>
    <w:rsid w:val="00915F0D"/>
    <w:rsid w:val="009160B7"/>
    <w:rsid w:val="00917890"/>
    <w:rsid w:val="00917CCE"/>
    <w:rsid w:val="009217EA"/>
    <w:rsid w:val="00921C32"/>
    <w:rsid w:val="009227C9"/>
    <w:rsid w:val="00922E1F"/>
    <w:rsid w:val="00923627"/>
    <w:rsid w:val="00924B77"/>
    <w:rsid w:val="0092530F"/>
    <w:rsid w:val="00925FF0"/>
    <w:rsid w:val="00926557"/>
    <w:rsid w:val="00926A69"/>
    <w:rsid w:val="00926AB0"/>
    <w:rsid w:val="009270D9"/>
    <w:rsid w:val="00930414"/>
    <w:rsid w:val="00930BE3"/>
    <w:rsid w:val="009315E6"/>
    <w:rsid w:val="009325E2"/>
    <w:rsid w:val="009332F7"/>
    <w:rsid w:val="00936911"/>
    <w:rsid w:val="00937790"/>
    <w:rsid w:val="00937DB7"/>
    <w:rsid w:val="009402A4"/>
    <w:rsid w:val="009415A8"/>
    <w:rsid w:val="00942C45"/>
    <w:rsid w:val="00942DD3"/>
    <w:rsid w:val="00943306"/>
    <w:rsid w:val="00943755"/>
    <w:rsid w:val="00943799"/>
    <w:rsid w:val="00943805"/>
    <w:rsid w:val="00944438"/>
    <w:rsid w:val="00944B4B"/>
    <w:rsid w:val="00945540"/>
    <w:rsid w:val="00946DB0"/>
    <w:rsid w:val="0094739B"/>
    <w:rsid w:val="009477A8"/>
    <w:rsid w:val="0095004B"/>
    <w:rsid w:val="00950F91"/>
    <w:rsid w:val="00951E41"/>
    <w:rsid w:val="00952795"/>
    <w:rsid w:val="009527CF"/>
    <w:rsid w:val="00952933"/>
    <w:rsid w:val="00952EE0"/>
    <w:rsid w:val="00953FCC"/>
    <w:rsid w:val="009542F9"/>
    <w:rsid w:val="009556B5"/>
    <w:rsid w:val="00955BEE"/>
    <w:rsid w:val="0095668A"/>
    <w:rsid w:val="00957443"/>
    <w:rsid w:val="00957447"/>
    <w:rsid w:val="00957843"/>
    <w:rsid w:val="00961B24"/>
    <w:rsid w:val="0096248A"/>
    <w:rsid w:val="009625BE"/>
    <w:rsid w:val="00963D92"/>
    <w:rsid w:val="00965DD7"/>
    <w:rsid w:val="009667D2"/>
    <w:rsid w:val="00966A89"/>
    <w:rsid w:val="00970095"/>
    <w:rsid w:val="00970927"/>
    <w:rsid w:val="00971045"/>
    <w:rsid w:val="0097218F"/>
    <w:rsid w:val="009721DA"/>
    <w:rsid w:val="0097258B"/>
    <w:rsid w:val="00972940"/>
    <w:rsid w:val="009729D9"/>
    <w:rsid w:val="00972B4C"/>
    <w:rsid w:val="00973477"/>
    <w:rsid w:val="00974414"/>
    <w:rsid w:val="0097460C"/>
    <w:rsid w:val="00976FAD"/>
    <w:rsid w:val="009816B3"/>
    <w:rsid w:val="00982B2F"/>
    <w:rsid w:val="00983315"/>
    <w:rsid w:val="009836E8"/>
    <w:rsid w:val="009861F3"/>
    <w:rsid w:val="00986702"/>
    <w:rsid w:val="00987AED"/>
    <w:rsid w:val="00987C86"/>
    <w:rsid w:val="0099065E"/>
    <w:rsid w:val="009909A2"/>
    <w:rsid w:val="00991AC4"/>
    <w:rsid w:val="0099227A"/>
    <w:rsid w:val="00992D4C"/>
    <w:rsid w:val="009930DA"/>
    <w:rsid w:val="0099328C"/>
    <w:rsid w:val="009933D7"/>
    <w:rsid w:val="00993872"/>
    <w:rsid w:val="00993C3A"/>
    <w:rsid w:val="009955D3"/>
    <w:rsid w:val="00995C22"/>
    <w:rsid w:val="009961B4"/>
    <w:rsid w:val="00996597"/>
    <w:rsid w:val="00996A4D"/>
    <w:rsid w:val="009973C4"/>
    <w:rsid w:val="009A201B"/>
    <w:rsid w:val="009A2A6C"/>
    <w:rsid w:val="009A2D42"/>
    <w:rsid w:val="009A3A46"/>
    <w:rsid w:val="009A3ED3"/>
    <w:rsid w:val="009A6287"/>
    <w:rsid w:val="009A6D57"/>
    <w:rsid w:val="009A711C"/>
    <w:rsid w:val="009A737A"/>
    <w:rsid w:val="009B1CF0"/>
    <w:rsid w:val="009B25CE"/>
    <w:rsid w:val="009B3B7A"/>
    <w:rsid w:val="009B438E"/>
    <w:rsid w:val="009B4C4D"/>
    <w:rsid w:val="009B4F58"/>
    <w:rsid w:val="009B5A6B"/>
    <w:rsid w:val="009B60C4"/>
    <w:rsid w:val="009B66AC"/>
    <w:rsid w:val="009B7505"/>
    <w:rsid w:val="009B7814"/>
    <w:rsid w:val="009B7E18"/>
    <w:rsid w:val="009C0542"/>
    <w:rsid w:val="009C1B9F"/>
    <w:rsid w:val="009C1E23"/>
    <w:rsid w:val="009C2F7C"/>
    <w:rsid w:val="009C34B1"/>
    <w:rsid w:val="009C4726"/>
    <w:rsid w:val="009C54DE"/>
    <w:rsid w:val="009C57BE"/>
    <w:rsid w:val="009C6DAC"/>
    <w:rsid w:val="009D050C"/>
    <w:rsid w:val="009D154C"/>
    <w:rsid w:val="009D2C98"/>
    <w:rsid w:val="009D3023"/>
    <w:rsid w:val="009D33CA"/>
    <w:rsid w:val="009D34E9"/>
    <w:rsid w:val="009D4477"/>
    <w:rsid w:val="009D59F8"/>
    <w:rsid w:val="009D6353"/>
    <w:rsid w:val="009D653D"/>
    <w:rsid w:val="009E0093"/>
    <w:rsid w:val="009E00D5"/>
    <w:rsid w:val="009E1456"/>
    <w:rsid w:val="009E1FF1"/>
    <w:rsid w:val="009E2585"/>
    <w:rsid w:val="009E4279"/>
    <w:rsid w:val="009E527D"/>
    <w:rsid w:val="009E52AE"/>
    <w:rsid w:val="009E5F29"/>
    <w:rsid w:val="009E66E3"/>
    <w:rsid w:val="009E6F32"/>
    <w:rsid w:val="009E7324"/>
    <w:rsid w:val="009F15D2"/>
    <w:rsid w:val="009F17E0"/>
    <w:rsid w:val="009F517E"/>
    <w:rsid w:val="009F5220"/>
    <w:rsid w:val="009F659E"/>
    <w:rsid w:val="009F6DEE"/>
    <w:rsid w:val="009F7220"/>
    <w:rsid w:val="009F7DC7"/>
    <w:rsid w:val="009F7FBA"/>
    <w:rsid w:val="00A00100"/>
    <w:rsid w:val="00A008A7"/>
    <w:rsid w:val="00A01EF7"/>
    <w:rsid w:val="00A03C22"/>
    <w:rsid w:val="00A0491B"/>
    <w:rsid w:val="00A049CC"/>
    <w:rsid w:val="00A056D7"/>
    <w:rsid w:val="00A05739"/>
    <w:rsid w:val="00A05B98"/>
    <w:rsid w:val="00A063C5"/>
    <w:rsid w:val="00A06DA3"/>
    <w:rsid w:val="00A07232"/>
    <w:rsid w:val="00A073A3"/>
    <w:rsid w:val="00A078EE"/>
    <w:rsid w:val="00A07E12"/>
    <w:rsid w:val="00A10155"/>
    <w:rsid w:val="00A1117C"/>
    <w:rsid w:val="00A11298"/>
    <w:rsid w:val="00A114B0"/>
    <w:rsid w:val="00A134F4"/>
    <w:rsid w:val="00A1381C"/>
    <w:rsid w:val="00A14485"/>
    <w:rsid w:val="00A14D1E"/>
    <w:rsid w:val="00A14DF3"/>
    <w:rsid w:val="00A15273"/>
    <w:rsid w:val="00A16A57"/>
    <w:rsid w:val="00A17CBF"/>
    <w:rsid w:val="00A20C06"/>
    <w:rsid w:val="00A211B3"/>
    <w:rsid w:val="00A21AA4"/>
    <w:rsid w:val="00A23871"/>
    <w:rsid w:val="00A23891"/>
    <w:rsid w:val="00A24486"/>
    <w:rsid w:val="00A2505E"/>
    <w:rsid w:val="00A25155"/>
    <w:rsid w:val="00A26A81"/>
    <w:rsid w:val="00A26FB4"/>
    <w:rsid w:val="00A27957"/>
    <w:rsid w:val="00A302FC"/>
    <w:rsid w:val="00A30FAB"/>
    <w:rsid w:val="00A32A16"/>
    <w:rsid w:val="00A33459"/>
    <w:rsid w:val="00A3452B"/>
    <w:rsid w:val="00A3461D"/>
    <w:rsid w:val="00A34FD3"/>
    <w:rsid w:val="00A36835"/>
    <w:rsid w:val="00A3784B"/>
    <w:rsid w:val="00A37A85"/>
    <w:rsid w:val="00A37F23"/>
    <w:rsid w:val="00A400AE"/>
    <w:rsid w:val="00A402E3"/>
    <w:rsid w:val="00A40B91"/>
    <w:rsid w:val="00A40D19"/>
    <w:rsid w:val="00A40FAA"/>
    <w:rsid w:val="00A41305"/>
    <w:rsid w:val="00A4190B"/>
    <w:rsid w:val="00A42EE7"/>
    <w:rsid w:val="00A4382E"/>
    <w:rsid w:val="00A44953"/>
    <w:rsid w:val="00A4496C"/>
    <w:rsid w:val="00A45302"/>
    <w:rsid w:val="00A46369"/>
    <w:rsid w:val="00A46424"/>
    <w:rsid w:val="00A470B2"/>
    <w:rsid w:val="00A504FF"/>
    <w:rsid w:val="00A51115"/>
    <w:rsid w:val="00A52534"/>
    <w:rsid w:val="00A52629"/>
    <w:rsid w:val="00A530F1"/>
    <w:rsid w:val="00A5361F"/>
    <w:rsid w:val="00A53A11"/>
    <w:rsid w:val="00A549D0"/>
    <w:rsid w:val="00A55729"/>
    <w:rsid w:val="00A557F7"/>
    <w:rsid w:val="00A55A77"/>
    <w:rsid w:val="00A55D9F"/>
    <w:rsid w:val="00A55FA8"/>
    <w:rsid w:val="00A56BDA"/>
    <w:rsid w:val="00A56C09"/>
    <w:rsid w:val="00A57A95"/>
    <w:rsid w:val="00A57E9E"/>
    <w:rsid w:val="00A57F0D"/>
    <w:rsid w:val="00A60EB4"/>
    <w:rsid w:val="00A61489"/>
    <w:rsid w:val="00A638DA"/>
    <w:rsid w:val="00A646EE"/>
    <w:rsid w:val="00A64AAF"/>
    <w:rsid w:val="00A64C6A"/>
    <w:rsid w:val="00A66A94"/>
    <w:rsid w:val="00A66C0F"/>
    <w:rsid w:val="00A67DD9"/>
    <w:rsid w:val="00A723C7"/>
    <w:rsid w:val="00A73233"/>
    <w:rsid w:val="00A741B9"/>
    <w:rsid w:val="00A74745"/>
    <w:rsid w:val="00A75074"/>
    <w:rsid w:val="00A75416"/>
    <w:rsid w:val="00A75DB0"/>
    <w:rsid w:val="00A774C2"/>
    <w:rsid w:val="00A77531"/>
    <w:rsid w:val="00A77F9C"/>
    <w:rsid w:val="00A8040C"/>
    <w:rsid w:val="00A8099A"/>
    <w:rsid w:val="00A80DE3"/>
    <w:rsid w:val="00A81307"/>
    <w:rsid w:val="00A8138D"/>
    <w:rsid w:val="00A8167D"/>
    <w:rsid w:val="00A82294"/>
    <w:rsid w:val="00A83529"/>
    <w:rsid w:val="00A83655"/>
    <w:rsid w:val="00A83A83"/>
    <w:rsid w:val="00A83B24"/>
    <w:rsid w:val="00A846EB"/>
    <w:rsid w:val="00A85177"/>
    <w:rsid w:val="00A860A0"/>
    <w:rsid w:val="00A8646A"/>
    <w:rsid w:val="00A87767"/>
    <w:rsid w:val="00A87A17"/>
    <w:rsid w:val="00A87B37"/>
    <w:rsid w:val="00A90032"/>
    <w:rsid w:val="00A91A09"/>
    <w:rsid w:val="00A92860"/>
    <w:rsid w:val="00A9366D"/>
    <w:rsid w:val="00A945FA"/>
    <w:rsid w:val="00A95A82"/>
    <w:rsid w:val="00A95DFE"/>
    <w:rsid w:val="00A95ED0"/>
    <w:rsid w:val="00AA00E6"/>
    <w:rsid w:val="00AA016C"/>
    <w:rsid w:val="00AA0A7A"/>
    <w:rsid w:val="00AA0D57"/>
    <w:rsid w:val="00AA2F8F"/>
    <w:rsid w:val="00AA30E8"/>
    <w:rsid w:val="00AA4180"/>
    <w:rsid w:val="00AA4A95"/>
    <w:rsid w:val="00AA4A9A"/>
    <w:rsid w:val="00AA57E4"/>
    <w:rsid w:val="00AA5971"/>
    <w:rsid w:val="00AB06F8"/>
    <w:rsid w:val="00AB0DFA"/>
    <w:rsid w:val="00AB109B"/>
    <w:rsid w:val="00AB12D4"/>
    <w:rsid w:val="00AB137A"/>
    <w:rsid w:val="00AB15C5"/>
    <w:rsid w:val="00AB3FC7"/>
    <w:rsid w:val="00AB4FFC"/>
    <w:rsid w:val="00AB5A3B"/>
    <w:rsid w:val="00AB634C"/>
    <w:rsid w:val="00AB6C08"/>
    <w:rsid w:val="00AB7B40"/>
    <w:rsid w:val="00AB7F82"/>
    <w:rsid w:val="00AC091D"/>
    <w:rsid w:val="00AC127E"/>
    <w:rsid w:val="00AC29D2"/>
    <w:rsid w:val="00AC353D"/>
    <w:rsid w:val="00AC39C3"/>
    <w:rsid w:val="00AC4532"/>
    <w:rsid w:val="00AC5341"/>
    <w:rsid w:val="00AC586E"/>
    <w:rsid w:val="00AC5BA3"/>
    <w:rsid w:val="00AC6294"/>
    <w:rsid w:val="00AC6469"/>
    <w:rsid w:val="00AD0132"/>
    <w:rsid w:val="00AD09C3"/>
    <w:rsid w:val="00AD175B"/>
    <w:rsid w:val="00AD1F9A"/>
    <w:rsid w:val="00AD22A8"/>
    <w:rsid w:val="00AD320D"/>
    <w:rsid w:val="00AD4522"/>
    <w:rsid w:val="00AD53A9"/>
    <w:rsid w:val="00AD5DBC"/>
    <w:rsid w:val="00AD77FC"/>
    <w:rsid w:val="00AE0A9B"/>
    <w:rsid w:val="00AE1754"/>
    <w:rsid w:val="00AE1A3A"/>
    <w:rsid w:val="00AE28E0"/>
    <w:rsid w:val="00AE2C84"/>
    <w:rsid w:val="00AE3335"/>
    <w:rsid w:val="00AE3A4B"/>
    <w:rsid w:val="00AE42AC"/>
    <w:rsid w:val="00AE4759"/>
    <w:rsid w:val="00AE6075"/>
    <w:rsid w:val="00AE7F01"/>
    <w:rsid w:val="00AF07DB"/>
    <w:rsid w:val="00AF0961"/>
    <w:rsid w:val="00AF09F4"/>
    <w:rsid w:val="00AF16C3"/>
    <w:rsid w:val="00AF1A03"/>
    <w:rsid w:val="00AF2122"/>
    <w:rsid w:val="00AF37D3"/>
    <w:rsid w:val="00AF4222"/>
    <w:rsid w:val="00AF6BAA"/>
    <w:rsid w:val="00AF6D6F"/>
    <w:rsid w:val="00AF7424"/>
    <w:rsid w:val="00AF7A64"/>
    <w:rsid w:val="00AF7AF8"/>
    <w:rsid w:val="00B0093A"/>
    <w:rsid w:val="00B01671"/>
    <w:rsid w:val="00B01D6F"/>
    <w:rsid w:val="00B029A7"/>
    <w:rsid w:val="00B030D9"/>
    <w:rsid w:val="00B03B57"/>
    <w:rsid w:val="00B04C0A"/>
    <w:rsid w:val="00B05D48"/>
    <w:rsid w:val="00B06196"/>
    <w:rsid w:val="00B07194"/>
    <w:rsid w:val="00B07215"/>
    <w:rsid w:val="00B0757A"/>
    <w:rsid w:val="00B07742"/>
    <w:rsid w:val="00B102EF"/>
    <w:rsid w:val="00B104B9"/>
    <w:rsid w:val="00B11D08"/>
    <w:rsid w:val="00B1287C"/>
    <w:rsid w:val="00B13498"/>
    <w:rsid w:val="00B13DE2"/>
    <w:rsid w:val="00B144B1"/>
    <w:rsid w:val="00B154EA"/>
    <w:rsid w:val="00B161F3"/>
    <w:rsid w:val="00B17876"/>
    <w:rsid w:val="00B17A4A"/>
    <w:rsid w:val="00B20185"/>
    <w:rsid w:val="00B2207C"/>
    <w:rsid w:val="00B227FA"/>
    <w:rsid w:val="00B24EBF"/>
    <w:rsid w:val="00B250FB"/>
    <w:rsid w:val="00B2564D"/>
    <w:rsid w:val="00B25BC6"/>
    <w:rsid w:val="00B303EA"/>
    <w:rsid w:val="00B3041E"/>
    <w:rsid w:val="00B30729"/>
    <w:rsid w:val="00B309AB"/>
    <w:rsid w:val="00B31DB1"/>
    <w:rsid w:val="00B3271E"/>
    <w:rsid w:val="00B3284C"/>
    <w:rsid w:val="00B33E11"/>
    <w:rsid w:val="00B33F6F"/>
    <w:rsid w:val="00B35172"/>
    <w:rsid w:val="00B354CA"/>
    <w:rsid w:val="00B36918"/>
    <w:rsid w:val="00B36DF7"/>
    <w:rsid w:val="00B37BE4"/>
    <w:rsid w:val="00B37FB4"/>
    <w:rsid w:val="00B41195"/>
    <w:rsid w:val="00B416EC"/>
    <w:rsid w:val="00B41978"/>
    <w:rsid w:val="00B429A5"/>
    <w:rsid w:val="00B4613F"/>
    <w:rsid w:val="00B46C9E"/>
    <w:rsid w:val="00B518EC"/>
    <w:rsid w:val="00B51937"/>
    <w:rsid w:val="00B51A77"/>
    <w:rsid w:val="00B52474"/>
    <w:rsid w:val="00B53C84"/>
    <w:rsid w:val="00B53D91"/>
    <w:rsid w:val="00B54B88"/>
    <w:rsid w:val="00B54C88"/>
    <w:rsid w:val="00B6047D"/>
    <w:rsid w:val="00B627C8"/>
    <w:rsid w:val="00B629BF"/>
    <w:rsid w:val="00B63734"/>
    <w:rsid w:val="00B638C2"/>
    <w:rsid w:val="00B63998"/>
    <w:rsid w:val="00B63F18"/>
    <w:rsid w:val="00B63F74"/>
    <w:rsid w:val="00B64323"/>
    <w:rsid w:val="00B6500F"/>
    <w:rsid w:val="00B65939"/>
    <w:rsid w:val="00B66468"/>
    <w:rsid w:val="00B6717B"/>
    <w:rsid w:val="00B70089"/>
    <w:rsid w:val="00B70293"/>
    <w:rsid w:val="00B70B26"/>
    <w:rsid w:val="00B70F32"/>
    <w:rsid w:val="00B7141C"/>
    <w:rsid w:val="00B716EE"/>
    <w:rsid w:val="00B71B46"/>
    <w:rsid w:val="00B72761"/>
    <w:rsid w:val="00B72CBE"/>
    <w:rsid w:val="00B73434"/>
    <w:rsid w:val="00B74C6C"/>
    <w:rsid w:val="00B75199"/>
    <w:rsid w:val="00B75921"/>
    <w:rsid w:val="00B76677"/>
    <w:rsid w:val="00B77BCE"/>
    <w:rsid w:val="00B77E05"/>
    <w:rsid w:val="00B8000B"/>
    <w:rsid w:val="00B8289C"/>
    <w:rsid w:val="00B835AA"/>
    <w:rsid w:val="00B841CD"/>
    <w:rsid w:val="00B847AA"/>
    <w:rsid w:val="00B84C80"/>
    <w:rsid w:val="00B84EB9"/>
    <w:rsid w:val="00B8501B"/>
    <w:rsid w:val="00B851B4"/>
    <w:rsid w:val="00B851C4"/>
    <w:rsid w:val="00B86CF2"/>
    <w:rsid w:val="00B879A9"/>
    <w:rsid w:val="00B90816"/>
    <w:rsid w:val="00B918A5"/>
    <w:rsid w:val="00B92712"/>
    <w:rsid w:val="00B92C71"/>
    <w:rsid w:val="00B92DBE"/>
    <w:rsid w:val="00B93255"/>
    <w:rsid w:val="00B93D70"/>
    <w:rsid w:val="00B95914"/>
    <w:rsid w:val="00B95A94"/>
    <w:rsid w:val="00B970F5"/>
    <w:rsid w:val="00BA074B"/>
    <w:rsid w:val="00BA08D7"/>
    <w:rsid w:val="00BA1204"/>
    <w:rsid w:val="00BA2E6D"/>
    <w:rsid w:val="00BA33C1"/>
    <w:rsid w:val="00BA3594"/>
    <w:rsid w:val="00BA3963"/>
    <w:rsid w:val="00BA4459"/>
    <w:rsid w:val="00BA51BB"/>
    <w:rsid w:val="00BA7C44"/>
    <w:rsid w:val="00BA7DC4"/>
    <w:rsid w:val="00BB0F06"/>
    <w:rsid w:val="00BB14DA"/>
    <w:rsid w:val="00BB27E3"/>
    <w:rsid w:val="00BB2DBE"/>
    <w:rsid w:val="00BB3934"/>
    <w:rsid w:val="00BB3A4C"/>
    <w:rsid w:val="00BB5107"/>
    <w:rsid w:val="00BB5F4A"/>
    <w:rsid w:val="00BC006A"/>
    <w:rsid w:val="00BC10E5"/>
    <w:rsid w:val="00BC1693"/>
    <w:rsid w:val="00BC173D"/>
    <w:rsid w:val="00BC3800"/>
    <w:rsid w:val="00BC44C1"/>
    <w:rsid w:val="00BC4EED"/>
    <w:rsid w:val="00BC60CD"/>
    <w:rsid w:val="00BC6C42"/>
    <w:rsid w:val="00BD0489"/>
    <w:rsid w:val="00BD11B3"/>
    <w:rsid w:val="00BD26C1"/>
    <w:rsid w:val="00BD28E3"/>
    <w:rsid w:val="00BD2D52"/>
    <w:rsid w:val="00BD2F72"/>
    <w:rsid w:val="00BD413E"/>
    <w:rsid w:val="00BD4532"/>
    <w:rsid w:val="00BD4EA5"/>
    <w:rsid w:val="00BD5A1E"/>
    <w:rsid w:val="00BD6946"/>
    <w:rsid w:val="00BE04FF"/>
    <w:rsid w:val="00BE2A9A"/>
    <w:rsid w:val="00BE2FC2"/>
    <w:rsid w:val="00BE4C70"/>
    <w:rsid w:val="00BE5568"/>
    <w:rsid w:val="00BE58DB"/>
    <w:rsid w:val="00BE5C89"/>
    <w:rsid w:val="00BE5CA9"/>
    <w:rsid w:val="00BE5EBD"/>
    <w:rsid w:val="00BE69CE"/>
    <w:rsid w:val="00BE79AA"/>
    <w:rsid w:val="00BF13EF"/>
    <w:rsid w:val="00BF16F7"/>
    <w:rsid w:val="00BF219A"/>
    <w:rsid w:val="00BF2535"/>
    <w:rsid w:val="00BF2A27"/>
    <w:rsid w:val="00BF3603"/>
    <w:rsid w:val="00BF443F"/>
    <w:rsid w:val="00BF46BC"/>
    <w:rsid w:val="00BF562C"/>
    <w:rsid w:val="00BF60F8"/>
    <w:rsid w:val="00BF6E57"/>
    <w:rsid w:val="00C0067C"/>
    <w:rsid w:val="00C02BA0"/>
    <w:rsid w:val="00C02EC3"/>
    <w:rsid w:val="00C04D41"/>
    <w:rsid w:val="00C057DF"/>
    <w:rsid w:val="00C10313"/>
    <w:rsid w:val="00C115D7"/>
    <w:rsid w:val="00C11A07"/>
    <w:rsid w:val="00C11EDD"/>
    <w:rsid w:val="00C12B7D"/>
    <w:rsid w:val="00C12C6F"/>
    <w:rsid w:val="00C13971"/>
    <w:rsid w:val="00C13A6D"/>
    <w:rsid w:val="00C14364"/>
    <w:rsid w:val="00C14741"/>
    <w:rsid w:val="00C15445"/>
    <w:rsid w:val="00C15D07"/>
    <w:rsid w:val="00C165C9"/>
    <w:rsid w:val="00C175EA"/>
    <w:rsid w:val="00C2027D"/>
    <w:rsid w:val="00C2033F"/>
    <w:rsid w:val="00C2086B"/>
    <w:rsid w:val="00C20E16"/>
    <w:rsid w:val="00C23815"/>
    <w:rsid w:val="00C24790"/>
    <w:rsid w:val="00C2573E"/>
    <w:rsid w:val="00C25CFF"/>
    <w:rsid w:val="00C26C15"/>
    <w:rsid w:val="00C31AD2"/>
    <w:rsid w:val="00C3385F"/>
    <w:rsid w:val="00C33949"/>
    <w:rsid w:val="00C33D8A"/>
    <w:rsid w:val="00C34B61"/>
    <w:rsid w:val="00C3549F"/>
    <w:rsid w:val="00C35A69"/>
    <w:rsid w:val="00C37249"/>
    <w:rsid w:val="00C404B1"/>
    <w:rsid w:val="00C40AA3"/>
    <w:rsid w:val="00C43BE3"/>
    <w:rsid w:val="00C43C39"/>
    <w:rsid w:val="00C44BEA"/>
    <w:rsid w:val="00C45686"/>
    <w:rsid w:val="00C47575"/>
    <w:rsid w:val="00C47940"/>
    <w:rsid w:val="00C4795E"/>
    <w:rsid w:val="00C50635"/>
    <w:rsid w:val="00C50ABC"/>
    <w:rsid w:val="00C50EAB"/>
    <w:rsid w:val="00C5183E"/>
    <w:rsid w:val="00C52376"/>
    <w:rsid w:val="00C523A0"/>
    <w:rsid w:val="00C52BC5"/>
    <w:rsid w:val="00C531A3"/>
    <w:rsid w:val="00C541FB"/>
    <w:rsid w:val="00C54433"/>
    <w:rsid w:val="00C55108"/>
    <w:rsid w:val="00C55155"/>
    <w:rsid w:val="00C563C1"/>
    <w:rsid w:val="00C606A4"/>
    <w:rsid w:val="00C612E7"/>
    <w:rsid w:val="00C618B0"/>
    <w:rsid w:val="00C63066"/>
    <w:rsid w:val="00C63960"/>
    <w:rsid w:val="00C640A5"/>
    <w:rsid w:val="00C644F8"/>
    <w:rsid w:val="00C65439"/>
    <w:rsid w:val="00C6594E"/>
    <w:rsid w:val="00C65F6D"/>
    <w:rsid w:val="00C6606C"/>
    <w:rsid w:val="00C66CF3"/>
    <w:rsid w:val="00C670E5"/>
    <w:rsid w:val="00C67371"/>
    <w:rsid w:val="00C6792A"/>
    <w:rsid w:val="00C67A36"/>
    <w:rsid w:val="00C67E84"/>
    <w:rsid w:val="00C722AD"/>
    <w:rsid w:val="00C72C22"/>
    <w:rsid w:val="00C72F81"/>
    <w:rsid w:val="00C732FD"/>
    <w:rsid w:val="00C73B7D"/>
    <w:rsid w:val="00C743E7"/>
    <w:rsid w:val="00C74B5E"/>
    <w:rsid w:val="00C75092"/>
    <w:rsid w:val="00C75511"/>
    <w:rsid w:val="00C758F5"/>
    <w:rsid w:val="00C75B44"/>
    <w:rsid w:val="00C75F6F"/>
    <w:rsid w:val="00C7640D"/>
    <w:rsid w:val="00C76AB2"/>
    <w:rsid w:val="00C77D8B"/>
    <w:rsid w:val="00C81503"/>
    <w:rsid w:val="00C81522"/>
    <w:rsid w:val="00C8247F"/>
    <w:rsid w:val="00C8393D"/>
    <w:rsid w:val="00C858D1"/>
    <w:rsid w:val="00C86B5A"/>
    <w:rsid w:val="00C87A7D"/>
    <w:rsid w:val="00C87D3A"/>
    <w:rsid w:val="00C90225"/>
    <w:rsid w:val="00C9107C"/>
    <w:rsid w:val="00C915E2"/>
    <w:rsid w:val="00C920DE"/>
    <w:rsid w:val="00C9238A"/>
    <w:rsid w:val="00C936CA"/>
    <w:rsid w:val="00C938AD"/>
    <w:rsid w:val="00C938D8"/>
    <w:rsid w:val="00C952A8"/>
    <w:rsid w:val="00C95782"/>
    <w:rsid w:val="00CA0A08"/>
    <w:rsid w:val="00CA138D"/>
    <w:rsid w:val="00CA2D70"/>
    <w:rsid w:val="00CA2EBF"/>
    <w:rsid w:val="00CA3A30"/>
    <w:rsid w:val="00CA410B"/>
    <w:rsid w:val="00CA4CBF"/>
    <w:rsid w:val="00CA5AF9"/>
    <w:rsid w:val="00CA6B46"/>
    <w:rsid w:val="00CA6FA1"/>
    <w:rsid w:val="00CB110A"/>
    <w:rsid w:val="00CB1DA2"/>
    <w:rsid w:val="00CB2A97"/>
    <w:rsid w:val="00CB2D0D"/>
    <w:rsid w:val="00CB2D88"/>
    <w:rsid w:val="00CB3242"/>
    <w:rsid w:val="00CB4A5C"/>
    <w:rsid w:val="00CB54DE"/>
    <w:rsid w:val="00CB6F31"/>
    <w:rsid w:val="00CB6FE1"/>
    <w:rsid w:val="00CC0D0E"/>
    <w:rsid w:val="00CC2619"/>
    <w:rsid w:val="00CC337E"/>
    <w:rsid w:val="00CC6863"/>
    <w:rsid w:val="00CD1DCB"/>
    <w:rsid w:val="00CD26AD"/>
    <w:rsid w:val="00CD310C"/>
    <w:rsid w:val="00CD31D3"/>
    <w:rsid w:val="00CD33FE"/>
    <w:rsid w:val="00CD38C6"/>
    <w:rsid w:val="00CD3E82"/>
    <w:rsid w:val="00CD433F"/>
    <w:rsid w:val="00CD76DC"/>
    <w:rsid w:val="00CE00D8"/>
    <w:rsid w:val="00CE0127"/>
    <w:rsid w:val="00CE0D85"/>
    <w:rsid w:val="00CE2088"/>
    <w:rsid w:val="00CE20E2"/>
    <w:rsid w:val="00CE4324"/>
    <w:rsid w:val="00CE5495"/>
    <w:rsid w:val="00CE58A1"/>
    <w:rsid w:val="00CE5B17"/>
    <w:rsid w:val="00CE6D34"/>
    <w:rsid w:val="00CE7039"/>
    <w:rsid w:val="00CE7663"/>
    <w:rsid w:val="00CE79C2"/>
    <w:rsid w:val="00CF04B8"/>
    <w:rsid w:val="00CF0E7C"/>
    <w:rsid w:val="00CF1A58"/>
    <w:rsid w:val="00CF288A"/>
    <w:rsid w:val="00CF31E1"/>
    <w:rsid w:val="00CF3384"/>
    <w:rsid w:val="00CF37A1"/>
    <w:rsid w:val="00CF3AB8"/>
    <w:rsid w:val="00CF44AC"/>
    <w:rsid w:val="00CF53EB"/>
    <w:rsid w:val="00CF5900"/>
    <w:rsid w:val="00CF65E9"/>
    <w:rsid w:val="00CF66D3"/>
    <w:rsid w:val="00CF6C8C"/>
    <w:rsid w:val="00D0009F"/>
    <w:rsid w:val="00D00529"/>
    <w:rsid w:val="00D0059F"/>
    <w:rsid w:val="00D0148B"/>
    <w:rsid w:val="00D014CF"/>
    <w:rsid w:val="00D03808"/>
    <w:rsid w:val="00D03D9F"/>
    <w:rsid w:val="00D0466B"/>
    <w:rsid w:val="00D04841"/>
    <w:rsid w:val="00D06C94"/>
    <w:rsid w:val="00D06CE2"/>
    <w:rsid w:val="00D110E0"/>
    <w:rsid w:val="00D12CE1"/>
    <w:rsid w:val="00D12F1B"/>
    <w:rsid w:val="00D13743"/>
    <w:rsid w:val="00D16115"/>
    <w:rsid w:val="00D2028F"/>
    <w:rsid w:val="00D227B6"/>
    <w:rsid w:val="00D22DAE"/>
    <w:rsid w:val="00D22DE2"/>
    <w:rsid w:val="00D23056"/>
    <w:rsid w:val="00D237DE"/>
    <w:rsid w:val="00D2400A"/>
    <w:rsid w:val="00D25B08"/>
    <w:rsid w:val="00D26E91"/>
    <w:rsid w:val="00D27EB5"/>
    <w:rsid w:val="00D311DD"/>
    <w:rsid w:val="00D31FE6"/>
    <w:rsid w:val="00D3252E"/>
    <w:rsid w:val="00D33507"/>
    <w:rsid w:val="00D33693"/>
    <w:rsid w:val="00D3392C"/>
    <w:rsid w:val="00D33ABE"/>
    <w:rsid w:val="00D33D90"/>
    <w:rsid w:val="00D34223"/>
    <w:rsid w:val="00D3702C"/>
    <w:rsid w:val="00D3717F"/>
    <w:rsid w:val="00D3767F"/>
    <w:rsid w:val="00D40AA9"/>
    <w:rsid w:val="00D40D3A"/>
    <w:rsid w:val="00D40DB7"/>
    <w:rsid w:val="00D41A00"/>
    <w:rsid w:val="00D424E9"/>
    <w:rsid w:val="00D43389"/>
    <w:rsid w:val="00D43670"/>
    <w:rsid w:val="00D43CA7"/>
    <w:rsid w:val="00D4456E"/>
    <w:rsid w:val="00D45227"/>
    <w:rsid w:val="00D455B9"/>
    <w:rsid w:val="00D46A34"/>
    <w:rsid w:val="00D5017B"/>
    <w:rsid w:val="00D50336"/>
    <w:rsid w:val="00D51CF2"/>
    <w:rsid w:val="00D51E4C"/>
    <w:rsid w:val="00D554FF"/>
    <w:rsid w:val="00D559E8"/>
    <w:rsid w:val="00D56432"/>
    <w:rsid w:val="00D566D3"/>
    <w:rsid w:val="00D56D67"/>
    <w:rsid w:val="00D65045"/>
    <w:rsid w:val="00D6549E"/>
    <w:rsid w:val="00D655E1"/>
    <w:rsid w:val="00D66C4C"/>
    <w:rsid w:val="00D67C73"/>
    <w:rsid w:val="00D70F9C"/>
    <w:rsid w:val="00D715AB"/>
    <w:rsid w:val="00D717E4"/>
    <w:rsid w:val="00D7224D"/>
    <w:rsid w:val="00D722AB"/>
    <w:rsid w:val="00D72E09"/>
    <w:rsid w:val="00D74361"/>
    <w:rsid w:val="00D74524"/>
    <w:rsid w:val="00D74710"/>
    <w:rsid w:val="00D74799"/>
    <w:rsid w:val="00D7497F"/>
    <w:rsid w:val="00D74E3D"/>
    <w:rsid w:val="00D74E89"/>
    <w:rsid w:val="00D75085"/>
    <w:rsid w:val="00D769C5"/>
    <w:rsid w:val="00D77F3E"/>
    <w:rsid w:val="00D77F57"/>
    <w:rsid w:val="00D80219"/>
    <w:rsid w:val="00D80D39"/>
    <w:rsid w:val="00D81CDC"/>
    <w:rsid w:val="00D8364C"/>
    <w:rsid w:val="00D83AF6"/>
    <w:rsid w:val="00D864B6"/>
    <w:rsid w:val="00D86AD9"/>
    <w:rsid w:val="00D87BA9"/>
    <w:rsid w:val="00D91E86"/>
    <w:rsid w:val="00D91F6A"/>
    <w:rsid w:val="00D923A5"/>
    <w:rsid w:val="00D930AC"/>
    <w:rsid w:val="00D94208"/>
    <w:rsid w:val="00D94BA7"/>
    <w:rsid w:val="00D95362"/>
    <w:rsid w:val="00D954AF"/>
    <w:rsid w:val="00D95C10"/>
    <w:rsid w:val="00D965C0"/>
    <w:rsid w:val="00D97A5B"/>
    <w:rsid w:val="00DA02C7"/>
    <w:rsid w:val="00DA10C7"/>
    <w:rsid w:val="00DA1283"/>
    <w:rsid w:val="00DA23B3"/>
    <w:rsid w:val="00DA2AA7"/>
    <w:rsid w:val="00DA2C16"/>
    <w:rsid w:val="00DA4037"/>
    <w:rsid w:val="00DA49CF"/>
    <w:rsid w:val="00DA7A25"/>
    <w:rsid w:val="00DA7F3B"/>
    <w:rsid w:val="00DB0833"/>
    <w:rsid w:val="00DB3A16"/>
    <w:rsid w:val="00DB410A"/>
    <w:rsid w:val="00DB5054"/>
    <w:rsid w:val="00DB5893"/>
    <w:rsid w:val="00DB5A71"/>
    <w:rsid w:val="00DB7579"/>
    <w:rsid w:val="00DB7755"/>
    <w:rsid w:val="00DC00E0"/>
    <w:rsid w:val="00DC072E"/>
    <w:rsid w:val="00DC0B88"/>
    <w:rsid w:val="00DC15FC"/>
    <w:rsid w:val="00DC1695"/>
    <w:rsid w:val="00DC21E3"/>
    <w:rsid w:val="00DC228F"/>
    <w:rsid w:val="00DC2482"/>
    <w:rsid w:val="00DC24E2"/>
    <w:rsid w:val="00DC3CEA"/>
    <w:rsid w:val="00DC479E"/>
    <w:rsid w:val="00DC56AA"/>
    <w:rsid w:val="00DC5A0E"/>
    <w:rsid w:val="00DC75C5"/>
    <w:rsid w:val="00DD09E3"/>
    <w:rsid w:val="00DD1B85"/>
    <w:rsid w:val="00DD2880"/>
    <w:rsid w:val="00DD423C"/>
    <w:rsid w:val="00DD523B"/>
    <w:rsid w:val="00DD5423"/>
    <w:rsid w:val="00DD5F52"/>
    <w:rsid w:val="00DD63E7"/>
    <w:rsid w:val="00DD6F11"/>
    <w:rsid w:val="00DD7786"/>
    <w:rsid w:val="00DE05DF"/>
    <w:rsid w:val="00DE06C1"/>
    <w:rsid w:val="00DE131C"/>
    <w:rsid w:val="00DE252B"/>
    <w:rsid w:val="00DE2D7F"/>
    <w:rsid w:val="00DE33F6"/>
    <w:rsid w:val="00DE520D"/>
    <w:rsid w:val="00DE5649"/>
    <w:rsid w:val="00DE6510"/>
    <w:rsid w:val="00DE6886"/>
    <w:rsid w:val="00DE6A27"/>
    <w:rsid w:val="00DF00FA"/>
    <w:rsid w:val="00DF059D"/>
    <w:rsid w:val="00DF2349"/>
    <w:rsid w:val="00DF279A"/>
    <w:rsid w:val="00DF327A"/>
    <w:rsid w:val="00DF352C"/>
    <w:rsid w:val="00DF35AF"/>
    <w:rsid w:val="00DF48CC"/>
    <w:rsid w:val="00DF4F38"/>
    <w:rsid w:val="00DF6BC1"/>
    <w:rsid w:val="00DF6D5B"/>
    <w:rsid w:val="00DF72DA"/>
    <w:rsid w:val="00E00C33"/>
    <w:rsid w:val="00E00E8C"/>
    <w:rsid w:val="00E0258D"/>
    <w:rsid w:val="00E0264C"/>
    <w:rsid w:val="00E02BD1"/>
    <w:rsid w:val="00E02D94"/>
    <w:rsid w:val="00E02F0C"/>
    <w:rsid w:val="00E0322F"/>
    <w:rsid w:val="00E047AD"/>
    <w:rsid w:val="00E04C7E"/>
    <w:rsid w:val="00E0580B"/>
    <w:rsid w:val="00E0727A"/>
    <w:rsid w:val="00E0738D"/>
    <w:rsid w:val="00E10DA4"/>
    <w:rsid w:val="00E11D50"/>
    <w:rsid w:val="00E129C7"/>
    <w:rsid w:val="00E12AE6"/>
    <w:rsid w:val="00E12B4F"/>
    <w:rsid w:val="00E1341A"/>
    <w:rsid w:val="00E137AF"/>
    <w:rsid w:val="00E15040"/>
    <w:rsid w:val="00E16C82"/>
    <w:rsid w:val="00E17323"/>
    <w:rsid w:val="00E17418"/>
    <w:rsid w:val="00E17A52"/>
    <w:rsid w:val="00E17A93"/>
    <w:rsid w:val="00E17E98"/>
    <w:rsid w:val="00E202B1"/>
    <w:rsid w:val="00E20C87"/>
    <w:rsid w:val="00E224CD"/>
    <w:rsid w:val="00E22E3F"/>
    <w:rsid w:val="00E24338"/>
    <w:rsid w:val="00E2464E"/>
    <w:rsid w:val="00E246CB"/>
    <w:rsid w:val="00E26755"/>
    <w:rsid w:val="00E2680A"/>
    <w:rsid w:val="00E2772D"/>
    <w:rsid w:val="00E30508"/>
    <w:rsid w:val="00E31ECF"/>
    <w:rsid w:val="00E3251B"/>
    <w:rsid w:val="00E32529"/>
    <w:rsid w:val="00E32890"/>
    <w:rsid w:val="00E33353"/>
    <w:rsid w:val="00E33E25"/>
    <w:rsid w:val="00E34587"/>
    <w:rsid w:val="00E34D5F"/>
    <w:rsid w:val="00E35666"/>
    <w:rsid w:val="00E358E1"/>
    <w:rsid w:val="00E36542"/>
    <w:rsid w:val="00E366EA"/>
    <w:rsid w:val="00E36C95"/>
    <w:rsid w:val="00E37005"/>
    <w:rsid w:val="00E37628"/>
    <w:rsid w:val="00E37E29"/>
    <w:rsid w:val="00E4044B"/>
    <w:rsid w:val="00E405CC"/>
    <w:rsid w:val="00E4140D"/>
    <w:rsid w:val="00E41DCD"/>
    <w:rsid w:val="00E4271D"/>
    <w:rsid w:val="00E42B50"/>
    <w:rsid w:val="00E42EFB"/>
    <w:rsid w:val="00E4322A"/>
    <w:rsid w:val="00E4669A"/>
    <w:rsid w:val="00E468EB"/>
    <w:rsid w:val="00E47466"/>
    <w:rsid w:val="00E477F9"/>
    <w:rsid w:val="00E47828"/>
    <w:rsid w:val="00E47A82"/>
    <w:rsid w:val="00E50A05"/>
    <w:rsid w:val="00E51B98"/>
    <w:rsid w:val="00E52C91"/>
    <w:rsid w:val="00E5303A"/>
    <w:rsid w:val="00E53828"/>
    <w:rsid w:val="00E5455A"/>
    <w:rsid w:val="00E5460F"/>
    <w:rsid w:val="00E54777"/>
    <w:rsid w:val="00E54EA4"/>
    <w:rsid w:val="00E556E2"/>
    <w:rsid w:val="00E56F6A"/>
    <w:rsid w:val="00E57A63"/>
    <w:rsid w:val="00E60D1D"/>
    <w:rsid w:val="00E61C96"/>
    <w:rsid w:val="00E62499"/>
    <w:rsid w:val="00E62E9E"/>
    <w:rsid w:val="00E6342B"/>
    <w:rsid w:val="00E6359B"/>
    <w:rsid w:val="00E64A1B"/>
    <w:rsid w:val="00E650C2"/>
    <w:rsid w:val="00E65C87"/>
    <w:rsid w:val="00E66554"/>
    <w:rsid w:val="00E6679C"/>
    <w:rsid w:val="00E728A8"/>
    <w:rsid w:val="00E729CD"/>
    <w:rsid w:val="00E736C9"/>
    <w:rsid w:val="00E7386D"/>
    <w:rsid w:val="00E73DD9"/>
    <w:rsid w:val="00E74616"/>
    <w:rsid w:val="00E764DD"/>
    <w:rsid w:val="00E768A9"/>
    <w:rsid w:val="00E80BFC"/>
    <w:rsid w:val="00E80FBA"/>
    <w:rsid w:val="00E81275"/>
    <w:rsid w:val="00E82CF3"/>
    <w:rsid w:val="00E8374A"/>
    <w:rsid w:val="00E83F55"/>
    <w:rsid w:val="00E84787"/>
    <w:rsid w:val="00E84AD8"/>
    <w:rsid w:val="00E84F20"/>
    <w:rsid w:val="00E9094C"/>
    <w:rsid w:val="00E915E9"/>
    <w:rsid w:val="00E92300"/>
    <w:rsid w:val="00E924A0"/>
    <w:rsid w:val="00E92F9D"/>
    <w:rsid w:val="00E9389C"/>
    <w:rsid w:val="00E93F33"/>
    <w:rsid w:val="00E948F6"/>
    <w:rsid w:val="00E94C3A"/>
    <w:rsid w:val="00E95D39"/>
    <w:rsid w:val="00E96105"/>
    <w:rsid w:val="00E976CE"/>
    <w:rsid w:val="00EA01AB"/>
    <w:rsid w:val="00EA14AD"/>
    <w:rsid w:val="00EA2444"/>
    <w:rsid w:val="00EA27B8"/>
    <w:rsid w:val="00EA3478"/>
    <w:rsid w:val="00EA50D6"/>
    <w:rsid w:val="00EA56B9"/>
    <w:rsid w:val="00EA61CA"/>
    <w:rsid w:val="00EA646C"/>
    <w:rsid w:val="00EA6843"/>
    <w:rsid w:val="00EA7B0E"/>
    <w:rsid w:val="00EB02E9"/>
    <w:rsid w:val="00EB0FD7"/>
    <w:rsid w:val="00EB1F59"/>
    <w:rsid w:val="00EB1FA3"/>
    <w:rsid w:val="00EB2441"/>
    <w:rsid w:val="00EB2719"/>
    <w:rsid w:val="00EB3BC2"/>
    <w:rsid w:val="00EB470A"/>
    <w:rsid w:val="00EB4773"/>
    <w:rsid w:val="00EB48B2"/>
    <w:rsid w:val="00EB6655"/>
    <w:rsid w:val="00EB696A"/>
    <w:rsid w:val="00EC14F1"/>
    <w:rsid w:val="00EC1A18"/>
    <w:rsid w:val="00EC3448"/>
    <w:rsid w:val="00EC350C"/>
    <w:rsid w:val="00EC3EC4"/>
    <w:rsid w:val="00EC4289"/>
    <w:rsid w:val="00EC6712"/>
    <w:rsid w:val="00EC698A"/>
    <w:rsid w:val="00EC71A9"/>
    <w:rsid w:val="00ED0202"/>
    <w:rsid w:val="00ED0CA0"/>
    <w:rsid w:val="00ED17E4"/>
    <w:rsid w:val="00ED38EA"/>
    <w:rsid w:val="00ED3D21"/>
    <w:rsid w:val="00ED44CF"/>
    <w:rsid w:val="00ED5998"/>
    <w:rsid w:val="00ED5D51"/>
    <w:rsid w:val="00ED61CC"/>
    <w:rsid w:val="00ED6A25"/>
    <w:rsid w:val="00ED7E5D"/>
    <w:rsid w:val="00ED7F11"/>
    <w:rsid w:val="00EE064F"/>
    <w:rsid w:val="00EE0B3D"/>
    <w:rsid w:val="00EE0DE5"/>
    <w:rsid w:val="00EE2821"/>
    <w:rsid w:val="00EE41C4"/>
    <w:rsid w:val="00EE4B98"/>
    <w:rsid w:val="00EE6876"/>
    <w:rsid w:val="00EE6E5D"/>
    <w:rsid w:val="00EE7C14"/>
    <w:rsid w:val="00EF1A09"/>
    <w:rsid w:val="00EF28B2"/>
    <w:rsid w:val="00EF2F0D"/>
    <w:rsid w:val="00EF3632"/>
    <w:rsid w:val="00EF5511"/>
    <w:rsid w:val="00EF5E20"/>
    <w:rsid w:val="00EF7F60"/>
    <w:rsid w:val="00F001D7"/>
    <w:rsid w:val="00F00E0B"/>
    <w:rsid w:val="00F00E18"/>
    <w:rsid w:val="00F00F2B"/>
    <w:rsid w:val="00F01AA5"/>
    <w:rsid w:val="00F01D8F"/>
    <w:rsid w:val="00F02124"/>
    <w:rsid w:val="00F022B4"/>
    <w:rsid w:val="00F02663"/>
    <w:rsid w:val="00F0303B"/>
    <w:rsid w:val="00F04F2E"/>
    <w:rsid w:val="00F0505B"/>
    <w:rsid w:val="00F05C4A"/>
    <w:rsid w:val="00F0620F"/>
    <w:rsid w:val="00F06950"/>
    <w:rsid w:val="00F10223"/>
    <w:rsid w:val="00F1053D"/>
    <w:rsid w:val="00F11A02"/>
    <w:rsid w:val="00F12273"/>
    <w:rsid w:val="00F12C83"/>
    <w:rsid w:val="00F1356E"/>
    <w:rsid w:val="00F137C3"/>
    <w:rsid w:val="00F138C5"/>
    <w:rsid w:val="00F13BD6"/>
    <w:rsid w:val="00F14360"/>
    <w:rsid w:val="00F14682"/>
    <w:rsid w:val="00F147A1"/>
    <w:rsid w:val="00F15580"/>
    <w:rsid w:val="00F16DC8"/>
    <w:rsid w:val="00F16EF1"/>
    <w:rsid w:val="00F17351"/>
    <w:rsid w:val="00F21284"/>
    <w:rsid w:val="00F217F0"/>
    <w:rsid w:val="00F23F02"/>
    <w:rsid w:val="00F2671B"/>
    <w:rsid w:val="00F27C1D"/>
    <w:rsid w:val="00F30152"/>
    <w:rsid w:val="00F317AD"/>
    <w:rsid w:val="00F320EF"/>
    <w:rsid w:val="00F3261D"/>
    <w:rsid w:val="00F3277A"/>
    <w:rsid w:val="00F33BA3"/>
    <w:rsid w:val="00F34FAD"/>
    <w:rsid w:val="00F35D1A"/>
    <w:rsid w:val="00F361D0"/>
    <w:rsid w:val="00F4040E"/>
    <w:rsid w:val="00F40461"/>
    <w:rsid w:val="00F40503"/>
    <w:rsid w:val="00F40FC5"/>
    <w:rsid w:val="00F435C0"/>
    <w:rsid w:val="00F43E3D"/>
    <w:rsid w:val="00F440A6"/>
    <w:rsid w:val="00F44C90"/>
    <w:rsid w:val="00F44E02"/>
    <w:rsid w:val="00F4520A"/>
    <w:rsid w:val="00F453E7"/>
    <w:rsid w:val="00F45EAD"/>
    <w:rsid w:val="00F4642C"/>
    <w:rsid w:val="00F5063F"/>
    <w:rsid w:val="00F51652"/>
    <w:rsid w:val="00F51E1D"/>
    <w:rsid w:val="00F52D6B"/>
    <w:rsid w:val="00F53F0E"/>
    <w:rsid w:val="00F541D6"/>
    <w:rsid w:val="00F55BFC"/>
    <w:rsid w:val="00F57387"/>
    <w:rsid w:val="00F573AE"/>
    <w:rsid w:val="00F57789"/>
    <w:rsid w:val="00F6007E"/>
    <w:rsid w:val="00F60BDF"/>
    <w:rsid w:val="00F614FD"/>
    <w:rsid w:val="00F61586"/>
    <w:rsid w:val="00F61729"/>
    <w:rsid w:val="00F61873"/>
    <w:rsid w:val="00F632AD"/>
    <w:rsid w:val="00F6373F"/>
    <w:rsid w:val="00F659F8"/>
    <w:rsid w:val="00F65A4C"/>
    <w:rsid w:val="00F65A68"/>
    <w:rsid w:val="00F66949"/>
    <w:rsid w:val="00F67635"/>
    <w:rsid w:val="00F7105E"/>
    <w:rsid w:val="00F710BD"/>
    <w:rsid w:val="00F71C8D"/>
    <w:rsid w:val="00F722A1"/>
    <w:rsid w:val="00F7255E"/>
    <w:rsid w:val="00F72A57"/>
    <w:rsid w:val="00F73252"/>
    <w:rsid w:val="00F73C13"/>
    <w:rsid w:val="00F77079"/>
    <w:rsid w:val="00F77522"/>
    <w:rsid w:val="00F80C8D"/>
    <w:rsid w:val="00F81D4C"/>
    <w:rsid w:val="00F82562"/>
    <w:rsid w:val="00F82794"/>
    <w:rsid w:val="00F82D84"/>
    <w:rsid w:val="00F836AD"/>
    <w:rsid w:val="00F84E48"/>
    <w:rsid w:val="00F85133"/>
    <w:rsid w:val="00F852F0"/>
    <w:rsid w:val="00F85F30"/>
    <w:rsid w:val="00F86BBF"/>
    <w:rsid w:val="00F877F0"/>
    <w:rsid w:val="00F87952"/>
    <w:rsid w:val="00F90385"/>
    <w:rsid w:val="00F91099"/>
    <w:rsid w:val="00F91E27"/>
    <w:rsid w:val="00F92CAC"/>
    <w:rsid w:val="00F9302B"/>
    <w:rsid w:val="00F9339C"/>
    <w:rsid w:val="00F939DB"/>
    <w:rsid w:val="00F9560B"/>
    <w:rsid w:val="00F95CCA"/>
    <w:rsid w:val="00F96256"/>
    <w:rsid w:val="00F977D3"/>
    <w:rsid w:val="00F97B99"/>
    <w:rsid w:val="00F97CD8"/>
    <w:rsid w:val="00FA0781"/>
    <w:rsid w:val="00FA0B6A"/>
    <w:rsid w:val="00FA139C"/>
    <w:rsid w:val="00FA2084"/>
    <w:rsid w:val="00FA20B4"/>
    <w:rsid w:val="00FA24F0"/>
    <w:rsid w:val="00FA7627"/>
    <w:rsid w:val="00FB0106"/>
    <w:rsid w:val="00FB0D9D"/>
    <w:rsid w:val="00FB21C9"/>
    <w:rsid w:val="00FB249B"/>
    <w:rsid w:val="00FB26E6"/>
    <w:rsid w:val="00FB2A70"/>
    <w:rsid w:val="00FB3C5A"/>
    <w:rsid w:val="00FB42CD"/>
    <w:rsid w:val="00FB45AC"/>
    <w:rsid w:val="00FB4DC6"/>
    <w:rsid w:val="00FB5508"/>
    <w:rsid w:val="00FB6644"/>
    <w:rsid w:val="00FB71C4"/>
    <w:rsid w:val="00FB7436"/>
    <w:rsid w:val="00FC1012"/>
    <w:rsid w:val="00FC1497"/>
    <w:rsid w:val="00FC33A6"/>
    <w:rsid w:val="00FC3C8B"/>
    <w:rsid w:val="00FC56BE"/>
    <w:rsid w:val="00FC5D4C"/>
    <w:rsid w:val="00FC613A"/>
    <w:rsid w:val="00FC75C5"/>
    <w:rsid w:val="00FD1516"/>
    <w:rsid w:val="00FD2C13"/>
    <w:rsid w:val="00FD2D63"/>
    <w:rsid w:val="00FD339D"/>
    <w:rsid w:val="00FD37C4"/>
    <w:rsid w:val="00FD3F1D"/>
    <w:rsid w:val="00FD4A0F"/>
    <w:rsid w:val="00FD5B95"/>
    <w:rsid w:val="00FD6263"/>
    <w:rsid w:val="00FD6C62"/>
    <w:rsid w:val="00FE0539"/>
    <w:rsid w:val="00FE3352"/>
    <w:rsid w:val="00FE33B1"/>
    <w:rsid w:val="00FE3ACA"/>
    <w:rsid w:val="00FE3EF9"/>
    <w:rsid w:val="00FE536A"/>
    <w:rsid w:val="00FE60DE"/>
    <w:rsid w:val="00FE62FD"/>
    <w:rsid w:val="00FE7786"/>
    <w:rsid w:val="00FE7DEF"/>
    <w:rsid w:val="00FE7E32"/>
    <w:rsid w:val="00FF0679"/>
    <w:rsid w:val="00FF06E5"/>
    <w:rsid w:val="00FF0BCD"/>
    <w:rsid w:val="00FF1EE2"/>
    <w:rsid w:val="00FF21DE"/>
    <w:rsid w:val="00FF2CF5"/>
    <w:rsid w:val="00FF3A26"/>
    <w:rsid w:val="00FF4E17"/>
    <w:rsid w:val="00FF55DD"/>
    <w:rsid w:val="00FF5BF3"/>
    <w:rsid w:val="00FF730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4677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1"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7CE8"/>
    <w:pPr>
      <w:keepLines/>
      <w:widowControl w:val="0"/>
      <w:spacing w:after="200" w:line="288" w:lineRule="auto"/>
    </w:pPr>
    <w:rPr>
      <w:rFonts w:ascii="Arial" w:eastAsia="Calibri" w:hAnsi="Arial"/>
      <w:szCs w:val="22"/>
      <w:lang w:val="en-US"/>
    </w:rPr>
  </w:style>
  <w:style w:type="paragraph" w:styleId="Heading1">
    <w:name w:val="heading 1"/>
    <w:basedOn w:val="Normal"/>
    <w:next w:val="Normal"/>
    <w:link w:val="Heading1Char"/>
    <w:qFormat/>
    <w:rsid w:val="00221A61"/>
    <w:pPr>
      <w:keepNext/>
      <w:pageBreakBefore/>
      <w:spacing w:after="600" w:line="240" w:lineRule="auto"/>
      <w:outlineLvl w:val="0"/>
    </w:pPr>
    <w:rPr>
      <w:bCs/>
      <w:color w:val="007DA7"/>
      <w:sz w:val="48"/>
      <w:szCs w:val="28"/>
    </w:rPr>
  </w:style>
  <w:style w:type="paragraph" w:styleId="Heading2">
    <w:name w:val="heading 2"/>
    <w:basedOn w:val="Heading1"/>
    <w:next w:val="Normal"/>
    <w:link w:val="Heading2Char"/>
    <w:qFormat/>
    <w:rsid w:val="00F34FAD"/>
    <w:pPr>
      <w:numPr>
        <w:ilvl w:val="1"/>
      </w:numPr>
      <w:tabs>
        <w:tab w:val="num" w:pos="851"/>
      </w:tabs>
      <w:spacing w:before="400" w:after="400"/>
      <w:outlineLvl w:val="1"/>
    </w:pPr>
    <w:rPr>
      <w:bCs w:val="0"/>
      <w:color w:val="auto"/>
      <w:sz w:val="36"/>
      <w:szCs w:val="26"/>
    </w:rPr>
  </w:style>
  <w:style w:type="paragraph" w:styleId="Heading3">
    <w:name w:val="heading 3"/>
    <w:basedOn w:val="Heading2"/>
    <w:next w:val="Normal"/>
    <w:link w:val="Heading3Char"/>
    <w:qFormat/>
    <w:rsid w:val="00221A61"/>
    <w:pPr>
      <w:pageBreakBefore w:val="0"/>
      <w:numPr>
        <w:ilvl w:val="2"/>
      </w:numPr>
      <w:tabs>
        <w:tab w:val="num" w:pos="851"/>
        <w:tab w:val="num" w:pos="993"/>
      </w:tabs>
      <w:outlineLvl w:val="2"/>
    </w:pPr>
    <w:rPr>
      <w:bCs/>
      <w:color w:val="595959" w:themeColor="text1" w:themeTint="A6"/>
    </w:rPr>
  </w:style>
  <w:style w:type="paragraph" w:styleId="Heading4">
    <w:name w:val="heading 4"/>
    <w:basedOn w:val="Heading3"/>
    <w:next w:val="Normal"/>
    <w:link w:val="Heading4Char"/>
    <w:qFormat/>
    <w:rsid w:val="00E9389C"/>
    <w:pPr>
      <w:numPr>
        <w:ilvl w:val="3"/>
      </w:numPr>
      <w:tabs>
        <w:tab w:val="num" w:pos="851"/>
      </w:tabs>
      <w:outlineLvl w:val="3"/>
    </w:pPr>
    <w:rPr>
      <w:b/>
      <w:bCs w:val="0"/>
      <w:iCs/>
      <w:sz w:val="24"/>
    </w:rPr>
  </w:style>
  <w:style w:type="paragraph" w:styleId="Heading5">
    <w:name w:val="heading 5"/>
    <w:basedOn w:val="Normal"/>
    <w:next w:val="Normal"/>
    <w:link w:val="Heading5Char"/>
    <w:qFormat/>
    <w:locked/>
    <w:rsid w:val="00F34FAD"/>
    <w:pPr>
      <w:keepNext/>
      <w:spacing w:before="400" w:after="400" w:line="240" w:lineRule="auto"/>
      <w:outlineLvl w:val="4"/>
    </w:pPr>
    <w:rPr>
      <w:rFonts w:eastAsia="Times New Roman"/>
      <w:b/>
      <w:color w:val="007DA7"/>
      <w:szCs w:val="24"/>
      <w:lang w:val="en-AU" w:eastAsia="en-AU"/>
    </w:rPr>
  </w:style>
  <w:style w:type="paragraph" w:styleId="Heading6">
    <w:name w:val="heading 6"/>
    <w:basedOn w:val="Normal"/>
    <w:next w:val="Normal"/>
    <w:link w:val="Heading6Char"/>
    <w:qFormat/>
    <w:locked/>
    <w:rsid w:val="00F14C6D"/>
    <w:pPr>
      <w:keepNext/>
      <w:spacing w:before="200"/>
      <w:outlineLvl w:val="5"/>
    </w:pPr>
    <w:rPr>
      <w:rFonts w:ascii="Cambria" w:eastAsia="Times New Roman" w:hAnsi="Cambria"/>
      <w:i/>
      <w:iCs/>
      <w:color w:val="243F60"/>
      <w:szCs w:val="24"/>
      <w:lang w:val="en-AU" w:eastAsia="en-AU"/>
    </w:rPr>
  </w:style>
  <w:style w:type="paragraph" w:styleId="Heading7">
    <w:name w:val="heading 7"/>
    <w:basedOn w:val="Normal"/>
    <w:next w:val="Normal"/>
    <w:link w:val="Heading7Char"/>
    <w:qFormat/>
    <w:locked/>
    <w:rsid w:val="00F14C6D"/>
    <w:pPr>
      <w:keepNext/>
      <w:spacing w:before="200"/>
      <w:outlineLvl w:val="6"/>
    </w:pPr>
    <w:rPr>
      <w:rFonts w:ascii="Cambria" w:eastAsia="Times New Roman" w:hAnsi="Cambria"/>
      <w:i/>
      <w:iCs/>
      <w:color w:val="404040"/>
      <w:szCs w:val="24"/>
      <w:lang w:val="en-AU" w:eastAsia="en-AU"/>
    </w:rPr>
  </w:style>
  <w:style w:type="paragraph" w:styleId="Heading8">
    <w:name w:val="heading 8"/>
    <w:basedOn w:val="Normal"/>
    <w:next w:val="Normal"/>
    <w:link w:val="Heading8Char"/>
    <w:qFormat/>
    <w:locked/>
    <w:rsid w:val="00F14C6D"/>
    <w:pPr>
      <w:keepNext/>
      <w:spacing w:before="200"/>
      <w:outlineLvl w:val="7"/>
    </w:pPr>
    <w:rPr>
      <w:rFonts w:ascii="Cambria" w:eastAsia="Times New Roman" w:hAnsi="Cambria"/>
      <w:color w:val="404040"/>
      <w:sz w:val="20"/>
      <w:szCs w:val="20"/>
      <w:lang w:val="en-AU" w:eastAsia="en-AU"/>
    </w:rPr>
  </w:style>
  <w:style w:type="paragraph" w:styleId="Heading9">
    <w:name w:val="heading 9"/>
    <w:basedOn w:val="Normal"/>
    <w:next w:val="Normal"/>
    <w:link w:val="Heading9Char"/>
    <w:qFormat/>
    <w:locked/>
    <w:rsid w:val="00F14C6D"/>
    <w:pPr>
      <w:keepNext/>
      <w:spacing w:before="200"/>
      <w:outlineLvl w:val="8"/>
    </w:pPr>
    <w:rPr>
      <w:rFonts w:ascii="Cambria" w:eastAsia="Times New Roman" w:hAnsi="Cambria"/>
      <w:i/>
      <w:iCs/>
      <w:color w:val="404040"/>
      <w:sz w:val="20"/>
      <w:szCs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21A61"/>
    <w:rPr>
      <w:rFonts w:ascii="Arial" w:eastAsia="Calibri" w:hAnsi="Arial"/>
      <w:bCs/>
      <w:color w:val="007DA7"/>
      <w:sz w:val="48"/>
      <w:szCs w:val="28"/>
      <w:lang w:val="en-US"/>
    </w:rPr>
  </w:style>
  <w:style w:type="character" w:customStyle="1" w:styleId="Heading2Char">
    <w:name w:val="Heading 2 Char"/>
    <w:link w:val="Heading2"/>
    <w:rsid w:val="00F34FAD"/>
    <w:rPr>
      <w:rFonts w:ascii="Arial" w:eastAsia="Calibri" w:hAnsi="Arial"/>
      <w:sz w:val="36"/>
      <w:szCs w:val="26"/>
      <w:lang w:val="en-US"/>
    </w:rPr>
  </w:style>
  <w:style w:type="character" w:customStyle="1" w:styleId="Heading3Char">
    <w:name w:val="Heading 3 Char"/>
    <w:link w:val="Heading3"/>
    <w:rsid w:val="00221A61"/>
    <w:rPr>
      <w:rFonts w:ascii="Arial" w:eastAsia="Calibri" w:hAnsi="Arial"/>
      <w:bCs/>
      <w:color w:val="595959" w:themeColor="text1" w:themeTint="A6"/>
      <w:sz w:val="36"/>
      <w:szCs w:val="26"/>
      <w:lang w:val="en-US"/>
    </w:rPr>
  </w:style>
  <w:style w:type="character" w:customStyle="1" w:styleId="Heading4Char">
    <w:name w:val="Heading 4 Char"/>
    <w:link w:val="Heading4"/>
    <w:rsid w:val="00E9389C"/>
    <w:rPr>
      <w:rFonts w:ascii="Arial" w:eastAsia="Calibri" w:hAnsi="Arial"/>
      <w:b/>
      <w:iCs/>
      <w:color w:val="595959" w:themeColor="text1" w:themeTint="A6"/>
      <w:szCs w:val="26"/>
      <w:lang w:val="en-US"/>
    </w:rPr>
  </w:style>
  <w:style w:type="character" w:styleId="Strong">
    <w:name w:val="Strong"/>
    <w:qFormat/>
    <w:locked/>
    <w:rsid w:val="001325F4"/>
    <w:rPr>
      <w:rFonts w:ascii="Arial" w:hAnsi="Arial"/>
      <w:b/>
      <w:bCs/>
    </w:rPr>
  </w:style>
  <w:style w:type="character" w:customStyle="1" w:styleId="Heading5Char">
    <w:name w:val="Heading 5 Char"/>
    <w:link w:val="Heading5"/>
    <w:rsid w:val="00F34FAD"/>
    <w:rPr>
      <w:rFonts w:ascii="Arial" w:hAnsi="Arial"/>
      <w:b/>
      <w:color w:val="007DA7"/>
      <w:lang w:eastAsia="en-AU"/>
    </w:rPr>
  </w:style>
  <w:style w:type="character" w:customStyle="1" w:styleId="Heading6Char">
    <w:name w:val="Heading 6 Char"/>
    <w:link w:val="Heading6"/>
    <w:semiHidden/>
    <w:rsid w:val="00F14C6D"/>
    <w:rPr>
      <w:rFonts w:ascii="Cambria" w:hAnsi="Cambria"/>
      <w:i/>
      <w:iCs/>
      <w:color w:val="243F60"/>
      <w:sz w:val="24"/>
      <w:szCs w:val="24"/>
      <w:lang w:val="en-AU" w:eastAsia="en-AU" w:bidi="ar-SA"/>
    </w:rPr>
  </w:style>
  <w:style w:type="character" w:customStyle="1" w:styleId="Heading7Char">
    <w:name w:val="Heading 7 Char"/>
    <w:link w:val="Heading7"/>
    <w:semiHidden/>
    <w:rsid w:val="00F14C6D"/>
    <w:rPr>
      <w:rFonts w:ascii="Cambria" w:hAnsi="Cambria"/>
      <w:i/>
      <w:iCs/>
      <w:color w:val="404040"/>
      <w:sz w:val="24"/>
      <w:szCs w:val="24"/>
      <w:lang w:val="en-AU" w:eastAsia="en-AU" w:bidi="ar-SA"/>
    </w:rPr>
  </w:style>
  <w:style w:type="character" w:customStyle="1" w:styleId="Heading8Char">
    <w:name w:val="Heading 8 Char"/>
    <w:link w:val="Heading8"/>
    <w:semiHidden/>
    <w:rsid w:val="00F14C6D"/>
    <w:rPr>
      <w:rFonts w:ascii="Cambria" w:hAnsi="Cambria"/>
      <w:color w:val="404040"/>
      <w:lang w:val="en-AU" w:eastAsia="en-AU" w:bidi="ar-SA"/>
    </w:rPr>
  </w:style>
  <w:style w:type="character" w:customStyle="1" w:styleId="Heading9Char">
    <w:name w:val="Heading 9 Char"/>
    <w:link w:val="Heading9"/>
    <w:semiHidden/>
    <w:rsid w:val="00F14C6D"/>
    <w:rPr>
      <w:rFonts w:ascii="Cambria" w:hAnsi="Cambria"/>
      <w:i/>
      <w:iCs/>
      <w:color w:val="404040"/>
      <w:lang w:val="en-AU" w:eastAsia="en-AU" w:bidi="ar-SA"/>
    </w:rPr>
  </w:style>
  <w:style w:type="paragraph" w:styleId="Header">
    <w:name w:val="header"/>
    <w:basedOn w:val="Normal"/>
    <w:link w:val="HeaderChar"/>
    <w:semiHidden/>
    <w:rsid w:val="00E75D90"/>
    <w:pPr>
      <w:tabs>
        <w:tab w:val="center" w:pos="4513"/>
        <w:tab w:val="right" w:pos="9026"/>
      </w:tabs>
      <w:jc w:val="right"/>
    </w:pPr>
    <w:rPr>
      <w:rFonts w:eastAsia="Times New Roman"/>
      <w:szCs w:val="24"/>
    </w:rPr>
  </w:style>
  <w:style w:type="character" w:customStyle="1" w:styleId="HeaderChar">
    <w:name w:val="Header Char"/>
    <w:link w:val="Header"/>
    <w:semiHidden/>
    <w:rsid w:val="00E75D90"/>
    <w:rPr>
      <w:rFonts w:ascii="Arial" w:hAnsi="Arial"/>
      <w:sz w:val="22"/>
      <w:szCs w:val="24"/>
    </w:rPr>
  </w:style>
  <w:style w:type="paragraph" w:styleId="Footer">
    <w:name w:val="footer"/>
    <w:basedOn w:val="Normal"/>
    <w:link w:val="FooterChar"/>
    <w:uiPriority w:val="99"/>
    <w:rsid w:val="00E75D90"/>
    <w:pPr>
      <w:tabs>
        <w:tab w:val="center" w:pos="4513"/>
        <w:tab w:val="right" w:pos="9026"/>
      </w:tabs>
      <w:jc w:val="right"/>
    </w:pPr>
    <w:rPr>
      <w:rFonts w:eastAsia="Times New Roman"/>
      <w:szCs w:val="24"/>
    </w:rPr>
  </w:style>
  <w:style w:type="character" w:customStyle="1" w:styleId="FooterChar">
    <w:name w:val="Footer Char"/>
    <w:link w:val="Footer"/>
    <w:uiPriority w:val="99"/>
    <w:rsid w:val="00E75D90"/>
    <w:rPr>
      <w:rFonts w:ascii="Arial" w:hAnsi="Arial"/>
      <w:sz w:val="22"/>
      <w:szCs w:val="24"/>
    </w:rPr>
  </w:style>
  <w:style w:type="paragraph" w:styleId="TOC3">
    <w:name w:val="toc 3"/>
    <w:basedOn w:val="Normal"/>
    <w:next w:val="Normal"/>
    <w:autoRedefine/>
    <w:uiPriority w:val="39"/>
    <w:qFormat/>
    <w:locked/>
    <w:rsid w:val="00F82562"/>
    <w:pPr>
      <w:ind w:left="567"/>
    </w:pPr>
    <w:rPr>
      <w:rFonts w:eastAsia="MS Mincho" w:cs="Arial"/>
      <w:noProof/>
    </w:rPr>
  </w:style>
  <w:style w:type="character" w:styleId="PlaceholderText">
    <w:name w:val="Placeholder Text"/>
    <w:semiHidden/>
    <w:locked/>
    <w:rsid w:val="00DA5364"/>
    <w:rPr>
      <w:color w:val="808080"/>
    </w:rPr>
  </w:style>
  <w:style w:type="paragraph" w:styleId="ListContinue4">
    <w:name w:val="List Continue 4"/>
    <w:basedOn w:val="Normal"/>
    <w:semiHidden/>
    <w:locked/>
    <w:rsid w:val="0090165F"/>
    <w:pPr>
      <w:spacing w:after="120"/>
      <w:ind w:left="1132"/>
    </w:pPr>
  </w:style>
  <w:style w:type="numbering" w:styleId="111111">
    <w:name w:val="Outline List 2"/>
    <w:basedOn w:val="NoList"/>
    <w:semiHidden/>
    <w:locked/>
    <w:rsid w:val="00E45954"/>
    <w:pPr>
      <w:numPr>
        <w:numId w:val="11"/>
      </w:numPr>
    </w:pPr>
  </w:style>
  <w:style w:type="paragraph" w:styleId="TOC1">
    <w:name w:val="toc 1"/>
    <w:basedOn w:val="Normal"/>
    <w:next w:val="Normal"/>
    <w:autoRedefine/>
    <w:uiPriority w:val="39"/>
    <w:qFormat/>
    <w:locked/>
    <w:rsid w:val="00050FD5"/>
    <w:pPr>
      <w:tabs>
        <w:tab w:val="right" w:leader="dot" w:pos="9060"/>
      </w:tabs>
    </w:pPr>
    <w:rPr>
      <w:b/>
    </w:rPr>
  </w:style>
  <w:style w:type="paragraph" w:styleId="TOC2">
    <w:name w:val="toc 2"/>
    <w:basedOn w:val="Normal"/>
    <w:next w:val="Normal"/>
    <w:autoRedefine/>
    <w:uiPriority w:val="39"/>
    <w:qFormat/>
    <w:locked/>
    <w:rsid w:val="00F82562"/>
    <w:pPr>
      <w:ind w:left="567"/>
    </w:pPr>
  </w:style>
  <w:style w:type="paragraph" w:styleId="TOC4">
    <w:name w:val="toc 4"/>
    <w:basedOn w:val="Normal"/>
    <w:next w:val="Normal"/>
    <w:autoRedefine/>
    <w:uiPriority w:val="39"/>
    <w:semiHidden/>
    <w:locked/>
    <w:rsid w:val="008A2AF7"/>
    <w:pPr>
      <w:tabs>
        <w:tab w:val="left" w:pos="1440"/>
        <w:tab w:val="right" w:leader="dot" w:pos="9060"/>
      </w:tabs>
      <w:ind w:left="1440" w:hanging="720"/>
    </w:pPr>
    <w:rPr>
      <w:noProof/>
    </w:rPr>
  </w:style>
  <w:style w:type="character" w:styleId="Hyperlink">
    <w:name w:val="Hyperlink"/>
    <w:uiPriority w:val="99"/>
    <w:unhideWhenUsed/>
    <w:locked/>
    <w:rsid w:val="006B2B31"/>
    <w:rPr>
      <w:rFonts w:ascii="Arial" w:hAnsi="Arial"/>
      <w:color w:val="0000FF"/>
      <w:u w:val="single"/>
    </w:rPr>
  </w:style>
  <w:style w:type="paragraph" w:styleId="TOCHeading">
    <w:name w:val="TOC Heading"/>
    <w:basedOn w:val="Normal"/>
    <w:next w:val="Normal"/>
    <w:uiPriority w:val="39"/>
    <w:qFormat/>
    <w:locked/>
    <w:rsid w:val="00725D5E"/>
    <w:rPr>
      <w:b/>
      <w:sz w:val="28"/>
    </w:rPr>
  </w:style>
  <w:style w:type="paragraph" w:styleId="EndnoteText">
    <w:name w:val="endnote text"/>
    <w:basedOn w:val="Normal"/>
    <w:link w:val="EndnoteTextChar"/>
    <w:uiPriority w:val="99"/>
    <w:rsid w:val="00926A69"/>
    <w:rPr>
      <w:rFonts w:eastAsia="Times New Roman"/>
      <w:sz w:val="20"/>
      <w:szCs w:val="20"/>
      <w:lang w:val="en-AU" w:eastAsia="en-AU"/>
    </w:rPr>
  </w:style>
  <w:style w:type="character" w:customStyle="1" w:styleId="EndnoteTextChar">
    <w:name w:val="Endnote Text Char"/>
    <w:link w:val="EndnoteText"/>
    <w:uiPriority w:val="99"/>
    <w:rsid w:val="00926A69"/>
    <w:rPr>
      <w:rFonts w:ascii="Arial" w:hAnsi="Arial"/>
      <w:sz w:val="20"/>
      <w:szCs w:val="20"/>
      <w:lang w:eastAsia="en-AU"/>
    </w:rPr>
  </w:style>
  <w:style w:type="character" w:styleId="EndnoteReference">
    <w:name w:val="endnote reference"/>
    <w:uiPriority w:val="99"/>
    <w:rsid w:val="00564A26"/>
    <w:rPr>
      <w:rFonts w:ascii="Arial" w:hAnsi="Arial"/>
      <w:sz w:val="24"/>
      <w:vertAlign w:val="superscript"/>
    </w:rPr>
  </w:style>
  <w:style w:type="numbering" w:styleId="1ai">
    <w:name w:val="Outline List 1"/>
    <w:basedOn w:val="NoList"/>
    <w:semiHidden/>
    <w:locked/>
    <w:rsid w:val="00E45954"/>
    <w:pPr>
      <w:numPr>
        <w:numId w:val="12"/>
      </w:numPr>
    </w:pPr>
  </w:style>
  <w:style w:type="numbering" w:styleId="ArticleSection">
    <w:name w:val="Outline List 3"/>
    <w:basedOn w:val="NoList"/>
    <w:semiHidden/>
    <w:locked/>
    <w:rsid w:val="00E45954"/>
    <w:pPr>
      <w:numPr>
        <w:numId w:val="13"/>
      </w:numPr>
    </w:pPr>
  </w:style>
  <w:style w:type="paragraph" w:styleId="BlockText">
    <w:name w:val="Block Text"/>
    <w:basedOn w:val="Normal"/>
    <w:semiHidden/>
    <w:locked/>
    <w:rsid w:val="00E45954"/>
    <w:pPr>
      <w:spacing w:after="120"/>
      <w:ind w:left="1440" w:right="1440"/>
    </w:pPr>
  </w:style>
  <w:style w:type="paragraph" w:styleId="BodyText">
    <w:name w:val="Body Text"/>
    <w:aliases w:val="Body Text Char1 Char,Body Text Char Char Char,Body Text Char1,Body Text Char Char,Body Text Char2,Body Text Char Char1,Body Text Char1 Char Char,Body Text Char Char Char Char,Body Text Char1 Char1,Body Text Char Char Char1,Body Text Char3 Char"/>
    <w:basedOn w:val="Normal"/>
    <w:link w:val="BodyTextChar"/>
    <w:semiHidden/>
    <w:locked/>
    <w:rsid w:val="00E45954"/>
    <w:pPr>
      <w:spacing w:after="120"/>
    </w:pPr>
  </w:style>
  <w:style w:type="paragraph" w:styleId="BodyText2">
    <w:name w:val="Body Text 2"/>
    <w:basedOn w:val="Normal"/>
    <w:semiHidden/>
    <w:locked/>
    <w:rsid w:val="00E45954"/>
    <w:pPr>
      <w:spacing w:after="120" w:line="480" w:lineRule="auto"/>
    </w:pPr>
  </w:style>
  <w:style w:type="paragraph" w:styleId="BodyText3">
    <w:name w:val="Body Text 3"/>
    <w:basedOn w:val="Normal"/>
    <w:semiHidden/>
    <w:locked/>
    <w:rsid w:val="00E45954"/>
    <w:pPr>
      <w:spacing w:after="120"/>
    </w:pPr>
    <w:rPr>
      <w:sz w:val="16"/>
      <w:szCs w:val="16"/>
    </w:rPr>
  </w:style>
  <w:style w:type="paragraph" w:styleId="BodyTextFirstIndent">
    <w:name w:val="Body Text First Indent"/>
    <w:basedOn w:val="BodyText"/>
    <w:semiHidden/>
    <w:locked/>
    <w:rsid w:val="00E45954"/>
    <w:pPr>
      <w:ind w:firstLine="210"/>
    </w:pPr>
  </w:style>
  <w:style w:type="paragraph" w:styleId="BodyTextIndent">
    <w:name w:val="Body Text Indent"/>
    <w:basedOn w:val="Normal"/>
    <w:semiHidden/>
    <w:locked/>
    <w:rsid w:val="00E45954"/>
    <w:pPr>
      <w:spacing w:after="120"/>
      <w:ind w:left="283"/>
    </w:pPr>
  </w:style>
  <w:style w:type="paragraph" w:styleId="BodyTextFirstIndent2">
    <w:name w:val="Body Text First Indent 2"/>
    <w:basedOn w:val="BodyTextIndent"/>
    <w:semiHidden/>
    <w:locked/>
    <w:rsid w:val="00E45954"/>
    <w:pPr>
      <w:ind w:firstLine="210"/>
    </w:pPr>
  </w:style>
  <w:style w:type="paragraph" w:styleId="BodyTextIndent2">
    <w:name w:val="Body Text Indent 2"/>
    <w:basedOn w:val="Normal"/>
    <w:semiHidden/>
    <w:locked/>
    <w:rsid w:val="00E45954"/>
    <w:pPr>
      <w:spacing w:after="120" w:line="480" w:lineRule="auto"/>
      <w:ind w:left="283"/>
    </w:pPr>
  </w:style>
  <w:style w:type="paragraph" w:styleId="BodyTextIndent3">
    <w:name w:val="Body Text Indent 3"/>
    <w:basedOn w:val="Normal"/>
    <w:semiHidden/>
    <w:locked/>
    <w:rsid w:val="00E45954"/>
    <w:pPr>
      <w:spacing w:after="120"/>
      <w:ind w:left="283"/>
    </w:pPr>
    <w:rPr>
      <w:sz w:val="16"/>
      <w:szCs w:val="16"/>
    </w:rPr>
  </w:style>
  <w:style w:type="paragraph" w:styleId="Closing">
    <w:name w:val="Closing"/>
    <w:basedOn w:val="Normal"/>
    <w:semiHidden/>
    <w:locked/>
    <w:rsid w:val="00E45954"/>
    <w:pPr>
      <w:ind w:left="4252"/>
    </w:pPr>
  </w:style>
  <w:style w:type="paragraph" w:styleId="Date">
    <w:name w:val="Date"/>
    <w:basedOn w:val="Normal"/>
    <w:next w:val="Normal"/>
    <w:semiHidden/>
    <w:locked/>
    <w:rsid w:val="00E45954"/>
  </w:style>
  <w:style w:type="paragraph" w:styleId="E-mailSignature">
    <w:name w:val="E-mail Signature"/>
    <w:basedOn w:val="Normal"/>
    <w:semiHidden/>
    <w:locked/>
    <w:rsid w:val="00E45954"/>
  </w:style>
  <w:style w:type="character" w:styleId="Emphasis">
    <w:name w:val="Emphasis"/>
    <w:uiPriority w:val="20"/>
    <w:qFormat/>
    <w:locked/>
    <w:rsid w:val="00221A61"/>
    <w:rPr>
      <w:rFonts w:ascii="Arial" w:hAnsi="Arial"/>
      <w:i/>
      <w:iCs/>
    </w:rPr>
  </w:style>
  <w:style w:type="paragraph" w:styleId="EnvelopeAddress">
    <w:name w:val="envelope address"/>
    <w:basedOn w:val="Normal"/>
    <w:semiHidden/>
    <w:locked/>
    <w:rsid w:val="001C139C"/>
    <w:pPr>
      <w:framePr w:w="7920" w:h="1980" w:hRule="exact" w:hSpace="180" w:wrap="auto" w:hAnchor="page" w:xAlign="center" w:yAlign="bottom"/>
      <w:ind w:left="2880"/>
    </w:pPr>
    <w:rPr>
      <w:rFonts w:cs="Arial"/>
    </w:rPr>
  </w:style>
  <w:style w:type="paragraph" w:styleId="EnvelopeReturn">
    <w:name w:val="envelope return"/>
    <w:basedOn w:val="Normal"/>
    <w:semiHidden/>
    <w:locked/>
    <w:rsid w:val="00E45954"/>
    <w:rPr>
      <w:rFonts w:cs="Arial"/>
      <w:sz w:val="20"/>
      <w:szCs w:val="20"/>
    </w:rPr>
  </w:style>
  <w:style w:type="character" w:styleId="FootnoteReference">
    <w:name w:val="footnote reference"/>
    <w:uiPriority w:val="99"/>
    <w:rsid w:val="00074CD6"/>
    <w:rPr>
      <w:rFonts w:ascii="Arial" w:hAnsi="Arial"/>
      <w:sz w:val="20"/>
      <w:vertAlign w:val="superscript"/>
    </w:rPr>
  </w:style>
  <w:style w:type="paragraph" w:styleId="FootnoteText">
    <w:name w:val="footnote text"/>
    <w:aliases w:val="Footnote Text Char1 Char,Footnote Text Char Char Char,Footnote Text Char Char Char Char Char Char Char Char Char Char Char,Footnote Text Char Char Char Char Char Char Char Char,Footnote Text Char2 Char,Char,Ch"/>
    <w:basedOn w:val="Normal"/>
    <w:link w:val="FootnoteTextChar"/>
    <w:uiPriority w:val="99"/>
    <w:rsid w:val="00706FAB"/>
    <w:rPr>
      <w:rFonts w:eastAsia="Times New Roman"/>
      <w:sz w:val="20"/>
      <w:szCs w:val="20"/>
      <w:lang w:val="en-AU" w:eastAsia="en-AU"/>
    </w:rPr>
  </w:style>
  <w:style w:type="character" w:styleId="HTMLAcronym">
    <w:name w:val="HTML Acronym"/>
    <w:basedOn w:val="DefaultParagraphFont"/>
    <w:semiHidden/>
    <w:locked/>
    <w:rsid w:val="00E45954"/>
  </w:style>
  <w:style w:type="paragraph" w:styleId="HTMLAddress">
    <w:name w:val="HTML Address"/>
    <w:basedOn w:val="Normal"/>
    <w:semiHidden/>
    <w:locked/>
    <w:rsid w:val="00E45954"/>
    <w:rPr>
      <w:i/>
      <w:iCs/>
    </w:rPr>
  </w:style>
  <w:style w:type="character" w:styleId="HTMLCite">
    <w:name w:val="HTML Cite"/>
    <w:semiHidden/>
    <w:locked/>
    <w:rsid w:val="00E45954"/>
    <w:rPr>
      <w:i/>
      <w:iCs/>
    </w:rPr>
  </w:style>
  <w:style w:type="character" w:styleId="HTMLCode">
    <w:name w:val="HTML Code"/>
    <w:semiHidden/>
    <w:locked/>
    <w:rsid w:val="00E45954"/>
    <w:rPr>
      <w:rFonts w:ascii="Courier New" w:hAnsi="Courier New" w:cs="Courier New"/>
      <w:sz w:val="20"/>
      <w:szCs w:val="20"/>
    </w:rPr>
  </w:style>
  <w:style w:type="character" w:styleId="HTMLDefinition">
    <w:name w:val="HTML Definition"/>
    <w:semiHidden/>
    <w:locked/>
    <w:rsid w:val="00E45954"/>
    <w:rPr>
      <w:i/>
      <w:iCs/>
    </w:rPr>
  </w:style>
  <w:style w:type="character" w:styleId="HTMLKeyboard">
    <w:name w:val="HTML Keyboard"/>
    <w:semiHidden/>
    <w:locked/>
    <w:rsid w:val="00E45954"/>
    <w:rPr>
      <w:rFonts w:ascii="Courier New" w:hAnsi="Courier New" w:cs="Courier New"/>
      <w:sz w:val="20"/>
      <w:szCs w:val="20"/>
    </w:rPr>
  </w:style>
  <w:style w:type="paragraph" w:styleId="HTMLPreformatted">
    <w:name w:val="HTML Preformatted"/>
    <w:basedOn w:val="Normal"/>
    <w:semiHidden/>
    <w:locked/>
    <w:rsid w:val="00E45954"/>
    <w:rPr>
      <w:rFonts w:ascii="Courier New" w:hAnsi="Courier New" w:cs="Courier New"/>
      <w:sz w:val="20"/>
      <w:szCs w:val="20"/>
    </w:rPr>
  </w:style>
  <w:style w:type="character" w:styleId="HTMLSample">
    <w:name w:val="HTML Sample"/>
    <w:semiHidden/>
    <w:locked/>
    <w:rsid w:val="00E45954"/>
    <w:rPr>
      <w:rFonts w:ascii="Courier New" w:hAnsi="Courier New" w:cs="Courier New"/>
    </w:rPr>
  </w:style>
  <w:style w:type="character" w:styleId="HTMLTypewriter">
    <w:name w:val="HTML Typewriter"/>
    <w:semiHidden/>
    <w:locked/>
    <w:rsid w:val="00E45954"/>
    <w:rPr>
      <w:rFonts w:ascii="Courier New" w:hAnsi="Courier New" w:cs="Courier New"/>
      <w:sz w:val="20"/>
      <w:szCs w:val="20"/>
    </w:rPr>
  </w:style>
  <w:style w:type="character" w:styleId="HTMLVariable">
    <w:name w:val="HTML Variable"/>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style>
  <w:style w:type="paragraph" w:styleId="List2">
    <w:name w:val="List 2"/>
    <w:basedOn w:val="Normal"/>
    <w:semiHidden/>
    <w:locked/>
    <w:rsid w:val="00E45954"/>
    <w:pPr>
      <w:ind w:left="566" w:hanging="283"/>
    </w:pPr>
  </w:style>
  <w:style w:type="paragraph" w:styleId="List3">
    <w:name w:val="List 3"/>
    <w:basedOn w:val="Normal"/>
    <w:semiHidden/>
    <w:locked/>
    <w:rsid w:val="00E45954"/>
    <w:pPr>
      <w:ind w:left="849" w:hanging="283"/>
    </w:pPr>
  </w:style>
  <w:style w:type="paragraph" w:styleId="List4">
    <w:name w:val="List 4"/>
    <w:basedOn w:val="Normal"/>
    <w:semiHidden/>
    <w:locked/>
    <w:rsid w:val="00E45954"/>
    <w:pPr>
      <w:ind w:left="1132" w:hanging="283"/>
    </w:pPr>
  </w:style>
  <w:style w:type="paragraph" w:styleId="List5">
    <w:name w:val="List 5"/>
    <w:basedOn w:val="Normal"/>
    <w:semiHidden/>
    <w:locked/>
    <w:rsid w:val="00E45954"/>
    <w:pPr>
      <w:ind w:left="1415" w:hanging="283"/>
    </w:pPr>
  </w:style>
  <w:style w:type="numbering" w:customStyle="1" w:styleId="StyleNumbered">
    <w:name w:val="Style Numbered"/>
    <w:basedOn w:val="NoList"/>
    <w:semiHidden/>
    <w:rsid w:val="00074CD6"/>
    <w:pPr>
      <w:numPr>
        <w:numId w:val="14"/>
      </w:numPr>
    </w:pPr>
  </w:style>
  <w:style w:type="paragraph" w:styleId="ListBullet2">
    <w:name w:val="List Bullet 2"/>
    <w:basedOn w:val="Normal"/>
    <w:semiHidden/>
    <w:locked/>
    <w:rsid w:val="00E45954"/>
    <w:pPr>
      <w:numPr>
        <w:numId w:val="2"/>
      </w:numPr>
    </w:pPr>
  </w:style>
  <w:style w:type="paragraph" w:styleId="ListBullet3">
    <w:name w:val="List Bullet 3"/>
    <w:basedOn w:val="Normal"/>
    <w:semiHidden/>
    <w:locked/>
    <w:rsid w:val="00E45954"/>
    <w:pPr>
      <w:numPr>
        <w:numId w:val="3"/>
      </w:numPr>
    </w:pPr>
  </w:style>
  <w:style w:type="paragraph" w:styleId="ListBullet4">
    <w:name w:val="List Bullet 4"/>
    <w:basedOn w:val="Normal"/>
    <w:semiHidden/>
    <w:locked/>
    <w:rsid w:val="00E45954"/>
    <w:pPr>
      <w:numPr>
        <w:numId w:val="4"/>
      </w:numPr>
    </w:pPr>
  </w:style>
  <w:style w:type="paragraph" w:styleId="ListBullet5">
    <w:name w:val="List Bullet 5"/>
    <w:basedOn w:val="Normal"/>
    <w:semiHidden/>
    <w:locked/>
    <w:rsid w:val="00E45954"/>
    <w:pPr>
      <w:numPr>
        <w:numId w:val="5"/>
      </w:numPr>
    </w:pPr>
  </w:style>
  <w:style w:type="paragraph" w:styleId="ListContinue">
    <w:name w:val="List Continue"/>
    <w:basedOn w:val="Normal"/>
    <w:semiHidden/>
    <w:locked/>
    <w:rsid w:val="00E45954"/>
    <w:pPr>
      <w:spacing w:after="120"/>
      <w:ind w:left="283"/>
    </w:pPr>
  </w:style>
  <w:style w:type="paragraph" w:styleId="ListContinue2">
    <w:name w:val="List Continue 2"/>
    <w:basedOn w:val="Normal"/>
    <w:semiHidden/>
    <w:locked/>
    <w:rsid w:val="00E45954"/>
    <w:pPr>
      <w:spacing w:after="120"/>
      <w:ind w:left="566"/>
    </w:pPr>
  </w:style>
  <w:style w:type="paragraph" w:styleId="ListContinue3">
    <w:name w:val="List Continue 3"/>
    <w:basedOn w:val="Normal"/>
    <w:semiHidden/>
    <w:locked/>
    <w:rsid w:val="00E45954"/>
    <w:pPr>
      <w:spacing w:after="120"/>
      <w:ind w:left="849"/>
    </w:pPr>
  </w:style>
  <w:style w:type="paragraph" w:styleId="ListContinue5">
    <w:name w:val="List Continue 5"/>
    <w:basedOn w:val="Normal"/>
    <w:semiHidden/>
    <w:locked/>
    <w:rsid w:val="00E45954"/>
    <w:pPr>
      <w:spacing w:after="120"/>
      <w:ind w:left="1415"/>
    </w:pPr>
  </w:style>
  <w:style w:type="paragraph" w:styleId="ListNumber">
    <w:name w:val="List Number"/>
    <w:basedOn w:val="Normal"/>
    <w:semiHidden/>
    <w:locked/>
    <w:rsid w:val="00E45954"/>
    <w:pPr>
      <w:numPr>
        <w:numId w:val="6"/>
      </w:numPr>
    </w:pPr>
  </w:style>
  <w:style w:type="paragraph" w:styleId="ListNumber2">
    <w:name w:val="List Number 2"/>
    <w:basedOn w:val="Normal"/>
    <w:semiHidden/>
    <w:locked/>
    <w:rsid w:val="00E45954"/>
    <w:pPr>
      <w:numPr>
        <w:numId w:val="9"/>
      </w:numPr>
    </w:pPr>
  </w:style>
  <w:style w:type="paragraph" w:styleId="ListNumber3">
    <w:name w:val="List Number 3"/>
    <w:basedOn w:val="Normal"/>
    <w:semiHidden/>
    <w:locked/>
    <w:rsid w:val="00E45954"/>
    <w:pPr>
      <w:numPr>
        <w:numId w:val="10"/>
      </w:numPr>
    </w:pPr>
  </w:style>
  <w:style w:type="paragraph" w:styleId="ListNumber4">
    <w:name w:val="List Number 4"/>
    <w:basedOn w:val="Normal"/>
    <w:semiHidden/>
    <w:locked/>
    <w:rsid w:val="00E45954"/>
    <w:pPr>
      <w:numPr>
        <w:numId w:val="7"/>
      </w:numPr>
    </w:pPr>
  </w:style>
  <w:style w:type="paragraph" w:styleId="ListNumber5">
    <w:name w:val="List Number 5"/>
    <w:basedOn w:val="Normal"/>
    <w:semiHidden/>
    <w:locked/>
    <w:rsid w:val="00E45954"/>
    <w:pPr>
      <w:numPr>
        <w:numId w:val="8"/>
      </w:numPr>
    </w:pPr>
  </w:style>
  <w:style w:type="paragraph" w:styleId="MessageHeader">
    <w:name w:val="Message Header"/>
    <w:basedOn w:val="Normal"/>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locked/>
    <w:rsid w:val="00E45954"/>
    <w:rPr>
      <w:rFonts w:ascii="Times New Roman" w:hAnsi="Times New Roman"/>
    </w:rPr>
  </w:style>
  <w:style w:type="paragraph" w:styleId="NormalIndent">
    <w:name w:val="Normal Indent"/>
    <w:basedOn w:val="Normal"/>
    <w:semiHidden/>
    <w:locked/>
    <w:rsid w:val="00E45954"/>
    <w:pPr>
      <w:ind w:left="720"/>
    </w:pPr>
  </w:style>
  <w:style w:type="paragraph" w:styleId="NoteHeading">
    <w:name w:val="Note Heading"/>
    <w:basedOn w:val="Normal"/>
    <w:next w:val="Normal"/>
    <w:semiHidden/>
    <w:locked/>
    <w:rsid w:val="00E45954"/>
  </w:style>
  <w:style w:type="character" w:styleId="PageNumber">
    <w:name w:val="page number"/>
    <w:basedOn w:val="DefaultParagraphFont"/>
    <w:uiPriority w:val="99"/>
    <w:locked/>
    <w:rsid w:val="00E45954"/>
  </w:style>
  <w:style w:type="paragraph" w:styleId="PlainText">
    <w:name w:val="Plain Text"/>
    <w:basedOn w:val="Normal"/>
    <w:link w:val="PlainTextChar"/>
    <w:uiPriority w:val="99"/>
    <w:semiHidden/>
    <w:locked/>
    <w:rsid w:val="00E45954"/>
    <w:rPr>
      <w:rFonts w:ascii="Courier New" w:hAnsi="Courier New" w:cs="Courier New"/>
      <w:sz w:val="20"/>
      <w:szCs w:val="20"/>
    </w:rPr>
  </w:style>
  <w:style w:type="paragraph" w:styleId="Salutation">
    <w:name w:val="Salutation"/>
    <w:basedOn w:val="Normal"/>
    <w:next w:val="Normal"/>
    <w:semiHidden/>
    <w:locked/>
    <w:rsid w:val="00E45954"/>
  </w:style>
  <w:style w:type="paragraph" w:styleId="Signature">
    <w:name w:val="Signature"/>
    <w:basedOn w:val="Normal"/>
    <w:semiHidden/>
    <w:locked/>
    <w:rsid w:val="00E45954"/>
    <w:pPr>
      <w:ind w:left="4252"/>
    </w:pPr>
  </w:style>
  <w:style w:type="paragraph" w:styleId="Subtitle">
    <w:name w:val="Subtitle"/>
    <w:basedOn w:val="Normal"/>
    <w:link w:val="SubtitleChar"/>
    <w:uiPriority w:val="99"/>
    <w:qFormat/>
    <w:locked/>
    <w:rsid w:val="00E45954"/>
    <w:pPr>
      <w:spacing w:after="60"/>
      <w:jc w:val="center"/>
      <w:outlineLvl w:val="1"/>
    </w:pPr>
    <w:rPr>
      <w:rFonts w:cs="Arial"/>
    </w:rPr>
  </w:style>
  <w:style w:type="table" w:styleId="Table3Deffects1">
    <w:name w:val="Table 3D effects 1"/>
    <w:basedOn w:val="TableNormal"/>
    <w:semiHidden/>
    <w:locked/>
    <w:rsid w:val="00E45954"/>
    <w:pPr>
      <w:spacing w:after="240"/>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locked/>
    <w:rsid w:val="00E45954"/>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E45954"/>
    <w:pPr>
      <w:spacing w:after="24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locked/>
    <w:rsid w:val="00E45954"/>
    <w:pPr>
      <w:spacing w:after="60"/>
      <w:jc w:val="center"/>
      <w:outlineLvl w:val="0"/>
    </w:pPr>
    <w:rPr>
      <w:rFonts w:cs="Arial"/>
      <w:b/>
      <w:bCs/>
      <w:kern w:val="28"/>
      <w:sz w:val="32"/>
      <w:szCs w:val="32"/>
    </w:rPr>
  </w:style>
  <w:style w:type="character" w:styleId="FollowedHyperlink">
    <w:name w:val="FollowedHyperlink"/>
    <w:semiHidden/>
    <w:locked/>
    <w:rsid w:val="00E45954"/>
    <w:rPr>
      <w:color w:val="800080"/>
      <w:u w:val="single"/>
    </w:rPr>
  </w:style>
  <w:style w:type="paragraph" w:styleId="ListBullet">
    <w:name w:val="List Bullet"/>
    <w:basedOn w:val="Normal"/>
    <w:semiHidden/>
    <w:locked/>
    <w:rsid w:val="00950E88"/>
    <w:pPr>
      <w:numPr>
        <w:numId w:val="1"/>
      </w:numPr>
    </w:pPr>
  </w:style>
  <w:style w:type="paragraph" w:customStyle="1" w:styleId="Contactdetails">
    <w:name w:val="Contact details"/>
    <w:basedOn w:val="Normal"/>
    <w:semiHidden/>
    <w:rsid w:val="002702D9"/>
    <w:pPr>
      <w:keepNex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0" w:lineRule="exact"/>
    </w:pPr>
    <w:rPr>
      <w:rFonts w:ascii="ArialMT" w:hAnsi="ArialMT" w:cs="ArialMT"/>
      <w:sz w:val="20"/>
      <w:lang w:bidi="en-US"/>
    </w:rPr>
  </w:style>
  <w:style w:type="character" w:customStyle="1" w:styleId="CharChar9">
    <w:name w:val="Char Char9"/>
    <w:semiHidden/>
    <w:locked/>
    <w:rsid w:val="001C451B"/>
    <w:rPr>
      <w:rFonts w:ascii="Arial" w:hAnsi="Arial"/>
      <w:bCs/>
      <w:i/>
      <w:sz w:val="24"/>
      <w:szCs w:val="26"/>
      <w:lang w:val="en-AU" w:eastAsia="en-AU" w:bidi="ar-SA"/>
    </w:rPr>
  </w:style>
  <w:style w:type="character" w:customStyle="1" w:styleId="CharChar8">
    <w:name w:val="Char Char8"/>
    <w:semiHidden/>
    <w:locked/>
    <w:rsid w:val="001C451B"/>
    <w:rPr>
      <w:rFonts w:ascii="Arial" w:hAnsi="Arial"/>
      <w:iCs/>
      <w:sz w:val="24"/>
      <w:szCs w:val="26"/>
      <w:lang w:val="en-AU" w:eastAsia="en-AU" w:bidi="ar-SA"/>
    </w:rPr>
  </w:style>
  <w:style w:type="character" w:customStyle="1" w:styleId="CharChar">
    <w:name w:val="Char Char"/>
    <w:semiHidden/>
    <w:locked/>
    <w:rsid w:val="001C451B"/>
    <w:rPr>
      <w:rFonts w:ascii="Arial" w:hAnsi="Arial" w:cs="Arial"/>
      <w:lang w:val="en-AU" w:eastAsia="en-AU" w:bidi="ar-SA"/>
    </w:rPr>
  </w:style>
  <w:style w:type="character" w:customStyle="1" w:styleId="FootnoteTextChar">
    <w:name w:val="Footnote Text Char"/>
    <w:aliases w:val="Footnote Text Char1 Char Char,Footnote Text Char Char Char Char,Footnote Text Char Char Char Char Char Char Char Char Char Char Char Char,Footnote Text Char Char Char Char Char Char Char Char Char,Footnote Text Char2 Char Char,Ch Char"/>
    <w:link w:val="FootnoteText"/>
    <w:uiPriority w:val="99"/>
    <w:locked/>
    <w:rsid w:val="00706FAB"/>
    <w:rPr>
      <w:rFonts w:ascii="Arial" w:hAnsi="Arial"/>
      <w:lang w:val="en-AU" w:eastAsia="en-AU" w:bidi="ar-SA"/>
    </w:rPr>
  </w:style>
  <w:style w:type="paragraph" w:customStyle="1" w:styleId="ColorfulList-Accent11">
    <w:name w:val="Colorful List - Accent 11"/>
    <w:basedOn w:val="Normal"/>
    <w:uiPriority w:val="34"/>
    <w:qFormat/>
    <w:rsid w:val="00CC3E84"/>
    <w:pPr>
      <w:ind w:left="720"/>
      <w:contextualSpacing/>
    </w:pPr>
  </w:style>
  <w:style w:type="paragraph" w:customStyle="1" w:styleId="Default">
    <w:name w:val="Default"/>
    <w:link w:val="DefaultChar"/>
    <w:rsid w:val="00D07DD0"/>
    <w:pPr>
      <w:autoSpaceDE w:val="0"/>
      <w:autoSpaceDN w:val="0"/>
      <w:adjustRightInd w:val="0"/>
    </w:pPr>
    <w:rPr>
      <w:rFonts w:ascii="Arial" w:hAnsi="Arial"/>
      <w:color w:val="000000"/>
      <w:lang w:eastAsia="en-AU"/>
    </w:rPr>
  </w:style>
  <w:style w:type="character" w:customStyle="1" w:styleId="A3">
    <w:name w:val="A3"/>
    <w:uiPriority w:val="99"/>
    <w:rsid w:val="00D07DD0"/>
    <w:rPr>
      <w:color w:val="000000"/>
    </w:rPr>
  </w:style>
  <w:style w:type="character" w:customStyle="1" w:styleId="A35">
    <w:name w:val="A35"/>
    <w:uiPriority w:val="99"/>
    <w:rsid w:val="00D07DD0"/>
    <w:rPr>
      <w:color w:val="000000"/>
      <w:sz w:val="16"/>
      <w:szCs w:val="16"/>
      <w:u w:val="single"/>
    </w:rPr>
  </w:style>
  <w:style w:type="character" w:customStyle="1" w:styleId="apple-style-span">
    <w:name w:val="apple-style-span"/>
    <w:uiPriority w:val="99"/>
    <w:rsid w:val="00DD64C1"/>
  </w:style>
  <w:style w:type="paragraph" w:styleId="BalloonText">
    <w:name w:val="Balloon Text"/>
    <w:basedOn w:val="Normal"/>
    <w:link w:val="BalloonTextChar"/>
    <w:uiPriority w:val="99"/>
    <w:locked/>
    <w:rsid w:val="00A86989"/>
    <w:rPr>
      <w:rFonts w:ascii="Tahoma" w:hAnsi="Tahoma"/>
      <w:sz w:val="16"/>
      <w:szCs w:val="16"/>
    </w:rPr>
  </w:style>
  <w:style w:type="character" w:customStyle="1" w:styleId="BalloonTextChar">
    <w:name w:val="Balloon Text Char"/>
    <w:link w:val="BalloonText"/>
    <w:uiPriority w:val="99"/>
    <w:rsid w:val="00A86989"/>
    <w:rPr>
      <w:rFonts w:ascii="Tahoma" w:eastAsia="Calibri" w:hAnsi="Tahoma" w:cs="Tahoma"/>
      <w:sz w:val="16"/>
      <w:szCs w:val="16"/>
      <w:lang w:val="en-US" w:eastAsia="en-US"/>
    </w:rPr>
  </w:style>
  <w:style w:type="paragraph" w:customStyle="1" w:styleId="Pa29">
    <w:name w:val="Pa29"/>
    <w:basedOn w:val="Default"/>
    <w:next w:val="Default"/>
    <w:uiPriority w:val="99"/>
    <w:rsid w:val="003A08B9"/>
    <w:pPr>
      <w:spacing w:line="241" w:lineRule="atLeast"/>
    </w:pPr>
    <w:rPr>
      <w:color w:val="auto"/>
    </w:rPr>
  </w:style>
  <w:style w:type="character" w:customStyle="1" w:styleId="A5">
    <w:name w:val="A5"/>
    <w:uiPriority w:val="99"/>
    <w:rsid w:val="003A08B9"/>
    <w:rPr>
      <w:b/>
      <w:bCs/>
      <w:i/>
      <w:iCs/>
      <w:color w:val="000000"/>
      <w:sz w:val="18"/>
      <w:szCs w:val="18"/>
    </w:rPr>
  </w:style>
  <w:style w:type="paragraph" w:customStyle="1" w:styleId="Bullet">
    <w:name w:val="Bullet"/>
    <w:basedOn w:val="Normal"/>
    <w:rsid w:val="004C3859"/>
    <w:pPr>
      <w:numPr>
        <w:numId w:val="16"/>
      </w:numPr>
      <w:spacing w:after="240"/>
    </w:pPr>
    <w:rPr>
      <w:rFonts w:ascii="Times New Roman" w:eastAsia="Times New Roman" w:hAnsi="Times New Roman"/>
      <w:szCs w:val="20"/>
      <w:lang w:val="en-AU" w:eastAsia="en-AU"/>
    </w:rPr>
  </w:style>
  <w:style w:type="paragraph" w:customStyle="1" w:styleId="Dash">
    <w:name w:val="Dash"/>
    <w:basedOn w:val="Normal"/>
    <w:rsid w:val="004C3859"/>
    <w:pPr>
      <w:numPr>
        <w:ilvl w:val="1"/>
        <w:numId w:val="16"/>
      </w:numPr>
      <w:spacing w:after="240"/>
    </w:pPr>
    <w:rPr>
      <w:rFonts w:ascii="Times New Roman" w:eastAsia="Times New Roman" w:hAnsi="Times New Roman"/>
      <w:szCs w:val="20"/>
      <w:lang w:val="en-AU" w:eastAsia="en-AU"/>
    </w:rPr>
  </w:style>
  <w:style w:type="paragraph" w:customStyle="1" w:styleId="DoubleDot">
    <w:name w:val="Double Dot"/>
    <w:basedOn w:val="Normal"/>
    <w:rsid w:val="004C3859"/>
    <w:pPr>
      <w:numPr>
        <w:ilvl w:val="2"/>
        <w:numId w:val="16"/>
      </w:numPr>
      <w:spacing w:after="240"/>
    </w:pPr>
    <w:rPr>
      <w:rFonts w:ascii="Times New Roman" w:eastAsia="Times New Roman" w:hAnsi="Times New Roman"/>
      <w:szCs w:val="20"/>
      <w:lang w:val="en-AU" w:eastAsia="en-AU"/>
    </w:rPr>
  </w:style>
  <w:style w:type="paragraph" w:customStyle="1" w:styleId="HdMemorandum">
    <w:name w:val="Hd Memorandum"/>
    <w:basedOn w:val="Header"/>
    <w:rsid w:val="004C3859"/>
    <w:pPr>
      <w:tabs>
        <w:tab w:val="clear" w:pos="4513"/>
        <w:tab w:val="clear" w:pos="9026"/>
      </w:tabs>
      <w:spacing w:line="120" w:lineRule="exact"/>
    </w:pPr>
    <w:rPr>
      <w:rFonts w:ascii="Times New Roman" w:hAnsi="Times New Roman"/>
      <w:caps/>
      <w:noProof/>
      <w:spacing w:val="20"/>
      <w:w w:val="113"/>
      <w:kern w:val="12"/>
      <w:sz w:val="12"/>
      <w:szCs w:val="20"/>
    </w:rPr>
  </w:style>
  <w:style w:type="paragraph" w:customStyle="1" w:styleId="HdFirstPage">
    <w:name w:val="Hd FirstPage"/>
    <w:rsid w:val="004C3859"/>
    <w:pPr>
      <w:widowControl w:val="0"/>
      <w:spacing w:line="840" w:lineRule="exact"/>
      <w:jc w:val="right"/>
    </w:pPr>
    <w:rPr>
      <w:noProof/>
      <w:spacing w:val="-5"/>
      <w:w w:val="95"/>
      <w:kern w:val="44"/>
      <w:sz w:val="44"/>
      <w:lang w:val="en-US"/>
    </w:rPr>
  </w:style>
  <w:style w:type="character" w:customStyle="1" w:styleId="A8">
    <w:name w:val="A8"/>
    <w:rsid w:val="004C3859"/>
    <w:rPr>
      <w:b/>
      <w:bCs/>
      <w:color w:val="000000"/>
      <w:sz w:val="20"/>
      <w:szCs w:val="20"/>
    </w:rPr>
  </w:style>
  <w:style w:type="character" w:styleId="CommentReference">
    <w:name w:val="annotation reference"/>
    <w:uiPriority w:val="99"/>
    <w:unhideWhenUsed/>
    <w:rsid w:val="004A154B"/>
    <w:rPr>
      <w:sz w:val="18"/>
      <w:szCs w:val="18"/>
    </w:rPr>
  </w:style>
  <w:style w:type="paragraph" w:styleId="CommentText">
    <w:name w:val="annotation text"/>
    <w:basedOn w:val="Normal"/>
    <w:link w:val="CommentTextChar"/>
    <w:uiPriority w:val="99"/>
    <w:unhideWhenUsed/>
    <w:rsid w:val="004A154B"/>
    <w:rPr>
      <w:szCs w:val="24"/>
    </w:rPr>
  </w:style>
  <w:style w:type="character" w:customStyle="1" w:styleId="CommentTextChar">
    <w:name w:val="Comment Text Char"/>
    <w:link w:val="CommentText"/>
    <w:uiPriority w:val="99"/>
    <w:rsid w:val="004A154B"/>
    <w:rPr>
      <w:rFonts w:ascii="Calibri" w:eastAsia="Calibri" w:hAnsi="Calibri"/>
      <w:sz w:val="24"/>
      <w:szCs w:val="24"/>
    </w:rPr>
  </w:style>
  <w:style w:type="paragraph" w:styleId="CommentSubject">
    <w:name w:val="annotation subject"/>
    <w:basedOn w:val="CommentText"/>
    <w:next w:val="CommentText"/>
    <w:link w:val="CommentSubjectChar"/>
    <w:uiPriority w:val="99"/>
    <w:semiHidden/>
    <w:unhideWhenUsed/>
    <w:rsid w:val="004A154B"/>
    <w:rPr>
      <w:b/>
      <w:bCs/>
    </w:rPr>
  </w:style>
  <w:style w:type="character" w:customStyle="1" w:styleId="CommentSubjectChar">
    <w:name w:val="Comment Subject Char"/>
    <w:link w:val="CommentSubject"/>
    <w:uiPriority w:val="99"/>
    <w:semiHidden/>
    <w:rsid w:val="004A154B"/>
    <w:rPr>
      <w:rFonts w:ascii="Calibri" w:eastAsia="Calibri" w:hAnsi="Calibri"/>
      <w:b/>
      <w:bCs/>
      <w:sz w:val="24"/>
      <w:szCs w:val="24"/>
    </w:rPr>
  </w:style>
  <w:style w:type="paragraph" w:styleId="ListParagraph">
    <w:name w:val="List Paragraph"/>
    <w:aliases w:val="First level bullet point,List Paragraph1,List Paragraph11,Recommendation"/>
    <w:basedOn w:val="Normal"/>
    <w:link w:val="ListParagraphChar"/>
    <w:uiPriority w:val="1"/>
    <w:qFormat/>
    <w:rsid w:val="00C63120"/>
    <w:pPr>
      <w:ind w:left="720"/>
      <w:contextualSpacing/>
    </w:pPr>
  </w:style>
  <w:style w:type="character" w:customStyle="1" w:styleId="DefaultChar">
    <w:name w:val="Default Char"/>
    <w:link w:val="Default"/>
    <w:locked/>
    <w:rsid w:val="001C2B35"/>
    <w:rPr>
      <w:rFonts w:ascii="Arial" w:hAnsi="Arial"/>
      <w:color w:val="000000"/>
      <w:sz w:val="24"/>
      <w:szCs w:val="24"/>
      <w:lang w:bidi="ar-SA"/>
    </w:rPr>
  </w:style>
  <w:style w:type="table" w:customStyle="1" w:styleId="TableGrid10">
    <w:name w:val="Table Grid1"/>
    <w:basedOn w:val="TableNormal"/>
    <w:next w:val="TableGrid"/>
    <w:locked/>
    <w:rsid w:val="00A65B67"/>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diumGrid11">
    <w:name w:val="Medium Grid 11"/>
    <w:semiHidden/>
    <w:locked/>
    <w:rsid w:val="00F53AC9"/>
    <w:rPr>
      <w:color w:val="808080"/>
    </w:rPr>
  </w:style>
  <w:style w:type="paragraph" w:customStyle="1" w:styleId="ColorfulList-Accent12">
    <w:name w:val="Colorful List - Accent 12"/>
    <w:basedOn w:val="Normal"/>
    <w:qFormat/>
    <w:rsid w:val="00F53AC9"/>
    <w:pPr>
      <w:ind w:left="720"/>
      <w:contextualSpacing/>
    </w:pPr>
  </w:style>
  <w:style w:type="paragraph" w:customStyle="1" w:styleId="MediumGrid1-Accent21">
    <w:name w:val="Medium Grid 1 - Accent 21"/>
    <w:basedOn w:val="Normal"/>
    <w:qFormat/>
    <w:rsid w:val="00DA5364"/>
    <w:pPr>
      <w:ind w:left="720"/>
      <w:contextualSpacing/>
    </w:pPr>
  </w:style>
  <w:style w:type="character" w:customStyle="1" w:styleId="A31">
    <w:name w:val="A31"/>
    <w:rsid w:val="00DA5364"/>
    <w:rPr>
      <w:i/>
      <w:iCs/>
      <w:color w:val="000000"/>
      <w:sz w:val="18"/>
      <w:szCs w:val="18"/>
    </w:rPr>
  </w:style>
  <w:style w:type="paragraph" w:styleId="Revision">
    <w:name w:val="Revision"/>
    <w:hidden/>
    <w:semiHidden/>
    <w:rsid w:val="00DA4BFF"/>
    <w:rPr>
      <w:rFonts w:ascii="Calibri" w:hAnsi="Calibri"/>
      <w:sz w:val="22"/>
      <w:lang w:eastAsia="en-AU"/>
    </w:rPr>
  </w:style>
  <w:style w:type="paragraph" w:styleId="DocumentMap">
    <w:name w:val="Document Map"/>
    <w:basedOn w:val="Normal"/>
    <w:link w:val="DocumentMapChar"/>
    <w:uiPriority w:val="99"/>
    <w:semiHidden/>
    <w:unhideWhenUsed/>
    <w:rsid w:val="007E40DA"/>
    <w:rPr>
      <w:rFonts w:ascii="Lucida Grande" w:hAnsi="Lucida Grande"/>
      <w:szCs w:val="24"/>
    </w:rPr>
  </w:style>
  <w:style w:type="character" w:customStyle="1" w:styleId="DocumentMapChar">
    <w:name w:val="Document Map Char"/>
    <w:link w:val="DocumentMap"/>
    <w:uiPriority w:val="99"/>
    <w:semiHidden/>
    <w:rsid w:val="007E40DA"/>
    <w:rPr>
      <w:rFonts w:ascii="Lucida Grande" w:eastAsia="Calibri" w:hAnsi="Lucida Grande"/>
      <w:sz w:val="24"/>
      <w:szCs w:val="24"/>
    </w:rPr>
  </w:style>
  <w:style w:type="character" w:customStyle="1" w:styleId="apple-converted-space">
    <w:name w:val="apple-converted-space"/>
    <w:basedOn w:val="DefaultParagraphFont"/>
    <w:rsid w:val="00F16EF1"/>
  </w:style>
  <w:style w:type="paragraph" w:customStyle="1" w:styleId="Pa0">
    <w:name w:val="Pa0"/>
    <w:basedOn w:val="Default"/>
    <w:next w:val="Default"/>
    <w:uiPriority w:val="99"/>
    <w:rsid w:val="00427E16"/>
    <w:pPr>
      <w:widowControl w:val="0"/>
      <w:spacing w:line="201" w:lineRule="atLeast"/>
    </w:pPr>
    <w:rPr>
      <w:rFonts w:ascii="Myriad Pro" w:eastAsiaTheme="minorEastAsia" w:hAnsi="Myriad Pro"/>
      <w:color w:val="auto"/>
      <w:lang w:val="en-US" w:eastAsia="ja-JP"/>
    </w:rPr>
  </w:style>
  <w:style w:type="character" w:customStyle="1" w:styleId="A2">
    <w:name w:val="A2"/>
    <w:uiPriority w:val="99"/>
    <w:rsid w:val="00427E16"/>
    <w:rPr>
      <w:rFonts w:ascii="Myriad Pro Light" w:hAnsi="Myriad Pro Light" w:cs="Myriad Pro Light"/>
      <w:color w:val="000000"/>
      <w:sz w:val="28"/>
      <w:szCs w:val="28"/>
    </w:rPr>
  </w:style>
  <w:style w:type="character" w:customStyle="1" w:styleId="ListParagraphChar">
    <w:name w:val="List Paragraph Char"/>
    <w:aliases w:val="First level bullet point Char,List Paragraph1 Char,List Paragraph11 Char,Recommendation Char"/>
    <w:link w:val="ListParagraph"/>
    <w:uiPriority w:val="34"/>
    <w:rsid w:val="00FD6263"/>
    <w:rPr>
      <w:rFonts w:ascii="Calibri" w:eastAsia="Calibri" w:hAnsi="Calibri"/>
      <w:sz w:val="22"/>
      <w:szCs w:val="22"/>
      <w:lang w:val="en-US"/>
    </w:rPr>
  </w:style>
  <w:style w:type="paragraph" w:customStyle="1" w:styleId="Pa3">
    <w:name w:val="Pa3"/>
    <w:basedOn w:val="Default"/>
    <w:next w:val="Default"/>
    <w:uiPriority w:val="99"/>
    <w:rsid w:val="006A5B52"/>
    <w:pPr>
      <w:widowControl w:val="0"/>
      <w:spacing w:line="241" w:lineRule="atLeast"/>
    </w:pPr>
    <w:rPr>
      <w:rFonts w:ascii="Archer" w:hAnsi="Archer"/>
      <w:color w:val="auto"/>
      <w:lang w:val="en-US" w:eastAsia="en-US"/>
    </w:rPr>
  </w:style>
  <w:style w:type="paragraph" w:customStyle="1" w:styleId="Pa4">
    <w:name w:val="Pa4"/>
    <w:basedOn w:val="Default"/>
    <w:next w:val="Default"/>
    <w:uiPriority w:val="99"/>
    <w:rsid w:val="006A5B52"/>
    <w:pPr>
      <w:widowControl w:val="0"/>
      <w:spacing w:line="181" w:lineRule="atLeast"/>
    </w:pPr>
    <w:rPr>
      <w:rFonts w:ascii="Archer" w:hAnsi="Archer"/>
      <w:color w:val="auto"/>
      <w:lang w:val="en-US" w:eastAsia="en-US"/>
    </w:rPr>
  </w:style>
  <w:style w:type="paragraph" w:customStyle="1" w:styleId="NormalArial">
    <w:name w:val="Normal + Arial"/>
    <w:basedOn w:val="Normal"/>
    <w:uiPriority w:val="99"/>
    <w:rsid w:val="005716A2"/>
    <w:rPr>
      <w:rFonts w:eastAsia="MS Mincho" w:cs="Arial"/>
      <w:b/>
      <w:sz w:val="32"/>
      <w:szCs w:val="32"/>
      <w:lang w:val="en-AU" w:eastAsia="ja-JP"/>
    </w:rPr>
  </w:style>
  <w:style w:type="character" w:customStyle="1" w:styleId="PlainTextChar">
    <w:name w:val="Plain Text Char"/>
    <w:basedOn w:val="DefaultParagraphFont"/>
    <w:link w:val="PlainText"/>
    <w:uiPriority w:val="99"/>
    <w:semiHidden/>
    <w:rsid w:val="00192CFB"/>
    <w:rPr>
      <w:rFonts w:ascii="Courier New" w:eastAsia="Calibri" w:hAnsi="Courier New" w:cs="Courier New"/>
      <w:sz w:val="20"/>
      <w:szCs w:val="20"/>
      <w:lang w:val="en-US"/>
    </w:rPr>
  </w:style>
  <w:style w:type="character" w:customStyle="1" w:styleId="SubtitleChar">
    <w:name w:val="Subtitle Char"/>
    <w:basedOn w:val="DefaultParagraphFont"/>
    <w:link w:val="Subtitle"/>
    <w:uiPriority w:val="99"/>
    <w:locked/>
    <w:rsid w:val="0074540C"/>
    <w:rPr>
      <w:rFonts w:ascii="Calibri" w:eastAsia="Calibri" w:hAnsi="Calibri" w:cs="Arial"/>
      <w:sz w:val="22"/>
      <w:szCs w:val="22"/>
      <w:lang w:val="en-US"/>
    </w:rPr>
  </w:style>
  <w:style w:type="paragraph" w:customStyle="1" w:styleId="SingleTxt">
    <w:name w:val="__Single Txt"/>
    <w:basedOn w:val="Normal"/>
    <w:rsid w:val="007E71A4"/>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ascii="Times New Roman" w:eastAsiaTheme="minorHAnsi" w:hAnsi="Times New Roman"/>
      <w:spacing w:val="4"/>
      <w:w w:val="103"/>
      <w:kern w:val="14"/>
      <w:sz w:val="20"/>
      <w:szCs w:val="20"/>
      <w:lang w:val="en-GB"/>
    </w:rPr>
  </w:style>
  <w:style w:type="paragraph" w:customStyle="1" w:styleId="H23">
    <w:name w:val="_ H_2/3"/>
    <w:basedOn w:val="Normal"/>
    <w:next w:val="Normal"/>
    <w:rsid w:val="007E71A4"/>
    <w:pPr>
      <w:keepNext/>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1"/>
    </w:pPr>
    <w:rPr>
      <w:rFonts w:ascii="Times New Roman" w:eastAsiaTheme="minorHAnsi" w:hAnsi="Times New Roman"/>
      <w:b/>
      <w:spacing w:val="2"/>
      <w:w w:val="103"/>
      <w:kern w:val="14"/>
      <w:sz w:val="20"/>
      <w:szCs w:val="20"/>
      <w:lang w:val="en-GB"/>
    </w:rPr>
  </w:style>
  <w:style w:type="paragraph" w:customStyle="1" w:styleId="CM6">
    <w:name w:val="CM6"/>
    <w:basedOn w:val="Default"/>
    <w:next w:val="Default"/>
    <w:uiPriority w:val="99"/>
    <w:rsid w:val="007E71A4"/>
    <w:pPr>
      <w:widowControl w:val="0"/>
      <w:spacing w:line="231" w:lineRule="atLeast"/>
    </w:pPr>
    <w:rPr>
      <w:rFonts w:ascii="Calibri Light" w:eastAsiaTheme="minorEastAsia" w:hAnsi="Calibri Light"/>
      <w:color w:val="auto"/>
      <w:lang w:val="en-US" w:eastAsia="ja-JP"/>
    </w:rPr>
  </w:style>
  <w:style w:type="paragraph" w:customStyle="1" w:styleId="CM5">
    <w:name w:val="CM5"/>
    <w:basedOn w:val="Default"/>
    <w:next w:val="Default"/>
    <w:uiPriority w:val="99"/>
    <w:rsid w:val="007E71A4"/>
    <w:pPr>
      <w:widowControl w:val="0"/>
      <w:spacing w:line="231" w:lineRule="atLeast"/>
    </w:pPr>
    <w:rPr>
      <w:rFonts w:ascii="Calibri Light" w:eastAsiaTheme="minorEastAsia" w:hAnsi="Calibri Light"/>
      <w:color w:val="auto"/>
      <w:lang w:val="en-US" w:eastAsia="ja-JP"/>
    </w:rPr>
  </w:style>
  <w:style w:type="paragraph" w:customStyle="1" w:styleId="CM28">
    <w:name w:val="CM28"/>
    <w:basedOn w:val="Default"/>
    <w:next w:val="Default"/>
    <w:uiPriority w:val="99"/>
    <w:rsid w:val="007E71A4"/>
    <w:pPr>
      <w:widowControl w:val="0"/>
      <w:spacing w:line="228" w:lineRule="atLeast"/>
    </w:pPr>
    <w:rPr>
      <w:rFonts w:ascii="Calibri Light" w:eastAsiaTheme="minorEastAsia" w:hAnsi="Calibri Light"/>
      <w:color w:val="auto"/>
      <w:lang w:val="en-US" w:eastAsia="ja-JP"/>
    </w:rPr>
  </w:style>
  <w:style w:type="paragraph" w:customStyle="1" w:styleId="CM8">
    <w:name w:val="CM8"/>
    <w:basedOn w:val="Default"/>
    <w:next w:val="Default"/>
    <w:uiPriority w:val="99"/>
    <w:rsid w:val="007E71A4"/>
    <w:pPr>
      <w:widowControl w:val="0"/>
      <w:spacing w:line="231" w:lineRule="atLeast"/>
    </w:pPr>
    <w:rPr>
      <w:rFonts w:ascii="Calibri Light" w:eastAsiaTheme="minorEastAsia" w:hAnsi="Calibri Light"/>
      <w:color w:val="auto"/>
      <w:lang w:val="en-US" w:eastAsia="ja-JP"/>
    </w:rPr>
  </w:style>
  <w:style w:type="paragraph" w:customStyle="1" w:styleId="CM101">
    <w:name w:val="CM101"/>
    <w:basedOn w:val="Default"/>
    <w:next w:val="Default"/>
    <w:uiPriority w:val="99"/>
    <w:rsid w:val="007E71A4"/>
    <w:pPr>
      <w:widowControl w:val="0"/>
    </w:pPr>
    <w:rPr>
      <w:rFonts w:ascii="Calibri Light" w:eastAsiaTheme="minorEastAsia" w:hAnsi="Calibri Light"/>
      <w:color w:val="auto"/>
      <w:lang w:val="en-US" w:eastAsia="ja-JP"/>
    </w:rPr>
  </w:style>
  <w:style w:type="paragraph" w:customStyle="1" w:styleId="CM103">
    <w:name w:val="CM103"/>
    <w:basedOn w:val="Default"/>
    <w:next w:val="Default"/>
    <w:uiPriority w:val="99"/>
    <w:rsid w:val="007E71A4"/>
    <w:pPr>
      <w:widowControl w:val="0"/>
    </w:pPr>
    <w:rPr>
      <w:rFonts w:ascii="Calibri Light" w:eastAsiaTheme="minorEastAsia" w:hAnsi="Calibri Light"/>
      <w:color w:val="auto"/>
      <w:lang w:val="en-US" w:eastAsia="ja-JP"/>
    </w:rPr>
  </w:style>
  <w:style w:type="paragraph" w:customStyle="1" w:styleId="CM11">
    <w:name w:val="CM11"/>
    <w:basedOn w:val="Default"/>
    <w:next w:val="Default"/>
    <w:uiPriority w:val="99"/>
    <w:rsid w:val="007E71A4"/>
    <w:pPr>
      <w:widowControl w:val="0"/>
      <w:spacing w:line="231" w:lineRule="atLeast"/>
    </w:pPr>
    <w:rPr>
      <w:rFonts w:ascii="Calibri Light" w:eastAsiaTheme="minorEastAsia" w:hAnsi="Calibri Light"/>
      <w:color w:val="auto"/>
      <w:lang w:val="en-US" w:eastAsia="ja-JP"/>
    </w:rPr>
  </w:style>
  <w:style w:type="paragraph" w:customStyle="1" w:styleId="CM17">
    <w:name w:val="CM17"/>
    <w:basedOn w:val="Default"/>
    <w:next w:val="Default"/>
    <w:uiPriority w:val="99"/>
    <w:rsid w:val="007E71A4"/>
    <w:pPr>
      <w:widowControl w:val="0"/>
      <w:spacing w:line="231" w:lineRule="atLeast"/>
    </w:pPr>
    <w:rPr>
      <w:rFonts w:ascii="Calibri Light" w:eastAsiaTheme="minorEastAsia" w:hAnsi="Calibri Light"/>
      <w:color w:val="auto"/>
      <w:lang w:val="en-US" w:eastAsia="ja-JP"/>
    </w:rPr>
  </w:style>
  <w:style w:type="paragraph" w:customStyle="1" w:styleId="CM4">
    <w:name w:val="CM4"/>
    <w:basedOn w:val="Default"/>
    <w:next w:val="Default"/>
    <w:uiPriority w:val="99"/>
    <w:rsid w:val="007E71A4"/>
    <w:pPr>
      <w:widowControl w:val="0"/>
      <w:spacing w:line="231" w:lineRule="atLeast"/>
    </w:pPr>
    <w:rPr>
      <w:rFonts w:ascii="Calibri Light" w:eastAsiaTheme="minorEastAsia" w:hAnsi="Calibri Light"/>
      <w:color w:val="auto"/>
      <w:lang w:val="en-US" w:eastAsia="ja-JP"/>
    </w:rPr>
  </w:style>
  <w:style w:type="paragraph" w:customStyle="1" w:styleId="CM20">
    <w:name w:val="CM20"/>
    <w:basedOn w:val="Default"/>
    <w:next w:val="Default"/>
    <w:uiPriority w:val="99"/>
    <w:rsid w:val="007E71A4"/>
    <w:pPr>
      <w:widowControl w:val="0"/>
      <w:spacing w:line="228" w:lineRule="atLeast"/>
    </w:pPr>
    <w:rPr>
      <w:rFonts w:ascii="Calibri Light" w:eastAsiaTheme="minorEastAsia" w:hAnsi="Calibri Light"/>
      <w:color w:val="auto"/>
      <w:lang w:val="en-US" w:eastAsia="ja-JP"/>
    </w:rPr>
  </w:style>
  <w:style w:type="character" w:customStyle="1" w:styleId="BodyTextChar">
    <w:name w:val="Body Text Char"/>
    <w:aliases w:val="Body Text Char1 Char Char1,Body Text Char Char Char Char1,Body Text Char1 Char2,Body Text Char Char Char2,Body Text Char2 Char,Body Text Char Char1 Char,Body Text Char1 Char Char Char,Body Text Char Char Char Char Char"/>
    <w:basedOn w:val="DefaultParagraphFont"/>
    <w:link w:val="BodyText"/>
    <w:semiHidden/>
    <w:rsid w:val="007E71A4"/>
    <w:rPr>
      <w:rFonts w:ascii="Calibri" w:eastAsia="Calibri" w:hAnsi="Calibri"/>
      <w:sz w:val="22"/>
      <w:szCs w:val="22"/>
      <w:lang w:val="en-US"/>
    </w:rPr>
  </w:style>
  <w:style w:type="paragraph" w:customStyle="1" w:styleId="Normal-Numberedlist">
    <w:name w:val="Normal-Numbered list"/>
    <w:basedOn w:val="ListParagraph"/>
    <w:qFormat/>
    <w:rsid w:val="008A3099"/>
    <w:pPr>
      <w:numPr>
        <w:numId w:val="60"/>
      </w:numPr>
      <w:autoSpaceDE w:val="0"/>
      <w:autoSpaceDN w:val="0"/>
      <w:adjustRightInd w:val="0"/>
      <w:spacing w:before="120"/>
      <w:contextualSpacing w:val="0"/>
      <w:jc w:val="both"/>
      <w:textAlignment w:val="center"/>
    </w:pPr>
    <w:rPr>
      <w:rFonts w:eastAsiaTheme="minorEastAsia" w:cs="MinionPro-Regular"/>
      <w:color w:val="000000"/>
      <w:lang w:val="en-AU" w:eastAsia="en-AU"/>
    </w:rPr>
  </w:style>
  <w:style w:type="paragraph" w:customStyle="1" w:styleId="Normal-BoldBlue">
    <w:name w:val="Normal - Bold Blue"/>
    <w:basedOn w:val="Normal"/>
    <w:qFormat/>
    <w:rsid w:val="00023433"/>
    <w:pPr>
      <w:keepNext/>
      <w:autoSpaceDE w:val="0"/>
      <w:autoSpaceDN w:val="0"/>
      <w:adjustRightInd w:val="0"/>
      <w:spacing w:before="200"/>
      <w:jc w:val="both"/>
      <w:textAlignment w:val="center"/>
    </w:pPr>
    <w:rPr>
      <w:rFonts w:eastAsiaTheme="minorEastAsia" w:cs="MinionPro-Regular"/>
      <w:b/>
      <w:color w:val="1E2BC8"/>
      <w:lang w:val="en-AU" w:eastAsia="en-AU"/>
    </w:rPr>
  </w:style>
  <w:style w:type="paragraph" w:styleId="NoSpacing">
    <w:name w:val="No Spacing"/>
    <w:uiPriority w:val="99"/>
    <w:qFormat/>
    <w:rsid w:val="00C2027D"/>
    <w:pPr>
      <w:widowControl w:val="0"/>
    </w:pPr>
    <w:rPr>
      <w:rFonts w:ascii="Cambria" w:eastAsia="MS Minngs" w:hAnsi="Cambria"/>
      <w:kern w:val="2"/>
      <w:sz w:val="21"/>
      <w:szCs w:val="22"/>
      <w:lang w:val="en-US" w:eastAsia="zh-CN"/>
    </w:rPr>
  </w:style>
  <w:style w:type="paragraph" w:customStyle="1" w:styleId="Photocaption">
    <w:name w:val="Photo caption"/>
    <w:basedOn w:val="Normal"/>
    <w:qFormat/>
    <w:rsid w:val="00472B04"/>
    <w:rPr>
      <w:sz w:val="20"/>
      <w:szCs w:val="20"/>
    </w:rPr>
  </w:style>
  <w:style w:type="paragraph" w:customStyle="1" w:styleId="Paragrafobase">
    <w:name w:val="[Paragrafo base]"/>
    <w:basedOn w:val="Normal"/>
    <w:uiPriority w:val="99"/>
    <w:rsid w:val="004A1E8F"/>
    <w:pPr>
      <w:suppressAutoHyphens/>
      <w:autoSpaceDE w:val="0"/>
      <w:autoSpaceDN w:val="0"/>
      <w:adjustRightInd w:val="0"/>
      <w:spacing w:after="170" w:line="240" w:lineRule="atLeast"/>
      <w:textAlignment w:val="center"/>
    </w:pPr>
    <w:rPr>
      <w:rFonts w:ascii="HelveticaNeueLTPro-Roman" w:eastAsia="Times New Roman" w:hAnsi="HelveticaNeueLTPro-Roman" w:cs="HelveticaNeueLTPro-Roman"/>
      <w:color w:val="000000"/>
      <w:sz w:val="18"/>
      <w:szCs w:val="18"/>
    </w:rPr>
  </w:style>
  <w:style w:type="paragraph" w:styleId="TOC5">
    <w:name w:val="toc 5"/>
    <w:basedOn w:val="Normal"/>
    <w:next w:val="Normal"/>
    <w:autoRedefine/>
    <w:uiPriority w:val="39"/>
    <w:unhideWhenUsed/>
    <w:rsid w:val="00F82562"/>
    <w:pPr>
      <w:ind w:left="960"/>
    </w:pPr>
  </w:style>
  <w:style w:type="paragraph" w:styleId="TOC6">
    <w:name w:val="toc 6"/>
    <w:basedOn w:val="Normal"/>
    <w:next w:val="Normal"/>
    <w:autoRedefine/>
    <w:uiPriority w:val="39"/>
    <w:unhideWhenUsed/>
    <w:rsid w:val="00F82562"/>
    <w:pPr>
      <w:ind w:left="1200"/>
    </w:pPr>
  </w:style>
  <w:style w:type="paragraph" w:styleId="TOC7">
    <w:name w:val="toc 7"/>
    <w:basedOn w:val="Normal"/>
    <w:next w:val="Normal"/>
    <w:autoRedefine/>
    <w:uiPriority w:val="39"/>
    <w:unhideWhenUsed/>
    <w:rsid w:val="00F82562"/>
    <w:pPr>
      <w:ind w:left="1440"/>
    </w:pPr>
  </w:style>
  <w:style w:type="paragraph" w:styleId="TOC8">
    <w:name w:val="toc 8"/>
    <w:basedOn w:val="Normal"/>
    <w:next w:val="Normal"/>
    <w:autoRedefine/>
    <w:uiPriority w:val="39"/>
    <w:unhideWhenUsed/>
    <w:rsid w:val="00F82562"/>
    <w:pPr>
      <w:ind w:left="1680"/>
    </w:pPr>
  </w:style>
  <w:style w:type="paragraph" w:styleId="TOC9">
    <w:name w:val="toc 9"/>
    <w:basedOn w:val="Normal"/>
    <w:next w:val="Normal"/>
    <w:autoRedefine/>
    <w:uiPriority w:val="39"/>
    <w:unhideWhenUsed/>
    <w:rsid w:val="00F82562"/>
    <w:pPr>
      <w:ind w:left="1920"/>
    </w:pPr>
  </w:style>
  <w:style w:type="paragraph" w:customStyle="1" w:styleId="PullQuote">
    <w:name w:val="Pull Quote"/>
    <w:basedOn w:val="CommentText"/>
    <w:qFormat/>
    <w:rsid w:val="00C86B5A"/>
    <w:pPr>
      <w:spacing w:before="160" w:line="240" w:lineRule="auto"/>
    </w:pPr>
    <w:rPr>
      <w:rFonts w:ascii="Arial Narrow" w:hAnsi="Arial Narrow"/>
      <w:color w:val="007DA7"/>
      <w:sz w:val="32"/>
      <w:szCs w:val="28"/>
    </w:rPr>
  </w:style>
  <w:style w:type="paragraph" w:customStyle="1" w:styleId="PullQuote-Offwhite">
    <w:name w:val="Pull Quote - Off white"/>
    <w:basedOn w:val="Normal"/>
    <w:uiPriority w:val="99"/>
    <w:rsid w:val="00D954AF"/>
    <w:pPr>
      <w:suppressAutoHyphens/>
      <w:autoSpaceDE w:val="0"/>
      <w:autoSpaceDN w:val="0"/>
      <w:adjustRightInd w:val="0"/>
      <w:spacing w:after="170" w:line="240" w:lineRule="atLeast"/>
      <w:textAlignment w:val="center"/>
    </w:pPr>
    <w:rPr>
      <w:rFonts w:ascii="HelveticaNeueLTPro-MdCn" w:eastAsia="Times New Roman" w:hAnsi="HelveticaNeueLTPro-MdCn" w:cs="HelveticaNeueLTPro-MdCn"/>
      <w:color w:val="ECEAE6"/>
      <w:sz w:val="19"/>
      <w:szCs w:val="19"/>
    </w:rPr>
  </w:style>
  <w:style w:type="paragraph" w:customStyle="1" w:styleId="PullQuote-Blu">
    <w:name w:val="Pull Quote - Blu"/>
    <w:basedOn w:val="PullQuote-Offwhite"/>
    <w:uiPriority w:val="99"/>
    <w:rsid w:val="00D954AF"/>
    <w:rPr>
      <w:color w:val="007CA6"/>
    </w:rPr>
  </w:style>
  <w:style w:type="paragraph" w:customStyle="1" w:styleId="Pa11">
    <w:name w:val="Pa11"/>
    <w:basedOn w:val="Default"/>
    <w:next w:val="Default"/>
    <w:uiPriority w:val="99"/>
    <w:rsid w:val="00A25155"/>
    <w:pPr>
      <w:widowControl w:val="0"/>
      <w:spacing w:line="191" w:lineRule="atLeast"/>
    </w:pPr>
    <w:rPr>
      <w:rFonts w:ascii="HelveticaNeueLT Pro 67 MdCn" w:hAnsi="HelveticaNeueLT Pro 67 MdCn"/>
      <w:color w:val="auto"/>
      <w:lang w:val="en-US" w:eastAsia="en-US"/>
    </w:rPr>
  </w:style>
  <w:style w:type="paragraph" w:customStyle="1" w:styleId="PullQuoteCredit">
    <w:name w:val="Pull Quote Credit"/>
    <w:basedOn w:val="Heading5"/>
    <w:qFormat/>
    <w:rsid w:val="00A25155"/>
    <w:pPr>
      <w:spacing w:before="200" w:after="20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1"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7CE8"/>
    <w:pPr>
      <w:keepLines/>
      <w:widowControl w:val="0"/>
      <w:spacing w:after="200" w:line="288" w:lineRule="auto"/>
    </w:pPr>
    <w:rPr>
      <w:rFonts w:ascii="Arial" w:eastAsia="Calibri" w:hAnsi="Arial"/>
      <w:szCs w:val="22"/>
      <w:lang w:val="en-US"/>
    </w:rPr>
  </w:style>
  <w:style w:type="paragraph" w:styleId="Heading1">
    <w:name w:val="heading 1"/>
    <w:basedOn w:val="Normal"/>
    <w:next w:val="Normal"/>
    <w:link w:val="Heading1Char"/>
    <w:qFormat/>
    <w:rsid w:val="00221A61"/>
    <w:pPr>
      <w:keepNext/>
      <w:pageBreakBefore/>
      <w:spacing w:after="600" w:line="240" w:lineRule="auto"/>
      <w:outlineLvl w:val="0"/>
    </w:pPr>
    <w:rPr>
      <w:bCs/>
      <w:color w:val="007DA7"/>
      <w:sz w:val="48"/>
      <w:szCs w:val="28"/>
    </w:rPr>
  </w:style>
  <w:style w:type="paragraph" w:styleId="Heading2">
    <w:name w:val="heading 2"/>
    <w:basedOn w:val="Heading1"/>
    <w:next w:val="Normal"/>
    <w:link w:val="Heading2Char"/>
    <w:qFormat/>
    <w:rsid w:val="00F34FAD"/>
    <w:pPr>
      <w:numPr>
        <w:ilvl w:val="1"/>
      </w:numPr>
      <w:tabs>
        <w:tab w:val="num" w:pos="851"/>
      </w:tabs>
      <w:spacing w:before="400" w:after="400"/>
      <w:outlineLvl w:val="1"/>
    </w:pPr>
    <w:rPr>
      <w:bCs w:val="0"/>
      <w:color w:val="auto"/>
      <w:sz w:val="36"/>
      <w:szCs w:val="26"/>
    </w:rPr>
  </w:style>
  <w:style w:type="paragraph" w:styleId="Heading3">
    <w:name w:val="heading 3"/>
    <w:basedOn w:val="Heading2"/>
    <w:next w:val="Normal"/>
    <w:link w:val="Heading3Char"/>
    <w:qFormat/>
    <w:rsid w:val="00221A61"/>
    <w:pPr>
      <w:pageBreakBefore w:val="0"/>
      <w:numPr>
        <w:ilvl w:val="2"/>
      </w:numPr>
      <w:tabs>
        <w:tab w:val="num" w:pos="851"/>
        <w:tab w:val="num" w:pos="993"/>
      </w:tabs>
      <w:outlineLvl w:val="2"/>
    </w:pPr>
    <w:rPr>
      <w:bCs/>
      <w:color w:val="595959" w:themeColor="text1" w:themeTint="A6"/>
    </w:rPr>
  </w:style>
  <w:style w:type="paragraph" w:styleId="Heading4">
    <w:name w:val="heading 4"/>
    <w:basedOn w:val="Heading3"/>
    <w:next w:val="Normal"/>
    <w:link w:val="Heading4Char"/>
    <w:qFormat/>
    <w:rsid w:val="00E9389C"/>
    <w:pPr>
      <w:numPr>
        <w:ilvl w:val="3"/>
      </w:numPr>
      <w:tabs>
        <w:tab w:val="num" w:pos="851"/>
      </w:tabs>
      <w:outlineLvl w:val="3"/>
    </w:pPr>
    <w:rPr>
      <w:b/>
      <w:bCs w:val="0"/>
      <w:iCs/>
      <w:sz w:val="24"/>
    </w:rPr>
  </w:style>
  <w:style w:type="paragraph" w:styleId="Heading5">
    <w:name w:val="heading 5"/>
    <w:basedOn w:val="Normal"/>
    <w:next w:val="Normal"/>
    <w:link w:val="Heading5Char"/>
    <w:qFormat/>
    <w:locked/>
    <w:rsid w:val="00F34FAD"/>
    <w:pPr>
      <w:keepNext/>
      <w:spacing w:before="400" w:after="400" w:line="240" w:lineRule="auto"/>
      <w:outlineLvl w:val="4"/>
    </w:pPr>
    <w:rPr>
      <w:rFonts w:eastAsia="Times New Roman"/>
      <w:b/>
      <w:color w:val="007DA7"/>
      <w:szCs w:val="24"/>
      <w:lang w:val="en-AU" w:eastAsia="en-AU"/>
    </w:rPr>
  </w:style>
  <w:style w:type="paragraph" w:styleId="Heading6">
    <w:name w:val="heading 6"/>
    <w:basedOn w:val="Normal"/>
    <w:next w:val="Normal"/>
    <w:link w:val="Heading6Char"/>
    <w:qFormat/>
    <w:locked/>
    <w:rsid w:val="00F14C6D"/>
    <w:pPr>
      <w:keepNext/>
      <w:spacing w:before="200"/>
      <w:outlineLvl w:val="5"/>
    </w:pPr>
    <w:rPr>
      <w:rFonts w:ascii="Cambria" w:eastAsia="Times New Roman" w:hAnsi="Cambria"/>
      <w:i/>
      <w:iCs/>
      <w:color w:val="243F60"/>
      <w:szCs w:val="24"/>
      <w:lang w:val="en-AU" w:eastAsia="en-AU"/>
    </w:rPr>
  </w:style>
  <w:style w:type="paragraph" w:styleId="Heading7">
    <w:name w:val="heading 7"/>
    <w:basedOn w:val="Normal"/>
    <w:next w:val="Normal"/>
    <w:link w:val="Heading7Char"/>
    <w:qFormat/>
    <w:locked/>
    <w:rsid w:val="00F14C6D"/>
    <w:pPr>
      <w:keepNext/>
      <w:spacing w:before="200"/>
      <w:outlineLvl w:val="6"/>
    </w:pPr>
    <w:rPr>
      <w:rFonts w:ascii="Cambria" w:eastAsia="Times New Roman" w:hAnsi="Cambria"/>
      <w:i/>
      <w:iCs/>
      <w:color w:val="404040"/>
      <w:szCs w:val="24"/>
      <w:lang w:val="en-AU" w:eastAsia="en-AU"/>
    </w:rPr>
  </w:style>
  <w:style w:type="paragraph" w:styleId="Heading8">
    <w:name w:val="heading 8"/>
    <w:basedOn w:val="Normal"/>
    <w:next w:val="Normal"/>
    <w:link w:val="Heading8Char"/>
    <w:qFormat/>
    <w:locked/>
    <w:rsid w:val="00F14C6D"/>
    <w:pPr>
      <w:keepNext/>
      <w:spacing w:before="200"/>
      <w:outlineLvl w:val="7"/>
    </w:pPr>
    <w:rPr>
      <w:rFonts w:ascii="Cambria" w:eastAsia="Times New Roman" w:hAnsi="Cambria"/>
      <w:color w:val="404040"/>
      <w:sz w:val="20"/>
      <w:szCs w:val="20"/>
      <w:lang w:val="en-AU" w:eastAsia="en-AU"/>
    </w:rPr>
  </w:style>
  <w:style w:type="paragraph" w:styleId="Heading9">
    <w:name w:val="heading 9"/>
    <w:basedOn w:val="Normal"/>
    <w:next w:val="Normal"/>
    <w:link w:val="Heading9Char"/>
    <w:qFormat/>
    <w:locked/>
    <w:rsid w:val="00F14C6D"/>
    <w:pPr>
      <w:keepNext/>
      <w:spacing w:before="200"/>
      <w:outlineLvl w:val="8"/>
    </w:pPr>
    <w:rPr>
      <w:rFonts w:ascii="Cambria" w:eastAsia="Times New Roman" w:hAnsi="Cambria"/>
      <w:i/>
      <w:iCs/>
      <w:color w:val="404040"/>
      <w:sz w:val="20"/>
      <w:szCs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21A61"/>
    <w:rPr>
      <w:rFonts w:ascii="Arial" w:eastAsia="Calibri" w:hAnsi="Arial"/>
      <w:bCs/>
      <w:color w:val="007DA7"/>
      <w:sz w:val="48"/>
      <w:szCs w:val="28"/>
      <w:lang w:val="en-US"/>
    </w:rPr>
  </w:style>
  <w:style w:type="character" w:customStyle="1" w:styleId="Heading2Char">
    <w:name w:val="Heading 2 Char"/>
    <w:link w:val="Heading2"/>
    <w:rsid w:val="00F34FAD"/>
    <w:rPr>
      <w:rFonts w:ascii="Arial" w:eastAsia="Calibri" w:hAnsi="Arial"/>
      <w:sz w:val="36"/>
      <w:szCs w:val="26"/>
      <w:lang w:val="en-US"/>
    </w:rPr>
  </w:style>
  <w:style w:type="character" w:customStyle="1" w:styleId="Heading3Char">
    <w:name w:val="Heading 3 Char"/>
    <w:link w:val="Heading3"/>
    <w:rsid w:val="00221A61"/>
    <w:rPr>
      <w:rFonts w:ascii="Arial" w:eastAsia="Calibri" w:hAnsi="Arial"/>
      <w:bCs/>
      <w:color w:val="595959" w:themeColor="text1" w:themeTint="A6"/>
      <w:sz w:val="36"/>
      <w:szCs w:val="26"/>
      <w:lang w:val="en-US"/>
    </w:rPr>
  </w:style>
  <w:style w:type="character" w:customStyle="1" w:styleId="Heading4Char">
    <w:name w:val="Heading 4 Char"/>
    <w:link w:val="Heading4"/>
    <w:rsid w:val="00E9389C"/>
    <w:rPr>
      <w:rFonts w:ascii="Arial" w:eastAsia="Calibri" w:hAnsi="Arial"/>
      <w:b/>
      <w:iCs/>
      <w:color w:val="595959" w:themeColor="text1" w:themeTint="A6"/>
      <w:szCs w:val="26"/>
      <w:lang w:val="en-US"/>
    </w:rPr>
  </w:style>
  <w:style w:type="character" w:styleId="Strong">
    <w:name w:val="Strong"/>
    <w:qFormat/>
    <w:locked/>
    <w:rsid w:val="001325F4"/>
    <w:rPr>
      <w:rFonts w:ascii="Arial" w:hAnsi="Arial"/>
      <w:b/>
      <w:bCs/>
    </w:rPr>
  </w:style>
  <w:style w:type="character" w:customStyle="1" w:styleId="Heading5Char">
    <w:name w:val="Heading 5 Char"/>
    <w:link w:val="Heading5"/>
    <w:rsid w:val="00F34FAD"/>
    <w:rPr>
      <w:rFonts w:ascii="Arial" w:hAnsi="Arial"/>
      <w:b/>
      <w:color w:val="007DA7"/>
      <w:lang w:eastAsia="en-AU"/>
    </w:rPr>
  </w:style>
  <w:style w:type="character" w:customStyle="1" w:styleId="Heading6Char">
    <w:name w:val="Heading 6 Char"/>
    <w:link w:val="Heading6"/>
    <w:semiHidden/>
    <w:rsid w:val="00F14C6D"/>
    <w:rPr>
      <w:rFonts w:ascii="Cambria" w:hAnsi="Cambria"/>
      <w:i/>
      <w:iCs/>
      <w:color w:val="243F60"/>
      <w:sz w:val="24"/>
      <w:szCs w:val="24"/>
      <w:lang w:val="en-AU" w:eastAsia="en-AU" w:bidi="ar-SA"/>
    </w:rPr>
  </w:style>
  <w:style w:type="character" w:customStyle="1" w:styleId="Heading7Char">
    <w:name w:val="Heading 7 Char"/>
    <w:link w:val="Heading7"/>
    <w:semiHidden/>
    <w:rsid w:val="00F14C6D"/>
    <w:rPr>
      <w:rFonts w:ascii="Cambria" w:hAnsi="Cambria"/>
      <w:i/>
      <w:iCs/>
      <w:color w:val="404040"/>
      <w:sz w:val="24"/>
      <w:szCs w:val="24"/>
      <w:lang w:val="en-AU" w:eastAsia="en-AU" w:bidi="ar-SA"/>
    </w:rPr>
  </w:style>
  <w:style w:type="character" w:customStyle="1" w:styleId="Heading8Char">
    <w:name w:val="Heading 8 Char"/>
    <w:link w:val="Heading8"/>
    <w:semiHidden/>
    <w:rsid w:val="00F14C6D"/>
    <w:rPr>
      <w:rFonts w:ascii="Cambria" w:hAnsi="Cambria"/>
      <w:color w:val="404040"/>
      <w:lang w:val="en-AU" w:eastAsia="en-AU" w:bidi="ar-SA"/>
    </w:rPr>
  </w:style>
  <w:style w:type="character" w:customStyle="1" w:styleId="Heading9Char">
    <w:name w:val="Heading 9 Char"/>
    <w:link w:val="Heading9"/>
    <w:semiHidden/>
    <w:rsid w:val="00F14C6D"/>
    <w:rPr>
      <w:rFonts w:ascii="Cambria" w:hAnsi="Cambria"/>
      <w:i/>
      <w:iCs/>
      <w:color w:val="404040"/>
      <w:lang w:val="en-AU" w:eastAsia="en-AU" w:bidi="ar-SA"/>
    </w:rPr>
  </w:style>
  <w:style w:type="paragraph" w:styleId="Header">
    <w:name w:val="header"/>
    <w:basedOn w:val="Normal"/>
    <w:link w:val="HeaderChar"/>
    <w:semiHidden/>
    <w:rsid w:val="00E75D90"/>
    <w:pPr>
      <w:tabs>
        <w:tab w:val="center" w:pos="4513"/>
        <w:tab w:val="right" w:pos="9026"/>
      </w:tabs>
      <w:jc w:val="right"/>
    </w:pPr>
    <w:rPr>
      <w:rFonts w:eastAsia="Times New Roman"/>
      <w:szCs w:val="24"/>
    </w:rPr>
  </w:style>
  <w:style w:type="character" w:customStyle="1" w:styleId="HeaderChar">
    <w:name w:val="Header Char"/>
    <w:link w:val="Header"/>
    <w:semiHidden/>
    <w:rsid w:val="00E75D90"/>
    <w:rPr>
      <w:rFonts w:ascii="Arial" w:hAnsi="Arial"/>
      <w:sz w:val="22"/>
      <w:szCs w:val="24"/>
    </w:rPr>
  </w:style>
  <w:style w:type="paragraph" w:styleId="Footer">
    <w:name w:val="footer"/>
    <w:basedOn w:val="Normal"/>
    <w:link w:val="FooterChar"/>
    <w:uiPriority w:val="99"/>
    <w:rsid w:val="00E75D90"/>
    <w:pPr>
      <w:tabs>
        <w:tab w:val="center" w:pos="4513"/>
        <w:tab w:val="right" w:pos="9026"/>
      </w:tabs>
      <w:jc w:val="right"/>
    </w:pPr>
    <w:rPr>
      <w:rFonts w:eastAsia="Times New Roman"/>
      <w:szCs w:val="24"/>
    </w:rPr>
  </w:style>
  <w:style w:type="character" w:customStyle="1" w:styleId="FooterChar">
    <w:name w:val="Footer Char"/>
    <w:link w:val="Footer"/>
    <w:uiPriority w:val="99"/>
    <w:rsid w:val="00E75D90"/>
    <w:rPr>
      <w:rFonts w:ascii="Arial" w:hAnsi="Arial"/>
      <w:sz w:val="22"/>
      <w:szCs w:val="24"/>
    </w:rPr>
  </w:style>
  <w:style w:type="paragraph" w:styleId="TOC3">
    <w:name w:val="toc 3"/>
    <w:basedOn w:val="Normal"/>
    <w:next w:val="Normal"/>
    <w:autoRedefine/>
    <w:uiPriority w:val="39"/>
    <w:qFormat/>
    <w:locked/>
    <w:rsid w:val="00F82562"/>
    <w:pPr>
      <w:ind w:left="567"/>
    </w:pPr>
    <w:rPr>
      <w:rFonts w:eastAsia="MS Mincho" w:cs="Arial"/>
      <w:noProof/>
    </w:rPr>
  </w:style>
  <w:style w:type="character" w:styleId="PlaceholderText">
    <w:name w:val="Placeholder Text"/>
    <w:semiHidden/>
    <w:locked/>
    <w:rsid w:val="00DA5364"/>
    <w:rPr>
      <w:color w:val="808080"/>
    </w:rPr>
  </w:style>
  <w:style w:type="paragraph" w:styleId="ListContinue4">
    <w:name w:val="List Continue 4"/>
    <w:basedOn w:val="Normal"/>
    <w:semiHidden/>
    <w:locked/>
    <w:rsid w:val="0090165F"/>
    <w:pPr>
      <w:spacing w:after="120"/>
      <w:ind w:left="1132"/>
    </w:pPr>
  </w:style>
  <w:style w:type="numbering" w:styleId="111111">
    <w:name w:val="Outline List 2"/>
    <w:basedOn w:val="NoList"/>
    <w:semiHidden/>
    <w:locked/>
    <w:rsid w:val="00E45954"/>
    <w:pPr>
      <w:numPr>
        <w:numId w:val="11"/>
      </w:numPr>
    </w:pPr>
  </w:style>
  <w:style w:type="paragraph" w:styleId="TOC1">
    <w:name w:val="toc 1"/>
    <w:basedOn w:val="Normal"/>
    <w:next w:val="Normal"/>
    <w:autoRedefine/>
    <w:uiPriority w:val="39"/>
    <w:qFormat/>
    <w:locked/>
    <w:rsid w:val="00050FD5"/>
    <w:pPr>
      <w:tabs>
        <w:tab w:val="right" w:leader="dot" w:pos="9060"/>
      </w:tabs>
    </w:pPr>
    <w:rPr>
      <w:b/>
    </w:rPr>
  </w:style>
  <w:style w:type="paragraph" w:styleId="TOC2">
    <w:name w:val="toc 2"/>
    <w:basedOn w:val="Normal"/>
    <w:next w:val="Normal"/>
    <w:autoRedefine/>
    <w:uiPriority w:val="39"/>
    <w:qFormat/>
    <w:locked/>
    <w:rsid w:val="00F82562"/>
    <w:pPr>
      <w:ind w:left="567"/>
    </w:pPr>
  </w:style>
  <w:style w:type="paragraph" w:styleId="TOC4">
    <w:name w:val="toc 4"/>
    <w:basedOn w:val="Normal"/>
    <w:next w:val="Normal"/>
    <w:autoRedefine/>
    <w:uiPriority w:val="39"/>
    <w:semiHidden/>
    <w:locked/>
    <w:rsid w:val="008A2AF7"/>
    <w:pPr>
      <w:tabs>
        <w:tab w:val="left" w:pos="1440"/>
        <w:tab w:val="right" w:leader="dot" w:pos="9060"/>
      </w:tabs>
      <w:ind w:left="1440" w:hanging="720"/>
    </w:pPr>
    <w:rPr>
      <w:noProof/>
    </w:rPr>
  </w:style>
  <w:style w:type="character" w:styleId="Hyperlink">
    <w:name w:val="Hyperlink"/>
    <w:uiPriority w:val="99"/>
    <w:unhideWhenUsed/>
    <w:locked/>
    <w:rsid w:val="006B2B31"/>
    <w:rPr>
      <w:rFonts w:ascii="Arial" w:hAnsi="Arial"/>
      <w:color w:val="0000FF"/>
      <w:u w:val="single"/>
    </w:rPr>
  </w:style>
  <w:style w:type="paragraph" w:styleId="TOCHeading">
    <w:name w:val="TOC Heading"/>
    <w:basedOn w:val="Normal"/>
    <w:next w:val="Normal"/>
    <w:uiPriority w:val="39"/>
    <w:qFormat/>
    <w:locked/>
    <w:rsid w:val="00725D5E"/>
    <w:rPr>
      <w:b/>
      <w:sz w:val="28"/>
    </w:rPr>
  </w:style>
  <w:style w:type="paragraph" w:styleId="EndnoteText">
    <w:name w:val="endnote text"/>
    <w:basedOn w:val="Normal"/>
    <w:link w:val="EndnoteTextChar"/>
    <w:uiPriority w:val="99"/>
    <w:rsid w:val="00926A69"/>
    <w:rPr>
      <w:rFonts w:eastAsia="Times New Roman"/>
      <w:sz w:val="20"/>
      <w:szCs w:val="20"/>
      <w:lang w:val="en-AU" w:eastAsia="en-AU"/>
    </w:rPr>
  </w:style>
  <w:style w:type="character" w:customStyle="1" w:styleId="EndnoteTextChar">
    <w:name w:val="Endnote Text Char"/>
    <w:link w:val="EndnoteText"/>
    <w:uiPriority w:val="99"/>
    <w:rsid w:val="00926A69"/>
    <w:rPr>
      <w:rFonts w:ascii="Arial" w:hAnsi="Arial"/>
      <w:sz w:val="20"/>
      <w:szCs w:val="20"/>
      <w:lang w:eastAsia="en-AU"/>
    </w:rPr>
  </w:style>
  <w:style w:type="character" w:styleId="EndnoteReference">
    <w:name w:val="endnote reference"/>
    <w:uiPriority w:val="99"/>
    <w:rsid w:val="00564A26"/>
    <w:rPr>
      <w:rFonts w:ascii="Arial" w:hAnsi="Arial"/>
      <w:sz w:val="24"/>
      <w:vertAlign w:val="superscript"/>
    </w:rPr>
  </w:style>
  <w:style w:type="numbering" w:styleId="1ai">
    <w:name w:val="Outline List 1"/>
    <w:basedOn w:val="NoList"/>
    <w:semiHidden/>
    <w:locked/>
    <w:rsid w:val="00E45954"/>
    <w:pPr>
      <w:numPr>
        <w:numId w:val="12"/>
      </w:numPr>
    </w:pPr>
  </w:style>
  <w:style w:type="numbering" w:styleId="ArticleSection">
    <w:name w:val="Outline List 3"/>
    <w:basedOn w:val="NoList"/>
    <w:semiHidden/>
    <w:locked/>
    <w:rsid w:val="00E45954"/>
    <w:pPr>
      <w:numPr>
        <w:numId w:val="13"/>
      </w:numPr>
    </w:pPr>
  </w:style>
  <w:style w:type="paragraph" w:styleId="BlockText">
    <w:name w:val="Block Text"/>
    <w:basedOn w:val="Normal"/>
    <w:semiHidden/>
    <w:locked/>
    <w:rsid w:val="00E45954"/>
    <w:pPr>
      <w:spacing w:after="120"/>
      <w:ind w:left="1440" w:right="1440"/>
    </w:pPr>
  </w:style>
  <w:style w:type="paragraph" w:styleId="BodyText">
    <w:name w:val="Body Text"/>
    <w:aliases w:val="Body Text Char1 Char,Body Text Char Char Char,Body Text Char1,Body Text Char Char,Body Text Char2,Body Text Char Char1,Body Text Char1 Char Char,Body Text Char Char Char Char,Body Text Char1 Char1,Body Text Char Char Char1,Body Text Char3 Char"/>
    <w:basedOn w:val="Normal"/>
    <w:link w:val="BodyTextChar"/>
    <w:semiHidden/>
    <w:locked/>
    <w:rsid w:val="00E45954"/>
    <w:pPr>
      <w:spacing w:after="120"/>
    </w:pPr>
  </w:style>
  <w:style w:type="paragraph" w:styleId="BodyText2">
    <w:name w:val="Body Text 2"/>
    <w:basedOn w:val="Normal"/>
    <w:semiHidden/>
    <w:locked/>
    <w:rsid w:val="00E45954"/>
    <w:pPr>
      <w:spacing w:after="120" w:line="480" w:lineRule="auto"/>
    </w:pPr>
  </w:style>
  <w:style w:type="paragraph" w:styleId="BodyText3">
    <w:name w:val="Body Text 3"/>
    <w:basedOn w:val="Normal"/>
    <w:semiHidden/>
    <w:locked/>
    <w:rsid w:val="00E45954"/>
    <w:pPr>
      <w:spacing w:after="120"/>
    </w:pPr>
    <w:rPr>
      <w:sz w:val="16"/>
      <w:szCs w:val="16"/>
    </w:rPr>
  </w:style>
  <w:style w:type="paragraph" w:styleId="BodyTextFirstIndent">
    <w:name w:val="Body Text First Indent"/>
    <w:basedOn w:val="BodyText"/>
    <w:semiHidden/>
    <w:locked/>
    <w:rsid w:val="00E45954"/>
    <w:pPr>
      <w:ind w:firstLine="210"/>
    </w:pPr>
  </w:style>
  <w:style w:type="paragraph" w:styleId="BodyTextIndent">
    <w:name w:val="Body Text Indent"/>
    <w:basedOn w:val="Normal"/>
    <w:semiHidden/>
    <w:locked/>
    <w:rsid w:val="00E45954"/>
    <w:pPr>
      <w:spacing w:after="120"/>
      <w:ind w:left="283"/>
    </w:pPr>
  </w:style>
  <w:style w:type="paragraph" w:styleId="BodyTextFirstIndent2">
    <w:name w:val="Body Text First Indent 2"/>
    <w:basedOn w:val="BodyTextIndent"/>
    <w:semiHidden/>
    <w:locked/>
    <w:rsid w:val="00E45954"/>
    <w:pPr>
      <w:ind w:firstLine="210"/>
    </w:pPr>
  </w:style>
  <w:style w:type="paragraph" w:styleId="BodyTextIndent2">
    <w:name w:val="Body Text Indent 2"/>
    <w:basedOn w:val="Normal"/>
    <w:semiHidden/>
    <w:locked/>
    <w:rsid w:val="00E45954"/>
    <w:pPr>
      <w:spacing w:after="120" w:line="480" w:lineRule="auto"/>
      <w:ind w:left="283"/>
    </w:pPr>
  </w:style>
  <w:style w:type="paragraph" w:styleId="BodyTextIndent3">
    <w:name w:val="Body Text Indent 3"/>
    <w:basedOn w:val="Normal"/>
    <w:semiHidden/>
    <w:locked/>
    <w:rsid w:val="00E45954"/>
    <w:pPr>
      <w:spacing w:after="120"/>
      <w:ind w:left="283"/>
    </w:pPr>
    <w:rPr>
      <w:sz w:val="16"/>
      <w:szCs w:val="16"/>
    </w:rPr>
  </w:style>
  <w:style w:type="paragraph" w:styleId="Closing">
    <w:name w:val="Closing"/>
    <w:basedOn w:val="Normal"/>
    <w:semiHidden/>
    <w:locked/>
    <w:rsid w:val="00E45954"/>
    <w:pPr>
      <w:ind w:left="4252"/>
    </w:pPr>
  </w:style>
  <w:style w:type="paragraph" w:styleId="Date">
    <w:name w:val="Date"/>
    <w:basedOn w:val="Normal"/>
    <w:next w:val="Normal"/>
    <w:semiHidden/>
    <w:locked/>
    <w:rsid w:val="00E45954"/>
  </w:style>
  <w:style w:type="paragraph" w:styleId="E-mailSignature">
    <w:name w:val="E-mail Signature"/>
    <w:basedOn w:val="Normal"/>
    <w:semiHidden/>
    <w:locked/>
    <w:rsid w:val="00E45954"/>
  </w:style>
  <w:style w:type="character" w:styleId="Emphasis">
    <w:name w:val="Emphasis"/>
    <w:uiPriority w:val="20"/>
    <w:qFormat/>
    <w:locked/>
    <w:rsid w:val="00221A61"/>
    <w:rPr>
      <w:rFonts w:ascii="Arial" w:hAnsi="Arial"/>
      <w:i/>
      <w:iCs/>
    </w:rPr>
  </w:style>
  <w:style w:type="paragraph" w:styleId="EnvelopeAddress">
    <w:name w:val="envelope address"/>
    <w:basedOn w:val="Normal"/>
    <w:semiHidden/>
    <w:locked/>
    <w:rsid w:val="001C139C"/>
    <w:pPr>
      <w:framePr w:w="7920" w:h="1980" w:hRule="exact" w:hSpace="180" w:wrap="auto" w:hAnchor="page" w:xAlign="center" w:yAlign="bottom"/>
      <w:ind w:left="2880"/>
    </w:pPr>
    <w:rPr>
      <w:rFonts w:cs="Arial"/>
    </w:rPr>
  </w:style>
  <w:style w:type="paragraph" w:styleId="EnvelopeReturn">
    <w:name w:val="envelope return"/>
    <w:basedOn w:val="Normal"/>
    <w:semiHidden/>
    <w:locked/>
    <w:rsid w:val="00E45954"/>
    <w:rPr>
      <w:rFonts w:cs="Arial"/>
      <w:sz w:val="20"/>
      <w:szCs w:val="20"/>
    </w:rPr>
  </w:style>
  <w:style w:type="character" w:styleId="FootnoteReference">
    <w:name w:val="footnote reference"/>
    <w:uiPriority w:val="99"/>
    <w:rsid w:val="00074CD6"/>
    <w:rPr>
      <w:rFonts w:ascii="Arial" w:hAnsi="Arial"/>
      <w:sz w:val="20"/>
      <w:vertAlign w:val="superscript"/>
    </w:rPr>
  </w:style>
  <w:style w:type="paragraph" w:styleId="FootnoteText">
    <w:name w:val="footnote text"/>
    <w:aliases w:val="Footnote Text Char1 Char,Footnote Text Char Char Char,Footnote Text Char Char Char Char Char Char Char Char Char Char Char,Footnote Text Char Char Char Char Char Char Char Char,Footnote Text Char2 Char,Char,Ch"/>
    <w:basedOn w:val="Normal"/>
    <w:link w:val="FootnoteTextChar"/>
    <w:uiPriority w:val="99"/>
    <w:rsid w:val="00706FAB"/>
    <w:rPr>
      <w:rFonts w:eastAsia="Times New Roman"/>
      <w:sz w:val="20"/>
      <w:szCs w:val="20"/>
      <w:lang w:val="en-AU" w:eastAsia="en-AU"/>
    </w:rPr>
  </w:style>
  <w:style w:type="character" w:styleId="HTMLAcronym">
    <w:name w:val="HTML Acronym"/>
    <w:basedOn w:val="DefaultParagraphFont"/>
    <w:semiHidden/>
    <w:locked/>
    <w:rsid w:val="00E45954"/>
  </w:style>
  <w:style w:type="paragraph" w:styleId="HTMLAddress">
    <w:name w:val="HTML Address"/>
    <w:basedOn w:val="Normal"/>
    <w:semiHidden/>
    <w:locked/>
    <w:rsid w:val="00E45954"/>
    <w:rPr>
      <w:i/>
      <w:iCs/>
    </w:rPr>
  </w:style>
  <w:style w:type="character" w:styleId="HTMLCite">
    <w:name w:val="HTML Cite"/>
    <w:semiHidden/>
    <w:locked/>
    <w:rsid w:val="00E45954"/>
    <w:rPr>
      <w:i/>
      <w:iCs/>
    </w:rPr>
  </w:style>
  <w:style w:type="character" w:styleId="HTMLCode">
    <w:name w:val="HTML Code"/>
    <w:semiHidden/>
    <w:locked/>
    <w:rsid w:val="00E45954"/>
    <w:rPr>
      <w:rFonts w:ascii="Courier New" w:hAnsi="Courier New" w:cs="Courier New"/>
      <w:sz w:val="20"/>
      <w:szCs w:val="20"/>
    </w:rPr>
  </w:style>
  <w:style w:type="character" w:styleId="HTMLDefinition">
    <w:name w:val="HTML Definition"/>
    <w:semiHidden/>
    <w:locked/>
    <w:rsid w:val="00E45954"/>
    <w:rPr>
      <w:i/>
      <w:iCs/>
    </w:rPr>
  </w:style>
  <w:style w:type="character" w:styleId="HTMLKeyboard">
    <w:name w:val="HTML Keyboard"/>
    <w:semiHidden/>
    <w:locked/>
    <w:rsid w:val="00E45954"/>
    <w:rPr>
      <w:rFonts w:ascii="Courier New" w:hAnsi="Courier New" w:cs="Courier New"/>
      <w:sz w:val="20"/>
      <w:szCs w:val="20"/>
    </w:rPr>
  </w:style>
  <w:style w:type="paragraph" w:styleId="HTMLPreformatted">
    <w:name w:val="HTML Preformatted"/>
    <w:basedOn w:val="Normal"/>
    <w:semiHidden/>
    <w:locked/>
    <w:rsid w:val="00E45954"/>
    <w:rPr>
      <w:rFonts w:ascii="Courier New" w:hAnsi="Courier New" w:cs="Courier New"/>
      <w:sz w:val="20"/>
      <w:szCs w:val="20"/>
    </w:rPr>
  </w:style>
  <w:style w:type="character" w:styleId="HTMLSample">
    <w:name w:val="HTML Sample"/>
    <w:semiHidden/>
    <w:locked/>
    <w:rsid w:val="00E45954"/>
    <w:rPr>
      <w:rFonts w:ascii="Courier New" w:hAnsi="Courier New" w:cs="Courier New"/>
    </w:rPr>
  </w:style>
  <w:style w:type="character" w:styleId="HTMLTypewriter">
    <w:name w:val="HTML Typewriter"/>
    <w:semiHidden/>
    <w:locked/>
    <w:rsid w:val="00E45954"/>
    <w:rPr>
      <w:rFonts w:ascii="Courier New" w:hAnsi="Courier New" w:cs="Courier New"/>
      <w:sz w:val="20"/>
      <w:szCs w:val="20"/>
    </w:rPr>
  </w:style>
  <w:style w:type="character" w:styleId="HTMLVariable">
    <w:name w:val="HTML Variable"/>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style>
  <w:style w:type="paragraph" w:styleId="List2">
    <w:name w:val="List 2"/>
    <w:basedOn w:val="Normal"/>
    <w:semiHidden/>
    <w:locked/>
    <w:rsid w:val="00E45954"/>
    <w:pPr>
      <w:ind w:left="566" w:hanging="283"/>
    </w:pPr>
  </w:style>
  <w:style w:type="paragraph" w:styleId="List3">
    <w:name w:val="List 3"/>
    <w:basedOn w:val="Normal"/>
    <w:semiHidden/>
    <w:locked/>
    <w:rsid w:val="00E45954"/>
    <w:pPr>
      <w:ind w:left="849" w:hanging="283"/>
    </w:pPr>
  </w:style>
  <w:style w:type="paragraph" w:styleId="List4">
    <w:name w:val="List 4"/>
    <w:basedOn w:val="Normal"/>
    <w:semiHidden/>
    <w:locked/>
    <w:rsid w:val="00E45954"/>
    <w:pPr>
      <w:ind w:left="1132" w:hanging="283"/>
    </w:pPr>
  </w:style>
  <w:style w:type="paragraph" w:styleId="List5">
    <w:name w:val="List 5"/>
    <w:basedOn w:val="Normal"/>
    <w:semiHidden/>
    <w:locked/>
    <w:rsid w:val="00E45954"/>
    <w:pPr>
      <w:ind w:left="1415" w:hanging="283"/>
    </w:pPr>
  </w:style>
  <w:style w:type="numbering" w:customStyle="1" w:styleId="StyleNumbered">
    <w:name w:val="Style Numbered"/>
    <w:basedOn w:val="NoList"/>
    <w:semiHidden/>
    <w:rsid w:val="00074CD6"/>
    <w:pPr>
      <w:numPr>
        <w:numId w:val="14"/>
      </w:numPr>
    </w:pPr>
  </w:style>
  <w:style w:type="paragraph" w:styleId="ListBullet2">
    <w:name w:val="List Bullet 2"/>
    <w:basedOn w:val="Normal"/>
    <w:semiHidden/>
    <w:locked/>
    <w:rsid w:val="00E45954"/>
    <w:pPr>
      <w:numPr>
        <w:numId w:val="2"/>
      </w:numPr>
    </w:pPr>
  </w:style>
  <w:style w:type="paragraph" w:styleId="ListBullet3">
    <w:name w:val="List Bullet 3"/>
    <w:basedOn w:val="Normal"/>
    <w:semiHidden/>
    <w:locked/>
    <w:rsid w:val="00E45954"/>
    <w:pPr>
      <w:numPr>
        <w:numId w:val="3"/>
      </w:numPr>
    </w:pPr>
  </w:style>
  <w:style w:type="paragraph" w:styleId="ListBullet4">
    <w:name w:val="List Bullet 4"/>
    <w:basedOn w:val="Normal"/>
    <w:semiHidden/>
    <w:locked/>
    <w:rsid w:val="00E45954"/>
    <w:pPr>
      <w:numPr>
        <w:numId w:val="4"/>
      </w:numPr>
    </w:pPr>
  </w:style>
  <w:style w:type="paragraph" w:styleId="ListBullet5">
    <w:name w:val="List Bullet 5"/>
    <w:basedOn w:val="Normal"/>
    <w:semiHidden/>
    <w:locked/>
    <w:rsid w:val="00E45954"/>
    <w:pPr>
      <w:numPr>
        <w:numId w:val="5"/>
      </w:numPr>
    </w:pPr>
  </w:style>
  <w:style w:type="paragraph" w:styleId="ListContinue">
    <w:name w:val="List Continue"/>
    <w:basedOn w:val="Normal"/>
    <w:semiHidden/>
    <w:locked/>
    <w:rsid w:val="00E45954"/>
    <w:pPr>
      <w:spacing w:after="120"/>
      <w:ind w:left="283"/>
    </w:pPr>
  </w:style>
  <w:style w:type="paragraph" w:styleId="ListContinue2">
    <w:name w:val="List Continue 2"/>
    <w:basedOn w:val="Normal"/>
    <w:semiHidden/>
    <w:locked/>
    <w:rsid w:val="00E45954"/>
    <w:pPr>
      <w:spacing w:after="120"/>
      <w:ind w:left="566"/>
    </w:pPr>
  </w:style>
  <w:style w:type="paragraph" w:styleId="ListContinue3">
    <w:name w:val="List Continue 3"/>
    <w:basedOn w:val="Normal"/>
    <w:semiHidden/>
    <w:locked/>
    <w:rsid w:val="00E45954"/>
    <w:pPr>
      <w:spacing w:after="120"/>
      <w:ind w:left="849"/>
    </w:pPr>
  </w:style>
  <w:style w:type="paragraph" w:styleId="ListContinue5">
    <w:name w:val="List Continue 5"/>
    <w:basedOn w:val="Normal"/>
    <w:semiHidden/>
    <w:locked/>
    <w:rsid w:val="00E45954"/>
    <w:pPr>
      <w:spacing w:after="120"/>
      <w:ind w:left="1415"/>
    </w:pPr>
  </w:style>
  <w:style w:type="paragraph" w:styleId="ListNumber">
    <w:name w:val="List Number"/>
    <w:basedOn w:val="Normal"/>
    <w:semiHidden/>
    <w:locked/>
    <w:rsid w:val="00E45954"/>
    <w:pPr>
      <w:numPr>
        <w:numId w:val="6"/>
      </w:numPr>
    </w:pPr>
  </w:style>
  <w:style w:type="paragraph" w:styleId="ListNumber2">
    <w:name w:val="List Number 2"/>
    <w:basedOn w:val="Normal"/>
    <w:semiHidden/>
    <w:locked/>
    <w:rsid w:val="00E45954"/>
    <w:pPr>
      <w:numPr>
        <w:numId w:val="9"/>
      </w:numPr>
    </w:pPr>
  </w:style>
  <w:style w:type="paragraph" w:styleId="ListNumber3">
    <w:name w:val="List Number 3"/>
    <w:basedOn w:val="Normal"/>
    <w:semiHidden/>
    <w:locked/>
    <w:rsid w:val="00E45954"/>
    <w:pPr>
      <w:numPr>
        <w:numId w:val="10"/>
      </w:numPr>
    </w:pPr>
  </w:style>
  <w:style w:type="paragraph" w:styleId="ListNumber4">
    <w:name w:val="List Number 4"/>
    <w:basedOn w:val="Normal"/>
    <w:semiHidden/>
    <w:locked/>
    <w:rsid w:val="00E45954"/>
    <w:pPr>
      <w:numPr>
        <w:numId w:val="7"/>
      </w:numPr>
    </w:pPr>
  </w:style>
  <w:style w:type="paragraph" w:styleId="ListNumber5">
    <w:name w:val="List Number 5"/>
    <w:basedOn w:val="Normal"/>
    <w:semiHidden/>
    <w:locked/>
    <w:rsid w:val="00E45954"/>
    <w:pPr>
      <w:numPr>
        <w:numId w:val="8"/>
      </w:numPr>
    </w:pPr>
  </w:style>
  <w:style w:type="paragraph" w:styleId="MessageHeader">
    <w:name w:val="Message Header"/>
    <w:basedOn w:val="Normal"/>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locked/>
    <w:rsid w:val="00E45954"/>
    <w:rPr>
      <w:rFonts w:ascii="Times New Roman" w:hAnsi="Times New Roman"/>
    </w:rPr>
  </w:style>
  <w:style w:type="paragraph" w:styleId="NormalIndent">
    <w:name w:val="Normal Indent"/>
    <w:basedOn w:val="Normal"/>
    <w:semiHidden/>
    <w:locked/>
    <w:rsid w:val="00E45954"/>
    <w:pPr>
      <w:ind w:left="720"/>
    </w:pPr>
  </w:style>
  <w:style w:type="paragraph" w:styleId="NoteHeading">
    <w:name w:val="Note Heading"/>
    <w:basedOn w:val="Normal"/>
    <w:next w:val="Normal"/>
    <w:semiHidden/>
    <w:locked/>
    <w:rsid w:val="00E45954"/>
  </w:style>
  <w:style w:type="character" w:styleId="PageNumber">
    <w:name w:val="page number"/>
    <w:basedOn w:val="DefaultParagraphFont"/>
    <w:uiPriority w:val="99"/>
    <w:locked/>
    <w:rsid w:val="00E45954"/>
  </w:style>
  <w:style w:type="paragraph" w:styleId="PlainText">
    <w:name w:val="Plain Text"/>
    <w:basedOn w:val="Normal"/>
    <w:link w:val="PlainTextChar"/>
    <w:uiPriority w:val="99"/>
    <w:semiHidden/>
    <w:locked/>
    <w:rsid w:val="00E45954"/>
    <w:rPr>
      <w:rFonts w:ascii="Courier New" w:hAnsi="Courier New" w:cs="Courier New"/>
      <w:sz w:val="20"/>
      <w:szCs w:val="20"/>
    </w:rPr>
  </w:style>
  <w:style w:type="paragraph" w:styleId="Salutation">
    <w:name w:val="Salutation"/>
    <w:basedOn w:val="Normal"/>
    <w:next w:val="Normal"/>
    <w:semiHidden/>
    <w:locked/>
    <w:rsid w:val="00E45954"/>
  </w:style>
  <w:style w:type="paragraph" w:styleId="Signature">
    <w:name w:val="Signature"/>
    <w:basedOn w:val="Normal"/>
    <w:semiHidden/>
    <w:locked/>
    <w:rsid w:val="00E45954"/>
    <w:pPr>
      <w:ind w:left="4252"/>
    </w:pPr>
  </w:style>
  <w:style w:type="paragraph" w:styleId="Subtitle">
    <w:name w:val="Subtitle"/>
    <w:basedOn w:val="Normal"/>
    <w:link w:val="SubtitleChar"/>
    <w:uiPriority w:val="99"/>
    <w:qFormat/>
    <w:locked/>
    <w:rsid w:val="00E45954"/>
    <w:pPr>
      <w:spacing w:after="60"/>
      <w:jc w:val="center"/>
      <w:outlineLvl w:val="1"/>
    </w:pPr>
    <w:rPr>
      <w:rFonts w:cs="Arial"/>
    </w:rPr>
  </w:style>
  <w:style w:type="table" w:styleId="Table3Deffects1">
    <w:name w:val="Table 3D effects 1"/>
    <w:basedOn w:val="TableNormal"/>
    <w:semiHidden/>
    <w:locked/>
    <w:rsid w:val="00E45954"/>
    <w:pPr>
      <w:spacing w:after="240"/>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locked/>
    <w:rsid w:val="00E45954"/>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E45954"/>
    <w:pPr>
      <w:spacing w:after="24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locked/>
    <w:rsid w:val="00E45954"/>
    <w:pPr>
      <w:spacing w:after="60"/>
      <w:jc w:val="center"/>
      <w:outlineLvl w:val="0"/>
    </w:pPr>
    <w:rPr>
      <w:rFonts w:cs="Arial"/>
      <w:b/>
      <w:bCs/>
      <w:kern w:val="28"/>
      <w:sz w:val="32"/>
      <w:szCs w:val="32"/>
    </w:rPr>
  </w:style>
  <w:style w:type="character" w:styleId="FollowedHyperlink">
    <w:name w:val="FollowedHyperlink"/>
    <w:semiHidden/>
    <w:locked/>
    <w:rsid w:val="00E45954"/>
    <w:rPr>
      <w:color w:val="800080"/>
      <w:u w:val="single"/>
    </w:rPr>
  </w:style>
  <w:style w:type="paragraph" w:styleId="ListBullet">
    <w:name w:val="List Bullet"/>
    <w:basedOn w:val="Normal"/>
    <w:semiHidden/>
    <w:locked/>
    <w:rsid w:val="00950E88"/>
    <w:pPr>
      <w:numPr>
        <w:numId w:val="1"/>
      </w:numPr>
    </w:pPr>
  </w:style>
  <w:style w:type="paragraph" w:customStyle="1" w:styleId="Contactdetails">
    <w:name w:val="Contact details"/>
    <w:basedOn w:val="Normal"/>
    <w:semiHidden/>
    <w:rsid w:val="002702D9"/>
    <w:pPr>
      <w:keepNex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0" w:lineRule="exact"/>
    </w:pPr>
    <w:rPr>
      <w:rFonts w:ascii="ArialMT" w:hAnsi="ArialMT" w:cs="ArialMT"/>
      <w:sz w:val="20"/>
      <w:lang w:bidi="en-US"/>
    </w:rPr>
  </w:style>
  <w:style w:type="character" w:customStyle="1" w:styleId="CharChar9">
    <w:name w:val="Char Char9"/>
    <w:semiHidden/>
    <w:locked/>
    <w:rsid w:val="001C451B"/>
    <w:rPr>
      <w:rFonts w:ascii="Arial" w:hAnsi="Arial"/>
      <w:bCs/>
      <w:i/>
      <w:sz w:val="24"/>
      <w:szCs w:val="26"/>
      <w:lang w:val="en-AU" w:eastAsia="en-AU" w:bidi="ar-SA"/>
    </w:rPr>
  </w:style>
  <w:style w:type="character" w:customStyle="1" w:styleId="CharChar8">
    <w:name w:val="Char Char8"/>
    <w:semiHidden/>
    <w:locked/>
    <w:rsid w:val="001C451B"/>
    <w:rPr>
      <w:rFonts w:ascii="Arial" w:hAnsi="Arial"/>
      <w:iCs/>
      <w:sz w:val="24"/>
      <w:szCs w:val="26"/>
      <w:lang w:val="en-AU" w:eastAsia="en-AU" w:bidi="ar-SA"/>
    </w:rPr>
  </w:style>
  <w:style w:type="character" w:customStyle="1" w:styleId="CharChar">
    <w:name w:val="Char Char"/>
    <w:semiHidden/>
    <w:locked/>
    <w:rsid w:val="001C451B"/>
    <w:rPr>
      <w:rFonts w:ascii="Arial" w:hAnsi="Arial" w:cs="Arial"/>
      <w:lang w:val="en-AU" w:eastAsia="en-AU" w:bidi="ar-SA"/>
    </w:rPr>
  </w:style>
  <w:style w:type="character" w:customStyle="1" w:styleId="FootnoteTextChar">
    <w:name w:val="Footnote Text Char"/>
    <w:aliases w:val="Footnote Text Char1 Char Char,Footnote Text Char Char Char Char,Footnote Text Char Char Char Char Char Char Char Char Char Char Char Char,Footnote Text Char Char Char Char Char Char Char Char Char,Footnote Text Char2 Char Char,Ch Char"/>
    <w:link w:val="FootnoteText"/>
    <w:uiPriority w:val="99"/>
    <w:locked/>
    <w:rsid w:val="00706FAB"/>
    <w:rPr>
      <w:rFonts w:ascii="Arial" w:hAnsi="Arial"/>
      <w:lang w:val="en-AU" w:eastAsia="en-AU" w:bidi="ar-SA"/>
    </w:rPr>
  </w:style>
  <w:style w:type="paragraph" w:customStyle="1" w:styleId="ColorfulList-Accent11">
    <w:name w:val="Colorful List - Accent 11"/>
    <w:basedOn w:val="Normal"/>
    <w:uiPriority w:val="34"/>
    <w:qFormat/>
    <w:rsid w:val="00CC3E84"/>
    <w:pPr>
      <w:ind w:left="720"/>
      <w:contextualSpacing/>
    </w:pPr>
  </w:style>
  <w:style w:type="paragraph" w:customStyle="1" w:styleId="Default">
    <w:name w:val="Default"/>
    <w:link w:val="DefaultChar"/>
    <w:rsid w:val="00D07DD0"/>
    <w:pPr>
      <w:autoSpaceDE w:val="0"/>
      <w:autoSpaceDN w:val="0"/>
      <w:adjustRightInd w:val="0"/>
    </w:pPr>
    <w:rPr>
      <w:rFonts w:ascii="Arial" w:hAnsi="Arial"/>
      <w:color w:val="000000"/>
      <w:lang w:eastAsia="en-AU"/>
    </w:rPr>
  </w:style>
  <w:style w:type="character" w:customStyle="1" w:styleId="A3">
    <w:name w:val="A3"/>
    <w:uiPriority w:val="99"/>
    <w:rsid w:val="00D07DD0"/>
    <w:rPr>
      <w:color w:val="000000"/>
    </w:rPr>
  </w:style>
  <w:style w:type="character" w:customStyle="1" w:styleId="A35">
    <w:name w:val="A35"/>
    <w:uiPriority w:val="99"/>
    <w:rsid w:val="00D07DD0"/>
    <w:rPr>
      <w:color w:val="000000"/>
      <w:sz w:val="16"/>
      <w:szCs w:val="16"/>
      <w:u w:val="single"/>
    </w:rPr>
  </w:style>
  <w:style w:type="character" w:customStyle="1" w:styleId="apple-style-span">
    <w:name w:val="apple-style-span"/>
    <w:uiPriority w:val="99"/>
    <w:rsid w:val="00DD64C1"/>
  </w:style>
  <w:style w:type="paragraph" w:styleId="BalloonText">
    <w:name w:val="Balloon Text"/>
    <w:basedOn w:val="Normal"/>
    <w:link w:val="BalloonTextChar"/>
    <w:uiPriority w:val="99"/>
    <w:locked/>
    <w:rsid w:val="00A86989"/>
    <w:rPr>
      <w:rFonts w:ascii="Tahoma" w:hAnsi="Tahoma"/>
      <w:sz w:val="16"/>
      <w:szCs w:val="16"/>
    </w:rPr>
  </w:style>
  <w:style w:type="character" w:customStyle="1" w:styleId="BalloonTextChar">
    <w:name w:val="Balloon Text Char"/>
    <w:link w:val="BalloonText"/>
    <w:uiPriority w:val="99"/>
    <w:rsid w:val="00A86989"/>
    <w:rPr>
      <w:rFonts w:ascii="Tahoma" w:eastAsia="Calibri" w:hAnsi="Tahoma" w:cs="Tahoma"/>
      <w:sz w:val="16"/>
      <w:szCs w:val="16"/>
      <w:lang w:val="en-US" w:eastAsia="en-US"/>
    </w:rPr>
  </w:style>
  <w:style w:type="paragraph" w:customStyle="1" w:styleId="Pa29">
    <w:name w:val="Pa29"/>
    <w:basedOn w:val="Default"/>
    <w:next w:val="Default"/>
    <w:uiPriority w:val="99"/>
    <w:rsid w:val="003A08B9"/>
    <w:pPr>
      <w:spacing w:line="241" w:lineRule="atLeast"/>
    </w:pPr>
    <w:rPr>
      <w:color w:val="auto"/>
    </w:rPr>
  </w:style>
  <w:style w:type="character" w:customStyle="1" w:styleId="A5">
    <w:name w:val="A5"/>
    <w:uiPriority w:val="99"/>
    <w:rsid w:val="003A08B9"/>
    <w:rPr>
      <w:b/>
      <w:bCs/>
      <w:i/>
      <w:iCs/>
      <w:color w:val="000000"/>
      <w:sz w:val="18"/>
      <w:szCs w:val="18"/>
    </w:rPr>
  </w:style>
  <w:style w:type="paragraph" w:customStyle="1" w:styleId="Bullet">
    <w:name w:val="Bullet"/>
    <w:basedOn w:val="Normal"/>
    <w:rsid w:val="004C3859"/>
    <w:pPr>
      <w:numPr>
        <w:numId w:val="16"/>
      </w:numPr>
      <w:spacing w:after="240"/>
    </w:pPr>
    <w:rPr>
      <w:rFonts w:ascii="Times New Roman" w:eastAsia="Times New Roman" w:hAnsi="Times New Roman"/>
      <w:szCs w:val="20"/>
      <w:lang w:val="en-AU" w:eastAsia="en-AU"/>
    </w:rPr>
  </w:style>
  <w:style w:type="paragraph" w:customStyle="1" w:styleId="Dash">
    <w:name w:val="Dash"/>
    <w:basedOn w:val="Normal"/>
    <w:rsid w:val="004C3859"/>
    <w:pPr>
      <w:numPr>
        <w:ilvl w:val="1"/>
        <w:numId w:val="16"/>
      </w:numPr>
      <w:spacing w:after="240"/>
    </w:pPr>
    <w:rPr>
      <w:rFonts w:ascii="Times New Roman" w:eastAsia="Times New Roman" w:hAnsi="Times New Roman"/>
      <w:szCs w:val="20"/>
      <w:lang w:val="en-AU" w:eastAsia="en-AU"/>
    </w:rPr>
  </w:style>
  <w:style w:type="paragraph" w:customStyle="1" w:styleId="DoubleDot">
    <w:name w:val="Double Dot"/>
    <w:basedOn w:val="Normal"/>
    <w:rsid w:val="004C3859"/>
    <w:pPr>
      <w:numPr>
        <w:ilvl w:val="2"/>
        <w:numId w:val="16"/>
      </w:numPr>
      <w:spacing w:after="240"/>
    </w:pPr>
    <w:rPr>
      <w:rFonts w:ascii="Times New Roman" w:eastAsia="Times New Roman" w:hAnsi="Times New Roman"/>
      <w:szCs w:val="20"/>
      <w:lang w:val="en-AU" w:eastAsia="en-AU"/>
    </w:rPr>
  </w:style>
  <w:style w:type="paragraph" w:customStyle="1" w:styleId="HdMemorandum">
    <w:name w:val="Hd Memorandum"/>
    <w:basedOn w:val="Header"/>
    <w:rsid w:val="004C3859"/>
    <w:pPr>
      <w:tabs>
        <w:tab w:val="clear" w:pos="4513"/>
        <w:tab w:val="clear" w:pos="9026"/>
      </w:tabs>
      <w:spacing w:line="120" w:lineRule="exact"/>
    </w:pPr>
    <w:rPr>
      <w:rFonts w:ascii="Times New Roman" w:hAnsi="Times New Roman"/>
      <w:caps/>
      <w:noProof/>
      <w:spacing w:val="20"/>
      <w:w w:val="113"/>
      <w:kern w:val="12"/>
      <w:sz w:val="12"/>
      <w:szCs w:val="20"/>
    </w:rPr>
  </w:style>
  <w:style w:type="paragraph" w:customStyle="1" w:styleId="HdFirstPage">
    <w:name w:val="Hd FirstPage"/>
    <w:rsid w:val="004C3859"/>
    <w:pPr>
      <w:widowControl w:val="0"/>
      <w:spacing w:line="840" w:lineRule="exact"/>
      <w:jc w:val="right"/>
    </w:pPr>
    <w:rPr>
      <w:noProof/>
      <w:spacing w:val="-5"/>
      <w:w w:val="95"/>
      <w:kern w:val="44"/>
      <w:sz w:val="44"/>
      <w:lang w:val="en-US"/>
    </w:rPr>
  </w:style>
  <w:style w:type="character" w:customStyle="1" w:styleId="A8">
    <w:name w:val="A8"/>
    <w:rsid w:val="004C3859"/>
    <w:rPr>
      <w:b/>
      <w:bCs/>
      <w:color w:val="000000"/>
      <w:sz w:val="20"/>
      <w:szCs w:val="20"/>
    </w:rPr>
  </w:style>
  <w:style w:type="character" w:styleId="CommentReference">
    <w:name w:val="annotation reference"/>
    <w:uiPriority w:val="99"/>
    <w:unhideWhenUsed/>
    <w:rsid w:val="004A154B"/>
    <w:rPr>
      <w:sz w:val="18"/>
      <w:szCs w:val="18"/>
    </w:rPr>
  </w:style>
  <w:style w:type="paragraph" w:styleId="CommentText">
    <w:name w:val="annotation text"/>
    <w:basedOn w:val="Normal"/>
    <w:link w:val="CommentTextChar"/>
    <w:uiPriority w:val="99"/>
    <w:unhideWhenUsed/>
    <w:rsid w:val="004A154B"/>
    <w:rPr>
      <w:szCs w:val="24"/>
    </w:rPr>
  </w:style>
  <w:style w:type="character" w:customStyle="1" w:styleId="CommentTextChar">
    <w:name w:val="Comment Text Char"/>
    <w:link w:val="CommentText"/>
    <w:uiPriority w:val="99"/>
    <w:rsid w:val="004A154B"/>
    <w:rPr>
      <w:rFonts w:ascii="Calibri" w:eastAsia="Calibri" w:hAnsi="Calibri"/>
      <w:sz w:val="24"/>
      <w:szCs w:val="24"/>
    </w:rPr>
  </w:style>
  <w:style w:type="paragraph" w:styleId="CommentSubject">
    <w:name w:val="annotation subject"/>
    <w:basedOn w:val="CommentText"/>
    <w:next w:val="CommentText"/>
    <w:link w:val="CommentSubjectChar"/>
    <w:uiPriority w:val="99"/>
    <w:semiHidden/>
    <w:unhideWhenUsed/>
    <w:rsid w:val="004A154B"/>
    <w:rPr>
      <w:b/>
      <w:bCs/>
    </w:rPr>
  </w:style>
  <w:style w:type="character" w:customStyle="1" w:styleId="CommentSubjectChar">
    <w:name w:val="Comment Subject Char"/>
    <w:link w:val="CommentSubject"/>
    <w:uiPriority w:val="99"/>
    <w:semiHidden/>
    <w:rsid w:val="004A154B"/>
    <w:rPr>
      <w:rFonts w:ascii="Calibri" w:eastAsia="Calibri" w:hAnsi="Calibri"/>
      <w:b/>
      <w:bCs/>
      <w:sz w:val="24"/>
      <w:szCs w:val="24"/>
    </w:rPr>
  </w:style>
  <w:style w:type="paragraph" w:styleId="ListParagraph">
    <w:name w:val="List Paragraph"/>
    <w:aliases w:val="First level bullet point,List Paragraph1,List Paragraph11,Recommendation"/>
    <w:basedOn w:val="Normal"/>
    <w:link w:val="ListParagraphChar"/>
    <w:uiPriority w:val="1"/>
    <w:qFormat/>
    <w:rsid w:val="00C63120"/>
    <w:pPr>
      <w:ind w:left="720"/>
      <w:contextualSpacing/>
    </w:pPr>
  </w:style>
  <w:style w:type="character" w:customStyle="1" w:styleId="DefaultChar">
    <w:name w:val="Default Char"/>
    <w:link w:val="Default"/>
    <w:locked/>
    <w:rsid w:val="001C2B35"/>
    <w:rPr>
      <w:rFonts w:ascii="Arial" w:hAnsi="Arial"/>
      <w:color w:val="000000"/>
      <w:sz w:val="24"/>
      <w:szCs w:val="24"/>
      <w:lang w:bidi="ar-SA"/>
    </w:rPr>
  </w:style>
  <w:style w:type="table" w:customStyle="1" w:styleId="TableGrid10">
    <w:name w:val="Table Grid1"/>
    <w:basedOn w:val="TableNormal"/>
    <w:next w:val="TableGrid"/>
    <w:locked/>
    <w:rsid w:val="00A65B67"/>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diumGrid11">
    <w:name w:val="Medium Grid 11"/>
    <w:semiHidden/>
    <w:locked/>
    <w:rsid w:val="00F53AC9"/>
    <w:rPr>
      <w:color w:val="808080"/>
    </w:rPr>
  </w:style>
  <w:style w:type="paragraph" w:customStyle="1" w:styleId="ColorfulList-Accent12">
    <w:name w:val="Colorful List - Accent 12"/>
    <w:basedOn w:val="Normal"/>
    <w:qFormat/>
    <w:rsid w:val="00F53AC9"/>
    <w:pPr>
      <w:ind w:left="720"/>
      <w:contextualSpacing/>
    </w:pPr>
  </w:style>
  <w:style w:type="paragraph" w:customStyle="1" w:styleId="MediumGrid1-Accent21">
    <w:name w:val="Medium Grid 1 - Accent 21"/>
    <w:basedOn w:val="Normal"/>
    <w:qFormat/>
    <w:rsid w:val="00DA5364"/>
    <w:pPr>
      <w:ind w:left="720"/>
      <w:contextualSpacing/>
    </w:pPr>
  </w:style>
  <w:style w:type="character" w:customStyle="1" w:styleId="A31">
    <w:name w:val="A31"/>
    <w:rsid w:val="00DA5364"/>
    <w:rPr>
      <w:i/>
      <w:iCs/>
      <w:color w:val="000000"/>
      <w:sz w:val="18"/>
      <w:szCs w:val="18"/>
    </w:rPr>
  </w:style>
  <w:style w:type="paragraph" w:styleId="Revision">
    <w:name w:val="Revision"/>
    <w:hidden/>
    <w:semiHidden/>
    <w:rsid w:val="00DA4BFF"/>
    <w:rPr>
      <w:rFonts w:ascii="Calibri" w:hAnsi="Calibri"/>
      <w:sz w:val="22"/>
      <w:lang w:eastAsia="en-AU"/>
    </w:rPr>
  </w:style>
  <w:style w:type="paragraph" w:styleId="DocumentMap">
    <w:name w:val="Document Map"/>
    <w:basedOn w:val="Normal"/>
    <w:link w:val="DocumentMapChar"/>
    <w:uiPriority w:val="99"/>
    <w:semiHidden/>
    <w:unhideWhenUsed/>
    <w:rsid w:val="007E40DA"/>
    <w:rPr>
      <w:rFonts w:ascii="Lucida Grande" w:hAnsi="Lucida Grande"/>
      <w:szCs w:val="24"/>
    </w:rPr>
  </w:style>
  <w:style w:type="character" w:customStyle="1" w:styleId="DocumentMapChar">
    <w:name w:val="Document Map Char"/>
    <w:link w:val="DocumentMap"/>
    <w:uiPriority w:val="99"/>
    <w:semiHidden/>
    <w:rsid w:val="007E40DA"/>
    <w:rPr>
      <w:rFonts w:ascii="Lucida Grande" w:eastAsia="Calibri" w:hAnsi="Lucida Grande"/>
      <w:sz w:val="24"/>
      <w:szCs w:val="24"/>
    </w:rPr>
  </w:style>
  <w:style w:type="character" w:customStyle="1" w:styleId="apple-converted-space">
    <w:name w:val="apple-converted-space"/>
    <w:basedOn w:val="DefaultParagraphFont"/>
    <w:rsid w:val="00F16EF1"/>
  </w:style>
  <w:style w:type="paragraph" w:customStyle="1" w:styleId="Pa0">
    <w:name w:val="Pa0"/>
    <w:basedOn w:val="Default"/>
    <w:next w:val="Default"/>
    <w:uiPriority w:val="99"/>
    <w:rsid w:val="00427E16"/>
    <w:pPr>
      <w:widowControl w:val="0"/>
      <w:spacing w:line="201" w:lineRule="atLeast"/>
    </w:pPr>
    <w:rPr>
      <w:rFonts w:ascii="Myriad Pro" w:eastAsiaTheme="minorEastAsia" w:hAnsi="Myriad Pro"/>
      <w:color w:val="auto"/>
      <w:lang w:val="en-US" w:eastAsia="ja-JP"/>
    </w:rPr>
  </w:style>
  <w:style w:type="character" w:customStyle="1" w:styleId="A2">
    <w:name w:val="A2"/>
    <w:uiPriority w:val="99"/>
    <w:rsid w:val="00427E16"/>
    <w:rPr>
      <w:rFonts w:ascii="Myriad Pro Light" w:hAnsi="Myriad Pro Light" w:cs="Myriad Pro Light"/>
      <w:color w:val="000000"/>
      <w:sz w:val="28"/>
      <w:szCs w:val="28"/>
    </w:rPr>
  </w:style>
  <w:style w:type="character" w:customStyle="1" w:styleId="ListParagraphChar">
    <w:name w:val="List Paragraph Char"/>
    <w:aliases w:val="First level bullet point Char,List Paragraph1 Char,List Paragraph11 Char,Recommendation Char"/>
    <w:link w:val="ListParagraph"/>
    <w:uiPriority w:val="34"/>
    <w:rsid w:val="00FD6263"/>
    <w:rPr>
      <w:rFonts w:ascii="Calibri" w:eastAsia="Calibri" w:hAnsi="Calibri"/>
      <w:sz w:val="22"/>
      <w:szCs w:val="22"/>
      <w:lang w:val="en-US"/>
    </w:rPr>
  </w:style>
  <w:style w:type="paragraph" w:customStyle="1" w:styleId="Pa3">
    <w:name w:val="Pa3"/>
    <w:basedOn w:val="Default"/>
    <w:next w:val="Default"/>
    <w:uiPriority w:val="99"/>
    <w:rsid w:val="006A5B52"/>
    <w:pPr>
      <w:widowControl w:val="0"/>
      <w:spacing w:line="241" w:lineRule="atLeast"/>
    </w:pPr>
    <w:rPr>
      <w:rFonts w:ascii="Archer" w:hAnsi="Archer"/>
      <w:color w:val="auto"/>
      <w:lang w:val="en-US" w:eastAsia="en-US"/>
    </w:rPr>
  </w:style>
  <w:style w:type="paragraph" w:customStyle="1" w:styleId="Pa4">
    <w:name w:val="Pa4"/>
    <w:basedOn w:val="Default"/>
    <w:next w:val="Default"/>
    <w:uiPriority w:val="99"/>
    <w:rsid w:val="006A5B52"/>
    <w:pPr>
      <w:widowControl w:val="0"/>
      <w:spacing w:line="181" w:lineRule="atLeast"/>
    </w:pPr>
    <w:rPr>
      <w:rFonts w:ascii="Archer" w:hAnsi="Archer"/>
      <w:color w:val="auto"/>
      <w:lang w:val="en-US" w:eastAsia="en-US"/>
    </w:rPr>
  </w:style>
  <w:style w:type="paragraph" w:customStyle="1" w:styleId="NormalArial">
    <w:name w:val="Normal + Arial"/>
    <w:basedOn w:val="Normal"/>
    <w:uiPriority w:val="99"/>
    <w:rsid w:val="005716A2"/>
    <w:rPr>
      <w:rFonts w:eastAsia="MS Mincho" w:cs="Arial"/>
      <w:b/>
      <w:sz w:val="32"/>
      <w:szCs w:val="32"/>
      <w:lang w:val="en-AU" w:eastAsia="ja-JP"/>
    </w:rPr>
  </w:style>
  <w:style w:type="character" w:customStyle="1" w:styleId="PlainTextChar">
    <w:name w:val="Plain Text Char"/>
    <w:basedOn w:val="DefaultParagraphFont"/>
    <w:link w:val="PlainText"/>
    <w:uiPriority w:val="99"/>
    <w:semiHidden/>
    <w:rsid w:val="00192CFB"/>
    <w:rPr>
      <w:rFonts w:ascii="Courier New" w:eastAsia="Calibri" w:hAnsi="Courier New" w:cs="Courier New"/>
      <w:sz w:val="20"/>
      <w:szCs w:val="20"/>
      <w:lang w:val="en-US"/>
    </w:rPr>
  </w:style>
  <w:style w:type="character" w:customStyle="1" w:styleId="SubtitleChar">
    <w:name w:val="Subtitle Char"/>
    <w:basedOn w:val="DefaultParagraphFont"/>
    <w:link w:val="Subtitle"/>
    <w:uiPriority w:val="99"/>
    <w:locked/>
    <w:rsid w:val="0074540C"/>
    <w:rPr>
      <w:rFonts w:ascii="Calibri" w:eastAsia="Calibri" w:hAnsi="Calibri" w:cs="Arial"/>
      <w:sz w:val="22"/>
      <w:szCs w:val="22"/>
      <w:lang w:val="en-US"/>
    </w:rPr>
  </w:style>
  <w:style w:type="paragraph" w:customStyle="1" w:styleId="SingleTxt">
    <w:name w:val="__Single Txt"/>
    <w:basedOn w:val="Normal"/>
    <w:rsid w:val="007E71A4"/>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ascii="Times New Roman" w:eastAsiaTheme="minorHAnsi" w:hAnsi="Times New Roman"/>
      <w:spacing w:val="4"/>
      <w:w w:val="103"/>
      <w:kern w:val="14"/>
      <w:sz w:val="20"/>
      <w:szCs w:val="20"/>
      <w:lang w:val="en-GB"/>
    </w:rPr>
  </w:style>
  <w:style w:type="paragraph" w:customStyle="1" w:styleId="H23">
    <w:name w:val="_ H_2/3"/>
    <w:basedOn w:val="Normal"/>
    <w:next w:val="Normal"/>
    <w:rsid w:val="007E71A4"/>
    <w:pPr>
      <w:keepNext/>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1"/>
    </w:pPr>
    <w:rPr>
      <w:rFonts w:ascii="Times New Roman" w:eastAsiaTheme="minorHAnsi" w:hAnsi="Times New Roman"/>
      <w:b/>
      <w:spacing w:val="2"/>
      <w:w w:val="103"/>
      <w:kern w:val="14"/>
      <w:sz w:val="20"/>
      <w:szCs w:val="20"/>
      <w:lang w:val="en-GB"/>
    </w:rPr>
  </w:style>
  <w:style w:type="paragraph" w:customStyle="1" w:styleId="CM6">
    <w:name w:val="CM6"/>
    <w:basedOn w:val="Default"/>
    <w:next w:val="Default"/>
    <w:uiPriority w:val="99"/>
    <w:rsid w:val="007E71A4"/>
    <w:pPr>
      <w:widowControl w:val="0"/>
      <w:spacing w:line="231" w:lineRule="atLeast"/>
    </w:pPr>
    <w:rPr>
      <w:rFonts w:ascii="Calibri Light" w:eastAsiaTheme="minorEastAsia" w:hAnsi="Calibri Light"/>
      <w:color w:val="auto"/>
      <w:lang w:val="en-US" w:eastAsia="ja-JP"/>
    </w:rPr>
  </w:style>
  <w:style w:type="paragraph" w:customStyle="1" w:styleId="CM5">
    <w:name w:val="CM5"/>
    <w:basedOn w:val="Default"/>
    <w:next w:val="Default"/>
    <w:uiPriority w:val="99"/>
    <w:rsid w:val="007E71A4"/>
    <w:pPr>
      <w:widowControl w:val="0"/>
      <w:spacing w:line="231" w:lineRule="atLeast"/>
    </w:pPr>
    <w:rPr>
      <w:rFonts w:ascii="Calibri Light" w:eastAsiaTheme="minorEastAsia" w:hAnsi="Calibri Light"/>
      <w:color w:val="auto"/>
      <w:lang w:val="en-US" w:eastAsia="ja-JP"/>
    </w:rPr>
  </w:style>
  <w:style w:type="paragraph" w:customStyle="1" w:styleId="CM28">
    <w:name w:val="CM28"/>
    <w:basedOn w:val="Default"/>
    <w:next w:val="Default"/>
    <w:uiPriority w:val="99"/>
    <w:rsid w:val="007E71A4"/>
    <w:pPr>
      <w:widowControl w:val="0"/>
      <w:spacing w:line="228" w:lineRule="atLeast"/>
    </w:pPr>
    <w:rPr>
      <w:rFonts w:ascii="Calibri Light" w:eastAsiaTheme="minorEastAsia" w:hAnsi="Calibri Light"/>
      <w:color w:val="auto"/>
      <w:lang w:val="en-US" w:eastAsia="ja-JP"/>
    </w:rPr>
  </w:style>
  <w:style w:type="paragraph" w:customStyle="1" w:styleId="CM8">
    <w:name w:val="CM8"/>
    <w:basedOn w:val="Default"/>
    <w:next w:val="Default"/>
    <w:uiPriority w:val="99"/>
    <w:rsid w:val="007E71A4"/>
    <w:pPr>
      <w:widowControl w:val="0"/>
      <w:spacing w:line="231" w:lineRule="atLeast"/>
    </w:pPr>
    <w:rPr>
      <w:rFonts w:ascii="Calibri Light" w:eastAsiaTheme="minorEastAsia" w:hAnsi="Calibri Light"/>
      <w:color w:val="auto"/>
      <w:lang w:val="en-US" w:eastAsia="ja-JP"/>
    </w:rPr>
  </w:style>
  <w:style w:type="paragraph" w:customStyle="1" w:styleId="CM101">
    <w:name w:val="CM101"/>
    <w:basedOn w:val="Default"/>
    <w:next w:val="Default"/>
    <w:uiPriority w:val="99"/>
    <w:rsid w:val="007E71A4"/>
    <w:pPr>
      <w:widowControl w:val="0"/>
    </w:pPr>
    <w:rPr>
      <w:rFonts w:ascii="Calibri Light" w:eastAsiaTheme="minorEastAsia" w:hAnsi="Calibri Light"/>
      <w:color w:val="auto"/>
      <w:lang w:val="en-US" w:eastAsia="ja-JP"/>
    </w:rPr>
  </w:style>
  <w:style w:type="paragraph" w:customStyle="1" w:styleId="CM103">
    <w:name w:val="CM103"/>
    <w:basedOn w:val="Default"/>
    <w:next w:val="Default"/>
    <w:uiPriority w:val="99"/>
    <w:rsid w:val="007E71A4"/>
    <w:pPr>
      <w:widowControl w:val="0"/>
    </w:pPr>
    <w:rPr>
      <w:rFonts w:ascii="Calibri Light" w:eastAsiaTheme="minorEastAsia" w:hAnsi="Calibri Light"/>
      <w:color w:val="auto"/>
      <w:lang w:val="en-US" w:eastAsia="ja-JP"/>
    </w:rPr>
  </w:style>
  <w:style w:type="paragraph" w:customStyle="1" w:styleId="CM11">
    <w:name w:val="CM11"/>
    <w:basedOn w:val="Default"/>
    <w:next w:val="Default"/>
    <w:uiPriority w:val="99"/>
    <w:rsid w:val="007E71A4"/>
    <w:pPr>
      <w:widowControl w:val="0"/>
      <w:spacing w:line="231" w:lineRule="atLeast"/>
    </w:pPr>
    <w:rPr>
      <w:rFonts w:ascii="Calibri Light" w:eastAsiaTheme="minorEastAsia" w:hAnsi="Calibri Light"/>
      <w:color w:val="auto"/>
      <w:lang w:val="en-US" w:eastAsia="ja-JP"/>
    </w:rPr>
  </w:style>
  <w:style w:type="paragraph" w:customStyle="1" w:styleId="CM17">
    <w:name w:val="CM17"/>
    <w:basedOn w:val="Default"/>
    <w:next w:val="Default"/>
    <w:uiPriority w:val="99"/>
    <w:rsid w:val="007E71A4"/>
    <w:pPr>
      <w:widowControl w:val="0"/>
      <w:spacing w:line="231" w:lineRule="atLeast"/>
    </w:pPr>
    <w:rPr>
      <w:rFonts w:ascii="Calibri Light" w:eastAsiaTheme="minorEastAsia" w:hAnsi="Calibri Light"/>
      <w:color w:val="auto"/>
      <w:lang w:val="en-US" w:eastAsia="ja-JP"/>
    </w:rPr>
  </w:style>
  <w:style w:type="paragraph" w:customStyle="1" w:styleId="CM4">
    <w:name w:val="CM4"/>
    <w:basedOn w:val="Default"/>
    <w:next w:val="Default"/>
    <w:uiPriority w:val="99"/>
    <w:rsid w:val="007E71A4"/>
    <w:pPr>
      <w:widowControl w:val="0"/>
      <w:spacing w:line="231" w:lineRule="atLeast"/>
    </w:pPr>
    <w:rPr>
      <w:rFonts w:ascii="Calibri Light" w:eastAsiaTheme="minorEastAsia" w:hAnsi="Calibri Light"/>
      <w:color w:val="auto"/>
      <w:lang w:val="en-US" w:eastAsia="ja-JP"/>
    </w:rPr>
  </w:style>
  <w:style w:type="paragraph" w:customStyle="1" w:styleId="CM20">
    <w:name w:val="CM20"/>
    <w:basedOn w:val="Default"/>
    <w:next w:val="Default"/>
    <w:uiPriority w:val="99"/>
    <w:rsid w:val="007E71A4"/>
    <w:pPr>
      <w:widowControl w:val="0"/>
      <w:spacing w:line="228" w:lineRule="atLeast"/>
    </w:pPr>
    <w:rPr>
      <w:rFonts w:ascii="Calibri Light" w:eastAsiaTheme="minorEastAsia" w:hAnsi="Calibri Light"/>
      <w:color w:val="auto"/>
      <w:lang w:val="en-US" w:eastAsia="ja-JP"/>
    </w:rPr>
  </w:style>
  <w:style w:type="character" w:customStyle="1" w:styleId="BodyTextChar">
    <w:name w:val="Body Text Char"/>
    <w:aliases w:val="Body Text Char1 Char Char1,Body Text Char Char Char Char1,Body Text Char1 Char2,Body Text Char Char Char2,Body Text Char2 Char,Body Text Char Char1 Char,Body Text Char1 Char Char Char,Body Text Char Char Char Char Char"/>
    <w:basedOn w:val="DefaultParagraphFont"/>
    <w:link w:val="BodyText"/>
    <w:semiHidden/>
    <w:rsid w:val="007E71A4"/>
    <w:rPr>
      <w:rFonts w:ascii="Calibri" w:eastAsia="Calibri" w:hAnsi="Calibri"/>
      <w:sz w:val="22"/>
      <w:szCs w:val="22"/>
      <w:lang w:val="en-US"/>
    </w:rPr>
  </w:style>
  <w:style w:type="paragraph" w:customStyle="1" w:styleId="Normal-Numberedlist">
    <w:name w:val="Normal-Numbered list"/>
    <w:basedOn w:val="ListParagraph"/>
    <w:qFormat/>
    <w:rsid w:val="008A3099"/>
    <w:pPr>
      <w:numPr>
        <w:numId w:val="60"/>
      </w:numPr>
      <w:autoSpaceDE w:val="0"/>
      <w:autoSpaceDN w:val="0"/>
      <w:adjustRightInd w:val="0"/>
      <w:spacing w:before="120"/>
      <w:contextualSpacing w:val="0"/>
      <w:jc w:val="both"/>
      <w:textAlignment w:val="center"/>
    </w:pPr>
    <w:rPr>
      <w:rFonts w:eastAsiaTheme="minorEastAsia" w:cs="MinionPro-Regular"/>
      <w:color w:val="000000"/>
      <w:lang w:val="en-AU" w:eastAsia="en-AU"/>
    </w:rPr>
  </w:style>
  <w:style w:type="paragraph" w:customStyle="1" w:styleId="Normal-BoldBlue">
    <w:name w:val="Normal - Bold Blue"/>
    <w:basedOn w:val="Normal"/>
    <w:qFormat/>
    <w:rsid w:val="00023433"/>
    <w:pPr>
      <w:keepNext/>
      <w:autoSpaceDE w:val="0"/>
      <w:autoSpaceDN w:val="0"/>
      <w:adjustRightInd w:val="0"/>
      <w:spacing w:before="200"/>
      <w:jc w:val="both"/>
      <w:textAlignment w:val="center"/>
    </w:pPr>
    <w:rPr>
      <w:rFonts w:eastAsiaTheme="minorEastAsia" w:cs="MinionPro-Regular"/>
      <w:b/>
      <w:color w:val="1E2BC8"/>
      <w:lang w:val="en-AU" w:eastAsia="en-AU"/>
    </w:rPr>
  </w:style>
  <w:style w:type="paragraph" w:styleId="NoSpacing">
    <w:name w:val="No Spacing"/>
    <w:uiPriority w:val="99"/>
    <w:qFormat/>
    <w:rsid w:val="00C2027D"/>
    <w:pPr>
      <w:widowControl w:val="0"/>
    </w:pPr>
    <w:rPr>
      <w:rFonts w:ascii="Cambria" w:eastAsia="MS Minngs" w:hAnsi="Cambria"/>
      <w:kern w:val="2"/>
      <w:sz w:val="21"/>
      <w:szCs w:val="22"/>
      <w:lang w:val="en-US" w:eastAsia="zh-CN"/>
    </w:rPr>
  </w:style>
  <w:style w:type="paragraph" w:customStyle="1" w:styleId="Photocaption">
    <w:name w:val="Photo caption"/>
    <w:basedOn w:val="Normal"/>
    <w:qFormat/>
    <w:rsid w:val="00472B04"/>
    <w:rPr>
      <w:sz w:val="20"/>
      <w:szCs w:val="20"/>
    </w:rPr>
  </w:style>
  <w:style w:type="paragraph" w:customStyle="1" w:styleId="Paragrafobase">
    <w:name w:val="[Paragrafo base]"/>
    <w:basedOn w:val="Normal"/>
    <w:uiPriority w:val="99"/>
    <w:rsid w:val="004A1E8F"/>
    <w:pPr>
      <w:suppressAutoHyphens/>
      <w:autoSpaceDE w:val="0"/>
      <w:autoSpaceDN w:val="0"/>
      <w:adjustRightInd w:val="0"/>
      <w:spacing w:after="170" w:line="240" w:lineRule="atLeast"/>
      <w:textAlignment w:val="center"/>
    </w:pPr>
    <w:rPr>
      <w:rFonts w:ascii="HelveticaNeueLTPro-Roman" w:eastAsia="Times New Roman" w:hAnsi="HelveticaNeueLTPro-Roman" w:cs="HelveticaNeueLTPro-Roman"/>
      <w:color w:val="000000"/>
      <w:sz w:val="18"/>
      <w:szCs w:val="18"/>
    </w:rPr>
  </w:style>
  <w:style w:type="paragraph" w:styleId="TOC5">
    <w:name w:val="toc 5"/>
    <w:basedOn w:val="Normal"/>
    <w:next w:val="Normal"/>
    <w:autoRedefine/>
    <w:uiPriority w:val="39"/>
    <w:unhideWhenUsed/>
    <w:rsid w:val="00F82562"/>
    <w:pPr>
      <w:ind w:left="960"/>
    </w:pPr>
  </w:style>
  <w:style w:type="paragraph" w:styleId="TOC6">
    <w:name w:val="toc 6"/>
    <w:basedOn w:val="Normal"/>
    <w:next w:val="Normal"/>
    <w:autoRedefine/>
    <w:uiPriority w:val="39"/>
    <w:unhideWhenUsed/>
    <w:rsid w:val="00F82562"/>
    <w:pPr>
      <w:ind w:left="1200"/>
    </w:pPr>
  </w:style>
  <w:style w:type="paragraph" w:styleId="TOC7">
    <w:name w:val="toc 7"/>
    <w:basedOn w:val="Normal"/>
    <w:next w:val="Normal"/>
    <w:autoRedefine/>
    <w:uiPriority w:val="39"/>
    <w:unhideWhenUsed/>
    <w:rsid w:val="00F82562"/>
    <w:pPr>
      <w:ind w:left="1440"/>
    </w:pPr>
  </w:style>
  <w:style w:type="paragraph" w:styleId="TOC8">
    <w:name w:val="toc 8"/>
    <w:basedOn w:val="Normal"/>
    <w:next w:val="Normal"/>
    <w:autoRedefine/>
    <w:uiPriority w:val="39"/>
    <w:unhideWhenUsed/>
    <w:rsid w:val="00F82562"/>
    <w:pPr>
      <w:ind w:left="1680"/>
    </w:pPr>
  </w:style>
  <w:style w:type="paragraph" w:styleId="TOC9">
    <w:name w:val="toc 9"/>
    <w:basedOn w:val="Normal"/>
    <w:next w:val="Normal"/>
    <w:autoRedefine/>
    <w:uiPriority w:val="39"/>
    <w:unhideWhenUsed/>
    <w:rsid w:val="00F82562"/>
    <w:pPr>
      <w:ind w:left="1920"/>
    </w:pPr>
  </w:style>
  <w:style w:type="paragraph" w:customStyle="1" w:styleId="PullQuote">
    <w:name w:val="Pull Quote"/>
    <w:basedOn w:val="CommentText"/>
    <w:qFormat/>
    <w:rsid w:val="00C86B5A"/>
    <w:pPr>
      <w:spacing w:before="160" w:line="240" w:lineRule="auto"/>
    </w:pPr>
    <w:rPr>
      <w:rFonts w:ascii="Arial Narrow" w:hAnsi="Arial Narrow"/>
      <w:color w:val="007DA7"/>
      <w:sz w:val="32"/>
      <w:szCs w:val="28"/>
    </w:rPr>
  </w:style>
  <w:style w:type="paragraph" w:customStyle="1" w:styleId="PullQuote-Offwhite">
    <w:name w:val="Pull Quote - Off white"/>
    <w:basedOn w:val="Normal"/>
    <w:uiPriority w:val="99"/>
    <w:rsid w:val="00D954AF"/>
    <w:pPr>
      <w:suppressAutoHyphens/>
      <w:autoSpaceDE w:val="0"/>
      <w:autoSpaceDN w:val="0"/>
      <w:adjustRightInd w:val="0"/>
      <w:spacing w:after="170" w:line="240" w:lineRule="atLeast"/>
      <w:textAlignment w:val="center"/>
    </w:pPr>
    <w:rPr>
      <w:rFonts w:ascii="HelveticaNeueLTPro-MdCn" w:eastAsia="Times New Roman" w:hAnsi="HelveticaNeueLTPro-MdCn" w:cs="HelveticaNeueLTPro-MdCn"/>
      <w:color w:val="ECEAE6"/>
      <w:sz w:val="19"/>
      <w:szCs w:val="19"/>
    </w:rPr>
  </w:style>
  <w:style w:type="paragraph" w:customStyle="1" w:styleId="PullQuote-Blu">
    <w:name w:val="Pull Quote - Blu"/>
    <w:basedOn w:val="PullQuote-Offwhite"/>
    <w:uiPriority w:val="99"/>
    <w:rsid w:val="00D954AF"/>
    <w:rPr>
      <w:color w:val="007CA6"/>
    </w:rPr>
  </w:style>
  <w:style w:type="paragraph" w:customStyle="1" w:styleId="Pa11">
    <w:name w:val="Pa11"/>
    <w:basedOn w:val="Default"/>
    <w:next w:val="Default"/>
    <w:uiPriority w:val="99"/>
    <w:rsid w:val="00A25155"/>
    <w:pPr>
      <w:widowControl w:val="0"/>
      <w:spacing w:line="191" w:lineRule="atLeast"/>
    </w:pPr>
    <w:rPr>
      <w:rFonts w:ascii="HelveticaNeueLT Pro 67 MdCn" w:hAnsi="HelveticaNeueLT Pro 67 MdCn"/>
      <w:color w:val="auto"/>
      <w:lang w:val="en-US" w:eastAsia="en-US"/>
    </w:rPr>
  </w:style>
  <w:style w:type="paragraph" w:customStyle="1" w:styleId="PullQuoteCredit">
    <w:name w:val="Pull Quote Credit"/>
    <w:basedOn w:val="Heading5"/>
    <w:qFormat/>
    <w:rsid w:val="00A25155"/>
    <w:pPr>
      <w:spacing w:before="200" w:after="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073808">
      <w:bodyDiv w:val="1"/>
      <w:marLeft w:val="0"/>
      <w:marRight w:val="0"/>
      <w:marTop w:val="0"/>
      <w:marBottom w:val="0"/>
      <w:divBdr>
        <w:top w:val="none" w:sz="0" w:space="0" w:color="auto"/>
        <w:left w:val="none" w:sz="0" w:space="0" w:color="auto"/>
        <w:bottom w:val="none" w:sz="0" w:space="0" w:color="auto"/>
        <w:right w:val="none" w:sz="0" w:space="0" w:color="auto"/>
      </w:divBdr>
    </w:div>
    <w:div w:id="82924041">
      <w:bodyDiv w:val="1"/>
      <w:marLeft w:val="0"/>
      <w:marRight w:val="0"/>
      <w:marTop w:val="0"/>
      <w:marBottom w:val="0"/>
      <w:divBdr>
        <w:top w:val="none" w:sz="0" w:space="0" w:color="auto"/>
        <w:left w:val="none" w:sz="0" w:space="0" w:color="auto"/>
        <w:bottom w:val="none" w:sz="0" w:space="0" w:color="auto"/>
        <w:right w:val="none" w:sz="0" w:space="0" w:color="auto"/>
      </w:divBdr>
      <w:divsChild>
        <w:div w:id="142622691">
          <w:marLeft w:val="0"/>
          <w:marRight w:val="0"/>
          <w:marTop w:val="0"/>
          <w:marBottom w:val="0"/>
          <w:divBdr>
            <w:top w:val="none" w:sz="0" w:space="0" w:color="auto"/>
            <w:left w:val="none" w:sz="0" w:space="0" w:color="auto"/>
            <w:bottom w:val="none" w:sz="0" w:space="0" w:color="auto"/>
            <w:right w:val="none" w:sz="0" w:space="0" w:color="auto"/>
          </w:divBdr>
          <w:divsChild>
            <w:div w:id="1331567458">
              <w:marLeft w:val="0"/>
              <w:marRight w:val="0"/>
              <w:marTop w:val="0"/>
              <w:marBottom w:val="0"/>
              <w:divBdr>
                <w:top w:val="none" w:sz="0" w:space="0" w:color="auto"/>
                <w:left w:val="none" w:sz="0" w:space="0" w:color="auto"/>
                <w:bottom w:val="none" w:sz="0" w:space="0" w:color="auto"/>
                <w:right w:val="none" w:sz="0" w:space="0" w:color="auto"/>
              </w:divBdr>
              <w:divsChild>
                <w:div w:id="1653874545">
                  <w:marLeft w:val="0"/>
                  <w:marRight w:val="0"/>
                  <w:marTop w:val="0"/>
                  <w:marBottom w:val="0"/>
                  <w:divBdr>
                    <w:top w:val="none" w:sz="0" w:space="0" w:color="auto"/>
                    <w:left w:val="none" w:sz="0" w:space="0" w:color="auto"/>
                    <w:bottom w:val="none" w:sz="0" w:space="0" w:color="auto"/>
                    <w:right w:val="none" w:sz="0" w:space="0" w:color="auto"/>
                  </w:divBdr>
                  <w:divsChild>
                    <w:div w:id="149090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65257">
      <w:bodyDiv w:val="1"/>
      <w:marLeft w:val="0"/>
      <w:marRight w:val="0"/>
      <w:marTop w:val="0"/>
      <w:marBottom w:val="0"/>
      <w:divBdr>
        <w:top w:val="none" w:sz="0" w:space="0" w:color="auto"/>
        <w:left w:val="none" w:sz="0" w:space="0" w:color="auto"/>
        <w:bottom w:val="none" w:sz="0" w:space="0" w:color="auto"/>
        <w:right w:val="none" w:sz="0" w:space="0" w:color="auto"/>
      </w:divBdr>
      <w:divsChild>
        <w:div w:id="2147357617">
          <w:marLeft w:val="0"/>
          <w:marRight w:val="0"/>
          <w:marTop w:val="0"/>
          <w:marBottom w:val="0"/>
          <w:divBdr>
            <w:top w:val="none" w:sz="0" w:space="0" w:color="auto"/>
            <w:left w:val="none" w:sz="0" w:space="0" w:color="auto"/>
            <w:bottom w:val="none" w:sz="0" w:space="0" w:color="auto"/>
            <w:right w:val="none" w:sz="0" w:space="0" w:color="auto"/>
          </w:divBdr>
          <w:divsChild>
            <w:div w:id="1507747654">
              <w:marLeft w:val="0"/>
              <w:marRight w:val="0"/>
              <w:marTop w:val="0"/>
              <w:marBottom w:val="0"/>
              <w:divBdr>
                <w:top w:val="none" w:sz="0" w:space="0" w:color="auto"/>
                <w:left w:val="none" w:sz="0" w:space="0" w:color="auto"/>
                <w:bottom w:val="none" w:sz="0" w:space="0" w:color="auto"/>
                <w:right w:val="none" w:sz="0" w:space="0" w:color="auto"/>
              </w:divBdr>
              <w:divsChild>
                <w:div w:id="2110352794">
                  <w:marLeft w:val="0"/>
                  <w:marRight w:val="0"/>
                  <w:marTop w:val="0"/>
                  <w:marBottom w:val="0"/>
                  <w:divBdr>
                    <w:top w:val="none" w:sz="0" w:space="0" w:color="auto"/>
                    <w:left w:val="none" w:sz="0" w:space="0" w:color="auto"/>
                    <w:bottom w:val="none" w:sz="0" w:space="0" w:color="auto"/>
                    <w:right w:val="none" w:sz="0" w:space="0" w:color="auto"/>
                  </w:divBdr>
                </w:div>
              </w:divsChild>
            </w:div>
            <w:div w:id="2047832609">
              <w:marLeft w:val="0"/>
              <w:marRight w:val="0"/>
              <w:marTop w:val="0"/>
              <w:marBottom w:val="0"/>
              <w:divBdr>
                <w:top w:val="none" w:sz="0" w:space="0" w:color="auto"/>
                <w:left w:val="none" w:sz="0" w:space="0" w:color="auto"/>
                <w:bottom w:val="none" w:sz="0" w:space="0" w:color="auto"/>
                <w:right w:val="none" w:sz="0" w:space="0" w:color="auto"/>
              </w:divBdr>
              <w:divsChild>
                <w:div w:id="80651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3637">
      <w:bodyDiv w:val="1"/>
      <w:marLeft w:val="0"/>
      <w:marRight w:val="0"/>
      <w:marTop w:val="0"/>
      <w:marBottom w:val="0"/>
      <w:divBdr>
        <w:top w:val="none" w:sz="0" w:space="0" w:color="auto"/>
        <w:left w:val="none" w:sz="0" w:space="0" w:color="auto"/>
        <w:bottom w:val="none" w:sz="0" w:space="0" w:color="auto"/>
        <w:right w:val="none" w:sz="0" w:space="0" w:color="auto"/>
      </w:divBdr>
      <w:divsChild>
        <w:div w:id="1712923033">
          <w:marLeft w:val="0"/>
          <w:marRight w:val="0"/>
          <w:marTop w:val="0"/>
          <w:marBottom w:val="0"/>
          <w:divBdr>
            <w:top w:val="none" w:sz="0" w:space="0" w:color="auto"/>
            <w:left w:val="none" w:sz="0" w:space="0" w:color="auto"/>
            <w:bottom w:val="none" w:sz="0" w:space="0" w:color="auto"/>
            <w:right w:val="none" w:sz="0" w:space="0" w:color="auto"/>
          </w:divBdr>
          <w:divsChild>
            <w:div w:id="1871065831">
              <w:marLeft w:val="0"/>
              <w:marRight w:val="0"/>
              <w:marTop w:val="0"/>
              <w:marBottom w:val="0"/>
              <w:divBdr>
                <w:top w:val="none" w:sz="0" w:space="0" w:color="auto"/>
                <w:left w:val="none" w:sz="0" w:space="0" w:color="auto"/>
                <w:bottom w:val="none" w:sz="0" w:space="0" w:color="auto"/>
                <w:right w:val="none" w:sz="0" w:space="0" w:color="auto"/>
              </w:divBdr>
              <w:divsChild>
                <w:div w:id="4962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98923">
      <w:bodyDiv w:val="1"/>
      <w:marLeft w:val="0"/>
      <w:marRight w:val="0"/>
      <w:marTop w:val="0"/>
      <w:marBottom w:val="0"/>
      <w:divBdr>
        <w:top w:val="none" w:sz="0" w:space="0" w:color="auto"/>
        <w:left w:val="none" w:sz="0" w:space="0" w:color="auto"/>
        <w:bottom w:val="none" w:sz="0" w:space="0" w:color="auto"/>
        <w:right w:val="none" w:sz="0" w:space="0" w:color="auto"/>
      </w:divBdr>
      <w:divsChild>
        <w:div w:id="1796093532">
          <w:marLeft w:val="0"/>
          <w:marRight w:val="0"/>
          <w:marTop w:val="0"/>
          <w:marBottom w:val="0"/>
          <w:divBdr>
            <w:top w:val="none" w:sz="0" w:space="0" w:color="auto"/>
            <w:left w:val="none" w:sz="0" w:space="0" w:color="auto"/>
            <w:bottom w:val="none" w:sz="0" w:space="0" w:color="auto"/>
            <w:right w:val="none" w:sz="0" w:space="0" w:color="auto"/>
          </w:divBdr>
          <w:divsChild>
            <w:div w:id="828209467">
              <w:marLeft w:val="0"/>
              <w:marRight w:val="0"/>
              <w:marTop w:val="0"/>
              <w:marBottom w:val="0"/>
              <w:divBdr>
                <w:top w:val="none" w:sz="0" w:space="0" w:color="auto"/>
                <w:left w:val="none" w:sz="0" w:space="0" w:color="auto"/>
                <w:bottom w:val="none" w:sz="0" w:space="0" w:color="auto"/>
                <w:right w:val="none" w:sz="0" w:space="0" w:color="auto"/>
              </w:divBdr>
              <w:divsChild>
                <w:div w:id="17043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04874">
      <w:bodyDiv w:val="1"/>
      <w:marLeft w:val="0"/>
      <w:marRight w:val="0"/>
      <w:marTop w:val="0"/>
      <w:marBottom w:val="0"/>
      <w:divBdr>
        <w:top w:val="none" w:sz="0" w:space="0" w:color="auto"/>
        <w:left w:val="none" w:sz="0" w:space="0" w:color="auto"/>
        <w:bottom w:val="none" w:sz="0" w:space="0" w:color="auto"/>
        <w:right w:val="none" w:sz="0" w:space="0" w:color="auto"/>
      </w:divBdr>
      <w:divsChild>
        <w:div w:id="1776291931">
          <w:marLeft w:val="0"/>
          <w:marRight w:val="0"/>
          <w:marTop w:val="0"/>
          <w:marBottom w:val="0"/>
          <w:divBdr>
            <w:top w:val="none" w:sz="0" w:space="0" w:color="auto"/>
            <w:left w:val="none" w:sz="0" w:space="0" w:color="auto"/>
            <w:bottom w:val="none" w:sz="0" w:space="0" w:color="auto"/>
            <w:right w:val="none" w:sz="0" w:space="0" w:color="auto"/>
          </w:divBdr>
          <w:divsChild>
            <w:div w:id="1208300584">
              <w:marLeft w:val="0"/>
              <w:marRight w:val="0"/>
              <w:marTop w:val="0"/>
              <w:marBottom w:val="0"/>
              <w:divBdr>
                <w:top w:val="none" w:sz="0" w:space="0" w:color="auto"/>
                <w:left w:val="none" w:sz="0" w:space="0" w:color="auto"/>
                <w:bottom w:val="none" w:sz="0" w:space="0" w:color="auto"/>
                <w:right w:val="none" w:sz="0" w:space="0" w:color="auto"/>
              </w:divBdr>
              <w:divsChild>
                <w:div w:id="110175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127767">
      <w:bodyDiv w:val="1"/>
      <w:marLeft w:val="0"/>
      <w:marRight w:val="0"/>
      <w:marTop w:val="0"/>
      <w:marBottom w:val="0"/>
      <w:divBdr>
        <w:top w:val="none" w:sz="0" w:space="0" w:color="auto"/>
        <w:left w:val="none" w:sz="0" w:space="0" w:color="auto"/>
        <w:bottom w:val="none" w:sz="0" w:space="0" w:color="auto"/>
        <w:right w:val="none" w:sz="0" w:space="0" w:color="auto"/>
      </w:divBdr>
      <w:divsChild>
        <w:div w:id="1602571253">
          <w:marLeft w:val="0"/>
          <w:marRight w:val="0"/>
          <w:marTop w:val="0"/>
          <w:marBottom w:val="0"/>
          <w:divBdr>
            <w:top w:val="none" w:sz="0" w:space="0" w:color="auto"/>
            <w:left w:val="none" w:sz="0" w:space="0" w:color="auto"/>
            <w:bottom w:val="none" w:sz="0" w:space="0" w:color="auto"/>
            <w:right w:val="none" w:sz="0" w:space="0" w:color="auto"/>
          </w:divBdr>
          <w:divsChild>
            <w:div w:id="1245720105">
              <w:marLeft w:val="0"/>
              <w:marRight w:val="0"/>
              <w:marTop w:val="0"/>
              <w:marBottom w:val="0"/>
              <w:divBdr>
                <w:top w:val="none" w:sz="0" w:space="0" w:color="auto"/>
                <w:left w:val="none" w:sz="0" w:space="0" w:color="auto"/>
                <w:bottom w:val="none" w:sz="0" w:space="0" w:color="auto"/>
                <w:right w:val="none" w:sz="0" w:space="0" w:color="auto"/>
              </w:divBdr>
              <w:divsChild>
                <w:div w:id="184990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505650">
      <w:bodyDiv w:val="1"/>
      <w:marLeft w:val="0"/>
      <w:marRight w:val="0"/>
      <w:marTop w:val="0"/>
      <w:marBottom w:val="0"/>
      <w:divBdr>
        <w:top w:val="none" w:sz="0" w:space="0" w:color="auto"/>
        <w:left w:val="none" w:sz="0" w:space="0" w:color="auto"/>
        <w:bottom w:val="none" w:sz="0" w:space="0" w:color="auto"/>
        <w:right w:val="none" w:sz="0" w:space="0" w:color="auto"/>
      </w:divBdr>
      <w:divsChild>
        <w:div w:id="2121145720">
          <w:marLeft w:val="0"/>
          <w:marRight w:val="0"/>
          <w:marTop w:val="0"/>
          <w:marBottom w:val="0"/>
          <w:divBdr>
            <w:top w:val="none" w:sz="0" w:space="0" w:color="auto"/>
            <w:left w:val="none" w:sz="0" w:space="0" w:color="auto"/>
            <w:bottom w:val="none" w:sz="0" w:space="0" w:color="auto"/>
            <w:right w:val="none" w:sz="0" w:space="0" w:color="auto"/>
          </w:divBdr>
          <w:divsChild>
            <w:div w:id="1519854841">
              <w:marLeft w:val="0"/>
              <w:marRight w:val="0"/>
              <w:marTop w:val="0"/>
              <w:marBottom w:val="0"/>
              <w:divBdr>
                <w:top w:val="none" w:sz="0" w:space="0" w:color="auto"/>
                <w:left w:val="none" w:sz="0" w:space="0" w:color="auto"/>
                <w:bottom w:val="none" w:sz="0" w:space="0" w:color="auto"/>
                <w:right w:val="none" w:sz="0" w:space="0" w:color="auto"/>
              </w:divBdr>
              <w:divsChild>
                <w:div w:id="117861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908977">
      <w:bodyDiv w:val="1"/>
      <w:marLeft w:val="0"/>
      <w:marRight w:val="0"/>
      <w:marTop w:val="0"/>
      <w:marBottom w:val="0"/>
      <w:divBdr>
        <w:top w:val="none" w:sz="0" w:space="0" w:color="auto"/>
        <w:left w:val="none" w:sz="0" w:space="0" w:color="auto"/>
        <w:bottom w:val="none" w:sz="0" w:space="0" w:color="auto"/>
        <w:right w:val="none" w:sz="0" w:space="0" w:color="auto"/>
      </w:divBdr>
      <w:divsChild>
        <w:div w:id="1626503207">
          <w:marLeft w:val="0"/>
          <w:marRight w:val="0"/>
          <w:marTop w:val="0"/>
          <w:marBottom w:val="0"/>
          <w:divBdr>
            <w:top w:val="none" w:sz="0" w:space="0" w:color="auto"/>
            <w:left w:val="none" w:sz="0" w:space="0" w:color="auto"/>
            <w:bottom w:val="none" w:sz="0" w:space="0" w:color="auto"/>
            <w:right w:val="none" w:sz="0" w:space="0" w:color="auto"/>
          </w:divBdr>
          <w:divsChild>
            <w:div w:id="1957521711">
              <w:marLeft w:val="0"/>
              <w:marRight w:val="0"/>
              <w:marTop w:val="0"/>
              <w:marBottom w:val="0"/>
              <w:divBdr>
                <w:top w:val="none" w:sz="0" w:space="0" w:color="auto"/>
                <w:left w:val="none" w:sz="0" w:space="0" w:color="auto"/>
                <w:bottom w:val="none" w:sz="0" w:space="0" w:color="auto"/>
                <w:right w:val="none" w:sz="0" w:space="0" w:color="auto"/>
              </w:divBdr>
              <w:divsChild>
                <w:div w:id="18490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80652">
      <w:bodyDiv w:val="1"/>
      <w:marLeft w:val="0"/>
      <w:marRight w:val="0"/>
      <w:marTop w:val="0"/>
      <w:marBottom w:val="0"/>
      <w:divBdr>
        <w:top w:val="none" w:sz="0" w:space="0" w:color="auto"/>
        <w:left w:val="none" w:sz="0" w:space="0" w:color="auto"/>
        <w:bottom w:val="none" w:sz="0" w:space="0" w:color="auto"/>
        <w:right w:val="none" w:sz="0" w:space="0" w:color="auto"/>
      </w:divBdr>
      <w:divsChild>
        <w:div w:id="1247153046">
          <w:marLeft w:val="0"/>
          <w:marRight w:val="0"/>
          <w:marTop w:val="0"/>
          <w:marBottom w:val="0"/>
          <w:divBdr>
            <w:top w:val="none" w:sz="0" w:space="0" w:color="auto"/>
            <w:left w:val="none" w:sz="0" w:space="0" w:color="auto"/>
            <w:bottom w:val="none" w:sz="0" w:space="0" w:color="auto"/>
            <w:right w:val="none" w:sz="0" w:space="0" w:color="auto"/>
          </w:divBdr>
          <w:divsChild>
            <w:div w:id="1029138094">
              <w:marLeft w:val="0"/>
              <w:marRight w:val="0"/>
              <w:marTop w:val="0"/>
              <w:marBottom w:val="0"/>
              <w:divBdr>
                <w:top w:val="none" w:sz="0" w:space="0" w:color="auto"/>
                <w:left w:val="none" w:sz="0" w:space="0" w:color="auto"/>
                <w:bottom w:val="none" w:sz="0" w:space="0" w:color="auto"/>
                <w:right w:val="none" w:sz="0" w:space="0" w:color="auto"/>
              </w:divBdr>
              <w:divsChild>
                <w:div w:id="214041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472569">
      <w:bodyDiv w:val="1"/>
      <w:marLeft w:val="0"/>
      <w:marRight w:val="0"/>
      <w:marTop w:val="0"/>
      <w:marBottom w:val="0"/>
      <w:divBdr>
        <w:top w:val="none" w:sz="0" w:space="0" w:color="auto"/>
        <w:left w:val="none" w:sz="0" w:space="0" w:color="auto"/>
        <w:bottom w:val="none" w:sz="0" w:space="0" w:color="auto"/>
        <w:right w:val="none" w:sz="0" w:space="0" w:color="auto"/>
      </w:divBdr>
      <w:divsChild>
        <w:div w:id="1465268725">
          <w:marLeft w:val="0"/>
          <w:marRight w:val="0"/>
          <w:marTop w:val="0"/>
          <w:marBottom w:val="0"/>
          <w:divBdr>
            <w:top w:val="none" w:sz="0" w:space="0" w:color="auto"/>
            <w:left w:val="none" w:sz="0" w:space="0" w:color="auto"/>
            <w:bottom w:val="none" w:sz="0" w:space="0" w:color="auto"/>
            <w:right w:val="none" w:sz="0" w:space="0" w:color="auto"/>
          </w:divBdr>
          <w:divsChild>
            <w:div w:id="869954634">
              <w:marLeft w:val="0"/>
              <w:marRight w:val="0"/>
              <w:marTop w:val="0"/>
              <w:marBottom w:val="0"/>
              <w:divBdr>
                <w:top w:val="none" w:sz="0" w:space="0" w:color="auto"/>
                <w:left w:val="none" w:sz="0" w:space="0" w:color="auto"/>
                <w:bottom w:val="none" w:sz="0" w:space="0" w:color="auto"/>
                <w:right w:val="none" w:sz="0" w:space="0" w:color="auto"/>
              </w:divBdr>
              <w:divsChild>
                <w:div w:id="61533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445797">
      <w:bodyDiv w:val="1"/>
      <w:marLeft w:val="0"/>
      <w:marRight w:val="0"/>
      <w:marTop w:val="0"/>
      <w:marBottom w:val="0"/>
      <w:divBdr>
        <w:top w:val="none" w:sz="0" w:space="0" w:color="auto"/>
        <w:left w:val="none" w:sz="0" w:space="0" w:color="auto"/>
        <w:bottom w:val="none" w:sz="0" w:space="0" w:color="auto"/>
        <w:right w:val="none" w:sz="0" w:space="0" w:color="auto"/>
      </w:divBdr>
      <w:divsChild>
        <w:div w:id="586772418">
          <w:marLeft w:val="0"/>
          <w:marRight w:val="0"/>
          <w:marTop w:val="0"/>
          <w:marBottom w:val="0"/>
          <w:divBdr>
            <w:top w:val="none" w:sz="0" w:space="0" w:color="auto"/>
            <w:left w:val="none" w:sz="0" w:space="0" w:color="auto"/>
            <w:bottom w:val="none" w:sz="0" w:space="0" w:color="auto"/>
            <w:right w:val="none" w:sz="0" w:space="0" w:color="auto"/>
          </w:divBdr>
          <w:divsChild>
            <w:div w:id="1875313618">
              <w:marLeft w:val="0"/>
              <w:marRight w:val="0"/>
              <w:marTop w:val="0"/>
              <w:marBottom w:val="0"/>
              <w:divBdr>
                <w:top w:val="none" w:sz="0" w:space="0" w:color="auto"/>
                <w:left w:val="none" w:sz="0" w:space="0" w:color="auto"/>
                <w:bottom w:val="none" w:sz="0" w:space="0" w:color="auto"/>
                <w:right w:val="none" w:sz="0" w:space="0" w:color="auto"/>
              </w:divBdr>
              <w:divsChild>
                <w:div w:id="1406609834">
                  <w:marLeft w:val="0"/>
                  <w:marRight w:val="0"/>
                  <w:marTop w:val="0"/>
                  <w:marBottom w:val="0"/>
                  <w:divBdr>
                    <w:top w:val="none" w:sz="0" w:space="0" w:color="auto"/>
                    <w:left w:val="none" w:sz="0" w:space="0" w:color="auto"/>
                    <w:bottom w:val="none" w:sz="0" w:space="0" w:color="auto"/>
                    <w:right w:val="none" w:sz="0" w:space="0" w:color="auto"/>
                  </w:divBdr>
                  <w:divsChild>
                    <w:div w:id="141566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310888">
      <w:bodyDiv w:val="1"/>
      <w:marLeft w:val="0"/>
      <w:marRight w:val="0"/>
      <w:marTop w:val="0"/>
      <w:marBottom w:val="0"/>
      <w:divBdr>
        <w:top w:val="none" w:sz="0" w:space="0" w:color="auto"/>
        <w:left w:val="none" w:sz="0" w:space="0" w:color="auto"/>
        <w:bottom w:val="none" w:sz="0" w:space="0" w:color="auto"/>
        <w:right w:val="none" w:sz="0" w:space="0" w:color="auto"/>
      </w:divBdr>
      <w:divsChild>
        <w:div w:id="2109767002">
          <w:marLeft w:val="0"/>
          <w:marRight w:val="0"/>
          <w:marTop w:val="0"/>
          <w:marBottom w:val="0"/>
          <w:divBdr>
            <w:top w:val="none" w:sz="0" w:space="0" w:color="auto"/>
            <w:left w:val="none" w:sz="0" w:space="0" w:color="auto"/>
            <w:bottom w:val="none" w:sz="0" w:space="0" w:color="auto"/>
            <w:right w:val="none" w:sz="0" w:space="0" w:color="auto"/>
          </w:divBdr>
          <w:divsChild>
            <w:div w:id="829713612">
              <w:marLeft w:val="0"/>
              <w:marRight w:val="0"/>
              <w:marTop w:val="0"/>
              <w:marBottom w:val="0"/>
              <w:divBdr>
                <w:top w:val="none" w:sz="0" w:space="0" w:color="auto"/>
                <w:left w:val="none" w:sz="0" w:space="0" w:color="auto"/>
                <w:bottom w:val="none" w:sz="0" w:space="0" w:color="auto"/>
                <w:right w:val="none" w:sz="0" w:space="0" w:color="auto"/>
              </w:divBdr>
              <w:divsChild>
                <w:div w:id="1332639560">
                  <w:marLeft w:val="0"/>
                  <w:marRight w:val="0"/>
                  <w:marTop w:val="0"/>
                  <w:marBottom w:val="0"/>
                  <w:divBdr>
                    <w:top w:val="none" w:sz="0" w:space="0" w:color="auto"/>
                    <w:left w:val="none" w:sz="0" w:space="0" w:color="auto"/>
                    <w:bottom w:val="none" w:sz="0" w:space="0" w:color="auto"/>
                    <w:right w:val="none" w:sz="0" w:space="0" w:color="auto"/>
                  </w:divBdr>
                  <w:divsChild>
                    <w:div w:id="21072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503838">
      <w:bodyDiv w:val="1"/>
      <w:marLeft w:val="0"/>
      <w:marRight w:val="0"/>
      <w:marTop w:val="0"/>
      <w:marBottom w:val="0"/>
      <w:divBdr>
        <w:top w:val="none" w:sz="0" w:space="0" w:color="auto"/>
        <w:left w:val="none" w:sz="0" w:space="0" w:color="auto"/>
        <w:bottom w:val="none" w:sz="0" w:space="0" w:color="auto"/>
        <w:right w:val="none" w:sz="0" w:space="0" w:color="auto"/>
      </w:divBdr>
      <w:divsChild>
        <w:div w:id="387388191">
          <w:marLeft w:val="0"/>
          <w:marRight w:val="0"/>
          <w:marTop w:val="0"/>
          <w:marBottom w:val="0"/>
          <w:divBdr>
            <w:top w:val="none" w:sz="0" w:space="0" w:color="auto"/>
            <w:left w:val="none" w:sz="0" w:space="0" w:color="auto"/>
            <w:bottom w:val="none" w:sz="0" w:space="0" w:color="auto"/>
            <w:right w:val="none" w:sz="0" w:space="0" w:color="auto"/>
          </w:divBdr>
          <w:divsChild>
            <w:div w:id="2080325063">
              <w:marLeft w:val="0"/>
              <w:marRight w:val="0"/>
              <w:marTop w:val="0"/>
              <w:marBottom w:val="0"/>
              <w:divBdr>
                <w:top w:val="none" w:sz="0" w:space="0" w:color="auto"/>
                <w:left w:val="none" w:sz="0" w:space="0" w:color="auto"/>
                <w:bottom w:val="none" w:sz="0" w:space="0" w:color="auto"/>
                <w:right w:val="none" w:sz="0" w:space="0" w:color="auto"/>
              </w:divBdr>
              <w:divsChild>
                <w:div w:id="66644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760455">
      <w:bodyDiv w:val="1"/>
      <w:marLeft w:val="0"/>
      <w:marRight w:val="0"/>
      <w:marTop w:val="0"/>
      <w:marBottom w:val="0"/>
      <w:divBdr>
        <w:top w:val="none" w:sz="0" w:space="0" w:color="auto"/>
        <w:left w:val="none" w:sz="0" w:space="0" w:color="auto"/>
        <w:bottom w:val="none" w:sz="0" w:space="0" w:color="auto"/>
        <w:right w:val="none" w:sz="0" w:space="0" w:color="auto"/>
      </w:divBdr>
      <w:divsChild>
        <w:div w:id="199825389">
          <w:marLeft w:val="0"/>
          <w:marRight w:val="0"/>
          <w:marTop w:val="0"/>
          <w:marBottom w:val="0"/>
          <w:divBdr>
            <w:top w:val="none" w:sz="0" w:space="0" w:color="auto"/>
            <w:left w:val="none" w:sz="0" w:space="0" w:color="auto"/>
            <w:bottom w:val="none" w:sz="0" w:space="0" w:color="auto"/>
            <w:right w:val="none" w:sz="0" w:space="0" w:color="auto"/>
          </w:divBdr>
        </w:div>
        <w:div w:id="225604427">
          <w:marLeft w:val="0"/>
          <w:marRight w:val="0"/>
          <w:marTop w:val="0"/>
          <w:marBottom w:val="0"/>
          <w:divBdr>
            <w:top w:val="none" w:sz="0" w:space="0" w:color="auto"/>
            <w:left w:val="none" w:sz="0" w:space="0" w:color="auto"/>
            <w:bottom w:val="none" w:sz="0" w:space="0" w:color="auto"/>
            <w:right w:val="none" w:sz="0" w:space="0" w:color="auto"/>
          </w:divBdr>
        </w:div>
        <w:div w:id="854539325">
          <w:marLeft w:val="0"/>
          <w:marRight w:val="0"/>
          <w:marTop w:val="0"/>
          <w:marBottom w:val="0"/>
          <w:divBdr>
            <w:top w:val="none" w:sz="0" w:space="0" w:color="auto"/>
            <w:left w:val="none" w:sz="0" w:space="0" w:color="auto"/>
            <w:bottom w:val="none" w:sz="0" w:space="0" w:color="auto"/>
            <w:right w:val="none" w:sz="0" w:space="0" w:color="auto"/>
          </w:divBdr>
        </w:div>
        <w:div w:id="1602640011">
          <w:marLeft w:val="0"/>
          <w:marRight w:val="0"/>
          <w:marTop w:val="0"/>
          <w:marBottom w:val="0"/>
          <w:divBdr>
            <w:top w:val="none" w:sz="0" w:space="0" w:color="auto"/>
            <w:left w:val="none" w:sz="0" w:space="0" w:color="auto"/>
            <w:bottom w:val="none" w:sz="0" w:space="0" w:color="auto"/>
            <w:right w:val="none" w:sz="0" w:space="0" w:color="auto"/>
          </w:divBdr>
        </w:div>
        <w:div w:id="1847018494">
          <w:marLeft w:val="0"/>
          <w:marRight w:val="0"/>
          <w:marTop w:val="0"/>
          <w:marBottom w:val="0"/>
          <w:divBdr>
            <w:top w:val="none" w:sz="0" w:space="0" w:color="auto"/>
            <w:left w:val="none" w:sz="0" w:space="0" w:color="auto"/>
            <w:bottom w:val="none" w:sz="0" w:space="0" w:color="auto"/>
            <w:right w:val="none" w:sz="0" w:space="0" w:color="auto"/>
          </w:divBdr>
        </w:div>
      </w:divsChild>
    </w:div>
    <w:div w:id="412974143">
      <w:bodyDiv w:val="1"/>
      <w:marLeft w:val="0"/>
      <w:marRight w:val="0"/>
      <w:marTop w:val="0"/>
      <w:marBottom w:val="0"/>
      <w:divBdr>
        <w:top w:val="none" w:sz="0" w:space="0" w:color="auto"/>
        <w:left w:val="none" w:sz="0" w:space="0" w:color="auto"/>
        <w:bottom w:val="none" w:sz="0" w:space="0" w:color="auto"/>
        <w:right w:val="none" w:sz="0" w:space="0" w:color="auto"/>
      </w:divBdr>
      <w:divsChild>
        <w:div w:id="722411656">
          <w:marLeft w:val="0"/>
          <w:marRight w:val="0"/>
          <w:marTop w:val="0"/>
          <w:marBottom w:val="0"/>
          <w:divBdr>
            <w:top w:val="none" w:sz="0" w:space="0" w:color="auto"/>
            <w:left w:val="none" w:sz="0" w:space="0" w:color="auto"/>
            <w:bottom w:val="none" w:sz="0" w:space="0" w:color="auto"/>
            <w:right w:val="none" w:sz="0" w:space="0" w:color="auto"/>
          </w:divBdr>
          <w:divsChild>
            <w:div w:id="989404059">
              <w:marLeft w:val="0"/>
              <w:marRight w:val="0"/>
              <w:marTop w:val="0"/>
              <w:marBottom w:val="0"/>
              <w:divBdr>
                <w:top w:val="none" w:sz="0" w:space="0" w:color="auto"/>
                <w:left w:val="none" w:sz="0" w:space="0" w:color="auto"/>
                <w:bottom w:val="none" w:sz="0" w:space="0" w:color="auto"/>
                <w:right w:val="none" w:sz="0" w:space="0" w:color="auto"/>
              </w:divBdr>
              <w:divsChild>
                <w:div w:id="150342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548675">
      <w:bodyDiv w:val="1"/>
      <w:marLeft w:val="0"/>
      <w:marRight w:val="0"/>
      <w:marTop w:val="0"/>
      <w:marBottom w:val="0"/>
      <w:divBdr>
        <w:top w:val="none" w:sz="0" w:space="0" w:color="auto"/>
        <w:left w:val="none" w:sz="0" w:space="0" w:color="auto"/>
        <w:bottom w:val="none" w:sz="0" w:space="0" w:color="auto"/>
        <w:right w:val="none" w:sz="0" w:space="0" w:color="auto"/>
      </w:divBdr>
      <w:divsChild>
        <w:div w:id="200285870">
          <w:marLeft w:val="0"/>
          <w:marRight w:val="0"/>
          <w:marTop w:val="0"/>
          <w:marBottom w:val="0"/>
          <w:divBdr>
            <w:top w:val="none" w:sz="0" w:space="0" w:color="auto"/>
            <w:left w:val="none" w:sz="0" w:space="0" w:color="auto"/>
            <w:bottom w:val="none" w:sz="0" w:space="0" w:color="auto"/>
            <w:right w:val="none" w:sz="0" w:space="0" w:color="auto"/>
          </w:divBdr>
          <w:divsChild>
            <w:div w:id="44721129">
              <w:marLeft w:val="0"/>
              <w:marRight w:val="0"/>
              <w:marTop w:val="0"/>
              <w:marBottom w:val="0"/>
              <w:divBdr>
                <w:top w:val="none" w:sz="0" w:space="0" w:color="auto"/>
                <w:left w:val="none" w:sz="0" w:space="0" w:color="auto"/>
                <w:bottom w:val="none" w:sz="0" w:space="0" w:color="auto"/>
                <w:right w:val="none" w:sz="0" w:space="0" w:color="auto"/>
              </w:divBdr>
              <w:divsChild>
                <w:div w:id="17612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029719">
      <w:bodyDiv w:val="1"/>
      <w:marLeft w:val="0"/>
      <w:marRight w:val="0"/>
      <w:marTop w:val="0"/>
      <w:marBottom w:val="0"/>
      <w:divBdr>
        <w:top w:val="none" w:sz="0" w:space="0" w:color="auto"/>
        <w:left w:val="none" w:sz="0" w:space="0" w:color="auto"/>
        <w:bottom w:val="none" w:sz="0" w:space="0" w:color="auto"/>
        <w:right w:val="none" w:sz="0" w:space="0" w:color="auto"/>
      </w:divBdr>
      <w:divsChild>
        <w:div w:id="481310805">
          <w:marLeft w:val="0"/>
          <w:marRight w:val="0"/>
          <w:marTop w:val="0"/>
          <w:marBottom w:val="0"/>
          <w:divBdr>
            <w:top w:val="none" w:sz="0" w:space="0" w:color="auto"/>
            <w:left w:val="none" w:sz="0" w:space="0" w:color="auto"/>
            <w:bottom w:val="none" w:sz="0" w:space="0" w:color="auto"/>
            <w:right w:val="none" w:sz="0" w:space="0" w:color="auto"/>
          </w:divBdr>
          <w:divsChild>
            <w:div w:id="1976985511">
              <w:marLeft w:val="0"/>
              <w:marRight w:val="0"/>
              <w:marTop w:val="0"/>
              <w:marBottom w:val="0"/>
              <w:divBdr>
                <w:top w:val="none" w:sz="0" w:space="0" w:color="auto"/>
                <w:left w:val="none" w:sz="0" w:space="0" w:color="auto"/>
                <w:bottom w:val="none" w:sz="0" w:space="0" w:color="auto"/>
                <w:right w:val="none" w:sz="0" w:space="0" w:color="auto"/>
              </w:divBdr>
              <w:divsChild>
                <w:div w:id="69816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430446">
      <w:bodyDiv w:val="1"/>
      <w:marLeft w:val="0"/>
      <w:marRight w:val="0"/>
      <w:marTop w:val="0"/>
      <w:marBottom w:val="0"/>
      <w:divBdr>
        <w:top w:val="none" w:sz="0" w:space="0" w:color="auto"/>
        <w:left w:val="none" w:sz="0" w:space="0" w:color="auto"/>
        <w:bottom w:val="none" w:sz="0" w:space="0" w:color="auto"/>
        <w:right w:val="none" w:sz="0" w:space="0" w:color="auto"/>
      </w:divBdr>
      <w:divsChild>
        <w:div w:id="638416508">
          <w:marLeft w:val="0"/>
          <w:marRight w:val="0"/>
          <w:marTop w:val="0"/>
          <w:marBottom w:val="0"/>
          <w:divBdr>
            <w:top w:val="none" w:sz="0" w:space="0" w:color="auto"/>
            <w:left w:val="none" w:sz="0" w:space="0" w:color="auto"/>
            <w:bottom w:val="none" w:sz="0" w:space="0" w:color="auto"/>
            <w:right w:val="none" w:sz="0" w:space="0" w:color="auto"/>
          </w:divBdr>
          <w:divsChild>
            <w:div w:id="117142247">
              <w:marLeft w:val="0"/>
              <w:marRight w:val="0"/>
              <w:marTop w:val="0"/>
              <w:marBottom w:val="0"/>
              <w:divBdr>
                <w:top w:val="none" w:sz="0" w:space="0" w:color="auto"/>
                <w:left w:val="none" w:sz="0" w:space="0" w:color="auto"/>
                <w:bottom w:val="none" w:sz="0" w:space="0" w:color="auto"/>
                <w:right w:val="none" w:sz="0" w:space="0" w:color="auto"/>
              </w:divBdr>
              <w:divsChild>
                <w:div w:id="212214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374421">
      <w:bodyDiv w:val="1"/>
      <w:marLeft w:val="0"/>
      <w:marRight w:val="0"/>
      <w:marTop w:val="0"/>
      <w:marBottom w:val="0"/>
      <w:divBdr>
        <w:top w:val="none" w:sz="0" w:space="0" w:color="auto"/>
        <w:left w:val="none" w:sz="0" w:space="0" w:color="auto"/>
        <w:bottom w:val="none" w:sz="0" w:space="0" w:color="auto"/>
        <w:right w:val="none" w:sz="0" w:space="0" w:color="auto"/>
      </w:divBdr>
      <w:divsChild>
        <w:div w:id="2047673805">
          <w:marLeft w:val="0"/>
          <w:marRight w:val="0"/>
          <w:marTop w:val="0"/>
          <w:marBottom w:val="0"/>
          <w:divBdr>
            <w:top w:val="none" w:sz="0" w:space="0" w:color="auto"/>
            <w:left w:val="none" w:sz="0" w:space="0" w:color="auto"/>
            <w:bottom w:val="none" w:sz="0" w:space="0" w:color="auto"/>
            <w:right w:val="none" w:sz="0" w:space="0" w:color="auto"/>
          </w:divBdr>
          <w:divsChild>
            <w:div w:id="1247037862">
              <w:marLeft w:val="0"/>
              <w:marRight w:val="0"/>
              <w:marTop w:val="0"/>
              <w:marBottom w:val="0"/>
              <w:divBdr>
                <w:top w:val="none" w:sz="0" w:space="0" w:color="auto"/>
                <w:left w:val="none" w:sz="0" w:space="0" w:color="auto"/>
                <w:bottom w:val="none" w:sz="0" w:space="0" w:color="auto"/>
                <w:right w:val="none" w:sz="0" w:space="0" w:color="auto"/>
              </w:divBdr>
              <w:divsChild>
                <w:div w:id="1688360584">
                  <w:marLeft w:val="0"/>
                  <w:marRight w:val="0"/>
                  <w:marTop w:val="0"/>
                  <w:marBottom w:val="0"/>
                  <w:divBdr>
                    <w:top w:val="none" w:sz="0" w:space="0" w:color="auto"/>
                    <w:left w:val="none" w:sz="0" w:space="0" w:color="auto"/>
                    <w:bottom w:val="none" w:sz="0" w:space="0" w:color="auto"/>
                    <w:right w:val="none" w:sz="0" w:space="0" w:color="auto"/>
                  </w:divBdr>
                  <w:divsChild>
                    <w:div w:id="151298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571876">
      <w:bodyDiv w:val="1"/>
      <w:marLeft w:val="0"/>
      <w:marRight w:val="0"/>
      <w:marTop w:val="0"/>
      <w:marBottom w:val="0"/>
      <w:divBdr>
        <w:top w:val="none" w:sz="0" w:space="0" w:color="auto"/>
        <w:left w:val="none" w:sz="0" w:space="0" w:color="auto"/>
        <w:bottom w:val="none" w:sz="0" w:space="0" w:color="auto"/>
        <w:right w:val="none" w:sz="0" w:space="0" w:color="auto"/>
      </w:divBdr>
      <w:divsChild>
        <w:div w:id="1271426590">
          <w:marLeft w:val="0"/>
          <w:marRight w:val="0"/>
          <w:marTop w:val="0"/>
          <w:marBottom w:val="0"/>
          <w:divBdr>
            <w:top w:val="none" w:sz="0" w:space="0" w:color="auto"/>
            <w:left w:val="none" w:sz="0" w:space="0" w:color="auto"/>
            <w:bottom w:val="none" w:sz="0" w:space="0" w:color="auto"/>
            <w:right w:val="none" w:sz="0" w:space="0" w:color="auto"/>
          </w:divBdr>
          <w:divsChild>
            <w:div w:id="2026176747">
              <w:marLeft w:val="0"/>
              <w:marRight w:val="0"/>
              <w:marTop w:val="0"/>
              <w:marBottom w:val="0"/>
              <w:divBdr>
                <w:top w:val="none" w:sz="0" w:space="0" w:color="auto"/>
                <w:left w:val="none" w:sz="0" w:space="0" w:color="auto"/>
                <w:bottom w:val="none" w:sz="0" w:space="0" w:color="auto"/>
                <w:right w:val="none" w:sz="0" w:space="0" w:color="auto"/>
              </w:divBdr>
              <w:divsChild>
                <w:div w:id="122933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20536">
      <w:bodyDiv w:val="1"/>
      <w:marLeft w:val="0"/>
      <w:marRight w:val="0"/>
      <w:marTop w:val="0"/>
      <w:marBottom w:val="0"/>
      <w:divBdr>
        <w:top w:val="none" w:sz="0" w:space="0" w:color="auto"/>
        <w:left w:val="none" w:sz="0" w:space="0" w:color="auto"/>
        <w:bottom w:val="none" w:sz="0" w:space="0" w:color="auto"/>
        <w:right w:val="none" w:sz="0" w:space="0" w:color="auto"/>
      </w:divBdr>
      <w:divsChild>
        <w:div w:id="1206793387">
          <w:marLeft w:val="0"/>
          <w:marRight w:val="0"/>
          <w:marTop w:val="0"/>
          <w:marBottom w:val="0"/>
          <w:divBdr>
            <w:top w:val="none" w:sz="0" w:space="0" w:color="auto"/>
            <w:left w:val="none" w:sz="0" w:space="0" w:color="auto"/>
            <w:bottom w:val="none" w:sz="0" w:space="0" w:color="auto"/>
            <w:right w:val="none" w:sz="0" w:space="0" w:color="auto"/>
          </w:divBdr>
          <w:divsChild>
            <w:div w:id="1099720283">
              <w:marLeft w:val="0"/>
              <w:marRight w:val="0"/>
              <w:marTop w:val="0"/>
              <w:marBottom w:val="0"/>
              <w:divBdr>
                <w:top w:val="none" w:sz="0" w:space="0" w:color="auto"/>
                <w:left w:val="none" w:sz="0" w:space="0" w:color="auto"/>
                <w:bottom w:val="none" w:sz="0" w:space="0" w:color="auto"/>
                <w:right w:val="none" w:sz="0" w:space="0" w:color="auto"/>
              </w:divBdr>
              <w:divsChild>
                <w:div w:id="175920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04275">
      <w:bodyDiv w:val="1"/>
      <w:marLeft w:val="0"/>
      <w:marRight w:val="0"/>
      <w:marTop w:val="0"/>
      <w:marBottom w:val="0"/>
      <w:divBdr>
        <w:top w:val="none" w:sz="0" w:space="0" w:color="auto"/>
        <w:left w:val="none" w:sz="0" w:space="0" w:color="auto"/>
        <w:bottom w:val="none" w:sz="0" w:space="0" w:color="auto"/>
        <w:right w:val="none" w:sz="0" w:space="0" w:color="auto"/>
      </w:divBdr>
      <w:divsChild>
        <w:div w:id="477847126">
          <w:marLeft w:val="0"/>
          <w:marRight w:val="0"/>
          <w:marTop w:val="0"/>
          <w:marBottom w:val="0"/>
          <w:divBdr>
            <w:top w:val="none" w:sz="0" w:space="0" w:color="auto"/>
            <w:left w:val="none" w:sz="0" w:space="0" w:color="auto"/>
            <w:bottom w:val="none" w:sz="0" w:space="0" w:color="auto"/>
            <w:right w:val="none" w:sz="0" w:space="0" w:color="auto"/>
          </w:divBdr>
          <w:divsChild>
            <w:div w:id="239143851">
              <w:marLeft w:val="0"/>
              <w:marRight w:val="0"/>
              <w:marTop w:val="0"/>
              <w:marBottom w:val="0"/>
              <w:divBdr>
                <w:top w:val="none" w:sz="0" w:space="0" w:color="auto"/>
                <w:left w:val="none" w:sz="0" w:space="0" w:color="auto"/>
                <w:bottom w:val="none" w:sz="0" w:space="0" w:color="auto"/>
                <w:right w:val="none" w:sz="0" w:space="0" w:color="auto"/>
              </w:divBdr>
              <w:divsChild>
                <w:div w:id="2013219512">
                  <w:marLeft w:val="0"/>
                  <w:marRight w:val="0"/>
                  <w:marTop w:val="0"/>
                  <w:marBottom w:val="0"/>
                  <w:divBdr>
                    <w:top w:val="none" w:sz="0" w:space="0" w:color="auto"/>
                    <w:left w:val="none" w:sz="0" w:space="0" w:color="auto"/>
                    <w:bottom w:val="none" w:sz="0" w:space="0" w:color="auto"/>
                    <w:right w:val="none" w:sz="0" w:space="0" w:color="auto"/>
                  </w:divBdr>
                  <w:divsChild>
                    <w:div w:id="200785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85322">
      <w:bodyDiv w:val="1"/>
      <w:marLeft w:val="0"/>
      <w:marRight w:val="0"/>
      <w:marTop w:val="0"/>
      <w:marBottom w:val="0"/>
      <w:divBdr>
        <w:top w:val="none" w:sz="0" w:space="0" w:color="auto"/>
        <w:left w:val="none" w:sz="0" w:space="0" w:color="auto"/>
        <w:bottom w:val="none" w:sz="0" w:space="0" w:color="auto"/>
        <w:right w:val="none" w:sz="0" w:space="0" w:color="auto"/>
      </w:divBdr>
      <w:divsChild>
        <w:div w:id="47579270">
          <w:marLeft w:val="0"/>
          <w:marRight w:val="0"/>
          <w:marTop w:val="0"/>
          <w:marBottom w:val="0"/>
          <w:divBdr>
            <w:top w:val="none" w:sz="0" w:space="0" w:color="auto"/>
            <w:left w:val="none" w:sz="0" w:space="0" w:color="auto"/>
            <w:bottom w:val="none" w:sz="0" w:space="0" w:color="auto"/>
            <w:right w:val="none" w:sz="0" w:space="0" w:color="auto"/>
          </w:divBdr>
          <w:divsChild>
            <w:div w:id="937057720">
              <w:marLeft w:val="0"/>
              <w:marRight w:val="0"/>
              <w:marTop w:val="0"/>
              <w:marBottom w:val="0"/>
              <w:divBdr>
                <w:top w:val="none" w:sz="0" w:space="0" w:color="auto"/>
                <w:left w:val="none" w:sz="0" w:space="0" w:color="auto"/>
                <w:bottom w:val="none" w:sz="0" w:space="0" w:color="auto"/>
                <w:right w:val="none" w:sz="0" w:space="0" w:color="auto"/>
              </w:divBdr>
              <w:divsChild>
                <w:div w:id="175034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784456">
      <w:bodyDiv w:val="1"/>
      <w:marLeft w:val="0"/>
      <w:marRight w:val="0"/>
      <w:marTop w:val="0"/>
      <w:marBottom w:val="0"/>
      <w:divBdr>
        <w:top w:val="none" w:sz="0" w:space="0" w:color="auto"/>
        <w:left w:val="none" w:sz="0" w:space="0" w:color="auto"/>
        <w:bottom w:val="none" w:sz="0" w:space="0" w:color="auto"/>
        <w:right w:val="none" w:sz="0" w:space="0" w:color="auto"/>
      </w:divBdr>
    </w:div>
    <w:div w:id="585772364">
      <w:bodyDiv w:val="1"/>
      <w:marLeft w:val="0"/>
      <w:marRight w:val="0"/>
      <w:marTop w:val="0"/>
      <w:marBottom w:val="0"/>
      <w:divBdr>
        <w:top w:val="none" w:sz="0" w:space="0" w:color="auto"/>
        <w:left w:val="none" w:sz="0" w:space="0" w:color="auto"/>
        <w:bottom w:val="none" w:sz="0" w:space="0" w:color="auto"/>
        <w:right w:val="none" w:sz="0" w:space="0" w:color="auto"/>
      </w:divBdr>
      <w:divsChild>
        <w:div w:id="1786729505">
          <w:marLeft w:val="0"/>
          <w:marRight w:val="0"/>
          <w:marTop w:val="0"/>
          <w:marBottom w:val="0"/>
          <w:divBdr>
            <w:top w:val="none" w:sz="0" w:space="0" w:color="auto"/>
            <w:left w:val="none" w:sz="0" w:space="0" w:color="auto"/>
            <w:bottom w:val="none" w:sz="0" w:space="0" w:color="auto"/>
            <w:right w:val="none" w:sz="0" w:space="0" w:color="auto"/>
          </w:divBdr>
          <w:divsChild>
            <w:div w:id="866019204">
              <w:marLeft w:val="0"/>
              <w:marRight w:val="0"/>
              <w:marTop w:val="0"/>
              <w:marBottom w:val="0"/>
              <w:divBdr>
                <w:top w:val="none" w:sz="0" w:space="0" w:color="auto"/>
                <w:left w:val="none" w:sz="0" w:space="0" w:color="auto"/>
                <w:bottom w:val="none" w:sz="0" w:space="0" w:color="auto"/>
                <w:right w:val="none" w:sz="0" w:space="0" w:color="auto"/>
              </w:divBdr>
              <w:divsChild>
                <w:div w:id="10280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148779">
      <w:bodyDiv w:val="1"/>
      <w:marLeft w:val="0"/>
      <w:marRight w:val="0"/>
      <w:marTop w:val="0"/>
      <w:marBottom w:val="0"/>
      <w:divBdr>
        <w:top w:val="none" w:sz="0" w:space="0" w:color="auto"/>
        <w:left w:val="none" w:sz="0" w:space="0" w:color="auto"/>
        <w:bottom w:val="none" w:sz="0" w:space="0" w:color="auto"/>
        <w:right w:val="none" w:sz="0" w:space="0" w:color="auto"/>
      </w:divBdr>
      <w:divsChild>
        <w:div w:id="1639333683">
          <w:marLeft w:val="0"/>
          <w:marRight w:val="0"/>
          <w:marTop w:val="0"/>
          <w:marBottom w:val="0"/>
          <w:divBdr>
            <w:top w:val="none" w:sz="0" w:space="0" w:color="auto"/>
            <w:left w:val="none" w:sz="0" w:space="0" w:color="auto"/>
            <w:bottom w:val="none" w:sz="0" w:space="0" w:color="auto"/>
            <w:right w:val="none" w:sz="0" w:space="0" w:color="auto"/>
          </w:divBdr>
          <w:divsChild>
            <w:div w:id="1649899631">
              <w:marLeft w:val="0"/>
              <w:marRight w:val="0"/>
              <w:marTop w:val="0"/>
              <w:marBottom w:val="0"/>
              <w:divBdr>
                <w:top w:val="none" w:sz="0" w:space="0" w:color="auto"/>
                <w:left w:val="none" w:sz="0" w:space="0" w:color="auto"/>
                <w:bottom w:val="none" w:sz="0" w:space="0" w:color="auto"/>
                <w:right w:val="none" w:sz="0" w:space="0" w:color="auto"/>
              </w:divBdr>
              <w:divsChild>
                <w:div w:id="160618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884038">
      <w:bodyDiv w:val="1"/>
      <w:marLeft w:val="0"/>
      <w:marRight w:val="0"/>
      <w:marTop w:val="0"/>
      <w:marBottom w:val="0"/>
      <w:divBdr>
        <w:top w:val="none" w:sz="0" w:space="0" w:color="auto"/>
        <w:left w:val="none" w:sz="0" w:space="0" w:color="auto"/>
        <w:bottom w:val="none" w:sz="0" w:space="0" w:color="auto"/>
        <w:right w:val="none" w:sz="0" w:space="0" w:color="auto"/>
      </w:divBdr>
      <w:divsChild>
        <w:div w:id="1985045855">
          <w:marLeft w:val="0"/>
          <w:marRight w:val="0"/>
          <w:marTop w:val="0"/>
          <w:marBottom w:val="0"/>
          <w:divBdr>
            <w:top w:val="none" w:sz="0" w:space="0" w:color="auto"/>
            <w:left w:val="none" w:sz="0" w:space="0" w:color="auto"/>
            <w:bottom w:val="none" w:sz="0" w:space="0" w:color="auto"/>
            <w:right w:val="none" w:sz="0" w:space="0" w:color="auto"/>
          </w:divBdr>
          <w:divsChild>
            <w:div w:id="1772696873">
              <w:marLeft w:val="0"/>
              <w:marRight w:val="0"/>
              <w:marTop w:val="0"/>
              <w:marBottom w:val="0"/>
              <w:divBdr>
                <w:top w:val="none" w:sz="0" w:space="0" w:color="auto"/>
                <w:left w:val="none" w:sz="0" w:space="0" w:color="auto"/>
                <w:bottom w:val="none" w:sz="0" w:space="0" w:color="auto"/>
                <w:right w:val="none" w:sz="0" w:space="0" w:color="auto"/>
              </w:divBdr>
              <w:divsChild>
                <w:div w:id="137942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502315">
      <w:bodyDiv w:val="1"/>
      <w:marLeft w:val="0"/>
      <w:marRight w:val="0"/>
      <w:marTop w:val="0"/>
      <w:marBottom w:val="0"/>
      <w:divBdr>
        <w:top w:val="none" w:sz="0" w:space="0" w:color="auto"/>
        <w:left w:val="none" w:sz="0" w:space="0" w:color="auto"/>
        <w:bottom w:val="none" w:sz="0" w:space="0" w:color="auto"/>
        <w:right w:val="none" w:sz="0" w:space="0" w:color="auto"/>
      </w:divBdr>
      <w:divsChild>
        <w:div w:id="166871726">
          <w:marLeft w:val="0"/>
          <w:marRight w:val="0"/>
          <w:marTop w:val="0"/>
          <w:marBottom w:val="0"/>
          <w:divBdr>
            <w:top w:val="none" w:sz="0" w:space="0" w:color="auto"/>
            <w:left w:val="none" w:sz="0" w:space="0" w:color="auto"/>
            <w:bottom w:val="none" w:sz="0" w:space="0" w:color="auto"/>
            <w:right w:val="none" w:sz="0" w:space="0" w:color="auto"/>
          </w:divBdr>
          <w:divsChild>
            <w:div w:id="1688678310">
              <w:marLeft w:val="0"/>
              <w:marRight w:val="0"/>
              <w:marTop w:val="0"/>
              <w:marBottom w:val="0"/>
              <w:divBdr>
                <w:top w:val="none" w:sz="0" w:space="0" w:color="auto"/>
                <w:left w:val="none" w:sz="0" w:space="0" w:color="auto"/>
                <w:bottom w:val="none" w:sz="0" w:space="0" w:color="auto"/>
                <w:right w:val="none" w:sz="0" w:space="0" w:color="auto"/>
              </w:divBdr>
              <w:divsChild>
                <w:div w:id="107624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857336">
      <w:bodyDiv w:val="1"/>
      <w:marLeft w:val="0"/>
      <w:marRight w:val="0"/>
      <w:marTop w:val="0"/>
      <w:marBottom w:val="0"/>
      <w:divBdr>
        <w:top w:val="none" w:sz="0" w:space="0" w:color="auto"/>
        <w:left w:val="none" w:sz="0" w:space="0" w:color="auto"/>
        <w:bottom w:val="none" w:sz="0" w:space="0" w:color="auto"/>
        <w:right w:val="none" w:sz="0" w:space="0" w:color="auto"/>
      </w:divBdr>
    </w:div>
    <w:div w:id="749735134">
      <w:bodyDiv w:val="1"/>
      <w:marLeft w:val="0"/>
      <w:marRight w:val="0"/>
      <w:marTop w:val="0"/>
      <w:marBottom w:val="0"/>
      <w:divBdr>
        <w:top w:val="none" w:sz="0" w:space="0" w:color="auto"/>
        <w:left w:val="none" w:sz="0" w:space="0" w:color="auto"/>
        <w:bottom w:val="none" w:sz="0" w:space="0" w:color="auto"/>
        <w:right w:val="none" w:sz="0" w:space="0" w:color="auto"/>
      </w:divBdr>
      <w:divsChild>
        <w:div w:id="1244726584">
          <w:marLeft w:val="0"/>
          <w:marRight w:val="0"/>
          <w:marTop w:val="0"/>
          <w:marBottom w:val="0"/>
          <w:divBdr>
            <w:top w:val="none" w:sz="0" w:space="0" w:color="auto"/>
            <w:left w:val="none" w:sz="0" w:space="0" w:color="auto"/>
            <w:bottom w:val="none" w:sz="0" w:space="0" w:color="auto"/>
            <w:right w:val="none" w:sz="0" w:space="0" w:color="auto"/>
          </w:divBdr>
          <w:divsChild>
            <w:div w:id="133372668">
              <w:marLeft w:val="0"/>
              <w:marRight w:val="0"/>
              <w:marTop w:val="0"/>
              <w:marBottom w:val="0"/>
              <w:divBdr>
                <w:top w:val="none" w:sz="0" w:space="0" w:color="auto"/>
                <w:left w:val="none" w:sz="0" w:space="0" w:color="auto"/>
                <w:bottom w:val="none" w:sz="0" w:space="0" w:color="auto"/>
                <w:right w:val="none" w:sz="0" w:space="0" w:color="auto"/>
              </w:divBdr>
              <w:divsChild>
                <w:div w:id="117737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854388">
      <w:bodyDiv w:val="1"/>
      <w:marLeft w:val="0"/>
      <w:marRight w:val="0"/>
      <w:marTop w:val="0"/>
      <w:marBottom w:val="0"/>
      <w:divBdr>
        <w:top w:val="none" w:sz="0" w:space="0" w:color="auto"/>
        <w:left w:val="none" w:sz="0" w:space="0" w:color="auto"/>
        <w:bottom w:val="none" w:sz="0" w:space="0" w:color="auto"/>
        <w:right w:val="none" w:sz="0" w:space="0" w:color="auto"/>
      </w:divBdr>
      <w:divsChild>
        <w:div w:id="287513887">
          <w:marLeft w:val="0"/>
          <w:marRight w:val="0"/>
          <w:marTop w:val="0"/>
          <w:marBottom w:val="0"/>
          <w:divBdr>
            <w:top w:val="none" w:sz="0" w:space="0" w:color="auto"/>
            <w:left w:val="none" w:sz="0" w:space="0" w:color="auto"/>
            <w:bottom w:val="none" w:sz="0" w:space="0" w:color="auto"/>
            <w:right w:val="none" w:sz="0" w:space="0" w:color="auto"/>
          </w:divBdr>
          <w:divsChild>
            <w:div w:id="497886494">
              <w:marLeft w:val="0"/>
              <w:marRight w:val="0"/>
              <w:marTop w:val="0"/>
              <w:marBottom w:val="0"/>
              <w:divBdr>
                <w:top w:val="none" w:sz="0" w:space="0" w:color="auto"/>
                <w:left w:val="none" w:sz="0" w:space="0" w:color="auto"/>
                <w:bottom w:val="none" w:sz="0" w:space="0" w:color="auto"/>
                <w:right w:val="none" w:sz="0" w:space="0" w:color="auto"/>
              </w:divBdr>
              <w:divsChild>
                <w:div w:id="42121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30450">
      <w:bodyDiv w:val="1"/>
      <w:marLeft w:val="0"/>
      <w:marRight w:val="0"/>
      <w:marTop w:val="0"/>
      <w:marBottom w:val="0"/>
      <w:divBdr>
        <w:top w:val="none" w:sz="0" w:space="0" w:color="auto"/>
        <w:left w:val="none" w:sz="0" w:space="0" w:color="auto"/>
        <w:bottom w:val="none" w:sz="0" w:space="0" w:color="auto"/>
        <w:right w:val="none" w:sz="0" w:space="0" w:color="auto"/>
      </w:divBdr>
    </w:div>
    <w:div w:id="787894766">
      <w:bodyDiv w:val="1"/>
      <w:marLeft w:val="0"/>
      <w:marRight w:val="0"/>
      <w:marTop w:val="0"/>
      <w:marBottom w:val="0"/>
      <w:divBdr>
        <w:top w:val="none" w:sz="0" w:space="0" w:color="auto"/>
        <w:left w:val="none" w:sz="0" w:space="0" w:color="auto"/>
        <w:bottom w:val="none" w:sz="0" w:space="0" w:color="auto"/>
        <w:right w:val="none" w:sz="0" w:space="0" w:color="auto"/>
      </w:divBdr>
      <w:divsChild>
        <w:div w:id="1811315668">
          <w:marLeft w:val="0"/>
          <w:marRight w:val="0"/>
          <w:marTop w:val="0"/>
          <w:marBottom w:val="0"/>
          <w:divBdr>
            <w:top w:val="none" w:sz="0" w:space="0" w:color="auto"/>
            <w:left w:val="none" w:sz="0" w:space="0" w:color="auto"/>
            <w:bottom w:val="none" w:sz="0" w:space="0" w:color="auto"/>
            <w:right w:val="none" w:sz="0" w:space="0" w:color="auto"/>
          </w:divBdr>
          <w:divsChild>
            <w:div w:id="362487943">
              <w:marLeft w:val="0"/>
              <w:marRight w:val="0"/>
              <w:marTop w:val="0"/>
              <w:marBottom w:val="0"/>
              <w:divBdr>
                <w:top w:val="none" w:sz="0" w:space="0" w:color="auto"/>
                <w:left w:val="none" w:sz="0" w:space="0" w:color="auto"/>
                <w:bottom w:val="none" w:sz="0" w:space="0" w:color="auto"/>
                <w:right w:val="none" w:sz="0" w:space="0" w:color="auto"/>
              </w:divBdr>
              <w:divsChild>
                <w:div w:id="130654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69745">
      <w:bodyDiv w:val="1"/>
      <w:marLeft w:val="0"/>
      <w:marRight w:val="0"/>
      <w:marTop w:val="0"/>
      <w:marBottom w:val="0"/>
      <w:divBdr>
        <w:top w:val="none" w:sz="0" w:space="0" w:color="auto"/>
        <w:left w:val="none" w:sz="0" w:space="0" w:color="auto"/>
        <w:bottom w:val="none" w:sz="0" w:space="0" w:color="auto"/>
        <w:right w:val="none" w:sz="0" w:space="0" w:color="auto"/>
      </w:divBdr>
      <w:divsChild>
        <w:div w:id="726952021">
          <w:marLeft w:val="0"/>
          <w:marRight w:val="0"/>
          <w:marTop w:val="0"/>
          <w:marBottom w:val="0"/>
          <w:divBdr>
            <w:top w:val="none" w:sz="0" w:space="0" w:color="auto"/>
            <w:left w:val="none" w:sz="0" w:space="0" w:color="auto"/>
            <w:bottom w:val="none" w:sz="0" w:space="0" w:color="auto"/>
            <w:right w:val="none" w:sz="0" w:space="0" w:color="auto"/>
          </w:divBdr>
          <w:divsChild>
            <w:div w:id="192614686">
              <w:marLeft w:val="0"/>
              <w:marRight w:val="0"/>
              <w:marTop w:val="0"/>
              <w:marBottom w:val="0"/>
              <w:divBdr>
                <w:top w:val="none" w:sz="0" w:space="0" w:color="auto"/>
                <w:left w:val="none" w:sz="0" w:space="0" w:color="auto"/>
                <w:bottom w:val="none" w:sz="0" w:space="0" w:color="auto"/>
                <w:right w:val="none" w:sz="0" w:space="0" w:color="auto"/>
              </w:divBdr>
              <w:divsChild>
                <w:div w:id="1044017714">
                  <w:marLeft w:val="0"/>
                  <w:marRight w:val="0"/>
                  <w:marTop w:val="0"/>
                  <w:marBottom w:val="0"/>
                  <w:divBdr>
                    <w:top w:val="none" w:sz="0" w:space="0" w:color="auto"/>
                    <w:left w:val="none" w:sz="0" w:space="0" w:color="auto"/>
                    <w:bottom w:val="none" w:sz="0" w:space="0" w:color="auto"/>
                    <w:right w:val="none" w:sz="0" w:space="0" w:color="auto"/>
                  </w:divBdr>
                  <w:divsChild>
                    <w:div w:id="122186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883217">
      <w:bodyDiv w:val="1"/>
      <w:marLeft w:val="0"/>
      <w:marRight w:val="0"/>
      <w:marTop w:val="0"/>
      <w:marBottom w:val="0"/>
      <w:divBdr>
        <w:top w:val="none" w:sz="0" w:space="0" w:color="auto"/>
        <w:left w:val="none" w:sz="0" w:space="0" w:color="auto"/>
        <w:bottom w:val="none" w:sz="0" w:space="0" w:color="auto"/>
        <w:right w:val="none" w:sz="0" w:space="0" w:color="auto"/>
      </w:divBdr>
      <w:divsChild>
        <w:div w:id="778765961">
          <w:marLeft w:val="0"/>
          <w:marRight w:val="0"/>
          <w:marTop w:val="0"/>
          <w:marBottom w:val="0"/>
          <w:divBdr>
            <w:top w:val="none" w:sz="0" w:space="0" w:color="auto"/>
            <w:left w:val="none" w:sz="0" w:space="0" w:color="auto"/>
            <w:bottom w:val="none" w:sz="0" w:space="0" w:color="auto"/>
            <w:right w:val="none" w:sz="0" w:space="0" w:color="auto"/>
          </w:divBdr>
          <w:divsChild>
            <w:div w:id="1764523435">
              <w:marLeft w:val="0"/>
              <w:marRight w:val="0"/>
              <w:marTop w:val="0"/>
              <w:marBottom w:val="0"/>
              <w:divBdr>
                <w:top w:val="none" w:sz="0" w:space="0" w:color="auto"/>
                <w:left w:val="none" w:sz="0" w:space="0" w:color="auto"/>
                <w:bottom w:val="none" w:sz="0" w:space="0" w:color="auto"/>
                <w:right w:val="none" w:sz="0" w:space="0" w:color="auto"/>
              </w:divBdr>
              <w:divsChild>
                <w:div w:id="205746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325447">
      <w:bodyDiv w:val="1"/>
      <w:marLeft w:val="0"/>
      <w:marRight w:val="0"/>
      <w:marTop w:val="0"/>
      <w:marBottom w:val="0"/>
      <w:divBdr>
        <w:top w:val="none" w:sz="0" w:space="0" w:color="auto"/>
        <w:left w:val="none" w:sz="0" w:space="0" w:color="auto"/>
        <w:bottom w:val="none" w:sz="0" w:space="0" w:color="auto"/>
        <w:right w:val="none" w:sz="0" w:space="0" w:color="auto"/>
      </w:divBdr>
    </w:div>
    <w:div w:id="852576264">
      <w:bodyDiv w:val="1"/>
      <w:marLeft w:val="0"/>
      <w:marRight w:val="0"/>
      <w:marTop w:val="0"/>
      <w:marBottom w:val="0"/>
      <w:divBdr>
        <w:top w:val="none" w:sz="0" w:space="0" w:color="auto"/>
        <w:left w:val="none" w:sz="0" w:space="0" w:color="auto"/>
        <w:bottom w:val="none" w:sz="0" w:space="0" w:color="auto"/>
        <w:right w:val="none" w:sz="0" w:space="0" w:color="auto"/>
      </w:divBdr>
    </w:div>
    <w:div w:id="921372750">
      <w:bodyDiv w:val="1"/>
      <w:marLeft w:val="0"/>
      <w:marRight w:val="0"/>
      <w:marTop w:val="0"/>
      <w:marBottom w:val="0"/>
      <w:divBdr>
        <w:top w:val="none" w:sz="0" w:space="0" w:color="auto"/>
        <w:left w:val="none" w:sz="0" w:space="0" w:color="auto"/>
        <w:bottom w:val="none" w:sz="0" w:space="0" w:color="auto"/>
        <w:right w:val="none" w:sz="0" w:space="0" w:color="auto"/>
      </w:divBdr>
      <w:divsChild>
        <w:div w:id="1251621912">
          <w:marLeft w:val="0"/>
          <w:marRight w:val="0"/>
          <w:marTop w:val="0"/>
          <w:marBottom w:val="0"/>
          <w:divBdr>
            <w:top w:val="none" w:sz="0" w:space="0" w:color="auto"/>
            <w:left w:val="none" w:sz="0" w:space="0" w:color="auto"/>
            <w:bottom w:val="none" w:sz="0" w:space="0" w:color="auto"/>
            <w:right w:val="none" w:sz="0" w:space="0" w:color="auto"/>
          </w:divBdr>
          <w:divsChild>
            <w:div w:id="1025255605">
              <w:marLeft w:val="0"/>
              <w:marRight w:val="0"/>
              <w:marTop w:val="0"/>
              <w:marBottom w:val="0"/>
              <w:divBdr>
                <w:top w:val="none" w:sz="0" w:space="0" w:color="auto"/>
                <w:left w:val="none" w:sz="0" w:space="0" w:color="auto"/>
                <w:bottom w:val="none" w:sz="0" w:space="0" w:color="auto"/>
                <w:right w:val="none" w:sz="0" w:space="0" w:color="auto"/>
              </w:divBdr>
              <w:divsChild>
                <w:div w:id="1012146494">
                  <w:marLeft w:val="0"/>
                  <w:marRight w:val="0"/>
                  <w:marTop w:val="0"/>
                  <w:marBottom w:val="0"/>
                  <w:divBdr>
                    <w:top w:val="none" w:sz="0" w:space="0" w:color="auto"/>
                    <w:left w:val="none" w:sz="0" w:space="0" w:color="auto"/>
                    <w:bottom w:val="none" w:sz="0" w:space="0" w:color="auto"/>
                    <w:right w:val="none" w:sz="0" w:space="0" w:color="auto"/>
                  </w:divBdr>
                  <w:divsChild>
                    <w:div w:id="728572418">
                      <w:marLeft w:val="0"/>
                      <w:marRight w:val="0"/>
                      <w:marTop w:val="0"/>
                      <w:marBottom w:val="0"/>
                      <w:divBdr>
                        <w:top w:val="none" w:sz="0" w:space="0" w:color="auto"/>
                        <w:left w:val="none" w:sz="0" w:space="0" w:color="auto"/>
                        <w:bottom w:val="none" w:sz="0" w:space="0" w:color="auto"/>
                        <w:right w:val="none" w:sz="0" w:space="0" w:color="auto"/>
                      </w:divBdr>
                    </w:div>
                  </w:divsChild>
                </w:div>
                <w:div w:id="1988898934">
                  <w:marLeft w:val="0"/>
                  <w:marRight w:val="0"/>
                  <w:marTop w:val="0"/>
                  <w:marBottom w:val="0"/>
                  <w:divBdr>
                    <w:top w:val="none" w:sz="0" w:space="0" w:color="auto"/>
                    <w:left w:val="none" w:sz="0" w:space="0" w:color="auto"/>
                    <w:bottom w:val="none" w:sz="0" w:space="0" w:color="auto"/>
                    <w:right w:val="none" w:sz="0" w:space="0" w:color="auto"/>
                  </w:divBdr>
                  <w:divsChild>
                    <w:div w:id="142614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6691">
          <w:marLeft w:val="0"/>
          <w:marRight w:val="0"/>
          <w:marTop w:val="0"/>
          <w:marBottom w:val="0"/>
          <w:divBdr>
            <w:top w:val="none" w:sz="0" w:space="0" w:color="auto"/>
            <w:left w:val="none" w:sz="0" w:space="0" w:color="auto"/>
            <w:bottom w:val="none" w:sz="0" w:space="0" w:color="auto"/>
            <w:right w:val="none" w:sz="0" w:space="0" w:color="auto"/>
          </w:divBdr>
          <w:divsChild>
            <w:div w:id="2126920219">
              <w:marLeft w:val="0"/>
              <w:marRight w:val="0"/>
              <w:marTop w:val="0"/>
              <w:marBottom w:val="0"/>
              <w:divBdr>
                <w:top w:val="none" w:sz="0" w:space="0" w:color="auto"/>
                <w:left w:val="none" w:sz="0" w:space="0" w:color="auto"/>
                <w:bottom w:val="none" w:sz="0" w:space="0" w:color="auto"/>
                <w:right w:val="none" w:sz="0" w:space="0" w:color="auto"/>
              </w:divBdr>
              <w:divsChild>
                <w:div w:id="213123996">
                  <w:marLeft w:val="0"/>
                  <w:marRight w:val="0"/>
                  <w:marTop w:val="0"/>
                  <w:marBottom w:val="0"/>
                  <w:divBdr>
                    <w:top w:val="none" w:sz="0" w:space="0" w:color="auto"/>
                    <w:left w:val="none" w:sz="0" w:space="0" w:color="auto"/>
                    <w:bottom w:val="none" w:sz="0" w:space="0" w:color="auto"/>
                    <w:right w:val="none" w:sz="0" w:space="0" w:color="auto"/>
                  </w:divBdr>
                </w:div>
              </w:divsChild>
            </w:div>
            <w:div w:id="975641882">
              <w:marLeft w:val="0"/>
              <w:marRight w:val="0"/>
              <w:marTop w:val="0"/>
              <w:marBottom w:val="0"/>
              <w:divBdr>
                <w:top w:val="none" w:sz="0" w:space="0" w:color="auto"/>
                <w:left w:val="none" w:sz="0" w:space="0" w:color="auto"/>
                <w:bottom w:val="none" w:sz="0" w:space="0" w:color="auto"/>
                <w:right w:val="none" w:sz="0" w:space="0" w:color="auto"/>
              </w:divBdr>
              <w:divsChild>
                <w:div w:id="62620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09858">
      <w:bodyDiv w:val="1"/>
      <w:marLeft w:val="0"/>
      <w:marRight w:val="0"/>
      <w:marTop w:val="0"/>
      <w:marBottom w:val="0"/>
      <w:divBdr>
        <w:top w:val="none" w:sz="0" w:space="0" w:color="auto"/>
        <w:left w:val="none" w:sz="0" w:space="0" w:color="auto"/>
        <w:bottom w:val="none" w:sz="0" w:space="0" w:color="auto"/>
        <w:right w:val="none" w:sz="0" w:space="0" w:color="auto"/>
      </w:divBdr>
      <w:divsChild>
        <w:div w:id="4023268">
          <w:marLeft w:val="0"/>
          <w:marRight w:val="0"/>
          <w:marTop w:val="0"/>
          <w:marBottom w:val="0"/>
          <w:divBdr>
            <w:top w:val="none" w:sz="0" w:space="0" w:color="auto"/>
            <w:left w:val="none" w:sz="0" w:space="0" w:color="auto"/>
            <w:bottom w:val="none" w:sz="0" w:space="0" w:color="auto"/>
            <w:right w:val="none" w:sz="0" w:space="0" w:color="auto"/>
          </w:divBdr>
          <w:divsChild>
            <w:div w:id="229734545">
              <w:marLeft w:val="0"/>
              <w:marRight w:val="0"/>
              <w:marTop w:val="0"/>
              <w:marBottom w:val="0"/>
              <w:divBdr>
                <w:top w:val="none" w:sz="0" w:space="0" w:color="auto"/>
                <w:left w:val="none" w:sz="0" w:space="0" w:color="auto"/>
                <w:bottom w:val="none" w:sz="0" w:space="0" w:color="auto"/>
                <w:right w:val="none" w:sz="0" w:space="0" w:color="auto"/>
              </w:divBdr>
              <w:divsChild>
                <w:div w:id="78554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293365">
      <w:bodyDiv w:val="1"/>
      <w:marLeft w:val="0"/>
      <w:marRight w:val="0"/>
      <w:marTop w:val="0"/>
      <w:marBottom w:val="0"/>
      <w:divBdr>
        <w:top w:val="none" w:sz="0" w:space="0" w:color="auto"/>
        <w:left w:val="none" w:sz="0" w:space="0" w:color="auto"/>
        <w:bottom w:val="none" w:sz="0" w:space="0" w:color="auto"/>
        <w:right w:val="none" w:sz="0" w:space="0" w:color="auto"/>
      </w:divBdr>
      <w:divsChild>
        <w:div w:id="443112329">
          <w:marLeft w:val="0"/>
          <w:marRight w:val="0"/>
          <w:marTop w:val="0"/>
          <w:marBottom w:val="0"/>
          <w:divBdr>
            <w:top w:val="none" w:sz="0" w:space="0" w:color="auto"/>
            <w:left w:val="none" w:sz="0" w:space="0" w:color="auto"/>
            <w:bottom w:val="none" w:sz="0" w:space="0" w:color="auto"/>
            <w:right w:val="none" w:sz="0" w:space="0" w:color="auto"/>
          </w:divBdr>
          <w:divsChild>
            <w:div w:id="1197308163">
              <w:marLeft w:val="0"/>
              <w:marRight w:val="0"/>
              <w:marTop w:val="0"/>
              <w:marBottom w:val="0"/>
              <w:divBdr>
                <w:top w:val="none" w:sz="0" w:space="0" w:color="auto"/>
                <w:left w:val="none" w:sz="0" w:space="0" w:color="auto"/>
                <w:bottom w:val="none" w:sz="0" w:space="0" w:color="auto"/>
                <w:right w:val="none" w:sz="0" w:space="0" w:color="auto"/>
              </w:divBdr>
              <w:divsChild>
                <w:div w:id="135034300">
                  <w:marLeft w:val="0"/>
                  <w:marRight w:val="0"/>
                  <w:marTop w:val="0"/>
                  <w:marBottom w:val="0"/>
                  <w:divBdr>
                    <w:top w:val="none" w:sz="0" w:space="0" w:color="auto"/>
                    <w:left w:val="none" w:sz="0" w:space="0" w:color="auto"/>
                    <w:bottom w:val="none" w:sz="0" w:space="0" w:color="auto"/>
                    <w:right w:val="none" w:sz="0" w:space="0" w:color="auto"/>
                  </w:divBdr>
                  <w:divsChild>
                    <w:div w:id="69261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830942">
      <w:bodyDiv w:val="1"/>
      <w:marLeft w:val="0"/>
      <w:marRight w:val="0"/>
      <w:marTop w:val="0"/>
      <w:marBottom w:val="0"/>
      <w:divBdr>
        <w:top w:val="none" w:sz="0" w:space="0" w:color="auto"/>
        <w:left w:val="none" w:sz="0" w:space="0" w:color="auto"/>
        <w:bottom w:val="none" w:sz="0" w:space="0" w:color="auto"/>
        <w:right w:val="none" w:sz="0" w:space="0" w:color="auto"/>
      </w:divBdr>
      <w:divsChild>
        <w:div w:id="1004287325">
          <w:marLeft w:val="0"/>
          <w:marRight w:val="0"/>
          <w:marTop w:val="0"/>
          <w:marBottom w:val="0"/>
          <w:divBdr>
            <w:top w:val="none" w:sz="0" w:space="0" w:color="auto"/>
            <w:left w:val="none" w:sz="0" w:space="0" w:color="auto"/>
            <w:bottom w:val="none" w:sz="0" w:space="0" w:color="auto"/>
            <w:right w:val="none" w:sz="0" w:space="0" w:color="auto"/>
          </w:divBdr>
          <w:divsChild>
            <w:div w:id="104663833">
              <w:marLeft w:val="0"/>
              <w:marRight w:val="0"/>
              <w:marTop w:val="0"/>
              <w:marBottom w:val="0"/>
              <w:divBdr>
                <w:top w:val="none" w:sz="0" w:space="0" w:color="auto"/>
                <w:left w:val="none" w:sz="0" w:space="0" w:color="auto"/>
                <w:bottom w:val="none" w:sz="0" w:space="0" w:color="auto"/>
                <w:right w:val="none" w:sz="0" w:space="0" w:color="auto"/>
              </w:divBdr>
              <w:divsChild>
                <w:div w:id="47791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046321">
      <w:bodyDiv w:val="1"/>
      <w:marLeft w:val="0"/>
      <w:marRight w:val="0"/>
      <w:marTop w:val="0"/>
      <w:marBottom w:val="0"/>
      <w:divBdr>
        <w:top w:val="none" w:sz="0" w:space="0" w:color="auto"/>
        <w:left w:val="none" w:sz="0" w:space="0" w:color="auto"/>
        <w:bottom w:val="none" w:sz="0" w:space="0" w:color="auto"/>
        <w:right w:val="none" w:sz="0" w:space="0" w:color="auto"/>
      </w:divBdr>
      <w:divsChild>
        <w:div w:id="180432777">
          <w:marLeft w:val="0"/>
          <w:marRight w:val="0"/>
          <w:marTop w:val="0"/>
          <w:marBottom w:val="0"/>
          <w:divBdr>
            <w:top w:val="none" w:sz="0" w:space="0" w:color="auto"/>
            <w:left w:val="none" w:sz="0" w:space="0" w:color="auto"/>
            <w:bottom w:val="none" w:sz="0" w:space="0" w:color="auto"/>
            <w:right w:val="none" w:sz="0" w:space="0" w:color="auto"/>
          </w:divBdr>
          <w:divsChild>
            <w:div w:id="1038434786">
              <w:marLeft w:val="0"/>
              <w:marRight w:val="0"/>
              <w:marTop w:val="0"/>
              <w:marBottom w:val="0"/>
              <w:divBdr>
                <w:top w:val="none" w:sz="0" w:space="0" w:color="auto"/>
                <w:left w:val="none" w:sz="0" w:space="0" w:color="auto"/>
                <w:bottom w:val="none" w:sz="0" w:space="0" w:color="auto"/>
                <w:right w:val="none" w:sz="0" w:space="0" w:color="auto"/>
              </w:divBdr>
              <w:divsChild>
                <w:div w:id="189458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12835">
      <w:bodyDiv w:val="1"/>
      <w:marLeft w:val="0"/>
      <w:marRight w:val="0"/>
      <w:marTop w:val="0"/>
      <w:marBottom w:val="0"/>
      <w:divBdr>
        <w:top w:val="none" w:sz="0" w:space="0" w:color="auto"/>
        <w:left w:val="none" w:sz="0" w:space="0" w:color="auto"/>
        <w:bottom w:val="none" w:sz="0" w:space="0" w:color="auto"/>
        <w:right w:val="none" w:sz="0" w:space="0" w:color="auto"/>
      </w:divBdr>
      <w:divsChild>
        <w:div w:id="1341277237">
          <w:marLeft w:val="0"/>
          <w:marRight w:val="0"/>
          <w:marTop w:val="0"/>
          <w:marBottom w:val="0"/>
          <w:divBdr>
            <w:top w:val="none" w:sz="0" w:space="0" w:color="auto"/>
            <w:left w:val="none" w:sz="0" w:space="0" w:color="auto"/>
            <w:bottom w:val="none" w:sz="0" w:space="0" w:color="auto"/>
            <w:right w:val="none" w:sz="0" w:space="0" w:color="auto"/>
          </w:divBdr>
          <w:divsChild>
            <w:div w:id="2069110898">
              <w:marLeft w:val="0"/>
              <w:marRight w:val="0"/>
              <w:marTop w:val="0"/>
              <w:marBottom w:val="0"/>
              <w:divBdr>
                <w:top w:val="none" w:sz="0" w:space="0" w:color="auto"/>
                <w:left w:val="none" w:sz="0" w:space="0" w:color="auto"/>
                <w:bottom w:val="none" w:sz="0" w:space="0" w:color="auto"/>
                <w:right w:val="none" w:sz="0" w:space="0" w:color="auto"/>
              </w:divBdr>
              <w:divsChild>
                <w:div w:id="132238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950169">
      <w:bodyDiv w:val="1"/>
      <w:marLeft w:val="0"/>
      <w:marRight w:val="0"/>
      <w:marTop w:val="0"/>
      <w:marBottom w:val="0"/>
      <w:divBdr>
        <w:top w:val="none" w:sz="0" w:space="0" w:color="auto"/>
        <w:left w:val="none" w:sz="0" w:space="0" w:color="auto"/>
        <w:bottom w:val="none" w:sz="0" w:space="0" w:color="auto"/>
        <w:right w:val="none" w:sz="0" w:space="0" w:color="auto"/>
      </w:divBdr>
      <w:divsChild>
        <w:div w:id="1221943478">
          <w:marLeft w:val="0"/>
          <w:marRight w:val="0"/>
          <w:marTop w:val="0"/>
          <w:marBottom w:val="0"/>
          <w:divBdr>
            <w:top w:val="none" w:sz="0" w:space="0" w:color="auto"/>
            <w:left w:val="none" w:sz="0" w:space="0" w:color="auto"/>
            <w:bottom w:val="none" w:sz="0" w:space="0" w:color="auto"/>
            <w:right w:val="none" w:sz="0" w:space="0" w:color="auto"/>
          </w:divBdr>
          <w:divsChild>
            <w:div w:id="1092504666">
              <w:marLeft w:val="0"/>
              <w:marRight w:val="0"/>
              <w:marTop w:val="0"/>
              <w:marBottom w:val="0"/>
              <w:divBdr>
                <w:top w:val="none" w:sz="0" w:space="0" w:color="auto"/>
                <w:left w:val="none" w:sz="0" w:space="0" w:color="auto"/>
                <w:bottom w:val="none" w:sz="0" w:space="0" w:color="auto"/>
                <w:right w:val="none" w:sz="0" w:space="0" w:color="auto"/>
              </w:divBdr>
              <w:divsChild>
                <w:div w:id="1392339350">
                  <w:marLeft w:val="0"/>
                  <w:marRight w:val="0"/>
                  <w:marTop w:val="0"/>
                  <w:marBottom w:val="0"/>
                  <w:divBdr>
                    <w:top w:val="none" w:sz="0" w:space="0" w:color="auto"/>
                    <w:left w:val="none" w:sz="0" w:space="0" w:color="auto"/>
                    <w:bottom w:val="none" w:sz="0" w:space="0" w:color="auto"/>
                    <w:right w:val="none" w:sz="0" w:space="0" w:color="auto"/>
                  </w:divBdr>
                  <w:divsChild>
                    <w:div w:id="190830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253322">
      <w:bodyDiv w:val="1"/>
      <w:marLeft w:val="0"/>
      <w:marRight w:val="0"/>
      <w:marTop w:val="0"/>
      <w:marBottom w:val="0"/>
      <w:divBdr>
        <w:top w:val="none" w:sz="0" w:space="0" w:color="auto"/>
        <w:left w:val="none" w:sz="0" w:space="0" w:color="auto"/>
        <w:bottom w:val="none" w:sz="0" w:space="0" w:color="auto"/>
        <w:right w:val="none" w:sz="0" w:space="0" w:color="auto"/>
      </w:divBdr>
      <w:divsChild>
        <w:div w:id="2096628361">
          <w:marLeft w:val="0"/>
          <w:marRight w:val="0"/>
          <w:marTop w:val="0"/>
          <w:marBottom w:val="0"/>
          <w:divBdr>
            <w:top w:val="none" w:sz="0" w:space="0" w:color="auto"/>
            <w:left w:val="none" w:sz="0" w:space="0" w:color="auto"/>
            <w:bottom w:val="none" w:sz="0" w:space="0" w:color="auto"/>
            <w:right w:val="none" w:sz="0" w:space="0" w:color="auto"/>
          </w:divBdr>
          <w:divsChild>
            <w:div w:id="1026250334">
              <w:marLeft w:val="0"/>
              <w:marRight w:val="0"/>
              <w:marTop w:val="0"/>
              <w:marBottom w:val="0"/>
              <w:divBdr>
                <w:top w:val="none" w:sz="0" w:space="0" w:color="auto"/>
                <w:left w:val="none" w:sz="0" w:space="0" w:color="auto"/>
                <w:bottom w:val="none" w:sz="0" w:space="0" w:color="auto"/>
                <w:right w:val="none" w:sz="0" w:space="0" w:color="auto"/>
              </w:divBdr>
              <w:divsChild>
                <w:div w:id="197671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4971">
      <w:bodyDiv w:val="1"/>
      <w:marLeft w:val="0"/>
      <w:marRight w:val="0"/>
      <w:marTop w:val="0"/>
      <w:marBottom w:val="0"/>
      <w:divBdr>
        <w:top w:val="none" w:sz="0" w:space="0" w:color="auto"/>
        <w:left w:val="none" w:sz="0" w:space="0" w:color="auto"/>
        <w:bottom w:val="none" w:sz="0" w:space="0" w:color="auto"/>
        <w:right w:val="none" w:sz="0" w:space="0" w:color="auto"/>
      </w:divBdr>
      <w:divsChild>
        <w:div w:id="44106667">
          <w:marLeft w:val="0"/>
          <w:marRight w:val="0"/>
          <w:marTop w:val="0"/>
          <w:marBottom w:val="0"/>
          <w:divBdr>
            <w:top w:val="none" w:sz="0" w:space="0" w:color="auto"/>
            <w:left w:val="none" w:sz="0" w:space="0" w:color="auto"/>
            <w:bottom w:val="none" w:sz="0" w:space="0" w:color="auto"/>
            <w:right w:val="none" w:sz="0" w:space="0" w:color="auto"/>
          </w:divBdr>
          <w:divsChild>
            <w:div w:id="1784499202">
              <w:marLeft w:val="0"/>
              <w:marRight w:val="0"/>
              <w:marTop w:val="0"/>
              <w:marBottom w:val="0"/>
              <w:divBdr>
                <w:top w:val="none" w:sz="0" w:space="0" w:color="auto"/>
                <w:left w:val="none" w:sz="0" w:space="0" w:color="auto"/>
                <w:bottom w:val="none" w:sz="0" w:space="0" w:color="auto"/>
                <w:right w:val="none" w:sz="0" w:space="0" w:color="auto"/>
              </w:divBdr>
              <w:divsChild>
                <w:div w:id="127929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552675">
      <w:bodyDiv w:val="1"/>
      <w:marLeft w:val="0"/>
      <w:marRight w:val="0"/>
      <w:marTop w:val="0"/>
      <w:marBottom w:val="0"/>
      <w:divBdr>
        <w:top w:val="none" w:sz="0" w:space="0" w:color="auto"/>
        <w:left w:val="none" w:sz="0" w:space="0" w:color="auto"/>
        <w:bottom w:val="none" w:sz="0" w:space="0" w:color="auto"/>
        <w:right w:val="none" w:sz="0" w:space="0" w:color="auto"/>
      </w:divBdr>
    </w:div>
    <w:div w:id="1093551711">
      <w:bodyDiv w:val="1"/>
      <w:marLeft w:val="0"/>
      <w:marRight w:val="0"/>
      <w:marTop w:val="0"/>
      <w:marBottom w:val="0"/>
      <w:divBdr>
        <w:top w:val="none" w:sz="0" w:space="0" w:color="auto"/>
        <w:left w:val="none" w:sz="0" w:space="0" w:color="auto"/>
        <w:bottom w:val="none" w:sz="0" w:space="0" w:color="auto"/>
        <w:right w:val="none" w:sz="0" w:space="0" w:color="auto"/>
      </w:divBdr>
      <w:divsChild>
        <w:div w:id="1862741464">
          <w:marLeft w:val="0"/>
          <w:marRight w:val="0"/>
          <w:marTop w:val="0"/>
          <w:marBottom w:val="0"/>
          <w:divBdr>
            <w:top w:val="none" w:sz="0" w:space="0" w:color="auto"/>
            <w:left w:val="none" w:sz="0" w:space="0" w:color="auto"/>
            <w:bottom w:val="none" w:sz="0" w:space="0" w:color="auto"/>
            <w:right w:val="none" w:sz="0" w:space="0" w:color="auto"/>
          </w:divBdr>
          <w:divsChild>
            <w:div w:id="1005549449">
              <w:marLeft w:val="0"/>
              <w:marRight w:val="0"/>
              <w:marTop w:val="0"/>
              <w:marBottom w:val="0"/>
              <w:divBdr>
                <w:top w:val="none" w:sz="0" w:space="0" w:color="auto"/>
                <w:left w:val="none" w:sz="0" w:space="0" w:color="auto"/>
                <w:bottom w:val="none" w:sz="0" w:space="0" w:color="auto"/>
                <w:right w:val="none" w:sz="0" w:space="0" w:color="auto"/>
              </w:divBdr>
              <w:divsChild>
                <w:div w:id="928583295">
                  <w:marLeft w:val="0"/>
                  <w:marRight w:val="0"/>
                  <w:marTop w:val="0"/>
                  <w:marBottom w:val="0"/>
                  <w:divBdr>
                    <w:top w:val="none" w:sz="0" w:space="0" w:color="auto"/>
                    <w:left w:val="none" w:sz="0" w:space="0" w:color="auto"/>
                    <w:bottom w:val="none" w:sz="0" w:space="0" w:color="auto"/>
                    <w:right w:val="none" w:sz="0" w:space="0" w:color="auto"/>
                  </w:divBdr>
                  <w:divsChild>
                    <w:div w:id="151954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048116">
      <w:bodyDiv w:val="1"/>
      <w:marLeft w:val="0"/>
      <w:marRight w:val="0"/>
      <w:marTop w:val="0"/>
      <w:marBottom w:val="0"/>
      <w:divBdr>
        <w:top w:val="none" w:sz="0" w:space="0" w:color="auto"/>
        <w:left w:val="none" w:sz="0" w:space="0" w:color="auto"/>
        <w:bottom w:val="none" w:sz="0" w:space="0" w:color="auto"/>
        <w:right w:val="none" w:sz="0" w:space="0" w:color="auto"/>
      </w:divBdr>
      <w:divsChild>
        <w:div w:id="1119106537">
          <w:marLeft w:val="0"/>
          <w:marRight w:val="0"/>
          <w:marTop w:val="0"/>
          <w:marBottom w:val="0"/>
          <w:divBdr>
            <w:top w:val="none" w:sz="0" w:space="0" w:color="auto"/>
            <w:left w:val="none" w:sz="0" w:space="0" w:color="auto"/>
            <w:bottom w:val="none" w:sz="0" w:space="0" w:color="auto"/>
            <w:right w:val="none" w:sz="0" w:space="0" w:color="auto"/>
          </w:divBdr>
          <w:divsChild>
            <w:div w:id="1557817576">
              <w:marLeft w:val="0"/>
              <w:marRight w:val="0"/>
              <w:marTop w:val="0"/>
              <w:marBottom w:val="0"/>
              <w:divBdr>
                <w:top w:val="none" w:sz="0" w:space="0" w:color="auto"/>
                <w:left w:val="none" w:sz="0" w:space="0" w:color="auto"/>
                <w:bottom w:val="none" w:sz="0" w:space="0" w:color="auto"/>
                <w:right w:val="none" w:sz="0" w:space="0" w:color="auto"/>
              </w:divBdr>
              <w:divsChild>
                <w:div w:id="111309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854490">
      <w:bodyDiv w:val="1"/>
      <w:marLeft w:val="0"/>
      <w:marRight w:val="0"/>
      <w:marTop w:val="0"/>
      <w:marBottom w:val="0"/>
      <w:divBdr>
        <w:top w:val="none" w:sz="0" w:space="0" w:color="auto"/>
        <w:left w:val="none" w:sz="0" w:space="0" w:color="auto"/>
        <w:bottom w:val="none" w:sz="0" w:space="0" w:color="auto"/>
        <w:right w:val="none" w:sz="0" w:space="0" w:color="auto"/>
      </w:divBdr>
      <w:divsChild>
        <w:div w:id="2063937998">
          <w:marLeft w:val="0"/>
          <w:marRight w:val="0"/>
          <w:marTop w:val="0"/>
          <w:marBottom w:val="0"/>
          <w:divBdr>
            <w:top w:val="none" w:sz="0" w:space="0" w:color="auto"/>
            <w:left w:val="none" w:sz="0" w:space="0" w:color="auto"/>
            <w:bottom w:val="none" w:sz="0" w:space="0" w:color="auto"/>
            <w:right w:val="none" w:sz="0" w:space="0" w:color="auto"/>
          </w:divBdr>
          <w:divsChild>
            <w:div w:id="365259126">
              <w:marLeft w:val="0"/>
              <w:marRight w:val="0"/>
              <w:marTop w:val="0"/>
              <w:marBottom w:val="0"/>
              <w:divBdr>
                <w:top w:val="none" w:sz="0" w:space="0" w:color="auto"/>
                <w:left w:val="none" w:sz="0" w:space="0" w:color="auto"/>
                <w:bottom w:val="none" w:sz="0" w:space="0" w:color="auto"/>
                <w:right w:val="none" w:sz="0" w:space="0" w:color="auto"/>
              </w:divBdr>
              <w:divsChild>
                <w:div w:id="201341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867701">
      <w:bodyDiv w:val="1"/>
      <w:marLeft w:val="0"/>
      <w:marRight w:val="0"/>
      <w:marTop w:val="0"/>
      <w:marBottom w:val="0"/>
      <w:divBdr>
        <w:top w:val="none" w:sz="0" w:space="0" w:color="auto"/>
        <w:left w:val="none" w:sz="0" w:space="0" w:color="auto"/>
        <w:bottom w:val="none" w:sz="0" w:space="0" w:color="auto"/>
        <w:right w:val="none" w:sz="0" w:space="0" w:color="auto"/>
      </w:divBdr>
      <w:divsChild>
        <w:div w:id="530069767">
          <w:marLeft w:val="0"/>
          <w:marRight w:val="0"/>
          <w:marTop w:val="0"/>
          <w:marBottom w:val="0"/>
          <w:divBdr>
            <w:top w:val="none" w:sz="0" w:space="0" w:color="auto"/>
            <w:left w:val="none" w:sz="0" w:space="0" w:color="auto"/>
            <w:bottom w:val="none" w:sz="0" w:space="0" w:color="auto"/>
            <w:right w:val="none" w:sz="0" w:space="0" w:color="auto"/>
          </w:divBdr>
          <w:divsChild>
            <w:div w:id="1306663665">
              <w:marLeft w:val="0"/>
              <w:marRight w:val="0"/>
              <w:marTop w:val="0"/>
              <w:marBottom w:val="0"/>
              <w:divBdr>
                <w:top w:val="none" w:sz="0" w:space="0" w:color="auto"/>
                <w:left w:val="none" w:sz="0" w:space="0" w:color="auto"/>
                <w:bottom w:val="none" w:sz="0" w:space="0" w:color="auto"/>
                <w:right w:val="none" w:sz="0" w:space="0" w:color="auto"/>
              </w:divBdr>
              <w:divsChild>
                <w:div w:id="100265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457689">
      <w:bodyDiv w:val="1"/>
      <w:marLeft w:val="0"/>
      <w:marRight w:val="0"/>
      <w:marTop w:val="0"/>
      <w:marBottom w:val="0"/>
      <w:divBdr>
        <w:top w:val="none" w:sz="0" w:space="0" w:color="auto"/>
        <w:left w:val="none" w:sz="0" w:space="0" w:color="auto"/>
        <w:bottom w:val="none" w:sz="0" w:space="0" w:color="auto"/>
        <w:right w:val="none" w:sz="0" w:space="0" w:color="auto"/>
      </w:divBdr>
      <w:divsChild>
        <w:div w:id="682365268">
          <w:marLeft w:val="0"/>
          <w:marRight w:val="0"/>
          <w:marTop w:val="0"/>
          <w:marBottom w:val="0"/>
          <w:divBdr>
            <w:top w:val="none" w:sz="0" w:space="0" w:color="auto"/>
            <w:left w:val="none" w:sz="0" w:space="0" w:color="auto"/>
            <w:bottom w:val="none" w:sz="0" w:space="0" w:color="auto"/>
            <w:right w:val="none" w:sz="0" w:space="0" w:color="auto"/>
          </w:divBdr>
          <w:divsChild>
            <w:div w:id="1801797621">
              <w:marLeft w:val="0"/>
              <w:marRight w:val="0"/>
              <w:marTop w:val="0"/>
              <w:marBottom w:val="0"/>
              <w:divBdr>
                <w:top w:val="none" w:sz="0" w:space="0" w:color="auto"/>
                <w:left w:val="none" w:sz="0" w:space="0" w:color="auto"/>
                <w:bottom w:val="none" w:sz="0" w:space="0" w:color="auto"/>
                <w:right w:val="none" w:sz="0" w:space="0" w:color="auto"/>
              </w:divBdr>
              <w:divsChild>
                <w:div w:id="474874382">
                  <w:marLeft w:val="0"/>
                  <w:marRight w:val="0"/>
                  <w:marTop w:val="0"/>
                  <w:marBottom w:val="0"/>
                  <w:divBdr>
                    <w:top w:val="none" w:sz="0" w:space="0" w:color="auto"/>
                    <w:left w:val="none" w:sz="0" w:space="0" w:color="auto"/>
                    <w:bottom w:val="none" w:sz="0" w:space="0" w:color="auto"/>
                    <w:right w:val="none" w:sz="0" w:space="0" w:color="auto"/>
                  </w:divBdr>
                  <w:divsChild>
                    <w:div w:id="96312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889104">
      <w:bodyDiv w:val="1"/>
      <w:marLeft w:val="0"/>
      <w:marRight w:val="0"/>
      <w:marTop w:val="0"/>
      <w:marBottom w:val="0"/>
      <w:divBdr>
        <w:top w:val="none" w:sz="0" w:space="0" w:color="auto"/>
        <w:left w:val="none" w:sz="0" w:space="0" w:color="auto"/>
        <w:bottom w:val="none" w:sz="0" w:space="0" w:color="auto"/>
        <w:right w:val="none" w:sz="0" w:space="0" w:color="auto"/>
      </w:divBdr>
    </w:div>
    <w:div w:id="1348946433">
      <w:bodyDiv w:val="1"/>
      <w:marLeft w:val="0"/>
      <w:marRight w:val="0"/>
      <w:marTop w:val="0"/>
      <w:marBottom w:val="0"/>
      <w:divBdr>
        <w:top w:val="none" w:sz="0" w:space="0" w:color="auto"/>
        <w:left w:val="none" w:sz="0" w:space="0" w:color="auto"/>
        <w:bottom w:val="none" w:sz="0" w:space="0" w:color="auto"/>
        <w:right w:val="none" w:sz="0" w:space="0" w:color="auto"/>
      </w:divBdr>
      <w:divsChild>
        <w:div w:id="1914503767">
          <w:marLeft w:val="0"/>
          <w:marRight w:val="0"/>
          <w:marTop w:val="0"/>
          <w:marBottom w:val="0"/>
          <w:divBdr>
            <w:top w:val="none" w:sz="0" w:space="0" w:color="auto"/>
            <w:left w:val="none" w:sz="0" w:space="0" w:color="auto"/>
            <w:bottom w:val="none" w:sz="0" w:space="0" w:color="auto"/>
            <w:right w:val="none" w:sz="0" w:space="0" w:color="auto"/>
          </w:divBdr>
          <w:divsChild>
            <w:div w:id="1892879507">
              <w:marLeft w:val="0"/>
              <w:marRight w:val="0"/>
              <w:marTop w:val="0"/>
              <w:marBottom w:val="0"/>
              <w:divBdr>
                <w:top w:val="none" w:sz="0" w:space="0" w:color="auto"/>
                <w:left w:val="none" w:sz="0" w:space="0" w:color="auto"/>
                <w:bottom w:val="none" w:sz="0" w:space="0" w:color="auto"/>
                <w:right w:val="none" w:sz="0" w:space="0" w:color="auto"/>
              </w:divBdr>
              <w:divsChild>
                <w:div w:id="11847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196149">
      <w:bodyDiv w:val="1"/>
      <w:marLeft w:val="0"/>
      <w:marRight w:val="0"/>
      <w:marTop w:val="0"/>
      <w:marBottom w:val="0"/>
      <w:divBdr>
        <w:top w:val="none" w:sz="0" w:space="0" w:color="auto"/>
        <w:left w:val="none" w:sz="0" w:space="0" w:color="auto"/>
        <w:bottom w:val="none" w:sz="0" w:space="0" w:color="auto"/>
        <w:right w:val="none" w:sz="0" w:space="0" w:color="auto"/>
      </w:divBdr>
      <w:divsChild>
        <w:div w:id="2004044043">
          <w:marLeft w:val="0"/>
          <w:marRight w:val="0"/>
          <w:marTop w:val="0"/>
          <w:marBottom w:val="0"/>
          <w:divBdr>
            <w:top w:val="none" w:sz="0" w:space="0" w:color="auto"/>
            <w:left w:val="none" w:sz="0" w:space="0" w:color="auto"/>
            <w:bottom w:val="none" w:sz="0" w:space="0" w:color="auto"/>
            <w:right w:val="none" w:sz="0" w:space="0" w:color="auto"/>
          </w:divBdr>
          <w:divsChild>
            <w:div w:id="1493645837">
              <w:marLeft w:val="0"/>
              <w:marRight w:val="0"/>
              <w:marTop w:val="0"/>
              <w:marBottom w:val="0"/>
              <w:divBdr>
                <w:top w:val="none" w:sz="0" w:space="0" w:color="auto"/>
                <w:left w:val="none" w:sz="0" w:space="0" w:color="auto"/>
                <w:bottom w:val="none" w:sz="0" w:space="0" w:color="auto"/>
                <w:right w:val="none" w:sz="0" w:space="0" w:color="auto"/>
              </w:divBdr>
              <w:divsChild>
                <w:div w:id="1778717586">
                  <w:marLeft w:val="0"/>
                  <w:marRight w:val="0"/>
                  <w:marTop w:val="0"/>
                  <w:marBottom w:val="0"/>
                  <w:divBdr>
                    <w:top w:val="none" w:sz="0" w:space="0" w:color="auto"/>
                    <w:left w:val="none" w:sz="0" w:space="0" w:color="auto"/>
                    <w:bottom w:val="none" w:sz="0" w:space="0" w:color="auto"/>
                    <w:right w:val="none" w:sz="0" w:space="0" w:color="auto"/>
                  </w:divBdr>
                </w:div>
              </w:divsChild>
            </w:div>
            <w:div w:id="2066369534">
              <w:marLeft w:val="0"/>
              <w:marRight w:val="0"/>
              <w:marTop w:val="0"/>
              <w:marBottom w:val="0"/>
              <w:divBdr>
                <w:top w:val="none" w:sz="0" w:space="0" w:color="auto"/>
                <w:left w:val="none" w:sz="0" w:space="0" w:color="auto"/>
                <w:bottom w:val="none" w:sz="0" w:space="0" w:color="auto"/>
                <w:right w:val="none" w:sz="0" w:space="0" w:color="auto"/>
              </w:divBdr>
              <w:divsChild>
                <w:div w:id="21890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545565">
      <w:bodyDiv w:val="1"/>
      <w:marLeft w:val="0"/>
      <w:marRight w:val="0"/>
      <w:marTop w:val="0"/>
      <w:marBottom w:val="0"/>
      <w:divBdr>
        <w:top w:val="none" w:sz="0" w:space="0" w:color="auto"/>
        <w:left w:val="none" w:sz="0" w:space="0" w:color="auto"/>
        <w:bottom w:val="none" w:sz="0" w:space="0" w:color="auto"/>
        <w:right w:val="none" w:sz="0" w:space="0" w:color="auto"/>
      </w:divBdr>
      <w:divsChild>
        <w:div w:id="548222985">
          <w:marLeft w:val="0"/>
          <w:marRight w:val="0"/>
          <w:marTop w:val="0"/>
          <w:marBottom w:val="0"/>
          <w:divBdr>
            <w:top w:val="none" w:sz="0" w:space="0" w:color="auto"/>
            <w:left w:val="none" w:sz="0" w:space="0" w:color="auto"/>
            <w:bottom w:val="none" w:sz="0" w:space="0" w:color="auto"/>
            <w:right w:val="none" w:sz="0" w:space="0" w:color="auto"/>
          </w:divBdr>
        </w:div>
      </w:divsChild>
    </w:div>
    <w:div w:id="1366715504">
      <w:bodyDiv w:val="1"/>
      <w:marLeft w:val="0"/>
      <w:marRight w:val="0"/>
      <w:marTop w:val="0"/>
      <w:marBottom w:val="0"/>
      <w:divBdr>
        <w:top w:val="none" w:sz="0" w:space="0" w:color="auto"/>
        <w:left w:val="none" w:sz="0" w:space="0" w:color="auto"/>
        <w:bottom w:val="none" w:sz="0" w:space="0" w:color="auto"/>
        <w:right w:val="none" w:sz="0" w:space="0" w:color="auto"/>
      </w:divBdr>
      <w:divsChild>
        <w:div w:id="50229591">
          <w:marLeft w:val="0"/>
          <w:marRight w:val="0"/>
          <w:marTop w:val="0"/>
          <w:marBottom w:val="0"/>
          <w:divBdr>
            <w:top w:val="none" w:sz="0" w:space="0" w:color="auto"/>
            <w:left w:val="none" w:sz="0" w:space="0" w:color="auto"/>
            <w:bottom w:val="none" w:sz="0" w:space="0" w:color="auto"/>
            <w:right w:val="none" w:sz="0" w:space="0" w:color="auto"/>
          </w:divBdr>
          <w:divsChild>
            <w:div w:id="1532258518">
              <w:marLeft w:val="0"/>
              <w:marRight w:val="0"/>
              <w:marTop w:val="0"/>
              <w:marBottom w:val="0"/>
              <w:divBdr>
                <w:top w:val="none" w:sz="0" w:space="0" w:color="auto"/>
                <w:left w:val="none" w:sz="0" w:space="0" w:color="auto"/>
                <w:bottom w:val="none" w:sz="0" w:space="0" w:color="auto"/>
                <w:right w:val="none" w:sz="0" w:space="0" w:color="auto"/>
              </w:divBdr>
              <w:divsChild>
                <w:div w:id="17990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675012">
      <w:bodyDiv w:val="1"/>
      <w:marLeft w:val="0"/>
      <w:marRight w:val="0"/>
      <w:marTop w:val="0"/>
      <w:marBottom w:val="0"/>
      <w:divBdr>
        <w:top w:val="none" w:sz="0" w:space="0" w:color="auto"/>
        <w:left w:val="none" w:sz="0" w:space="0" w:color="auto"/>
        <w:bottom w:val="none" w:sz="0" w:space="0" w:color="auto"/>
        <w:right w:val="none" w:sz="0" w:space="0" w:color="auto"/>
      </w:divBdr>
      <w:divsChild>
        <w:div w:id="247927478">
          <w:marLeft w:val="0"/>
          <w:marRight w:val="0"/>
          <w:marTop w:val="0"/>
          <w:marBottom w:val="0"/>
          <w:divBdr>
            <w:top w:val="none" w:sz="0" w:space="0" w:color="auto"/>
            <w:left w:val="none" w:sz="0" w:space="0" w:color="auto"/>
            <w:bottom w:val="none" w:sz="0" w:space="0" w:color="auto"/>
            <w:right w:val="none" w:sz="0" w:space="0" w:color="auto"/>
          </w:divBdr>
          <w:divsChild>
            <w:div w:id="1060521175">
              <w:marLeft w:val="0"/>
              <w:marRight w:val="0"/>
              <w:marTop w:val="0"/>
              <w:marBottom w:val="0"/>
              <w:divBdr>
                <w:top w:val="none" w:sz="0" w:space="0" w:color="auto"/>
                <w:left w:val="none" w:sz="0" w:space="0" w:color="auto"/>
                <w:bottom w:val="none" w:sz="0" w:space="0" w:color="auto"/>
                <w:right w:val="none" w:sz="0" w:space="0" w:color="auto"/>
              </w:divBdr>
              <w:divsChild>
                <w:div w:id="88186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90146">
      <w:bodyDiv w:val="1"/>
      <w:marLeft w:val="0"/>
      <w:marRight w:val="0"/>
      <w:marTop w:val="0"/>
      <w:marBottom w:val="0"/>
      <w:divBdr>
        <w:top w:val="none" w:sz="0" w:space="0" w:color="auto"/>
        <w:left w:val="none" w:sz="0" w:space="0" w:color="auto"/>
        <w:bottom w:val="none" w:sz="0" w:space="0" w:color="auto"/>
        <w:right w:val="none" w:sz="0" w:space="0" w:color="auto"/>
      </w:divBdr>
      <w:divsChild>
        <w:div w:id="2069919558">
          <w:marLeft w:val="0"/>
          <w:marRight w:val="0"/>
          <w:marTop w:val="0"/>
          <w:marBottom w:val="0"/>
          <w:divBdr>
            <w:top w:val="none" w:sz="0" w:space="0" w:color="auto"/>
            <w:left w:val="none" w:sz="0" w:space="0" w:color="auto"/>
            <w:bottom w:val="none" w:sz="0" w:space="0" w:color="auto"/>
            <w:right w:val="none" w:sz="0" w:space="0" w:color="auto"/>
          </w:divBdr>
          <w:divsChild>
            <w:div w:id="325791453">
              <w:marLeft w:val="0"/>
              <w:marRight w:val="0"/>
              <w:marTop w:val="0"/>
              <w:marBottom w:val="0"/>
              <w:divBdr>
                <w:top w:val="none" w:sz="0" w:space="0" w:color="auto"/>
                <w:left w:val="none" w:sz="0" w:space="0" w:color="auto"/>
                <w:bottom w:val="none" w:sz="0" w:space="0" w:color="auto"/>
                <w:right w:val="none" w:sz="0" w:space="0" w:color="auto"/>
              </w:divBdr>
              <w:divsChild>
                <w:div w:id="46635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593953">
      <w:bodyDiv w:val="1"/>
      <w:marLeft w:val="0"/>
      <w:marRight w:val="0"/>
      <w:marTop w:val="0"/>
      <w:marBottom w:val="0"/>
      <w:divBdr>
        <w:top w:val="none" w:sz="0" w:space="0" w:color="auto"/>
        <w:left w:val="none" w:sz="0" w:space="0" w:color="auto"/>
        <w:bottom w:val="none" w:sz="0" w:space="0" w:color="auto"/>
        <w:right w:val="none" w:sz="0" w:space="0" w:color="auto"/>
      </w:divBdr>
    </w:div>
    <w:div w:id="1498616005">
      <w:bodyDiv w:val="1"/>
      <w:marLeft w:val="0"/>
      <w:marRight w:val="0"/>
      <w:marTop w:val="0"/>
      <w:marBottom w:val="0"/>
      <w:divBdr>
        <w:top w:val="none" w:sz="0" w:space="0" w:color="auto"/>
        <w:left w:val="none" w:sz="0" w:space="0" w:color="auto"/>
        <w:bottom w:val="none" w:sz="0" w:space="0" w:color="auto"/>
        <w:right w:val="none" w:sz="0" w:space="0" w:color="auto"/>
      </w:divBdr>
      <w:divsChild>
        <w:div w:id="1032151289">
          <w:marLeft w:val="0"/>
          <w:marRight w:val="0"/>
          <w:marTop w:val="0"/>
          <w:marBottom w:val="0"/>
          <w:divBdr>
            <w:top w:val="none" w:sz="0" w:space="0" w:color="auto"/>
            <w:left w:val="none" w:sz="0" w:space="0" w:color="auto"/>
            <w:bottom w:val="none" w:sz="0" w:space="0" w:color="auto"/>
            <w:right w:val="none" w:sz="0" w:space="0" w:color="auto"/>
          </w:divBdr>
          <w:divsChild>
            <w:div w:id="1577590147">
              <w:marLeft w:val="0"/>
              <w:marRight w:val="0"/>
              <w:marTop w:val="0"/>
              <w:marBottom w:val="0"/>
              <w:divBdr>
                <w:top w:val="none" w:sz="0" w:space="0" w:color="auto"/>
                <w:left w:val="none" w:sz="0" w:space="0" w:color="auto"/>
                <w:bottom w:val="none" w:sz="0" w:space="0" w:color="auto"/>
                <w:right w:val="none" w:sz="0" w:space="0" w:color="auto"/>
              </w:divBdr>
              <w:divsChild>
                <w:div w:id="78677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1547">
      <w:bodyDiv w:val="1"/>
      <w:marLeft w:val="0"/>
      <w:marRight w:val="0"/>
      <w:marTop w:val="0"/>
      <w:marBottom w:val="0"/>
      <w:divBdr>
        <w:top w:val="none" w:sz="0" w:space="0" w:color="auto"/>
        <w:left w:val="none" w:sz="0" w:space="0" w:color="auto"/>
        <w:bottom w:val="none" w:sz="0" w:space="0" w:color="auto"/>
        <w:right w:val="none" w:sz="0" w:space="0" w:color="auto"/>
      </w:divBdr>
      <w:divsChild>
        <w:div w:id="1581524086">
          <w:marLeft w:val="0"/>
          <w:marRight w:val="0"/>
          <w:marTop w:val="0"/>
          <w:marBottom w:val="0"/>
          <w:divBdr>
            <w:top w:val="none" w:sz="0" w:space="0" w:color="auto"/>
            <w:left w:val="none" w:sz="0" w:space="0" w:color="auto"/>
            <w:bottom w:val="none" w:sz="0" w:space="0" w:color="auto"/>
            <w:right w:val="none" w:sz="0" w:space="0" w:color="auto"/>
          </w:divBdr>
          <w:divsChild>
            <w:div w:id="1868448315">
              <w:marLeft w:val="0"/>
              <w:marRight w:val="0"/>
              <w:marTop w:val="0"/>
              <w:marBottom w:val="0"/>
              <w:divBdr>
                <w:top w:val="none" w:sz="0" w:space="0" w:color="auto"/>
                <w:left w:val="none" w:sz="0" w:space="0" w:color="auto"/>
                <w:bottom w:val="none" w:sz="0" w:space="0" w:color="auto"/>
                <w:right w:val="none" w:sz="0" w:space="0" w:color="auto"/>
              </w:divBdr>
              <w:divsChild>
                <w:div w:id="1715881585">
                  <w:marLeft w:val="0"/>
                  <w:marRight w:val="0"/>
                  <w:marTop w:val="0"/>
                  <w:marBottom w:val="0"/>
                  <w:divBdr>
                    <w:top w:val="none" w:sz="0" w:space="0" w:color="auto"/>
                    <w:left w:val="none" w:sz="0" w:space="0" w:color="auto"/>
                    <w:bottom w:val="none" w:sz="0" w:space="0" w:color="auto"/>
                    <w:right w:val="none" w:sz="0" w:space="0" w:color="auto"/>
                  </w:divBdr>
                  <w:divsChild>
                    <w:div w:id="1237283424">
                      <w:marLeft w:val="0"/>
                      <w:marRight w:val="0"/>
                      <w:marTop w:val="0"/>
                      <w:marBottom w:val="0"/>
                      <w:divBdr>
                        <w:top w:val="none" w:sz="0" w:space="0" w:color="auto"/>
                        <w:left w:val="none" w:sz="0" w:space="0" w:color="auto"/>
                        <w:bottom w:val="none" w:sz="0" w:space="0" w:color="auto"/>
                        <w:right w:val="none" w:sz="0" w:space="0" w:color="auto"/>
                      </w:divBdr>
                    </w:div>
                  </w:divsChild>
                </w:div>
                <w:div w:id="1731416826">
                  <w:marLeft w:val="0"/>
                  <w:marRight w:val="0"/>
                  <w:marTop w:val="0"/>
                  <w:marBottom w:val="0"/>
                  <w:divBdr>
                    <w:top w:val="none" w:sz="0" w:space="0" w:color="auto"/>
                    <w:left w:val="none" w:sz="0" w:space="0" w:color="auto"/>
                    <w:bottom w:val="none" w:sz="0" w:space="0" w:color="auto"/>
                    <w:right w:val="none" w:sz="0" w:space="0" w:color="auto"/>
                  </w:divBdr>
                  <w:divsChild>
                    <w:div w:id="195698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579414">
      <w:bodyDiv w:val="1"/>
      <w:marLeft w:val="0"/>
      <w:marRight w:val="0"/>
      <w:marTop w:val="0"/>
      <w:marBottom w:val="0"/>
      <w:divBdr>
        <w:top w:val="none" w:sz="0" w:space="0" w:color="auto"/>
        <w:left w:val="none" w:sz="0" w:space="0" w:color="auto"/>
        <w:bottom w:val="none" w:sz="0" w:space="0" w:color="auto"/>
        <w:right w:val="none" w:sz="0" w:space="0" w:color="auto"/>
      </w:divBdr>
      <w:divsChild>
        <w:div w:id="1522814827">
          <w:marLeft w:val="0"/>
          <w:marRight w:val="0"/>
          <w:marTop w:val="0"/>
          <w:marBottom w:val="0"/>
          <w:divBdr>
            <w:top w:val="none" w:sz="0" w:space="0" w:color="auto"/>
            <w:left w:val="none" w:sz="0" w:space="0" w:color="auto"/>
            <w:bottom w:val="none" w:sz="0" w:space="0" w:color="auto"/>
            <w:right w:val="none" w:sz="0" w:space="0" w:color="auto"/>
          </w:divBdr>
          <w:divsChild>
            <w:div w:id="169224544">
              <w:marLeft w:val="0"/>
              <w:marRight w:val="0"/>
              <w:marTop w:val="0"/>
              <w:marBottom w:val="0"/>
              <w:divBdr>
                <w:top w:val="none" w:sz="0" w:space="0" w:color="auto"/>
                <w:left w:val="none" w:sz="0" w:space="0" w:color="auto"/>
                <w:bottom w:val="none" w:sz="0" w:space="0" w:color="auto"/>
                <w:right w:val="none" w:sz="0" w:space="0" w:color="auto"/>
              </w:divBdr>
              <w:divsChild>
                <w:div w:id="156290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940574">
      <w:bodyDiv w:val="1"/>
      <w:marLeft w:val="0"/>
      <w:marRight w:val="0"/>
      <w:marTop w:val="0"/>
      <w:marBottom w:val="0"/>
      <w:divBdr>
        <w:top w:val="none" w:sz="0" w:space="0" w:color="auto"/>
        <w:left w:val="none" w:sz="0" w:space="0" w:color="auto"/>
        <w:bottom w:val="none" w:sz="0" w:space="0" w:color="auto"/>
        <w:right w:val="none" w:sz="0" w:space="0" w:color="auto"/>
      </w:divBdr>
      <w:divsChild>
        <w:div w:id="694963158">
          <w:marLeft w:val="0"/>
          <w:marRight w:val="0"/>
          <w:marTop w:val="0"/>
          <w:marBottom w:val="0"/>
          <w:divBdr>
            <w:top w:val="none" w:sz="0" w:space="0" w:color="auto"/>
            <w:left w:val="none" w:sz="0" w:space="0" w:color="auto"/>
            <w:bottom w:val="none" w:sz="0" w:space="0" w:color="auto"/>
            <w:right w:val="none" w:sz="0" w:space="0" w:color="auto"/>
          </w:divBdr>
          <w:divsChild>
            <w:div w:id="1032920240">
              <w:marLeft w:val="0"/>
              <w:marRight w:val="0"/>
              <w:marTop w:val="0"/>
              <w:marBottom w:val="0"/>
              <w:divBdr>
                <w:top w:val="none" w:sz="0" w:space="0" w:color="auto"/>
                <w:left w:val="none" w:sz="0" w:space="0" w:color="auto"/>
                <w:bottom w:val="none" w:sz="0" w:space="0" w:color="auto"/>
                <w:right w:val="none" w:sz="0" w:space="0" w:color="auto"/>
              </w:divBdr>
              <w:divsChild>
                <w:div w:id="96862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111910">
      <w:bodyDiv w:val="1"/>
      <w:marLeft w:val="0"/>
      <w:marRight w:val="0"/>
      <w:marTop w:val="0"/>
      <w:marBottom w:val="0"/>
      <w:divBdr>
        <w:top w:val="none" w:sz="0" w:space="0" w:color="auto"/>
        <w:left w:val="none" w:sz="0" w:space="0" w:color="auto"/>
        <w:bottom w:val="none" w:sz="0" w:space="0" w:color="auto"/>
        <w:right w:val="none" w:sz="0" w:space="0" w:color="auto"/>
      </w:divBdr>
      <w:divsChild>
        <w:div w:id="2113277402">
          <w:marLeft w:val="0"/>
          <w:marRight w:val="0"/>
          <w:marTop w:val="0"/>
          <w:marBottom w:val="0"/>
          <w:divBdr>
            <w:top w:val="none" w:sz="0" w:space="0" w:color="auto"/>
            <w:left w:val="none" w:sz="0" w:space="0" w:color="auto"/>
            <w:bottom w:val="none" w:sz="0" w:space="0" w:color="auto"/>
            <w:right w:val="none" w:sz="0" w:space="0" w:color="auto"/>
          </w:divBdr>
          <w:divsChild>
            <w:div w:id="259528702">
              <w:marLeft w:val="0"/>
              <w:marRight w:val="0"/>
              <w:marTop w:val="0"/>
              <w:marBottom w:val="0"/>
              <w:divBdr>
                <w:top w:val="none" w:sz="0" w:space="0" w:color="auto"/>
                <w:left w:val="none" w:sz="0" w:space="0" w:color="auto"/>
                <w:bottom w:val="none" w:sz="0" w:space="0" w:color="auto"/>
                <w:right w:val="none" w:sz="0" w:space="0" w:color="auto"/>
              </w:divBdr>
              <w:divsChild>
                <w:div w:id="786385809">
                  <w:marLeft w:val="0"/>
                  <w:marRight w:val="0"/>
                  <w:marTop w:val="0"/>
                  <w:marBottom w:val="0"/>
                  <w:divBdr>
                    <w:top w:val="none" w:sz="0" w:space="0" w:color="auto"/>
                    <w:left w:val="none" w:sz="0" w:space="0" w:color="auto"/>
                    <w:bottom w:val="none" w:sz="0" w:space="0" w:color="auto"/>
                    <w:right w:val="none" w:sz="0" w:space="0" w:color="auto"/>
                  </w:divBdr>
                  <w:divsChild>
                    <w:div w:id="85442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045327">
      <w:bodyDiv w:val="1"/>
      <w:marLeft w:val="0"/>
      <w:marRight w:val="0"/>
      <w:marTop w:val="0"/>
      <w:marBottom w:val="0"/>
      <w:divBdr>
        <w:top w:val="none" w:sz="0" w:space="0" w:color="auto"/>
        <w:left w:val="none" w:sz="0" w:space="0" w:color="auto"/>
        <w:bottom w:val="none" w:sz="0" w:space="0" w:color="auto"/>
        <w:right w:val="none" w:sz="0" w:space="0" w:color="auto"/>
      </w:divBdr>
    </w:div>
    <w:div w:id="1799104912">
      <w:bodyDiv w:val="1"/>
      <w:marLeft w:val="0"/>
      <w:marRight w:val="0"/>
      <w:marTop w:val="0"/>
      <w:marBottom w:val="0"/>
      <w:divBdr>
        <w:top w:val="none" w:sz="0" w:space="0" w:color="auto"/>
        <w:left w:val="none" w:sz="0" w:space="0" w:color="auto"/>
        <w:bottom w:val="none" w:sz="0" w:space="0" w:color="auto"/>
        <w:right w:val="none" w:sz="0" w:space="0" w:color="auto"/>
      </w:divBdr>
      <w:divsChild>
        <w:div w:id="227348641">
          <w:marLeft w:val="0"/>
          <w:marRight w:val="0"/>
          <w:marTop w:val="0"/>
          <w:marBottom w:val="0"/>
          <w:divBdr>
            <w:top w:val="none" w:sz="0" w:space="0" w:color="auto"/>
            <w:left w:val="none" w:sz="0" w:space="0" w:color="auto"/>
            <w:bottom w:val="none" w:sz="0" w:space="0" w:color="auto"/>
            <w:right w:val="none" w:sz="0" w:space="0" w:color="auto"/>
          </w:divBdr>
          <w:divsChild>
            <w:div w:id="2012101533">
              <w:marLeft w:val="0"/>
              <w:marRight w:val="0"/>
              <w:marTop w:val="0"/>
              <w:marBottom w:val="0"/>
              <w:divBdr>
                <w:top w:val="none" w:sz="0" w:space="0" w:color="auto"/>
                <w:left w:val="none" w:sz="0" w:space="0" w:color="auto"/>
                <w:bottom w:val="none" w:sz="0" w:space="0" w:color="auto"/>
                <w:right w:val="none" w:sz="0" w:space="0" w:color="auto"/>
              </w:divBdr>
              <w:divsChild>
                <w:div w:id="10226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139042">
      <w:bodyDiv w:val="1"/>
      <w:marLeft w:val="0"/>
      <w:marRight w:val="0"/>
      <w:marTop w:val="0"/>
      <w:marBottom w:val="0"/>
      <w:divBdr>
        <w:top w:val="none" w:sz="0" w:space="0" w:color="auto"/>
        <w:left w:val="none" w:sz="0" w:space="0" w:color="auto"/>
        <w:bottom w:val="none" w:sz="0" w:space="0" w:color="auto"/>
        <w:right w:val="none" w:sz="0" w:space="0" w:color="auto"/>
      </w:divBdr>
      <w:divsChild>
        <w:div w:id="352806008">
          <w:marLeft w:val="0"/>
          <w:marRight w:val="0"/>
          <w:marTop w:val="0"/>
          <w:marBottom w:val="0"/>
          <w:divBdr>
            <w:top w:val="none" w:sz="0" w:space="0" w:color="auto"/>
            <w:left w:val="none" w:sz="0" w:space="0" w:color="auto"/>
            <w:bottom w:val="none" w:sz="0" w:space="0" w:color="auto"/>
            <w:right w:val="none" w:sz="0" w:space="0" w:color="auto"/>
          </w:divBdr>
          <w:divsChild>
            <w:div w:id="950893477">
              <w:marLeft w:val="0"/>
              <w:marRight w:val="0"/>
              <w:marTop w:val="0"/>
              <w:marBottom w:val="0"/>
              <w:divBdr>
                <w:top w:val="none" w:sz="0" w:space="0" w:color="auto"/>
                <w:left w:val="none" w:sz="0" w:space="0" w:color="auto"/>
                <w:bottom w:val="none" w:sz="0" w:space="0" w:color="auto"/>
                <w:right w:val="none" w:sz="0" w:space="0" w:color="auto"/>
              </w:divBdr>
              <w:divsChild>
                <w:div w:id="1936665131">
                  <w:marLeft w:val="0"/>
                  <w:marRight w:val="0"/>
                  <w:marTop w:val="0"/>
                  <w:marBottom w:val="0"/>
                  <w:divBdr>
                    <w:top w:val="none" w:sz="0" w:space="0" w:color="auto"/>
                    <w:left w:val="none" w:sz="0" w:space="0" w:color="auto"/>
                    <w:bottom w:val="none" w:sz="0" w:space="0" w:color="auto"/>
                    <w:right w:val="none" w:sz="0" w:space="0" w:color="auto"/>
                  </w:divBdr>
                  <w:divsChild>
                    <w:div w:id="42481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969172">
      <w:bodyDiv w:val="1"/>
      <w:marLeft w:val="0"/>
      <w:marRight w:val="0"/>
      <w:marTop w:val="0"/>
      <w:marBottom w:val="0"/>
      <w:divBdr>
        <w:top w:val="none" w:sz="0" w:space="0" w:color="auto"/>
        <w:left w:val="none" w:sz="0" w:space="0" w:color="auto"/>
        <w:bottom w:val="none" w:sz="0" w:space="0" w:color="auto"/>
        <w:right w:val="none" w:sz="0" w:space="0" w:color="auto"/>
      </w:divBdr>
    </w:div>
    <w:div w:id="1850870978">
      <w:bodyDiv w:val="1"/>
      <w:marLeft w:val="0"/>
      <w:marRight w:val="0"/>
      <w:marTop w:val="0"/>
      <w:marBottom w:val="0"/>
      <w:divBdr>
        <w:top w:val="none" w:sz="0" w:space="0" w:color="auto"/>
        <w:left w:val="none" w:sz="0" w:space="0" w:color="auto"/>
        <w:bottom w:val="none" w:sz="0" w:space="0" w:color="auto"/>
        <w:right w:val="none" w:sz="0" w:space="0" w:color="auto"/>
      </w:divBdr>
      <w:divsChild>
        <w:div w:id="490214450">
          <w:marLeft w:val="0"/>
          <w:marRight w:val="0"/>
          <w:marTop w:val="0"/>
          <w:marBottom w:val="0"/>
          <w:divBdr>
            <w:top w:val="none" w:sz="0" w:space="0" w:color="auto"/>
            <w:left w:val="none" w:sz="0" w:space="0" w:color="auto"/>
            <w:bottom w:val="none" w:sz="0" w:space="0" w:color="auto"/>
            <w:right w:val="none" w:sz="0" w:space="0" w:color="auto"/>
          </w:divBdr>
          <w:divsChild>
            <w:div w:id="1989553613">
              <w:marLeft w:val="0"/>
              <w:marRight w:val="0"/>
              <w:marTop w:val="0"/>
              <w:marBottom w:val="0"/>
              <w:divBdr>
                <w:top w:val="none" w:sz="0" w:space="0" w:color="auto"/>
                <w:left w:val="none" w:sz="0" w:space="0" w:color="auto"/>
                <w:bottom w:val="none" w:sz="0" w:space="0" w:color="auto"/>
                <w:right w:val="none" w:sz="0" w:space="0" w:color="auto"/>
              </w:divBdr>
              <w:divsChild>
                <w:div w:id="180580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594513">
          <w:marLeft w:val="0"/>
          <w:marRight w:val="0"/>
          <w:marTop w:val="0"/>
          <w:marBottom w:val="0"/>
          <w:divBdr>
            <w:top w:val="none" w:sz="0" w:space="0" w:color="auto"/>
            <w:left w:val="none" w:sz="0" w:space="0" w:color="auto"/>
            <w:bottom w:val="none" w:sz="0" w:space="0" w:color="auto"/>
            <w:right w:val="none" w:sz="0" w:space="0" w:color="auto"/>
          </w:divBdr>
          <w:divsChild>
            <w:div w:id="1253928632">
              <w:marLeft w:val="0"/>
              <w:marRight w:val="0"/>
              <w:marTop w:val="0"/>
              <w:marBottom w:val="0"/>
              <w:divBdr>
                <w:top w:val="none" w:sz="0" w:space="0" w:color="auto"/>
                <w:left w:val="none" w:sz="0" w:space="0" w:color="auto"/>
                <w:bottom w:val="none" w:sz="0" w:space="0" w:color="auto"/>
                <w:right w:val="none" w:sz="0" w:space="0" w:color="auto"/>
              </w:divBdr>
              <w:divsChild>
                <w:div w:id="1531411206">
                  <w:marLeft w:val="0"/>
                  <w:marRight w:val="0"/>
                  <w:marTop w:val="0"/>
                  <w:marBottom w:val="0"/>
                  <w:divBdr>
                    <w:top w:val="none" w:sz="0" w:space="0" w:color="auto"/>
                    <w:left w:val="none" w:sz="0" w:space="0" w:color="auto"/>
                    <w:bottom w:val="none" w:sz="0" w:space="0" w:color="auto"/>
                    <w:right w:val="none" w:sz="0" w:space="0" w:color="auto"/>
                  </w:divBdr>
                </w:div>
              </w:divsChild>
            </w:div>
            <w:div w:id="1295866722">
              <w:marLeft w:val="0"/>
              <w:marRight w:val="0"/>
              <w:marTop w:val="0"/>
              <w:marBottom w:val="0"/>
              <w:divBdr>
                <w:top w:val="none" w:sz="0" w:space="0" w:color="auto"/>
                <w:left w:val="none" w:sz="0" w:space="0" w:color="auto"/>
                <w:bottom w:val="none" w:sz="0" w:space="0" w:color="auto"/>
                <w:right w:val="none" w:sz="0" w:space="0" w:color="auto"/>
              </w:divBdr>
              <w:divsChild>
                <w:div w:id="163644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90624">
          <w:marLeft w:val="0"/>
          <w:marRight w:val="0"/>
          <w:marTop w:val="0"/>
          <w:marBottom w:val="0"/>
          <w:divBdr>
            <w:top w:val="none" w:sz="0" w:space="0" w:color="auto"/>
            <w:left w:val="none" w:sz="0" w:space="0" w:color="auto"/>
            <w:bottom w:val="none" w:sz="0" w:space="0" w:color="auto"/>
            <w:right w:val="none" w:sz="0" w:space="0" w:color="auto"/>
          </w:divBdr>
          <w:divsChild>
            <w:div w:id="690838462">
              <w:marLeft w:val="0"/>
              <w:marRight w:val="0"/>
              <w:marTop w:val="0"/>
              <w:marBottom w:val="0"/>
              <w:divBdr>
                <w:top w:val="none" w:sz="0" w:space="0" w:color="auto"/>
                <w:left w:val="none" w:sz="0" w:space="0" w:color="auto"/>
                <w:bottom w:val="none" w:sz="0" w:space="0" w:color="auto"/>
                <w:right w:val="none" w:sz="0" w:space="0" w:color="auto"/>
              </w:divBdr>
              <w:divsChild>
                <w:div w:id="119304848">
                  <w:marLeft w:val="0"/>
                  <w:marRight w:val="0"/>
                  <w:marTop w:val="0"/>
                  <w:marBottom w:val="0"/>
                  <w:divBdr>
                    <w:top w:val="none" w:sz="0" w:space="0" w:color="auto"/>
                    <w:left w:val="none" w:sz="0" w:space="0" w:color="auto"/>
                    <w:bottom w:val="none" w:sz="0" w:space="0" w:color="auto"/>
                    <w:right w:val="none" w:sz="0" w:space="0" w:color="auto"/>
                  </w:divBdr>
                </w:div>
              </w:divsChild>
            </w:div>
            <w:div w:id="2021004224">
              <w:marLeft w:val="0"/>
              <w:marRight w:val="0"/>
              <w:marTop w:val="0"/>
              <w:marBottom w:val="0"/>
              <w:divBdr>
                <w:top w:val="none" w:sz="0" w:space="0" w:color="auto"/>
                <w:left w:val="none" w:sz="0" w:space="0" w:color="auto"/>
                <w:bottom w:val="none" w:sz="0" w:space="0" w:color="auto"/>
                <w:right w:val="none" w:sz="0" w:space="0" w:color="auto"/>
              </w:divBdr>
              <w:divsChild>
                <w:div w:id="80632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82582">
          <w:marLeft w:val="0"/>
          <w:marRight w:val="0"/>
          <w:marTop w:val="0"/>
          <w:marBottom w:val="0"/>
          <w:divBdr>
            <w:top w:val="none" w:sz="0" w:space="0" w:color="auto"/>
            <w:left w:val="none" w:sz="0" w:space="0" w:color="auto"/>
            <w:bottom w:val="none" w:sz="0" w:space="0" w:color="auto"/>
            <w:right w:val="none" w:sz="0" w:space="0" w:color="auto"/>
          </w:divBdr>
          <w:divsChild>
            <w:div w:id="154493854">
              <w:marLeft w:val="0"/>
              <w:marRight w:val="0"/>
              <w:marTop w:val="0"/>
              <w:marBottom w:val="0"/>
              <w:divBdr>
                <w:top w:val="none" w:sz="0" w:space="0" w:color="auto"/>
                <w:left w:val="none" w:sz="0" w:space="0" w:color="auto"/>
                <w:bottom w:val="none" w:sz="0" w:space="0" w:color="auto"/>
                <w:right w:val="none" w:sz="0" w:space="0" w:color="auto"/>
              </w:divBdr>
              <w:divsChild>
                <w:div w:id="47364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123193">
          <w:marLeft w:val="0"/>
          <w:marRight w:val="0"/>
          <w:marTop w:val="0"/>
          <w:marBottom w:val="0"/>
          <w:divBdr>
            <w:top w:val="none" w:sz="0" w:space="0" w:color="auto"/>
            <w:left w:val="none" w:sz="0" w:space="0" w:color="auto"/>
            <w:bottom w:val="none" w:sz="0" w:space="0" w:color="auto"/>
            <w:right w:val="none" w:sz="0" w:space="0" w:color="auto"/>
          </w:divBdr>
          <w:divsChild>
            <w:div w:id="1284266799">
              <w:marLeft w:val="0"/>
              <w:marRight w:val="0"/>
              <w:marTop w:val="0"/>
              <w:marBottom w:val="0"/>
              <w:divBdr>
                <w:top w:val="none" w:sz="0" w:space="0" w:color="auto"/>
                <w:left w:val="none" w:sz="0" w:space="0" w:color="auto"/>
                <w:bottom w:val="none" w:sz="0" w:space="0" w:color="auto"/>
                <w:right w:val="none" w:sz="0" w:space="0" w:color="auto"/>
              </w:divBdr>
              <w:divsChild>
                <w:div w:id="1732190856">
                  <w:marLeft w:val="0"/>
                  <w:marRight w:val="0"/>
                  <w:marTop w:val="0"/>
                  <w:marBottom w:val="0"/>
                  <w:divBdr>
                    <w:top w:val="none" w:sz="0" w:space="0" w:color="auto"/>
                    <w:left w:val="none" w:sz="0" w:space="0" w:color="auto"/>
                    <w:bottom w:val="none" w:sz="0" w:space="0" w:color="auto"/>
                    <w:right w:val="none" w:sz="0" w:space="0" w:color="auto"/>
                  </w:divBdr>
                </w:div>
              </w:divsChild>
            </w:div>
            <w:div w:id="1965231828">
              <w:marLeft w:val="0"/>
              <w:marRight w:val="0"/>
              <w:marTop w:val="0"/>
              <w:marBottom w:val="0"/>
              <w:divBdr>
                <w:top w:val="none" w:sz="0" w:space="0" w:color="auto"/>
                <w:left w:val="none" w:sz="0" w:space="0" w:color="auto"/>
                <w:bottom w:val="none" w:sz="0" w:space="0" w:color="auto"/>
                <w:right w:val="none" w:sz="0" w:space="0" w:color="auto"/>
              </w:divBdr>
              <w:divsChild>
                <w:div w:id="79864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21065">
          <w:marLeft w:val="0"/>
          <w:marRight w:val="0"/>
          <w:marTop w:val="0"/>
          <w:marBottom w:val="0"/>
          <w:divBdr>
            <w:top w:val="none" w:sz="0" w:space="0" w:color="auto"/>
            <w:left w:val="none" w:sz="0" w:space="0" w:color="auto"/>
            <w:bottom w:val="none" w:sz="0" w:space="0" w:color="auto"/>
            <w:right w:val="none" w:sz="0" w:space="0" w:color="auto"/>
          </w:divBdr>
          <w:divsChild>
            <w:div w:id="1667854233">
              <w:marLeft w:val="0"/>
              <w:marRight w:val="0"/>
              <w:marTop w:val="0"/>
              <w:marBottom w:val="0"/>
              <w:divBdr>
                <w:top w:val="none" w:sz="0" w:space="0" w:color="auto"/>
                <w:left w:val="none" w:sz="0" w:space="0" w:color="auto"/>
                <w:bottom w:val="none" w:sz="0" w:space="0" w:color="auto"/>
                <w:right w:val="none" w:sz="0" w:space="0" w:color="auto"/>
              </w:divBdr>
              <w:divsChild>
                <w:div w:id="1409038923">
                  <w:marLeft w:val="0"/>
                  <w:marRight w:val="0"/>
                  <w:marTop w:val="0"/>
                  <w:marBottom w:val="0"/>
                  <w:divBdr>
                    <w:top w:val="none" w:sz="0" w:space="0" w:color="auto"/>
                    <w:left w:val="none" w:sz="0" w:space="0" w:color="auto"/>
                    <w:bottom w:val="none" w:sz="0" w:space="0" w:color="auto"/>
                    <w:right w:val="none" w:sz="0" w:space="0" w:color="auto"/>
                  </w:divBdr>
                </w:div>
              </w:divsChild>
            </w:div>
            <w:div w:id="1878198625">
              <w:marLeft w:val="0"/>
              <w:marRight w:val="0"/>
              <w:marTop w:val="0"/>
              <w:marBottom w:val="0"/>
              <w:divBdr>
                <w:top w:val="none" w:sz="0" w:space="0" w:color="auto"/>
                <w:left w:val="none" w:sz="0" w:space="0" w:color="auto"/>
                <w:bottom w:val="none" w:sz="0" w:space="0" w:color="auto"/>
                <w:right w:val="none" w:sz="0" w:space="0" w:color="auto"/>
              </w:divBdr>
              <w:divsChild>
                <w:div w:id="126244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502936">
      <w:bodyDiv w:val="1"/>
      <w:marLeft w:val="0"/>
      <w:marRight w:val="0"/>
      <w:marTop w:val="0"/>
      <w:marBottom w:val="0"/>
      <w:divBdr>
        <w:top w:val="none" w:sz="0" w:space="0" w:color="auto"/>
        <w:left w:val="none" w:sz="0" w:space="0" w:color="auto"/>
        <w:bottom w:val="none" w:sz="0" w:space="0" w:color="auto"/>
        <w:right w:val="none" w:sz="0" w:space="0" w:color="auto"/>
      </w:divBdr>
    </w:div>
    <w:div w:id="1868832969">
      <w:bodyDiv w:val="1"/>
      <w:marLeft w:val="0"/>
      <w:marRight w:val="0"/>
      <w:marTop w:val="0"/>
      <w:marBottom w:val="0"/>
      <w:divBdr>
        <w:top w:val="none" w:sz="0" w:space="0" w:color="auto"/>
        <w:left w:val="none" w:sz="0" w:space="0" w:color="auto"/>
        <w:bottom w:val="none" w:sz="0" w:space="0" w:color="auto"/>
        <w:right w:val="none" w:sz="0" w:space="0" w:color="auto"/>
      </w:divBdr>
      <w:divsChild>
        <w:div w:id="1718314568">
          <w:marLeft w:val="0"/>
          <w:marRight w:val="0"/>
          <w:marTop w:val="0"/>
          <w:marBottom w:val="0"/>
          <w:divBdr>
            <w:top w:val="none" w:sz="0" w:space="0" w:color="auto"/>
            <w:left w:val="none" w:sz="0" w:space="0" w:color="auto"/>
            <w:bottom w:val="none" w:sz="0" w:space="0" w:color="auto"/>
            <w:right w:val="none" w:sz="0" w:space="0" w:color="auto"/>
          </w:divBdr>
          <w:divsChild>
            <w:div w:id="1154370788">
              <w:marLeft w:val="0"/>
              <w:marRight w:val="0"/>
              <w:marTop w:val="0"/>
              <w:marBottom w:val="0"/>
              <w:divBdr>
                <w:top w:val="none" w:sz="0" w:space="0" w:color="auto"/>
                <w:left w:val="none" w:sz="0" w:space="0" w:color="auto"/>
                <w:bottom w:val="none" w:sz="0" w:space="0" w:color="auto"/>
                <w:right w:val="none" w:sz="0" w:space="0" w:color="auto"/>
              </w:divBdr>
              <w:divsChild>
                <w:div w:id="212480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723094">
      <w:bodyDiv w:val="1"/>
      <w:marLeft w:val="0"/>
      <w:marRight w:val="0"/>
      <w:marTop w:val="0"/>
      <w:marBottom w:val="0"/>
      <w:divBdr>
        <w:top w:val="none" w:sz="0" w:space="0" w:color="auto"/>
        <w:left w:val="none" w:sz="0" w:space="0" w:color="auto"/>
        <w:bottom w:val="none" w:sz="0" w:space="0" w:color="auto"/>
        <w:right w:val="none" w:sz="0" w:space="0" w:color="auto"/>
      </w:divBdr>
      <w:divsChild>
        <w:div w:id="615060875">
          <w:marLeft w:val="0"/>
          <w:marRight w:val="0"/>
          <w:marTop w:val="0"/>
          <w:marBottom w:val="0"/>
          <w:divBdr>
            <w:top w:val="none" w:sz="0" w:space="0" w:color="auto"/>
            <w:left w:val="none" w:sz="0" w:space="0" w:color="auto"/>
            <w:bottom w:val="none" w:sz="0" w:space="0" w:color="auto"/>
            <w:right w:val="none" w:sz="0" w:space="0" w:color="auto"/>
          </w:divBdr>
          <w:divsChild>
            <w:div w:id="274366030">
              <w:marLeft w:val="0"/>
              <w:marRight w:val="0"/>
              <w:marTop w:val="0"/>
              <w:marBottom w:val="0"/>
              <w:divBdr>
                <w:top w:val="none" w:sz="0" w:space="0" w:color="auto"/>
                <w:left w:val="none" w:sz="0" w:space="0" w:color="auto"/>
                <w:bottom w:val="none" w:sz="0" w:space="0" w:color="auto"/>
                <w:right w:val="none" w:sz="0" w:space="0" w:color="auto"/>
              </w:divBdr>
              <w:divsChild>
                <w:div w:id="1899632045">
                  <w:marLeft w:val="0"/>
                  <w:marRight w:val="0"/>
                  <w:marTop w:val="0"/>
                  <w:marBottom w:val="0"/>
                  <w:divBdr>
                    <w:top w:val="none" w:sz="0" w:space="0" w:color="auto"/>
                    <w:left w:val="none" w:sz="0" w:space="0" w:color="auto"/>
                    <w:bottom w:val="none" w:sz="0" w:space="0" w:color="auto"/>
                    <w:right w:val="none" w:sz="0" w:space="0" w:color="auto"/>
                  </w:divBdr>
                  <w:divsChild>
                    <w:div w:id="149522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812968">
      <w:bodyDiv w:val="1"/>
      <w:marLeft w:val="0"/>
      <w:marRight w:val="0"/>
      <w:marTop w:val="0"/>
      <w:marBottom w:val="0"/>
      <w:divBdr>
        <w:top w:val="none" w:sz="0" w:space="0" w:color="auto"/>
        <w:left w:val="none" w:sz="0" w:space="0" w:color="auto"/>
        <w:bottom w:val="none" w:sz="0" w:space="0" w:color="auto"/>
        <w:right w:val="none" w:sz="0" w:space="0" w:color="auto"/>
      </w:divBdr>
      <w:divsChild>
        <w:div w:id="1491605208">
          <w:marLeft w:val="0"/>
          <w:marRight w:val="0"/>
          <w:marTop w:val="0"/>
          <w:marBottom w:val="0"/>
          <w:divBdr>
            <w:top w:val="none" w:sz="0" w:space="0" w:color="auto"/>
            <w:left w:val="none" w:sz="0" w:space="0" w:color="auto"/>
            <w:bottom w:val="none" w:sz="0" w:space="0" w:color="auto"/>
            <w:right w:val="none" w:sz="0" w:space="0" w:color="auto"/>
          </w:divBdr>
          <w:divsChild>
            <w:div w:id="930242212">
              <w:marLeft w:val="0"/>
              <w:marRight w:val="0"/>
              <w:marTop w:val="0"/>
              <w:marBottom w:val="0"/>
              <w:divBdr>
                <w:top w:val="none" w:sz="0" w:space="0" w:color="auto"/>
                <w:left w:val="none" w:sz="0" w:space="0" w:color="auto"/>
                <w:bottom w:val="none" w:sz="0" w:space="0" w:color="auto"/>
                <w:right w:val="none" w:sz="0" w:space="0" w:color="auto"/>
              </w:divBdr>
              <w:divsChild>
                <w:div w:id="201263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779823">
      <w:bodyDiv w:val="1"/>
      <w:marLeft w:val="0"/>
      <w:marRight w:val="0"/>
      <w:marTop w:val="0"/>
      <w:marBottom w:val="0"/>
      <w:divBdr>
        <w:top w:val="none" w:sz="0" w:space="0" w:color="auto"/>
        <w:left w:val="none" w:sz="0" w:space="0" w:color="auto"/>
        <w:bottom w:val="none" w:sz="0" w:space="0" w:color="auto"/>
        <w:right w:val="none" w:sz="0" w:space="0" w:color="auto"/>
      </w:divBdr>
      <w:divsChild>
        <w:div w:id="1973250772">
          <w:marLeft w:val="0"/>
          <w:marRight w:val="0"/>
          <w:marTop w:val="0"/>
          <w:marBottom w:val="0"/>
          <w:divBdr>
            <w:top w:val="none" w:sz="0" w:space="0" w:color="auto"/>
            <w:left w:val="none" w:sz="0" w:space="0" w:color="auto"/>
            <w:bottom w:val="none" w:sz="0" w:space="0" w:color="auto"/>
            <w:right w:val="none" w:sz="0" w:space="0" w:color="auto"/>
          </w:divBdr>
          <w:divsChild>
            <w:div w:id="538934691">
              <w:marLeft w:val="0"/>
              <w:marRight w:val="0"/>
              <w:marTop w:val="0"/>
              <w:marBottom w:val="0"/>
              <w:divBdr>
                <w:top w:val="none" w:sz="0" w:space="0" w:color="auto"/>
                <w:left w:val="none" w:sz="0" w:space="0" w:color="auto"/>
                <w:bottom w:val="none" w:sz="0" w:space="0" w:color="auto"/>
                <w:right w:val="none" w:sz="0" w:space="0" w:color="auto"/>
              </w:divBdr>
              <w:divsChild>
                <w:div w:id="42369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732723">
      <w:bodyDiv w:val="1"/>
      <w:marLeft w:val="0"/>
      <w:marRight w:val="0"/>
      <w:marTop w:val="0"/>
      <w:marBottom w:val="0"/>
      <w:divBdr>
        <w:top w:val="none" w:sz="0" w:space="0" w:color="auto"/>
        <w:left w:val="none" w:sz="0" w:space="0" w:color="auto"/>
        <w:bottom w:val="none" w:sz="0" w:space="0" w:color="auto"/>
        <w:right w:val="none" w:sz="0" w:space="0" w:color="auto"/>
      </w:divBdr>
      <w:divsChild>
        <w:div w:id="547183919">
          <w:marLeft w:val="0"/>
          <w:marRight w:val="0"/>
          <w:marTop w:val="0"/>
          <w:marBottom w:val="0"/>
          <w:divBdr>
            <w:top w:val="none" w:sz="0" w:space="0" w:color="auto"/>
            <w:left w:val="none" w:sz="0" w:space="0" w:color="auto"/>
            <w:bottom w:val="none" w:sz="0" w:space="0" w:color="auto"/>
            <w:right w:val="none" w:sz="0" w:space="0" w:color="auto"/>
          </w:divBdr>
          <w:divsChild>
            <w:div w:id="1841043709">
              <w:marLeft w:val="0"/>
              <w:marRight w:val="0"/>
              <w:marTop w:val="0"/>
              <w:marBottom w:val="0"/>
              <w:divBdr>
                <w:top w:val="none" w:sz="0" w:space="0" w:color="auto"/>
                <w:left w:val="none" w:sz="0" w:space="0" w:color="auto"/>
                <w:bottom w:val="none" w:sz="0" w:space="0" w:color="auto"/>
                <w:right w:val="none" w:sz="0" w:space="0" w:color="auto"/>
              </w:divBdr>
              <w:divsChild>
                <w:div w:id="12420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07768">
      <w:bodyDiv w:val="1"/>
      <w:marLeft w:val="0"/>
      <w:marRight w:val="0"/>
      <w:marTop w:val="0"/>
      <w:marBottom w:val="0"/>
      <w:divBdr>
        <w:top w:val="none" w:sz="0" w:space="0" w:color="auto"/>
        <w:left w:val="none" w:sz="0" w:space="0" w:color="auto"/>
        <w:bottom w:val="none" w:sz="0" w:space="0" w:color="auto"/>
        <w:right w:val="none" w:sz="0" w:space="0" w:color="auto"/>
      </w:divBdr>
    </w:div>
    <w:div w:id="2067097236">
      <w:bodyDiv w:val="1"/>
      <w:marLeft w:val="0"/>
      <w:marRight w:val="0"/>
      <w:marTop w:val="0"/>
      <w:marBottom w:val="0"/>
      <w:divBdr>
        <w:top w:val="none" w:sz="0" w:space="0" w:color="auto"/>
        <w:left w:val="none" w:sz="0" w:space="0" w:color="auto"/>
        <w:bottom w:val="none" w:sz="0" w:space="0" w:color="auto"/>
        <w:right w:val="none" w:sz="0" w:space="0" w:color="auto"/>
      </w:divBdr>
    </w:div>
    <w:div w:id="2067485853">
      <w:bodyDiv w:val="1"/>
      <w:marLeft w:val="0"/>
      <w:marRight w:val="0"/>
      <w:marTop w:val="0"/>
      <w:marBottom w:val="0"/>
      <w:divBdr>
        <w:top w:val="none" w:sz="0" w:space="0" w:color="auto"/>
        <w:left w:val="none" w:sz="0" w:space="0" w:color="auto"/>
        <w:bottom w:val="none" w:sz="0" w:space="0" w:color="auto"/>
        <w:right w:val="none" w:sz="0" w:space="0" w:color="auto"/>
      </w:divBdr>
    </w:div>
    <w:div w:id="2068454205">
      <w:bodyDiv w:val="1"/>
      <w:marLeft w:val="0"/>
      <w:marRight w:val="0"/>
      <w:marTop w:val="0"/>
      <w:marBottom w:val="0"/>
      <w:divBdr>
        <w:top w:val="none" w:sz="0" w:space="0" w:color="auto"/>
        <w:left w:val="none" w:sz="0" w:space="0" w:color="auto"/>
        <w:bottom w:val="none" w:sz="0" w:space="0" w:color="auto"/>
        <w:right w:val="none" w:sz="0" w:space="0" w:color="auto"/>
      </w:divBdr>
      <w:divsChild>
        <w:div w:id="211962184">
          <w:marLeft w:val="0"/>
          <w:marRight w:val="0"/>
          <w:marTop w:val="0"/>
          <w:marBottom w:val="0"/>
          <w:divBdr>
            <w:top w:val="none" w:sz="0" w:space="0" w:color="auto"/>
            <w:left w:val="none" w:sz="0" w:space="0" w:color="auto"/>
            <w:bottom w:val="none" w:sz="0" w:space="0" w:color="auto"/>
            <w:right w:val="none" w:sz="0" w:space="0" w:color="auto"/>
          </w:divBdr>
          <w:divsChild>
            <w:div w:id="1273904549">
              <w:marLeft w:val="0"/>
              <w:marRight w:val="0"/>
              <w:marTop w:val="0"/>
              <w:marBottom w:val="0"/>
              <w:divBdr>
                <w:top w:val="none" w:sz="0" w:space="0" w:color="auto"/>
                <w:left w:val="none" w:sz="0" w:space="0" w:color="auto"/>
                <w:bottom w:val="none" w:sz="0" w:space="0" w:color="auto"/>
                <w:right w:val="none" w:sz="0" w:space="0" w:color="auto"/>
              </w:divBdr>
              <w:divsChild>
                <w:div w:id="171495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444086">
      <w:bodyDiv w:val="1"/>
      <w:marLeft w:val="0"/>
      <w:marRight w:val="0"/>
      <w:marTop w:val="0"/>
      <w:marBottom w:val="0"/>
      <w:divBdr>
        <w:top w:val="none" w:sz="0" w:space="0" w:color="auto"/>
        <w:left w:val="none" w:sz="0" w:space="0" w:color="auto"/>
        <w:bottom w:val="none" w:sz="0" w:space="0" w:color="auto"/>
        <w:right w:val="none" w:sz="0" w:space="0" w:color="auto"/>
      </w:divBdr>
      <w:divsChild>
        <w:div w:id="1584681699">
          <w:marLeft w:val="0"/>
          <w:marRight w:val="0"/>
          <w:marTop w:val="0"/>
          <w:marBottom w:val="0"/>
          <w:divBdr>
            <w:top w:val="none" w:sz="0" w:space="0" w:color="auto"/>
            <w:left w:val="none" w:sz="0" w:space="0" w:color="auto"/>
            <w:bottom w:val="none" w:sz="0" w:space="0" w:color="auto"/>
            <w:right w:val="none" w:sz="0" w:space="0" w:color="auto"/>
          </w:divBdr>
          <w:divsChild>
            <w:div w:id="1641181157">
              <w:marLeft w:val="0"/>
              <w:marRight w:val="0"/>
              <w:marTop w:val="0"/>
              <w:marBottom w:val="0"/>
              <w:divBdr>
                <w:top w:val="none" w:sz="0" w:space="0" w:color="auto"/>
                <w:left w:val="none" w:sz="0" w:space="0" w:color="auto"/>
                <w:bottom w:val="none" w:sz="0" w:space="0" w:color="auto"/>
                <w:right w:val="none" w:sz="0" w:space="0" w:color="auto"/>
              </w:divBdr>
              <w:divsChild>
                <w:div w:id="1905674037">
                  <w:marLeft w:val="0"/>
                  <w:marRight w:val="0"/>
                  <w:marTop w:val="0"/>
                  <w:marBottom w:val="0"/>
                  <w:divBdr>
                    <w:top w:val="none" w:sz="0" w:space="0" w:color="auto"/>
                    <w:left w:val="none" w:sz="0" w:space="0" w:color="auto"/>
                    <w:bottom w:val="none" w:sz="0" w:space="0" w:color="auto"/>
                    <w:right w:val="none" w:sz="0" w:space="0" w:color="auto"/>
                  </w:divBdr>
                  <w:divsChild>
                    <w:div w:id="45784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352832">
      <w:bodyDiv w:val="1"/>
      <w:marLeft w:val="0"/>
      <w:marRight w:val="0"/>
      <w:marTop w:val="0"/>
      <w:marBottom w:val="0"/>
      <w:divBdr>
        <w:top w:val="none" w:sz="0" w:space="0" w:color="auto"/>
        <w:left w:val="none" w:sz="0" w:space="0" w:color="auto"/>
        <w:bottom w:val="none" w:sz="0" w:space="0" w:color="auto"/>
        <w:right w:val="none" w:sz="0" w:space="0" w:color="auto"/>
      </w:divBdr>
      <w:divsChild>
        <w:div w:id="1087848866">
          <w:marLeft w:val="0"/>
          <w:marRight w:val="0"/>
          <w:marTop w:val="0"/>
          <w:marBottom w:val="0"/>
          <w:divBdr>
            <w:top w:val="none" w:sz="0" w:space="0" w:color="auto"/>
            <w:left w:val="none" w:sz="0" w:space="0" w:color="auto"/>
            <w:bottom w:val="none" w:sz="0" w:space="0" w:color="auto"/>
            <w:right w:val="none" w:sz="0" w:space="0" w:color="auto"/>
          </w:divBdr>
          <w:divsChild>
            <w:div w:id="315107589">
              <w:marLeft w:val="0"/>
              <w:marRight w:val="0"/>
              <w:marTop w:val="0"/>
              <w:marBottom w:val="0"/>
              <w:divBdr>
                <w:top w:val="none" w:sz="0" w:space="0" w:color="auto"/>
                <w:left w:val="none" w:sz="0" w:space="0" w:color="auto"/>
                <w:bottom w:val="none" w:sz="0" w:space="0" w:color="auto"/>
                <w:right w:val="none" w:sz="0" w:space="0" w:color="auto"/>
              </w:divBdr>
              <w:divsChild>
                <w:div w:id="2011906096">
                  <w:marLeft w:val="0"/>
                  <w:marRight w:val="0"/>
                  <w:marTop w:val="0"/>
                  <w:marBottom w:val="0"/>
                  <w:divBdr>
                    <w:top w:val="none" w:sz="0" w:space="0" w:color="auto"/>
                    <w:left w:val="none" w:sz="0" w:space="0" w:color="auto"/>
                    <w:bottom w:val="none" w:sz="0" w:space="0" w:color="auto"/>
                    <w:right w:val="none" w:sz="0" w:space="0" w:color="auto"/>
                  </w:divBdr>
                  <w:divsChild>
                    <w:div w:id="72668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260100">
      <w:bodyDiv w:val="1"/>
      <w:marLeft w:val="0"/>
      <w:marRight w:val="0"/>
      <w:marTop w:val="0"/>
      <w:marBottom w:val="0"/>
      <w:divBdr>
        <w:top w:val="none" w:sz="0" w:space="0" w:color="auto"/>
        <w:left w:val="none" w:sz="0" w:space="0" w:color="auto"/>
        <w:bottom w:val="none" w:sz="0" w:space="0" w:color="auto"/>
        <w:right w:val="none" w:sz="0" w:space="0" w:color="auto"/>
      </w:divBdr>
      <w:divsChild>
        <w:div w:id="2122719998">
          <w:marLeft w:val="0"/>
          <w:marRight w:val="0"/>
          <w:marTop w:val="0"/>
          <w:marBottom w:val="0"/>
          <w:divBdr>
            <w:top w:val="none" w:sz="0" w:space="0" w:color="auto"/>
            <w:left w:val="none" w:sz="0" w:space="0" w:color="auto"/>
            <w:bottom w:val="none" w:sz="0" w:space="0" w:color="auto"/>
            <w:right w:val="none" w:sz="0" w:space="0" w:color="auto"/>
          </w:divBdr>
          <w:divsChild>
            <w:div w:id="1041051394">
              <w:marLeft w:val="0"/>
              <w:marRight w:val="0"/>
              <w:marTop w:val="0"/>
              <w:marBottom w:val="0"/>
              <w:divBdr>
                <w:top w:val="none" w:sz="0" w:space="0" w:color="auto"/>
                <w:left w:val="none" w:sz="0" w:space="0" w:color="auto"/>
                <w:bottom w:val="none" w:sz="0" w:space="0" w:color="auto"/>
                <w:right w:val="none" w:sz="0" w:space="0" w:color="auto"/>
              </w:divBdr>
              <w:divsChild>
                <w:div w:id="7289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image" Target="media/image10.png"/><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33" Type="http://schemas.microsoft.com/office/2011/relationships/commentsExtended" Target="commentsExtended.xml"/><Relationship Id="rId32" Type="http://schemas.microsoft.com/office/2011/relationships/people" Target="people.xml"/><Relationship Id="rId10" Type="http://schemas.openxmlformats.org/officeDocument/2006/relationships/hyperlink" Target="http://creativecommons.org/" TargetMode="External"/><Relationship Id="rId11" Type="http://schemas.openxmlformats.org/officeDocument/2006/relationships/hyperlink" Target="http://www.oxfam.org.au/closethegap" TargetMode="External"/><Relationship Id="rId12" Type="http://schemas.openxmlformats.org/officeDocument/2006/relationships/image" Target="media/image2.png"/><Relationship Id="rId13" Type="http://schemas.openxmlformats.org/officeDocument/2006/relationships/image" Target="media/image3.jpg"/><Relationship Id="rId14" Type="http://schemas.openxmlformats.org/officeDocument/2006/relationships/image" Target="media/image4.gif"/><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endnotes.xml.rels><?xml version="1.0" encoding="UTF-8" standalone="yes"?>
<Relationships xmlns="http://schemas.openxmlformats.org/package/2006/relationships"><Relationship Id="rId1" Type="http://schemas.openxmlformats.org/officeDocument/2006/relationships/hyperlink" Target="http://www.un.org/ga/search/view_doc.asp?symbol=A/70/L.1&amp;Lang=E" TargetMode="External"/><Relationship Id="rId2" Type="http://schemas.openxmlformats.org/officeDocument/2006/relationships/hyperlink" Target="http://www.un.org/millennium/declaration/ares552e.pdf" TargetMode="External"/><Relationship Id="rId3" Type="http://schemas.openxmlformats.org/officeDocument/2006/relationships/hyperlink" Target="http://www.un.org/ga/search/view_doc.asp?symbol=A/70/L.1&amp;Lang=E" TargetMode="External"/><Relationship Id="rId4" Type="http://schemas.openxmlformats.org/officeDocument/2006/relationships/hyperlink" Target="http://www.un.org/millennium/declaration/ares552e.pdf" TargetMode="External"/><Relationship Id="rId5" Type="http://schemas.openxmlformats.org/officeDocument/2006/relationships/hyperlink" Target="http://www.un.org/ga/search/view_doc.asp?symbol=A/70/L.1&amp;Lang=E" TargetMode="External"/><Relationship Id="rId6" Type="http://schemas.openxmlformats.org/officeDocument/2006/relationships/hyperlink" Target="http://www.federalfinancialrelations.gov.au/content/npa/health_indigenous/indigenous-reform/national-agreement_sept_12.pdf" TargetMode="External"/><Relationship Id="rId7" Type="http://schemas.openxmlformats.org/officeDocument/2006/relationships/hyperlink" Target="http://www.healthinfonet.ecu.edu.au/closing-the-gap/key-facts/what-are-the-national-partnership-agreements-and-how-do-they-fit-in" TargetMode="External"/><Relationship Id="rId8" Type="http://schemas.openxmlformats.org/officeDocument/2006/relationships/hyperlink" Target="https://act.oxfam.org/australia/close-the-gap-pledge" TargetMode="External"/><Relationship Id="rId9" Type="http://schemas.openxmlformats.org/officeDocument/2006/relationships/hyperlink" Target="http://www.un.org/ga/search/view_doc.asp?symbol=A/70/L.1&amp;Lang=E" TargetMode="External"/><Relationship Id="rId10" Type="http://schemas.openxmlformats.org/officeDocument/2006/relationships/hyperlink" Target="http://www.un.org/ga/search/view_doc.asp?symbol=A/70/L.1&amp;Lang=E" TargetMode="External"/><Relationship Id="rId11" Type="http://schemas.openxmlformats.org/officeDocument/2006/relationships/hyperlink" Target="http://www.abs.gov.au/AUSSTATS/abs@.nsf/Lookup/3302.0.55.003Main+Features12005&#8211;2007" TargetMode="External"/><Relationship Id="rId12" Type="http://schemas.openxmlformats.org/officeDocument/2006/relationships/hyperlink" Target="http://www.abs.gov.au/ausstats/abs@.nsf/mf/3302.0.55.003" TargetMode="External"/><Relationship Id="rId13" Type="http://schemas.openxmlformats.org/officeDocument/2006/relationships/hyperlink" Target="http://www.abs.gov.au/ausstats/abs@.nsf/mf/3302.0.55.003" TargetMode="External"/><Relationship Id="rId14" Type="http://schemas.openxmlformats.org/officeDocument/2006/relationships/hyperlink" Target="http://www.canceraustralia.gov.au" TargetMode="External"/><Relationship Id="rId15" Type="http://schemas.openxmlformats.org/officeDocument/2006/relationships/hyperlink" Target="http://www.aihw.gov.au/publication-detail/?id=60129548202" TargetMode="External"/><Relationship Id="rId16" Type="http://schemas.openxmlformats.org/officeDocument/2006/relationships/hyperlink" Target="http://www.aihw.gov.au/publication-detail/?id=60129548202" TargetMode="External"/><Relationship Id="rId17" Type="http://schemas.openxmlformats.org/officeDocument/2006/relationships/hyperlink" Target="http://www.aihw.gov.au/publication-detail/?id=60129548202" TargetMode="External"/><Relationship Id="rId18" Type="http://schemas.openxmlformats.org/officeDocument/2006/relationships/hyperlink" Target="http://www.aihw.gov.au/publication-detail/?id=60129548202" TargetMode="External"/><Relationship Id="rId19" Type="http://schemas.openxmlformats.org/officeDocument/2006/relationships/hyperlink" Target="http://www.aihw.gov.au/publication-detail/?id=60129548202" TargetMode="External"/><Relationship Id="rId30" Type="http://schemas.openxmlformats.org/officeDocument/2006/relationships/hyperlink" Target="http://www.ahmrc.org.au/index.php?option=com_content&amp;view=article&amp;id=367:aboriginal-communities-improving-aboriginal-health-report&amp;catid=35:public-health&amp;Itemid=84" TargetMode="External"/><Relationship Id="rId31" Type="http://schemas.openxmlformats.org/officeDocument/2006/relationships/hyperlink" Target="http://www.abs.gov.au/ausstats/abs@.nsf/Lookup/4454DD168187E303CA257C2F00146279?opendocument" TargetMode="External"/><Relationship Id="rId32" Type="http://schemas.openxmlformats.org/officeDocument/2006/relationships/hyperlink" Target="http://www.abs.gov.au/AUSSTATS/abs@.nsf/Lookup/3238.0.55.001Main+Features1June%202011?OpenDocument" TargetMode="External"/><Relationship Id="rId33" Type="http://schemas.openxmlformats.org/officeDocument/2006/relationships/hyperlink" Target="http://www.ausstats.abs.gov.au/Ausstats/subscriber.nsf/0/227124B0B4610FAECA257D4E001722E3/$File/natsihs%202012-13%20questionnaire%20.pdf" TargetMode="External"/><Relationship Id="rId34" Type="http://schemas.openxmlformats.org/officeDocument/2006/relationships/hyperlink" Target="http://www.health.gov.au/internet/ministers/publishing.nsf/Content/223AE2CC4BB4C324CA257DFD0014DDD3/$File/SL013.pdf" TargetMode="External"/><Relationship Id="rId35" Type="http://schemas.openxmlformats.org/officeDocument/2006/relationships/hyperlink" Target="http://www.health.gov.au/internet/main/publishing.nsf/Content/privatehealth-summary-premiumincreases" TargetMode="External"/><Relationship Id="rId36" Type="http://schemas.openxmlformats.org/officeDocument/2006/relationships/hyperlink" Target="http://www.privatehealthcareaustralia.org.au/have-you-got-private-healthcare/why-private-health-insurance/understanding-private-health-insurance-premiums/" TargetMode="External"/><Relationship Id="rId37" Type="http://schemas.openxmlformats.org/officeDocument/2006/relationships/hyperlink" Target="https://www.mja.com.au/journal/2015/202/6/cost-freezing-general-practice" TargetMode="External"/><Relationship Id="rId38" Type="http://schemas.openxmlformats.org/officeDocument/2006/relationships/hyperlink" Target="http://www.health.gov.au/internet/main/publishing.nsf/content/primaryhealthcareadvisorygroup-1" TargetMode="External"/><Relationship Id="rId39" Type="http://schemas.openxmlformats.org/officeDocument/2006/relationships/hyperlink" Target="https://www.mja.com.au/journal/2004/180/10/institutional-racism-australian-healthcare-plea-decency" TargetMode="External"/><Relationship Id="rId50" Type="http://schemas.openxmlformats.org/officeDocument/2006/relationships/hyperlink" Target="http://onlinelibrary.wiley.com/journal/10.1111/(ISSN)1753-6405" TargetMode="External"/><Relationship Id="rId51" Type="http://schemas.openxmlformats.org/officeDocument/2006/relationships/hyperlink" Target="http://onlinelibrary.wiley.com/doi/10.1111/azph.2014.38.issue-4/issuetoc" TargetMode="External"/><Relationship Id="rId52" Type="http://schemas.openxmlformats.org/officeDocument/2006/relationships/hyperlink" Target="http://foreignminister.gov.au/speeches/Pages/2015/jb_sp_150929a.aspx?w=tb1CaGpkPX%2FlS0K%2Bg9ZKEg%3D%3D" TargetMode="External"/><Relationship Id="rId53" Type="http://schemas.openxmlformats.org/officeDocument/2006/relationships/hyperlink" Target="http://foreignminister.gov.au/speeches/Pages/2015/jb_sp_150929a.aspx?w=tb1CaGpkPX%2FlS0K%2Bg9ZKEg%3D%3D" TargetMode="External"/><Relationship Id="rId54" Type="http://schemas.openxmlformats.org/officeDocument/2006/relationships/hyperlink" Target="http://www.un.org/ga/search/view_doc.asp?symbol=A/70/L.1&amp;Lang=E" TargetMode="External"/><Relationship Id="rId55" Type="http://schemas.openxmlformats.org/officeDocument/2006/relationships/hyperlink" Target="http://www.federalfinancialrelations.gov.au/content/npa/health_indigenous/indigenous-reform/national-agreement_sept_12.pdf" TargetMode="External"/><Relationship Id="rId56" Type="http://schemas.openxmlformats.org/officeDocument/2006/relationships/hyperlink" Target="http://www.indigenous.gov.au/news-and-media/announcements/prime-minister-abbott-statement-house-representatives-closing-gap-2015" TargetMode="External"/><Relationship Id="rId57" Type="http://schemas.openxmlformats.org/officeDocument/2006/relationships/hyperlink" Target="http://www.abs.gov.au/ausstats/abs@.nsf/Lookup/by%20Subject/4517.0~2014~Main%20Features~Imprisonment%20rates~10009" TargetMode="External"/><Relationship Id="rId58" Type="http://schemas.openxmlformats.org/officeDocument/2006/relationships/hyperlink" Target="http://www.abs.gov.au/AUSSTATS/abs@.nsf/Lookup/4512.0Main+Features1March%20Quarter%202015?OpenDocument" TargetMode="External"/><Relationship Id="rId59" Type="http://schemas.openxmlformats.org/officeDocument/2006/relationships/hyperlink" Target="http://www.abs.gov.au/ausstats/abs@.nsf/Lookup/by%20Subject/4517.0~2014~Main%20Features~Sentenced%20prisoners~10012" TargetMode="External"/><Relationship Id="rId70" Type="http://schemas.openxmlformats.org/officeDocument/2006/relationships/hyperlink" Target="http://www.aihw.gov.au/WorkArea/DownloadAsset.aspx?id=60129547777" TargetMode="External"/><Relationship Id="rId71" Type="http://schemas.openxmlformats.org/officeDocument/2006/relationships/hyperlink" Target="http://www.aihw.gov.au/WorkArea/DownloadAsset.aspx?id=60129547777" TargetMode="External"/><Relationship Id="rId72" Type="http://schemas.openxmlformats.org/officeDocument/2006/relationships/hyperlink" Target="http://www.aihw.gov.au/WorkArea/DownloadAsset.aspx?id=60129547777" TargetMode="External"/><Relationship Id="rId73" Type="http://schemas.openxmlformats.org/officeDocument/2006/relationships/hyperlink" Target="http://www.aihw.gov.au/WorkArea/DownloadAsset.aspx?id=60129547777" TargetMode="External"/><Relationship Id="rId74" Type="http://schemas.openxmlformats.org/officeDocument/2006/relationships/hyperlink" Target="http://www.aihw.gov.au/WorkArea/DownloadAsset.aspx?id=60129547777" TargetMode="External"/><Relationship Id="rId75" Type="http://schemas.openxmlformats.org/officeDocument/2006/relationships/hyperlink" Target="https://www.health.gov.au/internet/main/publishing.nsf/Content/EF81F462A8E8482BCA257BF0001ED788/$File/2008%20OATSIH%20Primary%20Health%20Care%20lit%20review%20FINAL%20ll.pdf" TargetMode="External"/><Relationship Id="rId76" Type="http://schemas.openxmlformats.org/officeDocument/2006/relationships/hyperlink" Target="https://www.health.gov.au/internet/main/publishing.nsf/Content/EF81F462A8E8482BCA257BF0001ED788/$File/2008%20OATSIH%20Primary%20Health%20Care%20lit%20review%20FINAL%20ll.pdf" TargetMode="External"/><Relationship Id="rId77" Type="http://schemas.openxmlformats.org/officeDocument/2006/relationships/hyperlink" Target="https://www.health.gov.au/internet/main/publishing.nsf/Content/EF81F462A8E8482BCA257BF0001ED788/$File/2008%20OATSIH%20Primary%20Health%20Care%20lit%20review%20FINAL%20ll.pdf" TargetMode="External"/><Relationship Id="rId78" Type="http://schemas.openxmlformats.org/officeDocument/2006/relationships/hyperlink" Target="https://www.humanrights.gov.au/publications/closing-gap-national-indigenous-health-equality-targets-2008" TargetMode="External"/><Relationship Id="rId79" Type="http://schemas.openxmlformats.org/officeDocument/2006/relationships/hyperlink" Target="https://ahha.asn.au/sites/default/files/docs/policy-issue/leading_change_in_primary_care.pdf" TargetMode="External"/><Relationship Id="rId90" Type="http://schemas.openxmlformats.org/officeDocument/2006/relationships/hyperlink" Target="http://www.alicespringsnews.com.au/2015/03/19/funding-cuts-hurt-alice-chamber-of-commerce-survey/" TargetMode="External"/><Relationship Id="rId91" Type="http://schemas.openxmlformats.org/officeDocument/2006/relationships/hyperlink" Target="https://www.humanrights.gov.au/publications/social-justice-report-2005-home" TargetMode="External"/><Relationship Id="rId92" Type="http://schemas.openxmlformats.org/officeDocument/2006/relationships/hyperlink" Target="https://www.oxfam.org.au/my/act/sign-the-close-the-gap-pledge" TargetMode="External"/><Relationship Id="rId20" Type="http://schemas.openxmlformats.org/officeDocument/2006/relationships/hyperlink" Target="http://www.aihw.gov.au/publication-detail/?id=60129548202" TargetMode="External"/><Relationship Id="rId21" Type="http://schemas.openxmlformats.org/officeDocument/2006/relationships/hyperlink" Target="http://www.aihw.gov.au/publication-detail/?id=60129548202" TargetMode="External"/><Relationship Id="rId22" Type="http://schemas.openxmlformats.org/officeDocument/2006/relationships/hyperlink" Target="https://www.mja.com.au/journal/2014/200/11/follow-indigenous-specific-health-assessments-socioecological-analysis" TargetMode="External"/><Relationship Id="rId23" Type="http://schemas.openxmlformats.org/officeDocument/2006/relationships/hyperlink" Target="http://www.humanservices.gov.au/health-professionals/services/pbs-closing-the-gap-co-payment-measure/" TargetMode="External"/><Relationship Id="rId24" Type="http://schemas.openxmlformats.org/officeDocument/2006/relationships/hyperlink" Target="http://www.naccho.org.au/promote-health/qumax/" TargetMode="External"/><Relationship Id="rId25" Type="http://schemas.openxmlformats.org/officeDocument/2006/relationships/hyperlink" Target="http://www.humanservices.gov.au/health-professionals/services/remote-area-aboriginal-health-services-and-the-pbs/" TargetMode="External"/><Relationship Id="rId26" Type="http://schemas.openxmlformats.org/officeDocument/2006/relationships/hyperlink" Target="http://www.humanservices.gov.au/health-professionals/services/pbs-closing-the-gap-co-payment-measure/" TargetMode="External"/><Relationship Id="rId27" Type="http://schemas.openxmlformats.org/officeDocument/2006/relationships/hyperlink" Target="http://www.guild.org.au/docs/default-source/public-documents/issues-and-resources/20151028-ctg-pbs-copayment-measure-joint-guild-naccho-position-paper.pdf?sfvrsn=0" TargetMode="External"/><Relationship Id="rId28" Type="http://schemas.openxmlformats.org/officeDocument/2006/relationships/hyperlink" Target="http://www.naccho.org.au/aboriginal-health/definitions/" TargetMode="External"/><Relationship Id="rId29" Type="http://schemas.openxmlformats.org/officeDocument/2006/relationships/hyperlink" Target="https://www.humanrights.gov.au/right-self-determination" TargetMode="External"/><Relationship Id="rId40" Type="http://schemas.openxmlformats.org/officeDocument/2006/relationships/hyperlink" Target="http://www.avidstudy.com/wp-content/uploads/2015/08/Matrix-Revised-2-9-14.pdf" TargetMode="External"/><Relationship Id="rId41" Type="http://schemas.openxmlformats.org/officeDocument/2006/relationships/hyperlink" Target="http://www.avidstudy.com/wp-content/uploads/2015/08/Matrix-Revised-2-9-14.pdf" TargetMode="External"/><Relationship Id="rId42" Type="http://schemas.openxmlformats.org/officeDocument/2006/relationships/hyperlink" Target="http://onlinelibrary.wiley.com/journal/10.1111/(ISSN)1753-6405" TargetMode="External"/><Relationship Id="rId43" Type="http://schemas.openxmlformats.org/officeDocument/2006/relationships/hyperlink" Target="http://onlinelibrary.wiley.com/doi/10.1111/azph.2014.38.issue-4/issuetoc" TargetMode="External"/><Relationship Id="rId44" Type="http://schemas.openxmlformats.org/officeDocument/2006/relationships/hyperlink" Target="http://onlinelibrary.wiley.com/journal/10.1111/(ISSN)1753-6405" TargetMode="External"/><Relationship Id="rId45" Type="http://schemas.openxmlformats.org/officeDocument/2006/relationships/hyperlink" Target="http://onlinelibrary.wiley.com/doi/10.1111/azph.2014.38.issue-4/issuetoc" TargetMode="External"/><Relationship Id="rId46" Type="http://schemas.openxmlformats.org/officeDocument/2006/relationships/hyperlink" Target="http://onlinelibrary.wiley.com/journal/10.1111/(ISSN)1753-6405" TargetMode="External"/><Relationship Id="rId47" Type="http://schemas.openxmlformats.org/officeDocument/2006/relationships/hyperlink" Target="http://onlinelibrary.wiley.com/doi/10.1111/azph.2014.38.issue-4/issuetoc" TargetMode="External"/><Relationship Id="rId48" Type="http://schemas.openxmlformats.org/officeDocument/2006/relationships/hyperlink" Target="http://onlinelibrary.wiley.com/journal/10.1111/(ISSN)1753-6405" TargetMode="External"/><Relationship Id="rId49" Type="http://schemas.openxmlformats.org/officeDocument/2006/relationships/hyperlink" Target="http://onlinelibrary.wiley.com/doi/10.1111/azph.2014.38.issue-4/issuetoc" TargetMode="External"/><Relationship Id="rId60" Type="http://schemas.openxmlformats.org/officeDocument/2006/relationships/hyperlink" Target="http://www.abs.gov.au/ausstats/abs@.nsf/Lookup/by%20Subject/4517.0~2014~Main%20Features~Unsentenced%20prisoners~10013" TargetMode="External"/><Relationship Id="rId61" Type="http://schemas.openxmlformats.org/officeDocument/2006/relationships/hyperlink" Target="http://www.abs.gov.au/ausstats/abs@.nsf/mf/3238.0.55.001" TargetMode="External"/><Relationship Id="rId62" Type="http://schemas.openxmlformats.org/officeDocument/2006/relationships/hyperlink" Target="https://ama.com.au/sites/default/files/documents/2015%20Report%20Card%20on%20Indigenous%20Health_0.pdf" TargetMode="External"/><Relationship Id="rId63" Type="http://schemas.openxmlformats.org/officeDocument/2006/relationships/hyperlink" Target="http://www.formerministers.dss.gov.au/13084/closing-the-gap-for-indigenous-people-with-disability/" TargetMode="External"/><Relationship Id="rId64" Type="http://schemas.openxmlformats.org/officeDocument/2006/relationships/hyperlink" Target="http://www.alp.org.au/cm5_090813" TargetMode="External"/><Relationship Id="rId65" Type="http://schemas.openxmlformats.org/officeDocument/2006/relationships/hyperlink" Target="http://www.who.int/healthinfo/indicators/2015/en" TargetMode="External"/><Relationship Id="rId66" Type="http://schemas.openxmlformats.org/officeDocument/2006/relationships/hyperlink" Target="https://www.mja.com.au/journal/2015/203/10/indigenous-health-expenditure-deficits-obscured-closing-gap-reports" TargetMode="External"/><Relationship Id="rId67" Type="http://schemas.openxmlformats.org/officeDocument/2006/relationships/hyperlink" Target="https://www.coag.gov.au/sites/default/files/NIS_closing_the_gap.pdf" TargetMode="External"/><Relationship Id="rId68" Type="http://schemas.openxmlformats.org/officeDocument/2006/relationships/hyperlink" Target="http://www.aihw.gov.au/WorkArea/DownloadAsset.aspx?id=60129547777" TargetMode="External"/><Relationship Id="rId69" Type="http://schemas.openxmlformats.org/officeDocument/2006/relationships/hyperlink" Target="http://www.aihw.gov.au/WorkArea/DownloadAsset.aspx?id=60129547777" TargetMode="External"/><Relationship Id="rId80" Type="http://schemas.openxmlformats.org/officeDocument/2006/relationships/hyperlink" Target="http://www.aph.gov.au/Parliamentary_Business/Committees/Senate/Health/Health/First%20Interim%20Report/c04" TargetMode="External"/><Relationship Id="rId81" Type="http://schemas.openxmlformats.org/officeDocument/2006/relationships/hyperlink" Target="https://ahha.asn.au/sites/default/files/docs/policy-issue/leading_change_in_primary_care.pdf" TargetMode="External"/><Relationship Id="rId82" Type="http://schemas.openxmlformats.org/officeDocument/2006/relationships/hyperlink" Target="https://ama.com.au/ausmed/phns-give-many-medicare-locals-new-lease-life" TargetMode="External"/><Relationship Id="rId83" Type="http://schemas.openxmlformats.org/officeDocument/2006/relationships/hyperlink" Target="http://www.health.gov.au/internet/main/publishing.nsf/Content/PHN-Background" TargetMode="External"/><Relationship Id="rId84" Type="http://schemas.openxmlformats.org/officeDocument/2006/relationships/hyperlink" Target="https://www.health.gov.au/internet/main/publishing.nsf/Content/0DBEF2D78F7CB9E7CA257F07001ACC6D/$File/response.pdf" TargetMode="External"/><Relationship Id="rId85" Type="http://schemas.openxmlformats.org/officeDocument/2006/relationships/hyperlink" Target="https://www.health.gov.au/internet/main/publishing.nsf/Content/0DBEF2D78F7CB9E7CA257F07001ACC6D/$File/response.pdf" TargetMode="External"/><Relationship Id="rId86" Type="http://schemas.openxmlformats.org/officeDocument/2006/relationships/hyperlink" Target="http://www.health.gov.au/internet/main/publishing.nsf/content/396377B005C71DD0CA257F100005FD5C/$File/combat%20ICE%20glossy.pdf" TargetMode="External"/><Relationship Id="rId87" Type="http://schemas.openxmlformats.org/officeDocument/2006/relationships/hyperlink" Target="http://www.dpmc.gov.au/indigenous-affairs/about/indigenous-advancement-strategy" TargetMode="External"/><Relationship Id="rId88" Type="http://schemas.openxmlformats.org/officeDocument/2006/relationships/hyperlink" Target="http://www.dpmc.gov.au/indigenous-affairs/about/indigenous-advancement-strategy" TargetMode="External"/><Relationship Id="rId89" Type="http://schemas.openxmlformats.org/officeDocument/2006/relationships/hyperlink" Target="http://www.aph.gov.au/Parliamentary_Business/Committees/Senate/Finance_and_Public_Administration/Commonwealth_Indigeno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247AE3-AED9-694E-B600-04404CF9C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564</TotalTime>
  <Pages>84</Pages>
  <Words>19236</Words>
  <Characters>109648</Characters>
  <Application>Microsoft Macintosh Word</Application>
  <DocSecurity>0</DocSecurity>
  <Lines>913</Lines>
  <Paragraphs>257</Paragraphs>
  <ScaleCrop>false</ScaleCrop>
  <HeadingPairs>
    <vt:vector size="2" baseType="variant">
      <vt:variant>
        <vt:lpstr>Title</vt:lpstr>
      </vt:variant>
      <vt:variant>
        <vt:i4>1</vt:i4>
      </vt:variant>
    </vt:vector>
  </HeadingPairs>
  <TitlesOfParts>
    <vt:vector size="1" baseType="lpstr">
      <vt:lpstr>1</vt:lpstr>
    </vt:vector>
  </TitlesOfParts>
  <Company>Australian Human Rights Commission</Company>
  <LinksUpToDate>false</LinksUpToDate>
  <CharactersWithSpaces>128627</CharactersWithSpaces>
  <SharedDoc>false</SharedDoc>
  <HLinks>
    <vt:vector size="468" baseType="variant">
      <vt:variant>
        <vt:i4>6684760</vt:i4>
      </vt:variant>
      <vt:variant>
        <vt:i4>3</vt:i4>
      </vt:variant>
      <vt:variant>
        <vt:i4>0</vt:i4>
      </vt:variant>
      <vt:variant>
        <vt:i4>5</vt:i4>
      </vt:variant>
      <vt:variant>
        <vt:lpwstr>http://www.oxfam.org.au/closethegap</vt:lpwstr>
      </vt:variant>
      <vt:variant>
        <vt:lpwstr/>
      </vt:variant>
      <vt:variant>
        <vt:i4>8192077</vt:i4>
      </vt:variant>
      <vt:variant>
        <vt:i4>0</vt:i4>
      </vt:variant>
      <vt:variant>
        <vt:i4>0</vt:i4>
      </vt:variant>
      <vt:variant>
        <vt:i4>5</vt:i4>
      </vt:variant>
      <vt:variant>
        <vt:lpwstr>http://www.humanrights.gov.au/social_justice/health/index.html</vt:lpwstr>
      </vt:variant>
      <vt:variant>
        <vt:lpwstr/>
      </vt:variant>
      <vt:variant>
        <vt:i4>786482</vt:i4>
      </vt:variant>
      <vt:variant>
        <vt:i4>225</vt:i4>
      </vt:variant>
      <vt:variant>
        <vt:i4>0</vt:i4>
      </vt:variant>
      <vt:variant>
        <vt:i4>5</vt:i4>
      </vt:variant>
      <vt:variant>
        <vt:lpwstr>http://www.federalfinancialrelations.gov.au/content/npa/health_indigenous/indigenous-reform/national-agreement_sept_12.pdf</vt:lpwstr>
      </vt:variant>
      <vt:variant>
        <vt:lpwstr/>
      </vt:variant>
      <vt:variant>
        <vt:i4>65646</vt:i4>
      </vt:variant>
      <vt:variant>
        <vt:i4>222</vt:i4>
      </vt:variant>
      <vt:variant>
        <vt:i4>0</vt:i4>
      </vt:variant>
      <vt:variant>
        <vt:i4>5</vt:i4>
      </vt:variant>
      <vt:variant>
        <vt:lpwstr>http://www.nidac.org.au/images/PDFs/NIDACIpublications/prison_vs_residential_treatment.pdf</vt:lpwstr>
      </vt:variant>
      <vt:variant>
        <vt:lpwstr/>
      </vt:variant>
      <vt:variant>
        <vt:i4>2687038</vt:i4>
      </vt:variant>
      <vt:variant>
        <vt:i4>219</vt:i4>
      </vt:variant>
      <vt:variant>
        <vt:i4>0</vt:i4>
      </vt:variant>
      <vt:variant>
        <vt:i4>5</vt:i4>
      </vt:variant>
      <vt:variant>
        <vt:lpwstr>http://www.mentalhealthcommission.gov.au/media/56367/27 May 2013 FINAL SUPPLEMENTARY PAPER (2).pdf</vt:lpwstr>
      </vt:variant>
      <vt:variant>
        <vt:lpwstr/>
      </vt:variant>
      <vt:variant>
        <vt:i4>1048614</vt:i4>
      </vt:variant>
      <vt:variant>
        <vt:i4>216</vt:i4>
      </vt:variant>
      <vt:variant>
        <vt:i4>0</vt:i4>
      </vt:variant>
      <vt:variant>
        <vt:i4>5</vt:i4>
      </vt:variant>
      <vt:variant>
        <vt:lpwstr>http://www.humanrights.gov.au/publications/social-justice-report-2009</vt:lpwstr>
      </vt:variant>
      <vt:variant>
        <vt:lpwstr/>
      </vt:variant>
      <vt:variant>
        <vt:i4>2293835</vt:i4>
      </vt:variant>
      <vt:variant>
        <vt:i4>213</vt:i4>
      </vt:variant>
      <vt:variant>
        <vt:i4>0</vt:i4>
      </vt:variant>
      <vt:variant>
        <vt:i4>5</vt:i4>
      </vt:variant>
      <vt:variant>
        <vt:lpwstr>http://nationalcongress.com.au/wp-content/uploads/2012/10/CongressJusticePolicyCommentDraft.pdf</vt:lpwstr>
      </vt:variant>
      <vt:variant>
        <vt:lpwstr/>
      </vt:variant>
      <vt:variant>
        <vt:i4>6422639</vt:i4>
      </vt:variant>
      <vt:variant>
        <vt:i4>210</vt:i4>
      </vt:variant>
      <vt:variant>
        <vt:i4>0</vt:i4>
      </vt:variant>
      <vt:variant>
        <vt:i4>5</vt:i4>
      </vt:variant>
      <vt:variant>
        <vt:lpwstr>https://www.mja.com.au/journal/2012/197/1/prevalence-mental-illness-among-aboriginal-and-torres-strait-islander-people</vt:lpwstr>
      </vt:variant>
      <vt:variant>
        <vt:lpwstr/>
      </vt:variant>
      <vt:variant>
        <vt:i4>4390984</vt:i4>
      </vt:variant>
      <vt:variant>
        <vt:i4>207</vt:i4>
      </vt:variant>
      <vt:variant>
        <vt:i4>0</vt:i4>
      </vt:variant>
      <vt:variant>
        <vt:i4>5</vt:i4>
      </vt:variant>
      <vt:variant>
        <vt:lpwstr>http://www.justicehealth.nsw.gov.au/about-us/publications/inmate-health-survey-aboriginal-health-report-appendix.pdf</vt:lpwstr>
      </vt:variant>
      <vt:variant>
        <vt:lpwstr/>
      </vt:variant>
      <vt:variant>
        <vt:i4>3342428</vt:i4>
      </vt:variant>
      <vt:variant>
        <vt:i4>204</vt:i4>
      </vt:variant>
      <vt:variant>
        <vt:i4>0</vt:i4>
      </vt:variant>
      <vt:variant>
        <vt:i4>5</vt:i4>
      </vt:variant>
      <vt:variant>
        <vt:lpwstr>http://www.abs.gov.au/ausstats/abs@.nsf/Products/F1D32866F5634F83CA257ACB001316BA?opendocument</vt:lpwstr>
      </vt:variant>
      <vt:variant>
        <vt:lpwstr/>
      </vt:variant>
      <vt:variant>
        <vt:i4>7143471</vt:i4>
      </vt:variant>
      <vt:variant>
        <vt:i4>201</vt:i4>
      </vt:variant>
      <vt:variant>
        <vt:i4>0</vt:i4>
      </vt:variant>
      <vt:variant>
        <vt:i4>5</vt:i4>
      </vt:variant>
      <vt:variant>
        <vt:lpwstr>http://www.pc.gov.au/gsp/rogs/2011</vt:lpwstr>
      </vt:variant>
      <vt:variant>
        <vt:lpwstr/>
      </vt:variant>
      <vt:variant>
        <vt:i4>7143537</vt:i4>
      </vt:variant>
      <vt:variant>
        <vt:i4>198</vt:i4>
      </vt:variant>
      <vt:variant>
        <vt:i4>0</vt:i4>
      </vt:variant>
      <vt:variant>
        <vt:i4>5</vt:i4>
      </vt:variant>
      <vt:variant>
        <vt:lpwstr>http://www.health.gov.au/internet/publications/publishing.nsf/Content/mental-pubs-f-plan09-toc</vt:lpwstr>
      </vt:variant>
      <vt:variant>
        <vt:lpwstr/>
      </vt:variant>
      <vt:variant>
        <vt:i4>7602230</vt:i4>
      </vt:variant>
      <vt:variant>
        <vt:i4>195</vt:i4>
      </vt:variant>
      <vt:variant>
        <vt:i4>0</vt:i4>
      </vt:variant>
      <vt:variant>
        <vt:i4>5</vt:i4>
      </vt:variant>
      <vt:variant>
        <vt:lpwstr>http://www.mentalhealthcommission.gov.au/our-report-card/2012-report-card.aspx</vt:lpwstr>
      </vt:variant>
      <vt:variant>
        <vt:lpwstr/>
      </vt:variant>
      <vt:variant>
        <vt:i4>4980842</vt:i4>
      </vt:variant>
      <vt:variant>
        <vt:i4>192</vt:i4>
      </vt:variant>
      <vt:variant>
        <vt:i4>0</vt:i4>
      </vt:variant>
      <vt:variant>
        <vt:i4>5</vt:i4>
      </vt:variant>
      <vt:variant>
        <vt:lpwstr>http://www.abs.gov.au/ausstats/abs@.nsf/Latestproducts/DE7BD4BEC2293FD4CA257C2F00145B19?opendocument</vt:lpwstr>
      </vt:variant>
      <vt:variant>
        <vt:lpwstr/>
      </vt:variant>
      <vt:variant>
        <vt:i4>4718654</vt:i4>
      </vt:variant>
      <vt:variant>
        <vt:i4>189</vt:i4>
      </vt:variant>
      <vt:variant>
        <vt:i4>0</vt:i4>
      </vt:variant>
      <vt:variant>
        <vt:i4>5</vt:i4>
      </vt:variant>
      <vt:variant>
        <vt:lpwstr>http://www.abs.gov.au/ausstats/abs@.nsf/Latestproducts/3D7CEBB5503A110ECA257C2F00145AB4?opendocument</vt:lpwstr>
      </vt:variant>
      <vt:variant>
        <vt:lpwstr/>
      </vt:variant>
      <vt:variant>
        <vt:i4>2031664</vt:i4>
      </vt:variant>
      <vt:variant>
        <vt:i4>186</vt:i4>
      </vt:variant>
      <vt:variant>
        <vt:i4>0</vt:i4>
      </vt:variant>
      <vt:variant>
        <vt:i4>5</vt:i4>
      </vt:variant>
      <vt:variant>
        <vt:lpwstr>http://www.abs.gov.au/ausstats/abs@.nsf/Latestproducts/39E15DC7E770A144CA257C2F00145A66?opendocument</vt:lpwstr>
      </vt:variant>
      <vt:variant>
        <vt:lpwstr/>
      </vt:variant>
      <vt:variant>
        <vt:i4>1376309</vt:i4>
      </vt:variant>
      <vt:variant>
        <vt:i4>183</vt:i4>
      </vt:variant>
      <vt:variant>
        <vt:i4>0</vt:i4>
      </vt:variant>
      <vt:variant>
        <vt:i4>5</vt:i4>
      </vt:variant>
      <vt:variant>
        <vt:lpwstr>http://www.abs.gov.au/ausstats/abs@.nsf/Latestproducts/9F3C9BDE98B3C5F1CA257C2F00145721?opendocument</vt:lpwstr>
      </vt:variant>
      <vt:variant>
        <vt:lpwstr/>
      </vt:variant>
      <vt:variant>
        <vt:i4>1114210</vt:i4>
      </vt:variant>
      <vt:variant>
        <vt:i4>180</vt:i4>
      </vt:variant>
      <vt:variant>
        <vt:i4>0</vt:i4>
      </vt:variant>
      <vt:variant>
        <vt:i4>5</vt:i4>
      </vt:variant>
      <vt:variant>
        <vt:lpwstr>http://www.abs.gov.au/ausstats/abs@.nsf/Latestproducts/C0E1AC36B1E28917CA257C2F001456E3?opendocument</vt:lpwstr>
      </vt:variant>
      <vt:variant>
        <vt:lpwstr/>
      </vt:variant>
      <vt:variant>
        <vt:i4>458775</vt:i4>
      </vt:variant>
      <vt:variant>
        <vt:i4>177</vt:i4>
      </vt:variant>
      <vt:variant>
        <vt:i4>0</vt:i4>
      </vt:variant>
      <vt:variant>
        <vt:i4>5</vt:i4>
      </vt:variant>
      <vt:variant>
        <vt:lpwstr>http://iaha.com.au/wp-content/uploads/2013/06/20130429-CTG-position-paper_436824_2.pdf</vt:lpwstr>
      </vt:variant>
      <vt:variant>
        <vt:lpwstr/>
      </vt:variant>
      <vt:variant>
        <vt:i4>983149</vt:i4>
      </vt:variant>
      <vt:variant>
        <vt:i4>174</vt:i4>
      </vt:variant>
      <vt:variant>
        <vt:i4>0</vt:i4>
      </vt:variant>
      <vt:variant>
        <vt:i4>5</vt:i4>
      </vt:variant>
      <vt:variant>
        <vt:lpwstr>http://www.budget.gov.au/2013-14/content/overview/html/overview_36.htm</vt:lpwstr>
      </vt:variant>
      <vt:variant>
        <vt:lpwstr/>
      </vt:variant>
      <vt:variant>
        <vt:i4>2097260</vt:i4>
      </vt:variant>
      <vt:variant>
        <vt:i4>171</vt:i4>
      </vt:variant>
      <vt:variant>
        <vt:i4>0</vt:i4>
      </vt:variant>
      <vt:variant>
        <vt:i4>5</vt:i4>
      </vt:variant>
      <vt:variant>
        <vt:lpwstr>http://greens.org.au/first-peoples</vt:lpwstr>
      </vt:variant>
      <vt:variant>
        <vt:lpwstr/>
      </vt:variant>
      <vt:variant>
        <vt:i4>7536746</vt:i4>
      </vt:variant>
      <vt:variant>
        <vt:i4>168</vt:i4>
      </vt:variant>
      <vt:variant>
        <vt:i4>0</vt:i4>
      </vt:variant>
      <vt:variant>
        <vt:i4>5</vt:i4>
      </vt:variant>
      <vt:variant>
        <vt:lpwstr>http://www.alp.org.au/national_platform</vt:lpwstr>
      </vt:variant>
      <vt:variant>
        <vt:lpwstr/>
      </vt:variant>
      <vt:variant>
        <vt:i4>4522025</vt:i4>
      </vt:variant>
      <vt:variant>
        <vt:i4>165</vt:i4>
      </vt:variant>
      <vt:variant>
        <vt:i4>0</vt:i4>
      </vt:variant>
      <vt:variant>
        <vt:i4>5</vt:i4>
      </vt:variant>
      <vt:variant>
        <vt:lpwstr>http://lpaweb-static.s3.amazonaws.com/Coalition 2013 Election Policy %E2%80%93 Indigenous - final.pdf</vt:lpwstr>
      </vt:variant>
      <vt:variant>
        <vt:lpwstr/>
      </vt:variant>
      <vt:variant>
        <vt:i4>4784144</vt:i4>
      </vt:variant>
      <vt:variant>
        <vt:i4>162</vt:i4>
      </vt:variant>
      <vt:variant>
        <vt:i4>0</vt:i4>
      </vt:variant>
      <vt:variant>
        <vt:i4>5</vt:i4>
      </vt:variant>
      <vt:variant>
        <vt:lpwstr>http://www.liberal.org.au/latest-news/2013/03/15/tony-abbott-address-sydney-institute-sydney</vt:lpwstr>
      </vt:variant>
      <vt:variant>
        <vt:lpwstr/>
      </vt:variant>
      <vt:variant>
        <vt:i4>4456508</vt:i4>
      </vt:variant>
      <vt:variant>
        <vt:i4>159</vt:i4>
      </vt:variant>
      <vt:variant>
        <vt:i4>0</vt:i4>
      </vt:variant>
      <vt:variant>
        <vt:i4>5</vt:i4>
      </vt:variant>
      <vt:variant>
        <vt:lpwstr>http://www.news.com.au/national/commonwealth-agencies-to-be-cut-by-abbott-government/story-fncynjr2-1226724733088</vt:lpwstr>
      </vt:variant>
      <vt:variant>
        <vt:lpwstr/>
      </vt:variant>
      <vt:variant>
        <vt:i4>4784140</vt:i4>
      </vt:variant>
      <vt:variant>
        <vt:i4>156</vt:i4>
      </vt:variant>
      <vt:variant>
        <vt:i4>0</vt:i4>
      </vt:variant>
      <vt:variant>
        <vt:i4>5</vt:i4>
      </vt:variant>
      <vt:variant>
        <vt:lpwstr>http://www.theaustralian.com.au/national-affairs/policy/health-costs-under-microscope/story-fn59nokw-1226769098588</vt:lpwstr>
      </vt:variant>
      <vt:variant>
        <vt:lpwstr>sthash.RXp1mCcQ.dpufhttp://www.theaustralian.com.au/national-affairs/policy/health-costs-under-microscope/story-fn59nokw-1226769098588</vt:lpwstr>
      </vt:variant>
      <vt:variant>
        <vt:i4>7995423</vt:i4>
      </vt:variant>
      <vt:variant>
        <vt:i4>153</vt:i4>
      </vt:variant>
      <vt:variant>
        <vt:i4>0</vt:i4>
      </vt:variant>
      <vt:variant>
        <vt:i4>5</vt:i4>
      </vt:variant>
      <vt:variant>
        <vt:lpwstr>http://www.liberal.org.au/latest-news/2013/09/05/final-update-federal-coalition-election-policy-commitments</vt:lpwstr>
      </vt:variant>
      <vt:variant>
        <vt:lpwstr/>
      </vt:variant>
      <vt:variant>
        <vt:i4>1638511</vt:i4>
      </vt:variant>
      <vt:variant>
        <vt:i4>150</vt:i4>
      </vt:variant>
      <vt:variant>
        <vt:i4>0</vt:i4>
      </vt:variant>
      <vt:variant>
        <vt:i4>5</vt:i4>
      </vt:variant>
      <vt:variant>
        <vt:lpwstr>http://www.abc.net.au/news/2013-08-09/health-sector-cuts-jack-snelling-jobs-mental-health-report-/4875228</vt:lpwstr>
      </vt:variant>
      <vt:variant>
        <vt:lpwstr/>
      </vt:variant>
      <vt:variant>
        <vt:i4>7798841</vt:i4>
      </vt:variant>
      <vt:variant>
        <vt:i4>147</vt:i4>
      </vt:variant>
      <vt:variant>
        <vt:i4>0</vt:i4>
      </vt:variant>
      <vt:variant>
        <vt:i4>5</vt:i4>
      </vt:variant>
      <vt:variant>
        <vt:lpwstr>http://www.adelaidenow.com.au/news/south-australia/nursing-positions-to-be-cut-from-south-australian-hospitals-in-health-department-savings-blitz/story-fni6uo1m-1226730350856</vt:lpwstr>
      </vt:variant>
      <vt:variant>
        <vt:lpwstr/>
      </vt:variant>
      <vt:variant>
        <vt:i4>5373986</vt:i4>
      </vt:variant>
      <vt:variant>
        <vt:i4>144</vt:i4>
      </vt:variant>
      <vt:variant>
        <vt:i4>0</vt:i4>
      </vt:variant>
      <vt:variant>
        <vt:i4>5</vt:i4>
      </vt:variant>
      <vt:variant>
        <vt:lpwstr>http://www.abc.net.au/news/2012-09-14/243-billion-squeezed-from-nsw-health-budget/4260814</vt:lpwstr>
      </vt:variant>
      <vt:variant>
        <vt:lpwstr/>
      </vt:variant>
      <vt:variant>
        <vt:i4>4849712</vt:i4>
      </vt:variant>
      <vt:variant>
        <vt:i4>141</vt:i4>
      </vt:variant>
      <vt:variant>
        <vt:i4>0</vt:i4>
      </vt:variant>
      <vt:variant>
        <vt:i4>5</vt:i4>
      </vt:variant>
      <vt:variant>
        <vt:lpwstr>http://images.brisbanetimes.com.au/file/2012/09/24/3660778/health.pdf</vt:lpwstr>
      </vt:variant>
      <vt:variant>
        <vt:lpwstr/>
      </vt:variant>
      <vt:variant>
        <vt:i4>1966120</vt:i4>
      </vt:variant>
      <vt:variant>
        <vt:i4>138</vt:i4>
      </vt:variant>
      <vt:variant>
        <vt:i4>0</vt:i4>
      </vt:variant>
      <vt:variant>
        <vt:i4>5</vt:i4>
      </vt:variant>
      <vt:variant>
        <vt:lpwstr>http://www.brisbanetimes.com.au/queensland/healthy-lifestyle-programs-funding-cut-20120924-26fsf.html</vt:lpwstr>
      </vt:variant>
      <vt:variant>
        <vt:lpwstr/>
      </vt:variant>
      <vt:variant>
        <vt:i4>1704036</vt:i4>
      </vt:variant>
      <vt:variant>
        <vt:i4>135</vt:i4>
      </vt:variant>
      <vt:variant>
        <vt:i4>0</vt:i4>
      </vt:variant>
      <vt:variant>
        <vt:i4>5</vt:i4>
      </vt:variant>
      <vt:variant>
        <vt:lpwstr>http://www.aihw.gov.au/publication-detail/?id=60129542787</vt:lpwstr>
      </vt:variant>
      <vt:variant>
        <vt:lpwstr/>
      </vt:variant>
      <vt:variant>
        <vt:i4>5701743</vt:i4>
      </vt:variant>
      <vt:variant>
        <vt:i4>132</vt:i4>
      </vt:variant>
      <vt:variant>
        <vt:i4>0</vt:i4>
      </vt:variant>
      <vt:variant>
        <vt:i4>5</vt:i4>
      </vt:variant>
      <vt:variant>
        <vt:lpwstr>http://www.pc.gov.au/__data/assets/pdf_file/0007/119356/indigenous-expenditure-report-2012.pdf</vt:lpwstr>
      </vt:variant>
      <vt:variant>
        <vt:lpwstr/>
      </vt:variant>
      <vt:variant>
        <vt:i4>7864445</vt:i4>
      </vt:variant>
      <vt:variant>
        <vt:i4>129</vt:i4>
      </vt:variant>
      <vt:variant>
        <vt:i4>0</vt:i4>
      </vt:variant>
      <vt:variant>
        <vt:i4>5</vt:i4>
      </vt:variant>
      <vt:variant>
        <vt:lpwstr>http://www.naccho.org.au/download/naccho_health_futures/NACCHO AIHW healthy for Life Report Card.pdf</vt:lpwstr>
      </vt:variant>
      <vt:variant>
        <vt:lpwstr/>
      </vt:variant>
      <vt:variant>
        <vt:i4>393312</vt:i4>
      </vt:variant>
      <vt:variant>
        <vt:i4>126</vt:i4>
      </vt:variant>
      <vt:variant>
        <vt:i4>0</vt:i4>
      </vt:variant>
      <vt:variant>
        <vt:i4>5</vt:i4>
      </vt:variant>
      <vt:variant>
        <vt:lpwstr>http://www.federalfinancialrelations.gov.au/content/npa/healthcare/national-agreement.pdf</vt:lpwstr>
      </vt:variant>
      <vt:variant>
        <vt:lpwstr/>
      </vt:variant>
      <vt:variant>
        <vt:i4>2228238</vt:i4>
      </vt:variant>
      <vt:variant>
        <vt:i4>123</vt:i4>
      </vt:variant>
      <vt:variant>
        <vt:i4>0</vt:i4>
      </vt:variant>
      <vt:variant>
        <vt:i4>5</vt:i4>
      </vt:variant>
      <vt:variant>
        <vt:lpwstr>http://www.coag.gov.au/node/447</vt:lpwstr>
      </vt:variant>
      <vt:variant>
        <vt:lpwstr/>
      </vt:variant>
      <vt:variant>
        <vt:i4>5242889</vt:i4>
      </vt:variant>
      <vt:variant>
        <vt:i4>120</vt:i4>
      </vt:variant>
      <vt:variant>
        <vt:i4>0</vt:i4>
      </vt:variant>
      <vt:variant>
        <vt:i4>5</vt:i4>
      </vt:variant>
      <vt:variant>
        <vt:lpwstr>http://www.humanrights.gov.au/close-gap-indigenous-health-campaign</vt:lpwstr>
      </vt:variant>
      <vt:variant>
        <vt:lpwstr>shadow</vt:lpwstr>
      </vt:variant>
      <vt:variant>
        <vt:i4>1769514</vt:i4>
      </vt:variant>
      <vt:variant>
        <vt:i4>117</vt:i4>
      </vt:variant>
      <vt:variant>
        <vt:i4>0</vt:i4>
      </vt:variant>
      <vt:variant>
        <vt:i4>5</vt:i4>
      </vt:variant>
      <vt:variant>
        <vt:lpwstr>http://www.health.gov.au/internet/publications/publishing.nsf/Content/oatsih-hpf-2012-toc</vt:lpwstr>
      </vt:variant>
      <vt:variant>
        <vt:lpwstr/>
      </vt:variant>
      <vt:variant>
        <vt:i4>5111916</vt:i4>
      </vt:variant>
      <vt:variant>
        <vt:i4>114</vt:i4>
      </vt:variant>
      <vt:variant>
        <vt:i4>0</vt:i4>
      </vt:variant>
      <vt:variant>
        <vt:i4>5</vt:i4>
      </vt:variant>
      <vt:variant>
        <vt:lpwstr>http://www.abs.gov.au/ausstats/abs@.nsf/Latestproducts/D2ACE34A8487C1C7CA257C2F00145B46?opendocument</vt:lpwstr>
      </vt:variant>
      <vt:variant>
        <vt:lpwstr/>
      </vt:variant>
      <vt:variant>
        <vt:i4>1835119</vt:i4>
      </vt:variant>
      <vt:variant>
        <vt:i4>111</vt:i4>
      </vt:variant>
      <vt:variant>
        <vt:i4>0</vt:i4>
      </vt:variant>
      <vt:variant>
        <vt:i4>5</vt:i4>
      </vt:variant>
      <vt:variant>
        <vt:lpwstr>http://www.abs.gov.au/ausstats/abs@.nsf/Latestproducts/A07BD8674C37D838CA257C2F001459FA?opendocument</vt:lpwstr>
      </vt:variant>
      <vt:variant>
        <vt:lpwstr/>
      </vt:variant>
      <vt:variant>
        <vt:i4>4718654</vt:i4>
      </vt:variant>
      <vt:variant>
        <vt:i4>108</vt:i4>
      </vt:variant>
      <vt:variant>
        <vt:i4>0</vt:i4>
      </vt:variant>
      <vt:variant>
        <vt:i4>5</vt:i4>
      </vt:variant>
      <vt:variant>
        <vt:lpwstr>http://www.abs.gov.au/ausstats/abs@.nsf/Latestproducts/3D7CEBB5503A110ECA257C2F00145AB4?opendocument</vt:lpwstr>
      </vt:variant>
      <vt:variant>
        <vt:lpwstr/>
      </vt:variant>
      <vt:variant>
        <vt:i4>2031664</vt:i4>
      </vt:variant>
      <vt:variant>
        <vt:i4>105</vt:i4>
      </vt:variant>
      <vt:variant>
        <vt:i4>0</vt:i4>
      </vt:variant>
      <vt:variant>
        <vt:i4>5</vt:i4>
      </vt:variant>
      <vt:variant>
        <vt:lpwstr>http://www.abs.gov.au/ausstats/abs@.nsf/Latestproducts/39E15DC7E770A144CA257C2F00145A66?opendocument</vt:lpwstr>
      </vt:variant>
      <vt:variant>
        <vt:lpwstr/>
      </vt:variant>
      <vt:variant>
        <vt:i4>7995459</vt:i4>
      </vt:variant>
      <vt:variant>
        <vt:i4>102</vt:i4>
      </vt:variant>
      <vt:variant>
        <vt:i4>0</vt:i4>
      </vt:variant>
      <vt:variant>
        <vt:i4>5</vt:i4>
      </vt:variant>
      <vt:variant>
        <vt:lpwstr>http://www.abs.gov.au/ausstats/abs@.nsf/Latestproducts/4727.0.55.001Main Features99992012-13?opendocument&amp;tabname=Summary&amp;prodno=4727.0.55.001&amp;issue=2012-13&amp;num=&amp;view</vt:lpwstr>
      </vt:variant>
      <vt:variant>
        <vt:lpwstr/>
      </vt:variant>
      <vt:variant>
        <vt:i4>917604</vt:i4>
      </vt:variant>
      <vt:variant>
        <vt:i4>99</vt:i4>
      </vt:variant>
      <vt:variant>
        <vt:i4>0</vt:i4>
      </vt:variant>
      <vt:variant>
        <vt:i4>5</vt:i4>
      </vt:variant>
      <vt:variant>
        <vt:lpwstr>http://www.ausstats.abs.gov.au/ausstats/subscriber.nsf/0/BD51C922BFB7C6C1CA257C230011C97F/$File/3302055003_2010-2012.pdf</vt:lpwstr>
      </vt:variant>
      <vt:variant>
        <vt:lpwstr/>
      </vt:variant>
      <vt:variant>
        <vt:i4>2424956</vt:i4>
      </vt:variant>
      <vt:variant>
        <vt:i4>96</vt:i4>
      </vt:variant>
      <vt:variant>
        <vt:i4>0</vt:i4>
      </vt:variant>
      <vt:variant>
        <vt:i4>5</vt:i4>
      </vt:variant>
      <vt:variant>
        <vt:lpwstr>http://www.coagreformcouncil.gov.au/reports/indigenous-reform/indigenous-reform-2011-12-comparing-performance-across-australia</vt:lpwstr>
      </vt:variant>
      <vt:variant>
        <vt:lpwstr/>
      </vt:variant>
      <vt:variant>
        <vt:i4>5701738</vt:i4>
      </vt:variant>
      <vt:variant>
        <vt:i4>93</vt:i4>
      </vt:variant>
      <vt:variant>
        <vt:i4>0</vt:i4>
      </vt:variant>
      <vt:variant>
        <vt:i4>5</vt:i4>
      </vt:variant>
      <vt:variant>
        <vt:lpwstr>http://www.coagreformcouncil.gov.au/reports/indigenous-reform/national-indigenous-reform-agreement-performance-report-2009-10</vt:lpwstr>
      </vt:variant>
      <vt:variant>
        <vt:lpwstr/>
      </vt:variant>
      <vt:variant>
        <vt:i4>6684769</vt:i4>
      </vt:variant>
      <vt:variant>
        <vt:i4>90</vt:i4>
      </vt:variant>
      <vt:variant>
        <vt:i4>0</vt:i4>
      </vt:variant>
      <vt:variant>
        <vt:i4>5</vt:i4>
      </vt:variant>
      <vt:variant>
        <vt:lpwstr>http://www.indigenouschamber.org.au/wp-content/uploads/2013/10/Published-Baker-IDI-Oration.pdf</vt:lpwstr>
      </vt:variant>
      <vt:variant>
        <vt:lpwstr/>
      </vt:variant>
      <vt:variant>
        <vt:i4>1966089</vt:i4>
      </vt:variant>
      <vt:variant>
        <vt:i4>87</vt:i4>
      </vt:variant>
      <vt:variant>
        <vt:i4>0</vt:i4>
      </vt:variant>
      <vt:variant>
        <vt:i4>5</vt:i4>
      </vt:variant>
      <vt:variant>
        <vt:lpwstr>http://humanrights.gov.au/social_justice/health/OAus-CloseTheGapShadowReport-0212.pdf?ref=687.See</vt:lpwstr>
      </vt:variant>
      <vt:variant>
        <vt:lpwstr/>
      </vt:variant>
      <vt:variant>
        <vt:i4>1704015</vt:i4>
      </vt:variant>
      <vt:variant>
        <vt:i4>84</vt:i4>
      </vt:variant>
      <vt:variant>
        <vt:i4>0</vt:i4>
      </vt:variant>
      <vt:variant>
        <vt:i4>5</vt:i4>
      </vt:variant>
      <vt:variant>
        <vt:lpwstr>http://iaha.com.au/about-us/history-of-iaha/</vt:lpwstr>
      </vt:variant>
      <vt:variant>
        <vt:lpwstr/>
      </vt:variant>
      <vt:variant>
        <vt:i4>3080198</vt:i4>
      </vt:variant>
      <vt:variant>
        <vt:i4>81</vt:i4>
      </vt:variant>
      <vt:variant>
        <vt:i4>0</vt:i4>
      </vt:variant>
      <vt:variant>
        <vt:i4>5</vt:i4>
      </vt:variant>
      <vt:variant>
        <vt:lpwstr>http://naatsip.org/</vt:lpwstr>
      </vt:variant>
      <vt:variant>
        <vt:lpwstr/>
      </vt:variant>
      <vt:variant>
        <vt:i4>3997773</vt:i4>
      </vt:variant>
      <vt:variant>
        <vt:i4>78</vt:i4>
      </vt:variant>
      <vt:variant>
        <vt:i4>0</vt:i4>
      </vt:variant>
      <vt:variant>
        <vt:i4>5</vt:i4>
      </vt:variant>
      <vt:variant>
        <vt:lpwstr>http://www.indigenouspsychology.com.au/page/2973/background-history</vt:lpwstr>
      </vt:variant>
      <vt:variant>
        <vt:lpwstr/>
      </vt:variant>
      <vt:variant>
        <vt:i4>1114147</vt:i4>
      </vt:variant>
      <vt:variant>
        <vt:i4>75</vt:i4>
      </vt:variant>
      <vt:variant>
        <vt:i4>0</vt:i4>
      </vt:variant>
      <vt:variant>
        <vt:i4>5</vt:i4>
      </vt:variant>
      <vt:variant>
        <vt:lpwstr>http://www.idaa.com.au/IDAA/Home.html</vt:lpwstr>
      </vt:variant>
      <vt:variant>
        <vt:lpwstr/>
      </vt:variant>
      <vt:variant>
        <vt:i4>1048660</vt:i4>
      </vt:variant>
      <vt:variant>
        <vt:i4>72</vt:i4>
      </vt:variant>
      <vt:variant>
        <vt:i4>0</vt:i4>
      </vt:variant>
      <vt:variant>
        <vt:i4>5</vt:i4>
      </vt:variant>
      <vt:variant>
        <vt:lpwstr>http://www.natsihwa.org.au/about-us/our-history/</vt:lpwstr>
      </vt:variant>
      <vt:variant>
        <vt:lpwstr/>
      </vt:variant>
      <vt:variant>
        <vt:i4>7471226</vt:i4>
      </vt:variant>
      <vt:variant>
        <vt:i4>69</vt:i4>
      </vt:variant>
      <vt:variant>
        <vt:i4>0</vt:i4>
      </vt:variant>
      <vt:variant>
        <vt:i4>5</vt:i4>
      </vt:variant>
      <vt:variant>
        <vt:lpwstr>http://catsin.org.au/about-us/</vt:lpwstr>
      </vt:variant>
      <vt:variant>
        <vt:lpwstr/>
      </vt:variant>
      <vt:variant>
        <vt:i4>3473492</vt:i4>
      </vt:variant>
      <vt:variant>
        <vt:i4>66</vt:i4>
      </vt:variant>
      <vt:variant>
        <vt:i4>0</vt:i4>
      </vt:variant>
      <vt:variant>
        <vt:i4>5</vt:i4>
      </vt:variant>
      <vt:variant>
        <vt:lpwstr>http://www.aida.org.au/history.aspx</vt:lpwstr>
      </vt:variant>
      <vt:variant>
        <vt:lpwstr/>
      </vt:variant>
      <vt:variant>
        <vt:i4>4391034</vt:i4>
      </vt:variant>
      <vt:variant>
        <vt:i4>63</vt:i4>
      </vt:variant>
      <vt:variant>
        <vt:i4>0</vt:i4>
      </vt:variant>
      <vt:variant>
        <vt:i4>5</vt:i4>
      </vt:variant>
      <vt:variant>
        <vt:lpwstr>http://humanrights.gov.au/social_justice/health/OAus-CloseTheGapShadowReport-0212.pdf?ref=687SEe</vt:lpwstr>
      </vt:variant>
      <vt:variant>
        <vt:lpwstr/>
      </vt:variant>
      <vt:variant>
        <vt:i4>8257557</vt:i4>
      </vt:variant>
      <vt:variant>
        <vt:i4>60</vt:i4>
      </vt:variant>
      <vt:variant>
        <vt:i4>0</vt:i4>
      </vt:variant>
      <vt:variant>
        <vt:i4>5</vt:i4>
      </vt:variant>
      <vt:variant>
        <vt:lpwstr>http://www.health.nsw.gov.au/publications/Publications/NSW-Aboriginal-Health-Plan-2013-2023.pdf</vt:lpwstr>
      </vt:variant>
      <vt:variant>
        <vt:lpwstr/>
      </vt:variant>
      <vt:variant>
        <vt:i4>5242889</vt:i4>
      </vt:variant>
      <vt:variant>
        <vt:i4>57</vt:i4>
      </vt:variant>
      <vt:variant>
        <vt:i4>0</vt:i4>
      </vt:variant>
      <vt:variant>
        <vt:i4>5</vt:i4>
      </vt:variant>
      <vt:variant>
        <vt:lpwstr>http://www.humanrights.gov.au/close-gap-indigenous-health-campaign</vt:lpwstr>
      </vt:variant>
      <vt:variant>
        <vt:lpwstr>shadow</vt:lpwstr>
      </vt:variant>
      <vt:variant>
        <vt:i4>3538998</vt:i4>
      </vt:variant>
      <vt:variant>
        <vt:i4>54</vt:i4>
      </vt:variant>
      <vt:variant>
        <vt:i4>0</vt:i4>
      </vt:variant>
      <vt:variant>
        <vt:i4>5</vt:i4>
      </vt:variant>
      <vt:variant>
        <vt:lpwstr>http://www.abs.gov.au/websitedbs/censushome.nsf/home/CO-64?opendocument&amp;navpos=620</vt:lpwstr>
      </vt:variant>
      <vt:variant>
        <vt:lpwstr>industry</vt:lpwstr>
      </vt:variant>
      <vt:variant>
        <vt:i4>2031716</vt:i4>
      </vt:variant>
      <vt:variant>
        <vt:i4>51</vt:i4>
      </vt:variant>
      <vt:variant>
        <vt:i4>0</vt:i4>
      </vt:variant>
      <vt:variant>
        <vt:i4>5</vt:i4>
      </vt:variant>
      <vt:variant>
        <vt:lpwstr>http://www.caaps.org.au/services/</vt:lpwstr>
      </vt:variant>
      <vt:variant>
        <vt:lpwstr/>
      </vt:variant>
      <vt:variant>
        <vt:i4>7667818</vt:i4>
      </vt:variant>
      <vt:variant>
        <vt:i4>48</vt:i4>
      </vt:variant>
      <vt:variant>
        <vt:i4>0</vt:i4>
      </vt:variant>
      <vt:variant>
        <vt:i4>5</vt:i4>
      </vt:variant>
      <vt:variant>
        <vt:lpwstr>http://aboriginal.childhealthresearch.org.au/media/394426/hear_our_voices_final_report.pdf</vt:lpwstr>
      </vt:variant>
      <vt:variant>
        <vt:lpwstr/>
      </vt:variant>
      <vt:variant>
        <vt:i4>1835096</vt:i4>
      </vt:variant>
      <vt:variant>
        <vt:i4>45</vt:i4>
      </vt:variant>
      <vt:variant>
        <vt:i4>0</vt:i4>
      </vt:variant>
      <vt:variant>
        <vt:i4>5</vt:i4>
      </vt:variant>
      <vt:variant>
        <vt:lpwstr>http://www.aihw.gov.au/publication-detail/?id=6442468388</vt:lpwstr>
      </vt:variant>
      <vt:variant>
        <vt:lpwstr/>
      </vt:variant>
      <vt:variant>
        <vt:i4>1441903</vt:i4>
      </vt:variant>
      <vt:variant>
        <vt:i4>42</vt:i4>
      </vt:variant>
      <vt:variant>
        <vt:i4>0</vt:i4>
      </vt:variant>
      <vt:variant>
        <vt:i4>5</vt:i4>
      </vt:variant>
      <vt:variant>
        <vt:lpwstr>http://www.aihw.gov.au/publication-detail/?id=10737423052</vt:lpwstr>
      </vt:variant>
      <vt:variant>
        <vt:lpwstr/>
      </vt:variant>
      <vt:variant>
        <vt:i4>589882</vt:i4>
      </vt:variant>
      <vt:variant>
        <vt:i4>39</vt:i4>
      </vt:variant>
      <vt:variant>
        <vt:i4>0</vt:i4>
      </vt:variant>
      <vt:variant>
        <vt:i4>5</vt:i4>
      </vt:variant>
      <vt:variant>
        <vt:lpwstr>http://www.naccho.org.au/about-us/naccho-history/</vt:lpwstr>
      </vt:variant>
      <vt:variant>
        <vt:lpwstr/>
      </vt:variant>
      <vt:variant>
        <vt:i4>8060974</vt:i4>
      </vt:variant>
      <vt:variant>
        <vt:i4>36</vt:i4>
      </vt:variant>
      <vt:variant>
        <vt:i4>0</vt:i4>
      </vt:variant>
      <vt:variant>
        <vt:i4>5</vt:i4>
      </vt:variant>
      <vt:variant>
        <vt:lpwstr>http://www.finance.gov.au/sites/default/files/foi_10-27_strategic_review_indigenous_expenditure.pdf</vt:lpwstr>
      </vt:variant>
      <vt:variant>
        <vt:lpwstr/>
      </vt:variant>
      <vt:variant>
        <vt:i4>6488116</vt:i4>
      </vt:variant>
      <vt:variant>
        <vt:i4>33</vt:i4>
      </vt:variant>
      <vt:variant>
        <vt:i4>0</vt:i4>
      </vt:variant>
      <vt:variant>
        <vt:i4>5</vt:i4>
      </vt:variant>
      <vt:variant>
        <vt:lpwstr>http://www.smh.com.au/federal-politics/political-opinion/mind-the-gap-right-the-wrongs-20130209-2e4yt.html</vt:lpwstr>
      </vt:variant>
      <vt:variant>
        <vt:lpwstr/>
      </vt:variant>
      <vt:variant>
        <vt:i4>1114239</vt:i4>
      </vt:variant>
      <vt:variant>
        <vt:i4>30</vt:i4>
      </vt:variant>
      <vt:variant>
        <vt:i4>0</vt:i4>
      </vt:variant>
      <vt:variant>
        <vt:i4>5</vt:i4>
      </vt:variant>
      <vt:variant>
        <vt:lpwstr>http://iehu.unimelb.edu.au/publications/?a=538656</vt:lpwstr>
      </vt:variant>
      <vt:variant>
        <vt:lpwstr/>
      </vt:variant>
      <vt:variant>
        <vt:i4>3670102</vt:i4>
      </vt:variant>
      <vt:variant>
        <vt:i4>27</vt:i4>
      </vt:variant>
      <vt:variant>
        <vt:i4>0</vt:i4>
      </vt:variant>
      <vt:variant>
        <vt:i4>5</vt:i4>
      </vt:variant>
      <vt:variant>
        <vt:lpwstr>http://www.naccho.org.au/download/aboriginal-health/Leader of the Oposition Tony Abbott.pdf</vt:lpwstr>
      </vt:variant>
      <vt:variant>
        <vt:lpwstr/>
      </vt:variant>
      <vt:variant>
        <vt:i4>3604527</vt:i4>
      </vt:variant>
      <vt:variant>
        <vt:i4>24</vt:i4>
      </vt:variant>
      <vt:variant>
        <vt:i4>0</vt:i4>
      </vt:variant>
      <vt:variant>
        <vt:i4>5</vt:i4>
      </vt:variant>
      <vt:variant>
        <vt:lpwstr>http://www.humanrights.gov.au/publications/social-justice-report-2005-home</vt:lpwstr>
      </vt:variant>
      <vt:variant>
        <vt:lpwstr/>
      </vt:variant>
      <vt:variant>
        <vt:i4>3407878</vt:i4>
      </vt:variant>
      <vt:variant>
        <vt:i4>21</vt:i4>
      </vt:variant>
      <vt:variant>
        <vt:i4>0</vt:i4>
      </vt:variant>
      <vt:variant>
        <vt:i4>5</vt:i4>
      </vt:variant>
      <vt:variant>
        <vt:lpwstr>http://www.nigelscullion.com/electorate/speeches/ministerial-statements-closing-gap-prime-ministers-report-2012</vt:lpwstr>
      </vt:variant>
      <vt:variant>
        <vt:lpwstr/>
      </vt:variant>
      <vt:variant>
        <vt:i4>4980736</vt:i4>
      </vt:variant>
      <vt:variant>
        <vt:i4>18</vt:i4>
      </vt:variant>
      <vt:variant>
        <vt:i4>0</vt:i4>
      </vt:variant>
      <vt:variant>
        <vt:i4>5</vt:i4>
      </vt:variant>
      <vt:variant>
        <vt:lpwstr>http://www.federalfinancialrelations.gov.au/content/npa/health_indigenous/ctg-early-childhood/national_partnership_superseded.pdf</vt:lpwstr>
      </vt:variant>
      <vt:variant>
        <vt:lpwstr/>
      </vt:variant>
      <vt:variant>
        <vt:i4>3276851</vt:i4>
      </vt:variant>
      <vt:variant>
        <vt:i4>15</vt:i4>
      </vt:variant>
      <vt:variant>
        <vt:i4>0</vt:i4>
      </vt:variant>
      <vt:variant>
        <vt:i4>5</vt:i4>
      </vt:variant>
      <vt:variant>
        <vt:lpwstr>http://www.federalfinancialrelations.gov.au/content/npa/health_indigenous/ctg-health-outcomes/national_partnership.pdf</vt:lpwstr>
      </vt:variant>
      <vt:variant>
        <vt:lpwstr/>
      </vt:variant>
      <vt:variant>
        <vt:i4>2162706</vt:i4>
      </vt:variant>
      <vt:variant>
        <vt:i4>12</vt:i4>
      </vt:variant>
      <vt:variant>
        <vt:i4>0</vt:i4>
      </vt:variant>
      <vt:variant>
        <vt:i4>5</vt:i4>
      </vt:variant>
      <vt:variant>
        <vt:lpwstr>http://www.health.gov.au/internet/publications/publishing.nsf/Content/indig-sew-frame04-toc</vt:lpwstr>
      </vt:variant>
      <vt:variant>
        <vt:lpwstr/>
      </vt:variant>
      <vt:variant>
        <vt:i4>1179669</vt:i4>
      </vt:variant>
      <vt:variant>
        <vt:i4>9</vt:i4>
      </vt:variant>
      <vt:variant>
        <vt:i4>0</vt:i4>
      </vt:variant>
      <vt:variant>
        <vt:i4>5</vt:i4>
      </vt:variant>
      <vt:variant>
        <vt:lpwstr>https://www.sprc.unsw.edu.au/about-us/doha-sewb-framework-consultation/discussion-paper/</vt:lpwstr>
      </vt:variant>
      <vt:variant>
        <vt:lpwstr/>
      </vt:variant>
      <vt:variant>
        <vt:i4>2752514</vt:i4>
      </vt:variant>
      <vt:variant>
        <vt:i4>6</vt:i4>
      </vt:variant>
      <vt:variant>
        <vt:i4>0</vt:i4>
      </vt:variant>
      <vt:variant>
        <vt:i4>5</vt:i4>
      </vt:variant>
      <vt:variant>
        <vt:lpwstr>http://www.health.gov.au/internet/publications/publishing.nsf/Content/mental-natsisps-strat-toc</vt:lpwstr>
      </vt:variant>
      <vt:variant>
        <vt:lpwstr/>
      </vt:variant>
      <vt:variant>
        <vt:i4>786468</vt:i4>
      </vt:variant>
      <vt:variant>
        <vt:i4>3</vt:i4>
      </vt:variant>
      <vt:variant>
        <vt:i4>0</vt:i4>
      </vt:variant>
      <vt:variant>
        <vt:i4>5</vt:i4>
      </vt:variant>
      <vt:variant>
        <vt:lpwstr>https://www.health.gov.au/natsihp</vt:lpwstr>
      </vt:variant>
      <vt:variant>
        <vt:lpwstr/>
      </vt:variant>
      <vt:variant>
        <vt:i4>8126500</vt:i4>
      </vt:variant>
      <vt:variant>
        <vt:i4>0</vt:i4>
      </vt:variant>
      <vt:variant>
        <vt:i4>0</vt:i4>
      </vt:variant>
      <vt:variant>
        <vt:i4>5</vt:i4>
      </vt:variant>
      <vt:variant>
        <vt:lpwstr>https://www.oxfam.org.au/my/act/sign-the-close-the-gap-pledge/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Paul Wright</dc:creator>
  <cp:lastModifiedBy>Jo Clark</cp:lastModifiedBy>
  <cp:revision>108</cp:revision>
  <cp:lastPrinted>2016-01-12T03:44:00Z</cp:lastPrinted>
  <dcterms:created xsi:type="dcterms:W3CDTF">2016-01-28T05:54:00Z</dcterms:created>
  <dcterms:modified xsi:type="dcterms:W3CDTF">2016-01-29T05:56:00Z</dcterms:modified>
</cp:coreProperties>
</file>