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0D9BC5A" w14:textId="4F093E38" w:rsidR="00DD2BA1" w:rsidRDefault="00607713" w:rsidP="008A7305">
      <w:pPr>
        <w:jc w:val="right"/>
        <w:rPr>
          <w:rFonts w:cs="Arial"/>
          <w:color w:val="237BBC"/>
          <w:sz w:val="28"/>
        </w:rPr>
      </w:pPr>
      <w:r>
        <w:rPr>
          <w:rFonts w:cs="Arial"/>
          <w:noProof/>
          <w:color w:val="237BBC"/>
          <w:sz w:val="28"/>
        </w:rPr>
        <w:drawing>
          <wp:anchor distT="0" distB="0" distL="114300" distR="114300" simplePos="0" relativeHeight="251658240" behindDoc="1" locked="0" layoutInCell="1" allowOverlap="1" wp14:anchorId="30A4D917" wp14:editId="4FC32916">
            <wp:simplePos x="0" y="0"/>
            <wp:positionH relativeFrom="column">
              <wp:posOffset>-891721</wp:posOffset>
            </wp:positionH>
            <wp:positionV relativeFrom="paragraph">
              <wp:posOffset>-1203960</wp:posOffset>
            </wp:positionV>
            <wp:extent cx="7550331" cy="10672758"/>
            <wp:effectExtent l="0" t="0" r="0" b="0"/>
            <wp:wrapNone/>
            <wp:docPr id="6" name="Immagine 6" descr="Cover image of a group of diverse individuals linking hands in the middle of a circle. &#10;&#10;Report title: Freedom of religion in Australia: a focus on serious harm, July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reedom of Religion 2020 Cover.jpg"/>
                    <pic:cNvPicPr/>
                  </pic:nvPicPr>
                  <pic:blipFill>
                    <a:blip r:embed="rId8"/>
                    <a:stretch>
                      <a:fillRect/>
                    </a:stretch>
                  </pic:blipFill>
                  <pic:spPr>
                    <a:xfrm>
                      <a:off x="0" y="0"/>
                      <a:ext cx="7562722" cy="10690274"/>
                    </a:xfrm>
                    <a:prstGeom prst="rect">
                      <a:avLst/>
                    </a:prstGeom>
                  </pic:spPr>
                </pic:pic>
              </a:graphicData>
            </a:graphic>
            <wp14:sizeRelH relativeFrom="margin">
              <wp14:pctWidth>0</wp14:pctWidth>
            </wp14:sizeRelH>
            <wp14:sizeRelV relativeFrom="margin">
              <wp14:pctHeight>0</wp14:pctHeight>
            </wp14:sizeRelV>
          </wp:anchor>
        </w:drawing>
      </w:r>
    </w:p>
    <w:p w14:paraId="056F86E3" w14:textId="77777777" w:rsidR="009E4BD0" w:rsidRDefault="009E4BD0" w:rsidP="00AC636D"/>
    <w:p w14:paraId="2A7408CE" w14:textId="08357253" w:rsidR="00DD2BA1" w:rsidRPr="00AC636D" w:rsidRDefault="00DD2BA1" w:rsidP="00AC636D">
      <w:pPr>
        <w:sectPr w:rsidR="00DD2BA1" w:rsidRPr="00AC636D" w:rsidSect="00AC636D">
          <w:headerReference w:type="even" r:id="rId9"/>
          <w:headerReference w:type="default" r:id="rId10"/>
          <w:headerReference w:type="first" r:id="rId11"/>
          <w:type w:val="continuous"/>
          <w:pgSz w:w="11906" w:h="16838" w:code="9"/>
          <w:pgMar w:top="228" w:right="1700" w:bottom="1134" w:left="1418" w:header="277" w:footer="1361" w:gutter="0"/>
          <w:pgNumType w:start="2"/>
          <w:cols w:space="708"/>
          <w:titlePg/>
          <w:docGrid w:linePitch="360"/>
        </w:sectPr>
      </w:pPr>
    </w:p>
    <w:p w14:paraId="316B1492" w14:textId="6DE0B8EA" w:rsidR="00DD2BA1" w:rsidRDefault="0006474A" w:rsidP="00DD2BA1">
      <w:pPr>
        <w:pStyle w:val="CopyrightText"/>
        <w:spacing w:after="170"/>
        <w:rPr>
          <w:color w:val="000000"/>
        </w:rPr>
      </w:pPr>
      <w:bookmarkStart w:id="0" w:name="_Toc209316062"/>
      <w:bookmarkStart w:id="1" w:name="_Toc207761829"/>
      <w:bookmarkStart w:id="2" w:name="_Toc207761830"/>
      <w:bookmarkStart w:id="3" w:name="_Toc209578266"/>
      <w:bookmarkEnd w:id="0"/>
      <w:r>
        <w:rPr>
          <w:color w:val="000000"/>
        </w:rPr>
        <w:lastRenderedPageBreak/>
        <w:br/>
      </w:r>
      <w:r w:rsidR="00DD2BA1">
        <w:rPr>
          <w:color w:val="000000"/>
        </w:rPr>
        <w:t>© Australian Human Rights Commission</w:t>
      </w:r>
      <w:r w:rsidR="0073745E">
        <w:rPr>
          <w:color w:val="000000"/>
        </w:rPr>
        <w:t xml:space="preserve"> and</w:t>
      </w:r>
      <w:r w:rsidR="00DD2BA1">
        <w:rPr>
          <w:color w:val="000000"/>
        </w:rPr>
        <w:t xml:space="preserve"> </w:t>
      </w:r>
      <w:r w:rsidR="006821D7">
        <w:rPr>
          <w:color w:val="000000"/>
        </w:rPr>
        <w:t xml:space="preserve">Victorian Equal Opportunity and Human Rights Commission </w:t>
      </w:r>
      <w:r w:rsidR="00DD2BA1">
        <w:rPr>
          <w:color w:val="000000"/>
        </w:rPr>
        <w:t>2020.</w:t>
      </w:r>
    </w:p>
    <w:p w14:paraId="7400F79B" w14:textId="77777777" w:rsidR="00DD2BA1" w:rsidRDefault="00DD2BA1" w:rsidP="00DD2BA1">
      <w:pPr>
        <w:pStyle w:val="CopyrightText"/>
        <w:spacing w:after="170"/>
        <w:rPr>
          <w:color w:val="000000"/>
        </w:rPr>
      </w:pPr>
      <w:r>
        <w:rPr>
          <w:color w:val="000000"/>
        </w:rPr>
        <w:t>We encourage the dissemination and exchange of information presented in this publication and endorse the use of the Australian Governments Open Access and Licensing Framework (</w:t>
      </w:r>
      <w:proofErr w:type="spellStart"/>
      <w:r>
        <w:rPr>
          <w:color w:val="000000"/>
        </w:rPr>
        <w:t>AusGOAL</w:t>
      </w:r>
      <w:proofErr w:type="spellEnd"/>
      <w:r>
        <w:rPr>
          <w:color w:val="000000"/>
        </w:rPr>
        <w:t>).</w:t>
      </w:r>
    </w:p>
    <w:p w14:paraId="6427FBF4" w14:textId="3DD29857" w:rsidR="00DD2BA1" w:rsidRDefault="00DD2BA1" w:rsidP="00DD2BA1">
      <w:pPr>
        <w:pStyle w:val="CopyrightText"/>
        <w:spacing w:after="170"/>
        <w:rPr>
          <w:color w:val="000000"/>
        </w:rPr>
      </w:pPr>
      <w:r w:rsidRPr="00DD2BA1">
        <w:rPr>
          <w:noProof/>
          <w:color w:val="000000"/>
        </w:rPr>
        <w:drawing>
          <wp:inline distT="0" distB="0" distL="0" distR="0" wp14:anchorId="532B0DA8" wp14:editId="45149D94">
            <wp:extent cx="711200" cy="241300"/>
            <wp:effectExtent l="0" t="0" r="0" b="0"/>
            <wp:docPr id="5" name="Immagine 5" descr="CC B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711200" cy="241300"/>
                    </a:xfrm>
                    <a:prstGeom prst="rect">
                      <a:avLst/>
                    </a:prstGeom>
                  </pic:spPr>
                </pic:pic>
              </a:graphicData>
            </a:graphic>
          </wp:inline>
        </w:drawing>
      </w:r>
    </w:p>
    <w:p w14:paraId="6CF9A936" w14:textId="77777777" w:rsidR="00DD2BA1" w:rsidRDefault="00DD2BA1" w:rsidP="00DD2BA1">
      <w:pPr>
        <w:pStyle w:val="CopyrightText"/>
        <w:spacing w:after="113"/>
        <w:rPr>
          <w:color w:val="000000"/>
        </w:rPr>
      </w:pPr>
      <w:r>
        <w:rPr>
          <w:color w:val="000000"/>
        </w:rPr>
        <w:t>All material presented in this publication is licensed under the Creative Commons Attribution 4.0 International Licence, with the exception of:</w:t>
      </w:r>
    </w:p>
    <w:p w14:paraId="40DD7A33" w14:textId="77777777" w:rsidR="00DD2BA1" w:rsidRDefault="00DD2BA1" w:rsidP="00DD2BA1">
      <w:pPr>
        <w:pStyle w:val="CopyrightText"/>
        <w:spacing w:after="0"/>
        <w:ind w:left="283" w:hanging="113"/>
        <w:rPr>
          <w:color w:val="000000"/>
        </w:rPr>
      </w:pPr>
      <w:r>
        <w:rPr>
          <w:color w:val="000000"/>
        </w:rPr>
        <w:t>•</w:t>
      </w:r>
      <w:r>
        <w:rPr>
          <w:color w:val="000000"/>
        </w:rPr>
        <w:tab/>
        <w:t>photographs and images</w:t>
      </w:r>
    </w:p>
    <w:p w14:paraId="0BA5BA7E" w14:textId="77777777" w:rsidR="00DD2BA1" w:rsidRDefault="00DD2BA1" w:rsidP="00DD2BA1">
      <w:pPr>
        <w:pStyle w:val="CopyrightText"/>
        <w:spacing w:after="0"/>
        <w:ind w:left="283" w:hanging="113"/>
        <w:rPr>
          <w:color w:val="000000"/>
        </w:rPr>
      </w:pPr>
      <w:r>
        <w:rPr>
          <w:color w:val="000000"/>
        </w:rPr>
        <w:t>•</w:t>
      </w:r>
      <w:r>
        <w:rPr>
          <w:color w:val="000000"/>
        </w:rPr>
        <w:tab/>
        <w:t>the Commission’s logo, any branding or trademarks</w:t>
      </w:r>
    </w:p>
    <w:p w14:paraId="6FF01D95" w14:textId="77777777" w:rsidR="00DD2BA1" w:rsidRDefault="00DD2BA1" w:rsidP="00DD2BA1">
      <w:pPr>
        <w:pStyle w:val="CopyrightText"/>
        <w:spacing w:after="170"/>
        <w:ind w:left="283" w:hanging="113"/>
        <w:rPr>
          <w:color w:val="000000"/>
        </w:rPr>
      </w:pPr>
      <w:r>
        <w:rPr>
          <w:color w:val="000000"/>
        </w:rPr>
        <w:t>•</w:t>
      </w:r>
      <w:r>
        <w:rPr>
          <w:color w:val="000000"/>
        </w:rPr>
        <w:tab/>
        <w:t>where otherwise indicated.</w:t>
      </w:r>
    </w:p>
    <w:p w14:paraId="69ABC49A" w14:textId="3278FCDB" w:rsidR="00DD2BA1" w:rsidRDefault="00DD2BA1" w:rsidP="00DD2BA1">
      <w:pPr>
        <w:pStyle w:val="CopyrightText"/>
        <w:spacing w:after="170"/>
        <w:rPr>
          <w:color w:val="000000"/>
        </w:rPr>
      </w:pPr>
      <w:r>
        <w:rPr>
          <w:color w:val="000000"/>
        </w:rPr>
        <w:t xml:space="preserve">To view a copy of this licence, visit </w:t>
      </w:r>
      <w:hyperlink r:id="rId13" w:history="1">
        <w:r w:rsidRPr="00DD2BA1">
          <w:rPr>
            <w:rStyle w:val="Collegamentoipertestuale"/>
            <w:rFonts w:eastAsia="MS Mincho"/>
          </w:rPr>
          <w:t>http://creativecommons.org/licenses/by/4.0/legalcode</w:t>
        </w:r>
      </w:hyperlink>
      <w:r>
        <w:rPr>
          <w:color w:val="000000"/>
        </w:rPr>
        <w:t>.</w:t>
      </w:r>
    </w:p>
    <w:p w14:paraId="7DA2424D" w14:textId="77777777" w:rsidR="00DD2BA1" w:rsidRDefault="00DD2BA1" w:rsidP="00DD2BA1">
      <w:pPr>
        <w:pStyle w:val="CopyrightText"/>
        <w:spacing w:after="170"/>
        <w:rPr>
          <w:color w:val="000000"/>
        </w:rPr>
      </w:pPr>
      <w:r>
        <w:rPr>
          <w:color w:val="000000"/>
        </w:rPr>
        <w:t>In essence, you are free to copy, communicate and adapt the publication, as long as you attribute the Australian Human Rights Commission and abide by the other licence terms.</w:t>
      </w:r>
    </w:p>
    <w:p w14:paraId="4E44D445" w14:textId="329981ED" w:rsidR="00FA2C72" w:rsidRDefault="00DD2BA1" w:rsidP="00DD2BA1">
      <w:pPr>
        <w:pStyle w:val="CopyrightText"/>
        <w:spacing w:after="170"/>
        <w:rPr>
          <w:rFonts w:cs="Times New Roman"/>
          <w:color w:val="000000"/>
          <w:rtl/>
          <w:lang w:bidi="ar-YE"/>
        </w:rPr>
      </w:pPr>
      <w:r>
        <w:rPr>
          <w:rStyle w:val="Bold"/>
          <w:rFonts w:eastAsia="MS Mincho"/>
          <w:color w:val="000000"/>
        </w:rPr>
        <w:t xml:space="preserve">Please give attribution to: </w:t>
      </w:r>
      <w:r>
        <w:rPr>
          <w:rFonts w:cs="Times New Roman"/>
          <w:color w:val="000000"/>
          <w:rtl/>
          <w:lang w:bidi="ar-YE"/>
        </w:rPr>
        <w:t xml:space="preserve">© </w:t>
      </w:r>
      <w:r>
        <w:rPr>
          <w:color w:val="000000"/>
          <w:lang w:bidi="ar-YE"/>
        </w:rPr>
        <w:t>Australian Human Rights Commission</w:t>
      </w:r>
      <w:r w:rsidR="006821D7">
        <w:rPr>
          <w:color w:val="000000"/>
          <w:lang w:bidi="ar-YE"/>
        </w:rPr>
        <w:t xml:space="preserve"> and </w:t>
      </w:r>
      <w:r w:rsidR="006821D7">
        <w:rPr>
          <w:color w:val="000000"/>
        </w:rPr>
        <w:t>Victorian Equal Opportunity and Human Rights Commission 2020</w:t>
      </w:r>
      <w:r>
        <w:rPr>
          <w:rFonts w:cs="Times New Roman"/>
          <w:color w:val="000000"/>
          <w:rtl/>
          <w:lang w:bidi="ar-YE"/>
        </w:rPr>
        <w:t>.</w:t>
      </w:r>
    </w:p>
    <w:p w14:paraId="5427FB81" w14:textId="245A86DC" w:rsidR="00FA2C72" w:rsidRPr="00FA2C72" w:rsidRDefault="00FA2C72" w:rsidP="00FA2C72">
      <w:pPr>
        <w:rPr>
          <w:rFonts w:cs="Open Sans"/>
          <w:sz w:val="16"/>
          <w:szCs w:val="16"/>
          <w:rtl/>
        </w:rPr>
      </w:pPr>
      <w:r w:rsidRPr="00606194">
        <w:rPr>
          <w:rFonts w:cs="Open Sans"/>
          <w:sz w:val="16"/>
          <w:szCs w:val="16"/>
          <w:rtl/>
        </w:rPr>
        <w:t>ISBN</w:t>
      </w:r>
      <w:r w:rsidR="00D7262B" w:rsidRPr="00606194">
        <w:rPr>
          <w:rFonts w:cs="Open Sans" w:hint="cs"/>
          <w:sz w:val="16"/>
          <w:szCs w:val="16"/>
          <w:rtl/>
        </w:rPr>
        <w:t xml:space="preserve"> 978-1-925917-20-8</w:t>
      </w:r>
    </w:p>
    <w:p w14:paraId="4268FD3D" w14:textId="69FFECF6" w:rsidR="00DD2BA1" w:rsidRDefault="00DD2BA1" w:rsidP="00DD2BA1">
      <w:pPr>
        <w:pStyle w:val="CopyrightText"/>
        <w:spacing w:after="170"/>
        <w:rPr>
          <w:color w:val="000000"/>
        </w:rPr>
      </w:pPr>
      <w:r>
        <w:rPr>
          <w:rStyle w:val="Bold"/>
          <w:rFonts w:eastAsia="MS Mincho"/>
          <w:color w:val="000000"/>
        </w:rPr>
        <w:t xml:space="preserve">Freedom of religion in Australia: a focus on serious harms • </w:t>
      </w:r>
      <w:r w:rsidR="00AD31FA">
        <w:rPr>
          <w:rStyle w:val="Bold"/>
          <w:rFonts w:eastAsia="MS Mincho"/>
          <w:color w:val="000000"/>
        </w:rPr>
        <w:t xml:space="preserve">July </w:t>
      </w:r>
      <w:r>
        <w:rPr>
          <w:rStyle w:val="Bold"/>
          <w:rFonts w:eastAsia="MS Mincho"/>
          <w:color w:val="000000"/>
        </w:rPr>
        <w:t>2020</w:t>
      </w:r>
    </w:p>
    <w:p w14:paraId="50C7E487" w14:textId="77777777" w:rsidR="00DD2BA1" w:rsidRDefault="00DD2BA1" w:rsidP="00DD2BA1">
      <w:pPr>
        <w:pStyle w:val="CopyrightText"/>
        <w:spacing w:after="113"/>
        <w:rPr>
          <w:color w:val="000000"/>
        </w:rPr>
      </w:pPr>
      <w:r>
        <w:rPr>
          <w:color w:val="000000"/>
        </w:rPr>
        <w:t>For further information about copyright in this publication, please contact:</w:t>
      </w:r>
    </w:p>
    <w:p w14:paraId="1F96E0F1" w14:textId="77777777" w:rsidR="00DD2BA1" w:rsidRDefault="00DD2BA1" w:rsidP="00DD2BA1">
      <w:pPr>
        <w:pStyle w:val="CopyrightText"/>
        <w:spacing w:after="0"/>
        <w:ind w:left="283"/>
        <w:rPr>
          <w:color w:val="000000"/>
        </w:rPr>
      </w:pPr>
      <w:r>
        <w:rPr>
          <w:color w:val="000000"/>
        </w:rPr>
        <w:t>Communications Unit</w:t>
      </w:r>
    </w:p>
    <w:p w14:paraId="7A40457B" w14:textId="77777777" w:rsidR="00DD2BA1" w:rsidRDefault="00DD2BA1" w:rsidP="00DD2BA1">
      <w:pPr>
        <w:pStyle w:val="CopyrightText"/>
        <w:spacing w:after="0"/>
        <w:ind w:left="283"/>
        <w:rPr>
          <w:color w:val="000000"/>
        </w:rPr>
      </w:pPr>
      <w:r>
        <w:rPr>
          <w:color w:val="000000"/>
        </w:rPr>
        <w:t>Australian Human Rights Commission</w:t>
      </w:r>
    </w:p>
    <w:p w14:paraId="0EB667EA" w14:textId="77777777" w:rsidR="00DD2BA1" w:rsidRDefault="00DD2BA1" w:rsidP="00DD2BA1">
      <w:pPr>
        <w:pStyle w:val="CopyrightText"/>
        <w:spacing w:after="0"/>
        <w:ind w:left="283"/>
        <w:rPr>
          <w:color w:val="000000"/>
        </w:rPr>
      </w:pPr>
      <w:r>
        <w:rPr>
          <w:color w:val="000000"/>
        </w:rPr>
        <w:t>GPO Box 5218</w:t>
      </w:r>
    </w:p>
    <w:p w14:paraId="06BD229A" w14:textId="77777777" w:rsidR="00DD2BA1" w:rsidRDefault="00DD2BA1" w:rsidP="00DD2BA1">
      <w:pPr>
        <w:pStyle w:val="CopyrightText"/>
        <w:spacing w:after="0"/>
        <w:ind w:left="283"/>
        <w:rPr>
          <w:color w:val="000000"/>
        </w:rPr>
      </w:pPr>
      <w:r>
        <w:rPr>
          <w:color w:val="000000"/>
        </w:rPr>
        <w:t>SYDNEY NSW 2001</w:t>
      </w:r>
    </w:p>
    <w:p w14:paraId="20E50FF7" w14:textId="77777777" w:rsidR="00DD2BA1" w:rsidRDefault="00DD2BA1" w:rsidP="00DD2BA1">
      <w:pPr>
        <w:pStyle w:val="CopyrightText"/>
        <w:spacing w:after="0"/>
        <w:ind w:left="283"/>
        <w:rPr>
          <w:color w:val="000000"/>
        </w:rPr>
      </w:pPr>
      <w:r>
        <w:rPr>
          <w:color w:val="000000"/>
        </w:rPr>
        <w:t>Telephone: (02) 9284 9600</w:t>
      </w:r>
    </w:p>
    <w:p w14:paraId="0EA23C0B" w14:textId="77777777" w:rsidR="00DD2BA1" w:rsidRDefault="00DD2BA1" w:rsidP="00DD2BA1">
      <w:pPr>
        <w:pStyle w:val="CopyrightText"/>
        <w:spacing w:after="0"/>
        <w:ind w:left="283"/>
        <w:rPr>
          <w:color w:val="000000"/>
        </w:rPr>
      </w:pPr>
      <w:r>
        <w:rPr>
          <w:color w:val="000000"/>
        </w:rPr>
        <w:t>TTY: 1800 620 241</w:t>
      </w:r>
    </w:p>
    <w:p w14:paraId="00E62626" w14:textId="7CAABDE7" w:rsidR="00DD2BA1" w:rsidRDefault="00DD2BA1" w:rsidP="00DD2BA1">
      <w:pPr>
        <w:pStyle w:val="CopyrightText"/>
        <w:spacing w:after="170"/>
        <w:ind w:left="283"/>
        <w:rPr>
          <w:rStyle w:val="Bold"/>
          <w:rFonts w:eastAsia="MS Mincho"/>
          <w:color w:val="000000"/>
        </w:rPr>
      </w:pPr>
      <w:r>
        <w:rPr>
          <w:color w:val="000000"/>
        </w:rPr>
        <w:t xml:space="preserve">Email: </w:t>
      </w:r>
      <w:hyperlink r:id="rId14" w:history="1">
        <w:r w:rsidRPr="00DD2BA1">
          <w:rPr>
            <w:rStyle w:val="Collegamentoipertestuale"/>
            <w:rFonts w:eastAsia="MS Mincho"/>
          </w:rPr>
          <w:t>communications@humanrights.gov.au</w:t>
        </w:r>
      </w:hyperlink>
    </w:p>
    <w:p w14:paraId="18524378" w14:textId="33EFB9E0" w:rsidR="00DD2BA1" w:rsidRDefault="00DD2BA1" w:rsidP="00DD2BA1">
      <w:pPr>
        <w:pStyle w:val="CopyrightText"/>
        <w:spacing w:after="0"/>
        <w:rPr>
          <w:color w:val="000000"/>
        </w:rPr>
      </w:pPr>
      <w:r>
        <w:rPr>
          <w:rStyle w:val="Bold"/>
          <w:rFonts w:eastAsia="MS Mincho"/>
          <w:color w:val="000000"/>
        </w:rPr>
        <w:t>Design and layout:</w:t>
      </w:r>
      <w:r>
        <w:rPr>
          <w:color w:val="000000"/>
        </w:rPr>
        <w:t xml:space="preserve"> Jody </w:t>
      </w:r>
      <w:proofErr w:type="spellStart"/>
      <w:r>
        <w:rPr>
          <w:color w:val="000000"/>
        </w:rPr>
        <w:t>Stocovaz</w:t>
      </w:r>
      <w:proofErr w:type="spellEnd"/>
    </w:p>
    <w:p w14:paraId="26F306E6" w14:textId="1C0DD01E" w:rsidR="00DD2BA1" w:rsidRDefault="00DD2BA1" w:rsidP="00DD2BA1">
      <w:pPr>
        <w:pStyle w:val="CopyrightText"/>
        <w:spacing w:after="0"/>
        <w:rPr>
          <w:rStyle w:val="Bold"/>
          <w:rFonts w:eastAsia="MS Mincho"/>
          <w:color w:val="000000"/>
        </w:rPr>
      </w:pPr>
      <w:r>
        <w:rPr>
          <w:rStyle w:val="Bold"/>
          <w:rFonts w:eastAsia="MS Mincho"/>
          <w:color w:val="000000"/>
        </w:rPr>
        <w:t>Cover image:</w:t>
      </w:r>
      <w:r>
        <w:rPr>
          <w:color w:val="000000"/>
        </w:rPr>
        <w:t xml:space="preserve"> </w:t>
      </w:r>
      <w:r w:rsidR="00B65495">
        <w:rPr>
          <w:color w:val="000000"/>
        </w:rPr>
        <w:t>iStock</w:t>
      </w:r>
    </w:p>
    <w:p w14:paraId="545C5C4A" w14:textId="6E84C183" w:rsidR="00DD2BA1" w:rsidRDefault="00DD2BA1" w:rsidP="00DD2BA1">
      <w:pPr>
        <w:pStyle w:val="CopyrightText"/>
        <w:spacing w:after="170"/>
        <w:rPr>
          <w:color w:val="000000"/>
        </w:rPr>
      </w:pPr>
      <w:r>
        <w:rPr>
          <w:rStyle w:val="Bold"/>
          <w:rFonts w:eastAsia="MS Mincho"/>
          <w:color w:val="000000"/>
        </w:rPr>
        <w:t>Internal photography:</w:t>
      </w:r>
      <w:r>
        <w:rPr>
          <w:color w:val="000000"/>
        </w:rPr>
        <w:t xml:space="preserve"> </w:t>
      </w:r>
      <w:r w:rsidR="00FA2C72">
        <w:rPr>
          <w:color w:val="000000"/>
        </w:rPr>
        <w:t>iStock</w:t>
      </w:r>
    </w:p>
    <w:p w14:paraId="764D63F3" w14:textId="19678259" w:rsidR="00DD2BA1" w:rsidRDefault="00DD2BA1" w:rsidP="00DD2BA1">
      <w:pPr>
        <w:pStyle w:val="CopyrightText"/>
        <w:spacing w:after="170"/>
        <w:rPr>
          <w:color w:val="000000"/>
        </w:rPr>
      </w:pPr>
      <w:r>
        <w:rPr>
          <w:color w:val="000000"/>
        </w:rPr>
        <w:t xml:space="preserve">The Australian Human Rights Commission is Australia’s National Human Rights Institution. It is an independent statutory organisation with responsibility for leading the promotion and protection of human rights in Australia. Further information about the Commission can be found at </w:t>
      </w:r>
      <w:hyperlink r:id="rId15" w:history="1">
        <w:r w:rsidRPr="00DD2BA1">
          <w:rPr>
            <w:rStyle w:val="Collegamentoipertestuale"/>
            <w:rFonts w:eastAsia="MS Mincho"/>
          </w:rPr>
          <w:t>www.humanrights.gov.au/about-commission</w:t>
        </w:r>
      </w:hyperlink>
      <w:r>
        <w:rPr>
          <w:color w:val="000000"/>
        </w:rPr>
        <w:t>.</w:t>
      </w:r>
    </w:p>
    <w:p w14:paraId="15AEBC41" w14:textId="54519DC6" w:rsidR="00D7262B" w:rsidRDefault="00D7262B" w:rsidP="00D7262B">
      <w:pPr>
        <w:pStyle w:val="CopyrightText"/>
        <w:spacing w:after="170"/>
        <w:rPr>
          <w:color w:val="000000"/>
        </w:rPr>
      </w:pPr>
      <w:r>
        <w:rPr>
          <w:color w:val="000000"/>
        </w:rPr>
        <w:t xml:space="preserve">The Victorian Equal Opportunity and Human Rights Commission is an independent statutory body with responsibilities under the </w:t>
      </w:r>
      <w:r>
        <w:rPr>
          <w:i/>
          <w:iCs/>
          <w:color w:val="000000"/>
        </w:rPr>
        <w:t xml:space="preserve">Equal Opportunity Act 2010, </w:t>
      </w:r>
      <w:r>
        <w:rPr>
          <w:color w:val="000000"/>
        </w:rPr>
        <w:t xml:space="preserve">the </w:t>
      </w:r>
      <w:r>
        <w:rPr>
          <w:i/>
          <w:iCs/>
          <w:color w:val="000000"/>
        </w:rPr>
        <w:t xml:space="preserve">Racial and Religious Tolerance Act 2001, </w:t>
      </w:r>
      <w:r>
        <w:rPr>
          <w:color w:val="000000"/>
        </w:rPr>
        <w:t xml:space="preserve">and the </w:t>
      </w:r>
      <w:r>
        <w:rPr>
          <w:i/>
          <w:iCs/>
          <w:color w:val="000000"/>
        </w:rPr>
        <w:t xml:space="preserve">Charter of Human Rights and Responsibilities Act 2006. </w:t>
      </w:r>
      <w:r>
        <w:rPr>
          <w:color w:val="000000"/>
        </w:rPr>
        <w:t xml:space="preserve">Further information about the VEOHRC can be found at </w:t>
      </w:r>
      <w:hyperlink r:id="rId16" w:history="1">
        <w:r w:rsidRPr="001F09AB">
          <w:rPr>
            <w:rStyle w:val="Collegamentoipertestuale"/>
            <w:rFonts w:eastAsia="MS Mincho"/>
          </w:rPr>
          <w:t>www.humanrightscommission.vic.gov.au/about</w:t>
        </w:r>
      </w:hyperlink>
      <w:r>
        <w:rPr>
          <w:color w:val="000000"/>
        </w:rPr>
        <w:t>.</w:t>
      </w:r>
    </w:p>
    <w:p w14:paraId="12005A5D" w14:textId="68F7B9FB" w:rsidR="00DD2BA1" w:rsidRPr="00606194" w:rsidRDefault="00DD2BA1" w:rsidP="00DD2BA1">
      <w:pPr>
        <w:pStyle w:val="CopyrightText"/>
        <w:spacing w:after="170"/>
        <w:rPr>
          <w:color w:val="auto"/>
        </w:rPr>
      </w:pPr>
      <w:r>
        <w:rPr>
          <w:rStyle w:val="Bold"/>
          <w:rFonts w:eastAsia="MS Mincho"/>
          <w:color w:val="000000"/>
        </w:rPr>
        <w:t>Authors:</w:t>
      </w:r>
      <w:r>
        <w:rPr>
          <w:color w:val="000000"/>
        </w:rPr>
        <w:t xml:space="preserve"> </w:t>
      </w:r>
      <w:r w:rsidR="00D7262B" w:rsidRPr="00606194">
        <w:rPr>
          <w:color w:val="auto"/>
          <w:lang w:val="en-GB"/>
        </w:rPr>
        <w:t>Daniel Nellor, Lauren Perry, John Howell and Edward Santow.</w:t>
      </w:r>
    </w:p>
    <w:p w14:paraId="329769A4" w14:textId="77777777" w:rsidR="00DD2BA1" w:rsidRDefault="00DD2BA1" w:rsidP="00DD2BA1">
      <w:pPr>
        <w:pStyle w:val="CopyrightText"/>
        <w:rPr>
          <w:rStyle w:val="Bold"/>
          <w:rFonts w:eastAsia="MS Mincho"/>
          <w:color w:val="000000"/>
        </w:rPr>
      </w:pPr>
      <w:r>
        <w:rPr>
          <w:rStyle w:val="Bold"/>
          <w:rFonts w:eastAsia="MS Mincho"/>
          <w:color w:val="000000"/>
        </w:rPr>
        <w:t xml:space="preserve">Acknowledgements: </w:t>
      </w:r>
    </w:p>
    <w:p w14:paraId="51D087F8" w14:textId="77777777" w:rsidR="00D7262B" w:rsidRPr="00C035AB" w:rsidRDefault="00D7262B" w:rsidP="00606194">
      <w:pPr>
        <w:pStyle w:val="CopyrightText"/>
        <w:numPr>
          <w:ilvl w:val="0"/>
          <w:numId w:val="39"/>
        </w:numPr>
        <w:spacing w:after="0"/>
        <w:ind w:left="283" w:hanging="113"/>
        <w:rPr>
          <w:color w:val="000000"/>
        </w:rPr>
      </w:pPr>
      <w:r>
        <w:rPr>
          <w:color w:val="000000"/>
        </w:rPr>
        <w:t>Rosalind Croucher, President; and Chin Tan, Race Discrimination Commissioner, Australian Human Rights Commission.</w:t>
      </w:r>
    </w:p>
    <w:p w14:paraId="47FD09D6" w14:textId="77777777" w:rsidR="00D7262B" w:rsidRDefault="00D7262B" w:rsidP="00606194">
      <w:pPr>
        <w:pStyle w:val="CopyrightText"/>
        <w:numPr>
          <w:ilvl w:val="0"/>
          <w:numId w:val="39"/>
        </w:numPr>
        <w:spacing w:after="0"/>
        <w:ind w:left="283" w:hanging="113"/>
        <w:rPr>
          <w:color w:val="000000"/>
        </w:rPr>
      </w:pPr>
      <w:r w:rsidRPr="00C035AB">
        <w:rPr>
          <w:color w:val="000000"/>
        </w:rPr>
        <w:t>Australian Human Rights Commission staff: Liz Stephens and Leon Wild</w:t>
      </w:r>
      <w:r>
        <w:rPr>
          <w:color w:val="000000"/>
        </w:rPr>
        <w:t>.</w:t>
      </w:r>
    </w:p>
    <w:p w14:paraId="516F414A" w14:textId="34C19264" w:rsidR="00D7262B" w:rsidRPr="00075914" w:rsidRDefault="00D7262B" w:rsidP="00606194">
      <w:pPr>
        <w:pStyle w:val="CopyrightText"/>
        <w:numPr>
          <w:ilvl w:val="0"/>
          <w:numId w:val="39"/>
        </w:numPr>
        <w:spacing w:after="0"/>
        <w:ind w:left="283" w:hanging="113"/>
        <w:rPr>
          <w:color w:val="000000"/>
        </w:rPr>
      </w:pPr>
      <w:r>
        <w:rPr>
          <w:color w:val="000000"/>
        </w:rPr>
        <w:t>Kristen Hilton, Commissioner; and Amy Rogers, Victorian Equal Opportunity and Human Rights.</w:t>
      </w:r>
    </w:p>
    <w:p w14:paraId="342898F6" w14:textId="77777777" w:rsidR="00D7262B" w:rsidRDefault="00D7262B" w:rsidP="00606194">
      <w:pPr>
        <w:pStyle w:val="CopyrightText"/>
        <w:numPr>
          <w:ilvl w:val="0"/>
          <w:numId w:val="39"/>
        </w:numPr>
        <w:spacing w:after="0"/>
        <w:ind w:left="283" w:hanging="113"/>
        <w:rPr>
          <w:color w:val="000000"/>
        </w:rPr>
      </w:pPr>
      <w:r>
        <w:rPr>
          <w:color w:val="000000"/>
        </w:rPr>
        <w:t>Participants in the Sydney and Melbourne roundtable meetings co-convened in June 2019 by AHRC and VEOHRC.</w:t>
      </w:r>
    </w:p>
    <w:p w14:paraId="6600AE44" w14:textId="698778C4" w:rsidR="00DD2BA1" w:rsidRDefault="00DD2BA1" w:rsidP="00C46805"/>
    <w:p w14:paraId="0D30EF64" w14:textId="026A115A" w:rsidR="00C46805" w:rsidRDefault="00C46805" w:rsidP="00C46805"/>
    <w:p w14:paraId="3A285155" w14:textId="1E7569C6" w:rsidR="00607713" w:rsidRDefault="00607713" w:rsidP="00C46805"/>
    <w:p w14:paraId="19678F6C" w14:textId="77777777" w:rsidR="00607713" w:rsidRDefault="00607713" w:rsidP="00C46805"/>
    <w:p w14:paraId="389F4729" w14:textId="77777777" w:rsidR="002C2B22" w:rsidRDefault="002C2B22" w:rsidP="002C2B22">
      <w:pPr>
        <w:pStyle w:val="InternalCoverMain"/>
        <w:spacing w:after="113"/>
      </w:pPr>
      <w:r>
        <w:t>Freedom of religion in Australia:</w:t>
      </w:r>
    </w:p>
    <w:p w14:paraId="5179B38E" w14:textId="77777777" w:rsidR="002C2B22" w:rsidRDefault="002C2B22" w:rsidP="002C2B22">
      <w:pPr>
        <w:pStyle w:val="InternalCoverMain"/>
      </w:pPr>
      <w:r>
        <w:t>a focus on serious harms</w:t>
      </w:r>
    </w:p>
    <w:p w14:paraId="44EA2940" w14:textId="77777777" w:rsidR="002C2B22" w:rsidRDefault="002C2B22" w:rsidP="002C2B22">
      <w:pPr>
        <w:pStyle w:val="Paragrafobase"/>
        <w:spacing w:after="1134"/>
        <w:jc w:val="center"/>
        <w:rPr>
          <w:rFonts w:ascii="Open Sans Condensed Light" w:hAnsi="Open Sans Condensed Light" w:cs="Open Sans Condensed Light"/>
          <w:color w:val="4C4C4C"/>
          <w:sz w:val="48"/>
          <w:szCs w:val="48"/>
        </w:rPr>
      </w:pPr>
      <w:r>
        <w:rPr>
          <w:rFonts w:ascii="Open Sans Condensed Light" w:hAnsi="Open Sans Condensed Light" w:cs="Open Sans Condensed Light"/>
          <w:color w:val="4C4C4C"/>
          <w:sz w:val="48"/>
          <w:szCs w:val="48"/>
        </w:rPr>
        <w:t>July 2020</w:t>
      </w:r>
    </w:p>
    <w:p w14:paraId="2EF6CE27" w14:textId="12DD175A" w:rsidR="00607713" w:rsidRDefault="00607713">
      <w:pPr>
        <w:keepLines w:val="0"/>
        <w:spacing w:before="0" w:after="0"/>
      </w:pPr>
    </w:p>
    <w:p w14:paraId="46D58447" w14:textId="0840748F" w:rsidR="00607713" w:rsidRDefault="00607713">
      <w:pPr>
        <w:keepLines w:val="0"/>
        <w:spacing w:before="0" w:after="0"/>
      </w:pPr>
    </w:p>
    <w:p w14:paraId="2BC4407B" w14:textId="37C50718" w:rsidR="00607713" w:rsidRDefault="00607713">
      <w:pPr>
        <w:keepLines w:val="0"/>
        <w:spacing w:before="0" w:after="0"/>
      </w:pPr>
    </w:p>
    <w:p w14:paraId="1CADECB4" w14:textId="575E65B8" w:rsidR="00607713" w:rsidRDefault="00607713">
      <w:pPr>
        <w:keepLines w:val="0"/>
        <w:spacing w:before="0" w:after="0"/>
      </w:pPr>
    </w:p>
    <w:p w14:paraId="5B7123C0" w14:textId="77777777" w:rsidR="00607713" w:rsidRDefault="00607713">
      <w:pPr>
        <w:keepLines w:val="0"/>
        <w:spacing w:before="0" w:after="0"/>
      </w:pPr>
    </w:p>
    <w:p w14:paraId="195C3BAD" w14:textId="77777777" w:rsidR="00607713" w:rsidRDefault="00607713">
      <w:pPr>
        <w:keepLines w:val="0"/>
        <w:spacing w:before="0" w:after="0"/>
      </w:pPr>
    </w:p>
    <w:p w14:paraId="7DF0D41A" w14:textId="145D036B" w:rsidR="00607713" w:rsidRDefault="00607713" w:rsidP="00607713">
      <w:pPr>
        <w:keepLines w:val="0"/>
        <w:spacing w:before="0" w:after="0"/>
        <w:jc w:val="center"/>
      </w:pPr>
      <w:r>
        <w:rPr>
          <w:noProof/>
        </w:rPr>
        <w:drawing>
          <wp:inline distT="0" distB="0" distL="0" distR="0" wp14:anchorId="4F58D764" wp14:editId="0104DD7F">
            <wp:extent cx="4330700" cy="660400"/>
            <wp:effectExtent l="0" t="0" r="0" b="0"/>
            <wp:docPr id="7" name="Immagine 7" descr="LEFT: Australian Human Rights Commission logo. RIGHT: Victorian Equal Opportunity &amp; Human Rights Commiss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HRC &amp; VEOHRC Logos.jpg"/>
                    <pic:cNvPicPr/>
                  </pic:nvPicPr>
                  <pic:blipFill>
                    <a:blip r:embed="rId17"/>
                    <a:stretch>
                      <a:fillRect/>
                    </a:stretch>
                  </pic:blipFill>
                  <pic:spPr>
                    <a:xfrm>
                      <a:off x="0" y="0"/>
                      <a:ext cx="4330700" cy="660400"/>
                    </a:xfrm>
                    <a:prstGeom prst="rect">
                      <a:avLst/>
                    </a:prstGeom>
                  </pic:spPr>
                </pic:pic>
              </a:graphicData>
            </a:graphic>
          </wp:inline>
        </w:drawing>
      </w:r>
    </w:p>
    <w:p w14:paraId="4862131A" w14:textId="4D4F8010" w:rsidR="00C46805" w:rsidRDefault="00C46805">
      <w:pPr>
        <w:keepLines w:val="0"/>
        <w:spacing w:before="0" w:after="0"/>
      </w:pPr>
      <w:r>
        <w:br w:type="page"/>
      </w:r>
    </w:p>
    <w:p w14:paraId="6A5B4F11" w14:textId="77777777" w:rsidR="003F2AE6" w:rsidRPr="00C46805" w:rsidRDefault="003F2AE6" w:rsidP="00C46805"/>
    <w:p w14:paraId="19F2A150" w14:textId="77777777" w:rsidR="00C46805" w:rsidRPr="00C46805" w:rsidRDefault="00C46805" w:rsidP="00C46805"/>
    <w:p w14:paraId="73FB8A38" w14:textId="4AB63E5E" w:rsidR="003F2AE6" w:rsidRPr="003C1D2E" w:rsidRDefault="003F2AE6" w:rsidP="003C1D2E">
      <w:pPr>
        <w:rPr>
          <w:rStyle w:val="Bold"/>
          <w:sz w:val="36"/>
          <w:szCs w:val="36"/>
        </w:rPr>
      </w:pPr>
      <w:bookmarkStart w:id="4" w:name="_Toc42867633"/>
      <w:bookmarkStart w:id="5" w:name="_Toc43226863"/>
      <w:r w:rsidRPr="003C1D2E">
        <w:rPr>
          <w:rStyle w:val="Bold"/>
          <w:sz w:val="36"/>
          <w:szCs w:val="36"/>
        </w:rPr>
        <w:t>Contents</w:t>
      </w:r>
      <w:bookmarkEnd w:id="1"/>
      <w:bookmarkEnd w:id="4"/>
      <w:bookmarkEnd w:id="5"/>
    </w:p>
    <w:p w14:paraId="04D4A428" w14:textId="04828A31" w:rsidR="00546C71" w:rsidRDefault="00772C35">
      <w:pPr>
        <w:pStyle w:val="Sommario1"/>
        <w:rPr>
          <w:rFonts w:asciiTheme="minorHAnsi" w:eastAsiaTheme="minorEastAsia" w:hAnsiTheme="minorHAnsi" w:cstheme="minorBidi"/>
          <w:b w:val="0"/>
          <w:lang w:val="it-IT" w:eastAsia="it-IT"/>
        </w:rPr>
      </w:pPr>
      <w:r>
        <w:rPr>
          <w:b w:val="0"/>
          <w:sz w:val="22"/>
        </w:rPr>
        <w:fldChar w:fldCharType="begin"/>
      </w:r>
      <w:r>
        <w:rPr>
          <w:b w:val="0"/>
          <w:sz w:val="22"/>
        </w:rPr>
        <w:instrText xml:space="preserve"> TOC \o "1-2" \h \z \u </w:instrText>
      </w:r>
      <w:r>
        <w:rPr>
          <w:b w:val="0"/>
          <w:sz w:val="22"/>
        </w:rPr>
        <w:fldChar w:fldCharType="separate"/>
      </w:r>
      <w:hyperlink w:anchor="_Toc43882213" w:history="1">
        <w:r w:rsidR="00546C71" w:rsidRPr="00935809">
          <w:rPr>
            <w:rStyle w:val="Collegamentoipertestuale"/>
          </w:rPr>
          <w:t>Foreword</w:t>
        </w:r>
        <w:r w:rsidR="00546C71">
          <w:rPr>
            <w:webHidden/>
          </w:rPr>
          <w:tab/>
        </w:r>
        <w:r w:rsidR="00546C71">
          <w:rPr>
            <w:webHidden/>
          </w:rPr>
          <w:fldChar w:fldCharType="begin"/>
        </w:r>
        <w:r w:rsidR="00546C71">
          <w:rPr>
            <w:webHidden/>
          </w:rPr>
          <w:instrText xml:space="preserve"> PAGEREF _Toc43882213 \h </w:instrText>
        </w:r>
        <w:r w:rsidR="00546C71">
          <w:rPr>
            <w:webHidden/>
          </w:rPr>
        </w:r>
        <w:r w:rsidR="00546C71">
          <w:rPr>
            <w:webHidden/>
          </w:rPr>
          <w:fldChar w:fldCharType="separate"/>
        </w:r>
        <w:r w:rsidR="00546C71">
          <w:rPr>
            <w:webHidden/>
          </w:rPr>
          <w:t>5</w:t>
        </w:r>
        <w:r w:rsidR="00546C71">
          <w:rPr>
            <w:webHidden/>
          </w:rPr>
          <w:fldChar w:fldCharType="end"/>
        </w:r>
      </w:hyperlink>
    </w:p>
    <w:p w14:paraId="6CAA3C57" w14:textId="71503423" w:rsidR="00546C71" w:rsidRDefault="00546C71">
      <w:pPr>
        <w:pStyle w:val="Sommario1"/>
        <w:rPr>
          <w:rFonts w:asciiTheme="minorHAnsi" w:eastAsiaTheme="minorEastAsia" w:hAnsiTheme="minorHAnsi" w:cstheme="minorBidi"/>
          <w:b w:val="0"/>
          <w:lang w:val="it-IT" w:eastAsia="it-IT"/>
        </w:rPr>
      </w:pPr>
      <w:hyperlink w:anchor="_Toc43882214" w:history="1">
        <w:r w:rsidRPr="00935809">
          <w:rPr>
            <w:rStyle w:val="Collegamentoipertestuale"/>
          </w:rPr>
          <w:t>1</w:t>
        </w:r>
        <w:r>
          <w:rPr>
            <w:rFonts w:asciiTheme="minorHAnsi" w:eastAsiaTheme="minorEastAsia" w:hAnsiTheme="minorHAnsi" w:cstheme="minorBidi"/>
            <w:b w:val="0"/>
            <w:lang w:val="it-IT" w:eastAsia="it-IT"/>
          </w:rPr>
          <w:tab/>
        </w:r>
        <w:r w:rsidRPr="00935809">
          <w:rPr>
            <w:rStyle w:val="Collegamentoipertestuale"/>
          </w:rPr>
          <w:t>Background</w:t>
        </w:r>
        <w:r>
          <w:rPr>
            <w:webHidden/>
          </w:rPr>
          <w:tab/>
        </w:r>
        <w:r>
          <w:rPr>
            <w:webHidden/>
          </w:rPr>
          <w:fldChar w:fldCharType="begin"/>
        </w:r>
        <w:r>
          <w:rPr>
            <w:webHidden/>
          </w:rPr>
          <w:instrText xml:space="preserve"> PAGEREF _Toc43882214 \h </w:instrText>
        </w:r>
        <w:r>
          <w:rPr>
            <w:webHidden/>
          </w:rPr>
        </w:r>
        <w:r>
          <w:rPr>
            <w:webHidden/>
          </w:rPr>
          <w:fldChar w:fldCharType="separate"/>
        </w:r>
        <w:r>
          <w:rPr>
            <w:webHidden/>
          </w:rPr>
          <w:t>6</w:t>
        </w:r>
        <w:r>
          <w:rPr>
            <w:webHidden/>
          </w:rPr>
          <w:fldChar w:fldCharType="end"/>
        </w:r>
      </w:hyperlink>
    </w:p>
    <w:p w14:paraId="59D9BD15" w14:textId="56776AA6" w:rsidR="00546C71" w:rsidRDefault="00546C71">
      <w:pPr>
        <w:pStyle w:val="Sommario1"/>
        <w:rPr>
          <w:rFonts w:asciiTheme="minorHAnsi" w:eastAsiaTheme="minorEastAsia" w:hAnsiTheme="minorHAnsi" w:cstheme="minorBidi"/>
          <w:b w:val="0"/>
          <w:lang w:val="it-IT" w:eastAsia="it-IT"/>
        </w:rPr>
      </w:pPr>
      <w:hyperlink w:anchor="_Toc43882215" w:history="1">
        <w:r w:rsidRPr="00935809">
          <w:rPr>
            <w:rStyle w:val="Collegamentoipertestuale"/>
          </w:rPr>
          <w:t>2</w:t>
        </w:r>
        <w:r>
          <w:rPr>
            <w:rFonts w:asciiTheme="minorHAnsi" w:eastAsiaTheme="minorEastAsia" w:hAnsiTheme="minorHAnsi" w:cstheme="minorBidi"/>
            <w:b w:val="0"/>
            <w:lang w:val="it-IT" w:eastAsia="it-IT"/>
          </w:rPr>
          <w:tab/>
        </w:r>
        <w:r w:rsidRPr="00935809">
          <w:rPr>
            <w:rStyle w:val="Collegamentoipertestuale"/>
          </w:rPr>
          <w:t>Experiences of serious harm</w:t>
        </w:r>
        <w:r>
          <w:rPr>
            <w:webHidden/>
          </w:rPr>
          <w:tab/>
        </w:r>
        <w:r>
          <w:rPr>
            <w:webHidden/>
          </w:rPr>
          <w:fldChar w:fldCharType="begin"/>
        </w:r>
        <w:r>
          <w:rPr>
            <w:webHidden/>
          </w:rPr>
          <w:instrText xml:space="preserve"> PAGEREF _Toc43882215 \h </w:instrText>
        </w:r>
        <w:r>
          <w:rPr>
            <w:webHidden/>
          </w:rPr>
        </w:r>
        <w:r>
          <w:rPr>
            <w:webHidden/>
          </w:rPr>
          <w:fldChar w:fldCharType="separate"/>
        </w:r>
        <w:r>
          <w:rPr>
            <w:webHidden/>
          </w:rPr>
          <w:t>7</w:t>
        </w:r>
        <w:r>
          <w:rPr>
            <w:webHidden/>
          </w:rPr>
          <w:fldChar w:fldCharType="end"/>
        </w:r>
      </w:hyperlink>
    </w:p>
    <w:p w14:paraId="1137A2A0" w14:textId="0F9F3CF0" w:rsidR="00546C71" w:rsidRDefault="00546C71">
      <w:pPr>
        <w:pStyle w:val="Sommario1"/>
        <w:rPr>
          <w:rFonts w:asciiTheme="minorHAnsi" w:eastAsiaTheme="minorEastAsia" w:hAnsiTheme="minorHAnsi" w:cstheme="minorBidi"/>
          <w:b w:val="0"/>
          <w:lang w:val="it-IT" w:eastAsia="it-IT"/>
        </w:rPr>
      </w:pPr>
      <w:hyperlink w:anchor="_Toc43882216" w:history="1">
        <w:r w:rsidRPr="00935809">
          <w:rPr>
            <w:rStyle w:val="Collegamentoipertestuale"/>
          </w:rPr>
          <w:t>3</w:t>
        </w:r>
        <w:r>
          <w:rPr>
            <w:rFonts w:asciiTheme="minorHAnsi" w:eastAsiaTheme="minorEastAsia" w:hAnsiTheme="minorHAnsi" w:cstheme="minorBidi"/>
            <w:b w:val="0"/>
            <w:lang w:val="it-IT" w:eastAsia="it-IT"/>
          </w:rPr>
          <w:tab/>
        </w:r>
        <w:r w:rsidRPr="00935809">
          <w:rPr>
            <w:rStyle w:val="Collegamentoipertestuale"/>
          </w:rPr>
          <w:t>Attitudes toward religious communities</w:t>
        </w:r>
        <w:r>
          <w:rPr>
            <w:webHidden/>
          </w:rPr>
          <w:tab/>
        </w:r>
        <w:r>
          <w:rPr>
            <w:webHidden/>
          </w:rPr>
          <w:fldChar w:fldCharType="begin"/>
        </w:r>
        <w:r>
          <w:rPr>
            <w:webHidden/>
          </w:rPr>
          <w:instrText xml:space="preserve"> PAGEREF _Toc43882216 \h </w:instrText>
        </w:r>
        <w:r>
          <w:rPr>
            <w:webHidden/>
          </w:rPr>
        </w:r>
        <w:r>
          <w:rPr>
            <w:webHidden/>
          </w:rPr>
          <w:fldChar w:fldCharType="separate"/>
        </w:r>
        <w:r>
          <w:rPr>
            <w:webHidden/>
          </w:rPr>
          <w:t>12</w:t>
        </w:r>
        <w:r>
          <w:rPr>
            <w:webHidden/>
          </w:rPr>
          <w:fldChar w:fldCharType="end"/>
        </w:r>
      </w:hyperlink>
    </w:p>
    <w:p w14:paraId="1E669F5B" w14:textId="4EE41091" w:rsidR="00546C71" w:rsidRDefault="00546C71">
      <w:pPr>
        <w:pStyle w:val="Sommario1"/>
        <w:rPr>
          <w:rFonts w:asciiTheme="minorHAnsi" w:eastAsiaTheme="minorEastAsia" w:hAnsiTheme="minorHAnsi" w:cstheme="minorBidi"/>
          <w:b w:val="0"/>
          <w:lang w:val="it-IT" w:eastAsia="it-IT"/>
        </w:rPr>
      </w:pPr>
      <w:hyperlink w:anchor="_Toc43882217" w:history="1">
        <w:r w:rsidRPr="00935809">
          <w:rPr>
            <w:rStyle w:val="Collegamentoipertestuale"/>
          </w:rPr>
          <w:t>4</w:t>
        </w:r>
        <w:r>
          <w:rPr>
            <w:rFonts w:asciiTheme="minorHAnsi" w:eastAsiaTheme="minorEastAsia" w:hAnsiTheme="minorHAnsi" w:cstheme="minorBidi"/>
            <w:b w:val="0"/>
            <w:lang w:val="it-IT" w:eastAsia="it-IT"/>
          </w:rPr>
          <w:tab/>
        </w:r>
        <w:r w:rsidRPr="00935809">
          <w:rPr>
            <w:rStyle w:val="Collegamentoipertestuale"/>
          </w:rPr>
          <w:t>The need for better prevalence data</w:t>
        </w:r>
        <w:r>
          <w:rPr>
            <w:webHidden/>
          </w:rPr>
          <w:tab/>
        </w:r>
        <w:r>
          <w:rPr>
            <w:webHidden/>
          </w:rPr>
          <w:fldChar w:fldCharType="begin"/>
        </w:r>
        <w:r>
          <w:rPr>
            <w:webHidden/>
          </w:rPr>
          <w:instrText xml:space="preserve"> PAGEREF _Toc43882217 \h </w:instrText>
        </w:r>
        <w:r>
          <w:rPr>
            <w:webHidden/>
          </w:rPr>
        </w:r>
        <w:r>
          <w:rPr>
            <w:webHidden/>
          </w:rPr>
          <w:fldChar w:fldCharType="separate"/>
        </w:r>
        <w:r>
          <w:rPr>
            <w:webHidden/>
          </w:rPr>
          <w:t>14</w:t>
        </w:r>
        <w:r>
          <w:rPr>
            <w:webHidden/>
          </w:rPr>
          <w:fldChar w:fldCharType="end"/>
        </w:r>
      </w:hyperlink>
    </w:p>
    <w:p w14:paraId="61FC279E" w14:textId="032C9F9A" w:rsidR="00546C71" w:rsidRDefault="00546C71">
      <w:pPr>
        <w:pStyle w:val="Sommario1"/>
        <w:rPr>
          <w:rFonts w:asciiTheme="minorHAnsi" w:eastAsiaTheme="minorEastAsia" w:hAnsiTheme="minorHAnsi" w:cstheme="minorBidi"/>
          <w:b w:val="0"/>
          <w:lang w:val="it-IT" w:eastAsia="it-IT"/>
        </w:rPr>
      </w:pPr>
      <w:hyperlink w:anchor="_Toc43882218" w:history="1">
        <w:r w:rsidRPr="00935809">
          <w:rPr>
            <w:rStyle w:val="Collegamentoipertestuale"/>
          </w:rPr>
          <w:t>5</w:t>
        </w:r>
        <w:r>
          <w:rPr>
            <w:rFonts w:asciiTheme="minorHAnsi" w:eastAsiaTheme="minorEastAsia" w:hAnsiTheme="minorHAnsi" w:cstheme="minorBidi"/>
            <w:b w:val="0"/>
            <w:lang w:val="it-IT" w:eastAsia="it-IT"/>
          </w:rPr>
          <w:tab/>
        </w:r>
        <w:r w:rsidRPr="00935809">
          <w:rPr>
            <w:rStyle w:val="Collegamentoipertestuale"/>
          </w:rPr>
          <w:t>Charting a way forward</w:t>
        </w:r>
        <w:r>
          <w:rPr>
            <w:webHidden/>
          </w:rPr>
          <w:tab/>
        </w:r>
        <w:r>
          <w:rPr>
            <w:webHidden/>
          </w:rPr>
          <w:fldChar w:fldCharType="begin"/>
        </w:r>
        <w:r>
          <w:rPr>
            <w:webHidden/>
          </w:rPr>
          <w:instrText xml:space="preserve"> PAGEREF _Toc43882218 \h </w:instrText>
        </w:r>
        <w:r>
          <w:rPr>
            <w:webHidden/>
          </w:rPr>
        </w:r>
        <w:r>
          <w:rPr>
            <w:webHidden/>
          </w:rPr>
          <w:fldChar w:fldCharType="separate"/>
        </w:r>
        <w:r>
          <w:rPr>
            <w:webHidden/>
          </w:rPr>
          <w:t>16</w:t>
        </w:r>
        <w:r>
          <w:rPr>
            <w:webHidden/>
          </w:rPr>
          <w:fldChar w:fldCharType="end"/>
        </w:r>
      </w:hyperlink>
    </w:p>
    <w:p w14:paraId="2188D621" w14:textId="62400659" w:rsidR="00546C71" w:rsidRDefault="00546C71">
      <w:pPr>
        <w:pStyle w:val="Sommario1"/>
        <w:rPr>
          <w:rFonts w:asciiTheme="minorHAnsi" w:eastAsiaTheme="minorEastAsia" w:hAnsiTheme="minorHAnsi" w:cstheme="minorBidi"/>
          <w:b w:val="0"/>
          <w:lang w:val="it-IT" w:eastAsia="it-IT"/>
        </w:rPr>
      </w:pPr>
      <w:hyperlink w:anchor="_Toc43882219" w:history="1">
        <w:r w:rsidRPr="00935809">
          <w:rPr>
            <w:rStyle w:val="Collegamentoipertestuale"/>
          </w:rPr>
          <w:t>6</w:t>
        </w:r>
        <w:r>
          <w:rPr>
            <w:rFonts w:asciiTheme="minorHAnsi" w:eastAsiaTheme="minorEastAsia" w:hAnsiTheme="minorHAnsi" w:cstheme="minorBidi"/>
            <w:b w:val="0"/>
            <w:lang w:val="it-IT" w:eastAsia="it-IT"/>
          </w:rPr>
          <w:tab/>
        </w:r>
        <w:r w:rsidRPr="00935809">
          <w:rPr>
            <w:rStyle w:val="Collegamentoipertestuale"/>
          </w:rPr>
          <w:t>Summary of recommendations</w:t>
        </w:r>
        <w:r>
          <w:rPr>
            <w:webHidden/>
          </w:rPr>
          <w:tab/>
        </w:r>
        <w:r>
          <w:rPr>
            <w:webHidden/>
          </w:rPr>
          <w:fldChar w:fldCharType="begin"/>
        </w:r>
        <w:r>
          <w:rPr>
            <w:webHidden/>
          </w:rPr>
          <w:instrText xml:space="preserve"> PAGEREF _Toc43882219 \h </w:instrText>
        </w:r>
        <w:r>
          <w:rPr>
            <w:webHidden/>
          </w:rPr>
        </w:r>
        <w:r>
          <w:rPr>
            <w:webHidden/>
          </w:rPr>
          <w:fldChar w:fldCharType="separate"/>
        </w:r>
        <w:r>
          <w:rPr>
            <w:webHidden/>
          </w:rPr>
          <w:t>20</w:t>
        </w:r>
        <w:r>
          <w:rPr>
            <w:webHidden/>
          </w:rPr>
          <w:fldChar w:fldCharType="end"/>
        </w:r>
      </w:hyperlink>
    </w:p>
    <w:p w14:paraId="49A1EE17" w14:textId="198B81E3" w:rsidR="00EE5606" w:rsidRPr="00EE5606" w:rsidRDefault="00772C35" w:rsidP="00EE5606">
      <w:r>
        <w:rPr>
          <w:b/>
          <w:noProof/>
          <w:sz w:val="22"/>
        </w:rPr>
        <w:fldChar w:fldCharType="end"/>
      </w:r>
    </w:p>
    <w:p w14:paraId="4827E099" w14:textId="77777777" w:rsidR="00EE5606" w:rsidRPr="00EE5606" w:rsidRDefault="00EE5606" w:rsidP="00EE5606">
      <w:r w:rsidRPr="00EE5606">
        <w:br w:type="page"/>
      </w:r>
    </w:p>
    <w:p w14:paraId="5F042244" w14:textId="6437B501" w:rsidR="003724A9" w:rsidRDefault="002E47C8" w:rsidP="00EE5606">
      <w:pPr>
        <w:pStyle w:val="Titolo1"/>
        <w:numPr>
          <w:ilvl w:val="0"/>
          <w:numId w:val="0"/>
        </w:numPr>
      </w:pPr>
      <w:bookmarkStart w:id="6" w:name="_Toc43882213"/>
      <w:r>
        <w:lastRenderedPageBreak/>
        <w:t>Foreword</w:t>
      </w:r>
      <w:bookmarkEnd w:id="6"/>
    </w:p>
    <w:p w14:paraId="0B13084A" w14:textId="21EE660E" w:rsidR="00BD6AFF" w:rsidRPr="00B94801" w:rsidRDefault="00BD6AFF" w:rsidP="00BD6AFF">
      <w:r w:rsidRPr="00B94801">
        <w:t>The right to freedom of religion is recognised in international human rights law and receives some protection in Australia’s federal, state and territory laws. Many people of faith report that Australia offers peace and freedom to practise their religion. Indeed, some have come to this country from places where they were persecuted for their beliefs.</w:t>
      </w:r>
    </w:p>
    <w:p w14:paraId="30581352" w14:textId="51CDF6BC" w:rsidR="00BD6AFF" w:rsidRPr="00B94801" w:rsidRDefault="00BD6AFF" w:rsidP="00BD6AFF">
      <w:r w:rsidRPr="00B94801">
        <w:t>However, we also know that some people of faith in Australia experience serious harms on the basis of their religious identity. We use the term ‘serious harms’ to include experiences of violence, abuse, intimidation</w:t>
      </w:r>
      <w:r>
        <w:t>, severe discrimination</w:t>
      </w:r>
      <w:r w:rsidRPr="00B94801">
        <w:t xml:space="preserve"> and </w:t>
      </w:r>
      <w:r>
        <w:t xml:space="preserve">some forms of </w:t>
      </w:r>
      <w:r w:rsidRPr="00B94801">
        <w:t>vilification. Serious harms can occur as a result of activity in the physical world and online. These actions have terrible effects on individuals and communities, and they are a serious violation of the human right to freedom of religion.</w:t>
      </w:r>
    </w:p>
    <w:p w14:paraId="55872117" w14:textId="6564ABE6" w:rsidR="00BD6AFF" w:rsidRPr="00B94801" w:rsidRDefault="00BD6AFF" w:rsidP="00BD6AFF">
      <w:r w:rsidRPr="00B94801">
        <w:t xml:space="preserve">We were profoundly shocked by the killing of 51 worshippers at the Al Noor Mosque and the Linwood Islamic Centre in Christchurch, New Zealand, on 15 March 2019. </w:t>
      </w:r>
      <w:r>
        <w:t xml:space="preserve">The person who has pleaded guilty to </w:t>
      </w:r>
      <w:r w:rsidR="00E13AAD">
        <w:t>these killings</w:t>
      </w:r>
      <w:r>
        <w:t xml:space="preserve"> is an Australian. </w:t>
      </w:r>
      <w:r w:rsidRPr="00B94801">
        <w:t>The repercussions of this atrocity, which occurred so close to home, have been felt by Australia’s many Muslim communities, as well as by Victorians and Australians of all faiths</w:t>
      </w:r>
      <w:r w:rsidR="00E13AAD">
        <w:t>—</w:t>
      </w:r>
      <w:r w:rsidRPr="00B94801">
        <w:t>and none. Though Australia has never experienced an attack on people of faith on this scale, we should think carefully as a nation about the prevalence and effects of serious harms perpetrated on the bas</w:t>
      </w:r>
      <w:r w:rsidR="00BA540F">
        <w:t xml:space="preserve">is of people’s religion, </w:t>
      </w:r>
      <w:r w:rsidRPr="00B94801">
        <w:t>and about how we can best address this problem.</w:t>
      </w:r>
    </w:p>
    <w:p w14:paraId="68F0E477" w14:textId="26301EA2" w:rsidR="00BD6AFF" w:rsidRDefault="00BD6AFF" w:rsidP="00546C71">
      <w:pPr>
        <w:spacing w:after="600"/>
      </w:pPr>
      <w:r w:rsidRPr="00B94801">
        <w:t>The Australian Human Rights Commission (AHRC) and the Victorian Equal Opportunity and Human Rights Commission (VEOHRC) have come together to produce this Position Paper. It examines some research on serious harms experienced by religious communities and draws on two roundtable consultations that the AHRC and VEOHRC held in Sydney and Melbourne in June 2019. The Position Paper concludes with several recommendations as to how governments in Australia can improve protections for the right to freedom of religion in Victoria and Australia.</w:t>
      </w:r>
    </w:p>
    <w:p w14:paraId="1F13F41C" w14:textId="2456E5F7" w:rsidR="00546C71" w:rsidRPr="00546C71" w:rsidRDefault="00546C71" w:rsidP="00BD6AFF">
      <w:pPr>
        <w:rPr>
          <w:b/>
        </w:rPr>
      </w:pPr>
      <w:r w:rsidRPr="00B94801">
        <w:rPr>
          <w:b/>
        </w:rPr>
        <w:t xml:space="preserve">Edward </w:t>
      </w:r>
      <w:proofErr w:type="spellStart"/>
      <w:r w:rsidRPr="00B94801">
        <w:rPr>
          <w:b/>
        </w:rPr>
        <w:t>Santow</w:t>
      </w:r>
      <w:proofErr w:type="spellEnd"/>
      <w:r w:rsidRPr="00B94801">
        <w:rPr>
          <w:b/>
        </w:rPr>
        <w:t>, Australian Human Rights Commissioner</w:t>
      </w:r>
    </w:p>
    <w:p w14:paraId="44D86639" w14:textId="77777777" w:rsidR="00BD6AFF" w:rsidRDefault="00BD6AFF" w:rsidP="00BD6AFF">
      <w:pPr>
        <w:rPr>
          <w:b/>
        </w:rPr>
      </w:pPr>
      <w:r w:rsidRPr="00B94801">
        <w:rPr>
          <w:b/>
        </w:rPr>
        <w:t>Kristen Hilton, Victorian Equal Opportunity and Human Rights Commissioner</w:t>
      </w:r>
    </w:p>
    <w:p w14:paraId="3CA36405" w14:textId="4C508933" w:rsidR="00510390" w:rsidRDefault="00BC7282" w:rsidP="00A27ABE">
      <w:pPr>
        <w:pStyle w:val="Titolo1"/>
      </w:pPr>
      <w:bookmarkStart w:id="7" w:name="_Toc43882214"/>
      <w:bookmarkEnd w:id="2"/>
      <w:bookmarkEnd w:id="3"/>
      <w:r>
        <w:lastRenderedPageBreak/>
        <w:t>Background</w:t>
      </w:r>
      <w:bookmarkEnd w:id="7"/>
    </w:p>
    <w:p w14:paraId="6B70144A" w14:textId="657F675B" w:rsidR="00A018A8" w:rsidRDefault="0015471C" w:rsidP="0015471C">
      <w:r w:rsidRPr="00B94801">
        <w:t xml:space="preserve">The AHRC and VEOHRC are each independent statutory </w:t>
      </w:r>
      <w:proofErr w:type="gramStart"/>
      <w:r w:rsidRPr="00B94801">
        <w:t>bodies</w:t>
      </w:r>
      <w:proofErr w:type="gramEnd"/>
      <w:r w:rsidRPr="00B94801">
        <w:t>, dedicated to the promotion and protection of human rights.</w:t>
      </w:r>
    </w:p>
    <w:p w14:paraId="2E788042" w14:textId="12900101" w:rsidR="0015471C" w:rsidRPr="00B94801" w:rsidRDefault="0015471C" w:rsidP="0015471C">
      <w:r w:rsidRPr="00B94801">
        <w:t xml:space="preserve">The AHRC is Australia’s national human rights institution, established by the </w:t>
      </w:r>
      <w:r w:rsidRPr="00B94801">
        <w:rPr>
          <w:i/>
        </w:rPr>
        <w:t>Australian Human Rights Commission Act 1986</w:t>
      </w:r>
      <w:r w:rsidRPr="00B94801">
        <w:t xml:space="preserve"> (</w:t>
      </w:r>
      <w:proofErr w:type="spellStart"/>
      <w:r w:rsidRPr="00B94801">
        <w:t>Cth</w:t>
      </w:r>
      <w:proofErr w:type="spellEnd"/>
      <w:r w:rsidRPr="00B94801">
        <w:t>). The AHRC</w:t>
      </w:r>
      <w:r>
        <w:t xml:space="preserve"> has a number of functions relating to the protection and promotion of human rights, including the right to freedom of thought, conscience and religion.</w:t>
      </w:r>
      <w:r>
        <w:rPr>
          <w:rStyle w:val="Rimandonotadichiusura"/>
          <w:rFonts w:asciiTheme="majorHAnsi" w:hAnsiTheme="majorHAnsi" w:cstheme="majorHAnsi"/>
          <w:szCs w:val="20"/>
        </w:rPr>
        <w:endnoteReference w:id="1"/>
      </w:r>
      <w:r>
        <w:t xml:space="preserve"> These </w:t>
      </w:r>
      <w:r w:rsidRPr="00B94801">
        <w:t>functions include</w:t>
      </w:r>
      <w:r>
        <w:t xml:space="preserve"> reviewing current and proposed legislation, conducting research and education, and inquiring into acts and practices that may be inconsistent with human rights. The Commission can inquire into, and attempt to settle by conciliation, complaints alleging that acts or practices of the Commonwealth were inconsistent with or contrary to human rights and complaints alleging discrimination in employment.</w:t>
      </w:r>
      <w:r>
        <w:rPr>
          <w:rStyle w:val="Rimandonotadichiusura"/>
          <w:rFonts w:asciiTheme="majorHAnsi" w:hAnsiTheme="majorHAnsi" w:cstheme="majorHAnsi"/>
          <w:szCs w:val="20"/>
        </w:rPr>
        <w:endnoteReference w:id="2"/>
      </w:r>
      <w:r>
        <w:t xml:space="preserve"> The Commission can also receive and conciliate complaints alleging unlawful discrimination under the </w:t>
      </w:r>
      <w:r w:rsidRPr="00B94801">
        <w:t xml:space="preserve">federal anti-discrimination </w:t>
      </w:r>
      <w:r>
        <w:t>statutes</w:t>
      </w:r>
      <w:r w:rsidRPr="00B94801">
        <w:t>.</w:t>
      </w:r>
      <w:r>
        <w:rPr>
          <w:rStyle w:val="Rimandonotadichiusura"/>
          <w:rFonts w:asciiTheme="majorHAnsi" w:hAnsiTheme="majorHAnsi" w:cstheme="majorHAnsi"/>
          <w:szCs w:val="20"/>
        </w:rPr>
        <w:endnoteReference w:id="3"/>
      </w:r>
    </w:p>
    <w:p w14:paraId="64F824CC" w14:textId="554CDEE2" w:rsidR="0015471C" w:rsidRPr="00B94801" w:rsidRDefault="0015471C" w:rsidP="0015471C">
      <w:pPr>
        <w:rPr>
          <w:rFonts w:eastAsiaTheme="minorEastAsia"/>
          <w:lang w:eastAsia="en-US"/>
        </w:rPr>
      </w:pPr>
      <w:r w:rsidRPr="00B94801">
        <w:t>VEOHRC is responsible for protecting and promoting human rights in Victoria</w:t>
      </w:r>
      <w:r w:rsidR="000F168D">
        <w:t>.</w:t>
      </w:r>
      <w:r w:rsidRPr="00B94801">
        <w:rPr>
          <w:rStyle w:val="Rimandonotadichiusura"/>
          <w:rFonts w:asciiTheme="majorHAnsi" w:hAnsiTheme="majorHAnsi" w:cstheme="majorHAnsi"/>
          <w:szCs w:val="20"/>
        </w:rPr>
        <w:endnoteReference w:id="4"/>
      </w:r>
      <w:r>
        <w:t xml:space="preserve"> </w:t>
      </w:r>
      <w:r w:rsidR="000F168D">
        <w:t xml:space="preserve">It </w:t>
      </w:r>
      <w:r>
        <w:t>has</w:t>
      </w:r>
      <w:r w:rsidRPr="00B94801">
        <w:t xml:space="preserve"> responsibilities under three laws that together protect </w:t>
      </w:r>
      <w:r w:rsidRPr="00B94801">
        <w:rPr>
          <w:rFonts w:eastAsiaTheme="minorEastAsia"/>
          <w:lang w:eastAsia="en-US"/>
        </w:rPr>
        <w:t>an individual’s right to hold a religious belie</w:t>
      </w:r>
      <w:r w:rsidR="00172863">
        <w:rPr>
          <w:rFonts w:eastAsiaTheme="minorEastAsia"/>
          <w:lang w:eastAsia="en-US"/>
        </w:rPr>
        <w:t>f</w:t>
      </w:r>
      <w:r w:rsidR="00A018A8">
        <w:rPr>
          <w:rFonts w:eastAsiaTheme="minorEastAsia"/>
          <w:lang w:eastAsia="en-US"/>
        </w:rPr>
        <w:t xml:space="preserve"> o</w:t>
      </w:r>
      <w:r w:rsidR="00ED5D9D">
        <w:rPr>
          <w:rFonts w:eastAsiaTheme="minorEastAsia"/>
          <w:lang w:eastAsia="en-US"/>
        </w:rPr>
        <w:t xml:space="preserve">r no religious belief, </w:t>
      </w:r>
      <w:r w:rsidRPr="00B94801">
        <w:rPr>
          <w:rFonts w:eastAsiaTheme="minorEastAsia"/>
          <w:lang w:eastAsia="en-US"/>
        </w:rPr>
        <w:t>and practi</w:t>
      </w:r>
      <w:r>
        <w:rPr>
          <w:rFonts w:eastAsiaTheme="minorEastAsia"/>
          <w:lang w:eastAsia="en-US"/>
        </w:rPr>
        <w:t>s</w:t>
      </w:r>
      <w:r w:rsidRPr="00B94801">
        <w:rPr>
          <w:rFonts w:eastAsiaTheme="minorEastAsia"/>
          <w:lang w:eastAsia="en-US"/>
        </w:rPr>
        <w:t>e that belief free from discrimination and vilification</w:t>
      </w:r>
      <w:r w:rsidR="00BC5039">
        <w:rPr>
          <w:rFonts w:eastAsiaTheme="minorEastAsia"/>
          <w:lang w:eastAsia="en-US"/>
        </w:rPr>
        <w:t>:</w:t>
      </w:r>
    </w:p>
    <w:p w14:paraId="1EA8A052" w14:textId="7C31D481" w:rsidR="0015471C" w:rsidRPr="00680F6F" w:rsidRDefault="000F168D" w:rsidP="00B557F7">
      <w:pPr>
        <w:pStyle w:val="Paragrafoelenco"/>
        <w:numPr>
          <w:ilvl w:val="0"/>
          <w:numId w:val="24"/>
        </w:numPr>
        <w:rPr>
          <w:rFonts w:eastAsiaTheme="minorEastAsia"/>
          <w:lang w:eastAsia="en-US"/>
        </w:rPr>
      </w:pPr>
      <w:r>
        <w:rPr>
          <w:rFonts w:eastAsiaTheme="minorEastAsia"/>
          <w:lang w:eastAsia="en-US"/>
        </w:rPr>
        <w:t>T</w:t>
      </w:r>
      <w:r w:rsidRPr="00680F6F">
        <w:rPr>
          <w:rFonts w:eastAsiaTheme="minorEastAsia"/>
          <w:lang w:eastAsia="en-US"/>
        </w:rPr>
        <w:t xml:space="preserve">he </w:t>
      </w:r>
      <w:r w:rsidR="0015471C" w:rsidRPr="00680F6F">
        <w:rPr>
          <w:rFonts w:eastAsiaTheme="minorEastAsia"/>
          <w:i/>
          <w:iCs/>
          <w:lang w:eastAsia="en-US"/>
        </w:rPr>
        <w:t>Equal Opportunity Act 2010</w:t>
      </w:r>
      <w:r w:rsidR="0015471C" w:rsidRPr="00680F6F">
        <w:rPr>
          <w:rFonts w:eastAsiaTheme="minorEastAsia"/>
          <w:lang w:eastAsia="en-US"/>
        </w:rPr>
        <w:t xml:space="preserve"> </w:t>
      </w:r>
      <w:r w:rsidR="000B0064">
        <w:rPr>
          <w:rFonts w:eastAsiaTheme="minorEastAsia"/>
          <w:lang w:eastAsia="en-US"/>
        </w:rPr>
        <w:t xml:space="preserve">(Vic) </w:t>
      </w:r>
      <w:r w:rsidR="0015471C" w:rsidRPr="00680F6F">
        <w:rPr>
          <w:rFonts w:eastAsiaTheme="minorEastAsia"/>
          <w:lang w:eastAsia="en-US"/>
        </w:rPr>
        <w:t>makes it unlawful to discriminate against a person in certain areas of public life based on ‘religious belief or activity’.</w:t>
      </w:r>
      <w:r w:rsidR="0015471C" w:rsidRPr="00B94801">
        <w:rPr>
          <w:rStyle w:val="Rimandonotadichiusura"/>
          <w:rFonts w:asciiTheme="majorHAnsi" w:hAnsiTheme="majorHAnsi" w:cstheme="majorHAnsi"/>
          <w:szCs w:val="20"/>
        </w:rPr>
        <w:endnoteReference w:id="5"/>
      </w:r>
      <w:r w:rsidR="0015471C" w:rsidRPr="00680F6F">
        <w:rPr>
          <w:rStyle w:val="Rimandonotadichiusura"/>
          <w:rFonts w:asciiTheme="majorHAnsi" w:hAnsiTheme="majorHAnsi" w:cstheme="majorHAnsi"/>
          <w:szCs w:val="20"/>
        </w:rPr>
        <w:t xml:space="preserve"> </w:t>
      </w:r>
    </w:p>
    <w:p w14:paraId="461B2715" w14:textId="3D123BD9" w:rsidR="0015471C" w:rsidRPr="00680F6F" w:rsidRDefault="000F168D" w:rsidP="00B557F7">
      <w:pPr>
        <w:pStyle w:val="Paragrafoelenco"/>
        <w:numPr>
          <w:ilvl w:val="0"/>
          <w:numId w:val="24"/>
        </w:numPr>
        <w:rPr>
          <w:rFonts w:eastAsiaTheme="minorEastAsia"/>
          <w:lang w:eastAsia="en-US"/>
        </w:rPr>
      </w:pPr>
      <w:r>
        <w:rPr>
          <w:rFonts w:eastAsiaTheme="minorEastAsia"/>
          <w:lang w:eastAsia="en-US"/>
        </w:rPr>
        <w:t>T</w:t>
      </w:r>
      <w:r w:rsidRPr="00680F6F">
        <w:rPr>
          <w:rFonts w:eastAsiaTheme="minorEastAsia"/>
          <w:lang w:eastAsia="en-US"/>
        </w:rPr>
        <w:t xml:space="preserve">he </w:t>
      </w:r>
      <w:r w:rsidR="0015471C" w:rsidRPr="00680F6F">
        <w:rPr>
          <w:rFonts w:eastAsiaTheme="minorEastAsia"/>
          <w:i/>
          <w:iCs/>
          <w:lang w:eastAsia="en-US"/>
        </w:rPr>
        <w:t>Racial and Religious Tolerance Act 2001</w:t>
      </w:r>
      <w:r w:rsidR="0015471C" w:rsidRPr="00680F6F">
        <w:rPr>
          <w:rFonts w:eastAsiaTheme="minorEastAsia"/>
          <w:lang w:eastAsia="en-US"/>
        </w:rPr>
        <w:t xml:space="preserve"> </w:t>
      </w:r>
      <w:r w:rsidR="000B0064">
        <w:rPr>
          <w:rFonts w:eastAsiaTheme="minorEastAsia"/>
          <w:lang w:eastAsia="en-US"/>
        </w:rPr>
        <w:t xml:space="preserve">(Vic) </w:t>
      </w:r>
      <w:r w:rsidR="0015471C" w:rsidRPr="00680F6F">
        <w:rPr>
          <w:rFonts w:eastAsiaTheme="minorEastAsia"/>
          <w:lang w:eastAsia="en-US"/>
        </w:rPr>
        <w:t>prohibits religious vilification.</w:t>
      </w:r>
      <w:r w:rsidR="0015471C" w:rsidRPr="00B94801">
        <w:rPr>
          <w:rStyle w:val="Rimandonotadichiusura"/>
          <w:rFonts w:asciiTheme="majorHAnsi" w:hAnsiTheme="majorHAnsi" w:cstheme="majorHAnsi"/>
          <w:szCs w:val="20"/>
        </w:rPr>
        <w:endnoteReference w:id="6"/>
      </w:r>
      <w:r w:rsidR="0015471C" w:rsidRPr="00680F6F">
        <w:rPr>
          <w:rStyle w:val="Rimandonotadichiusura"/>
          <w:rFonts w:asciiTheme="majorHAnsi" w:hAnsiTheme="majorHAnsi" w:cstheme="majorHAnsi"/>
          <w:szCs w:val="20"/>
        </w:rPr>
        <w:t xml:space="preserve"> </w:t>
      </w:r>
    </w:p>
    <w:p w14:paraId="1AB71A70" w14:textId="252A2903" w:rsidR="0015471C" w:rsidRPr="00680F6F" w:rsidRDefault="000F168D" w:rsidP="00B557F7">
      <w:pPr>
        <w:pStyle w:val="Paragrafoelenco"/>
        <w:numPr>
          <w:ilvl w:val="0"/>
          <w:numId w:val="24"/>
        </w:numPr>
        <w:rPr>
          <w:rFonts w:eastAsiaTheme="minorEastAsia"/>
          <w:lang w:eastAsia="en-US"/>
        </w:rPr>
      </w:pPr>
      <w:r>
        <w:rPr>
          <w:rFonts w:eastAsiaTheme="minorEastAsia"/>
          <w:lang w:eastAsia="en-US"/>
        </w:rPr>
        <w:t>T</w:t>
      </w:r>
      <w:r w:rsidRPr="00680F6F">
        <w:rPr>
          <w:rFonts w:eastAsiaTheme="minorEastAsia"/>
          <w:lang w:eastAsia="en-US"/>
        </w:rPr>
        <w:t xml:space="preserve">he </w:t>
      </w:r>
      <w:r w:rsidR="0015471C" w:rsidRPr="00680F6F">
        <w:rPr>
          <w:rFonts w:eastAsiaTheme="minorEastAsia"/>
          <w:i/>
          <w:iCs/>
          <w:lang w:eastAsia="en-US"/>
        </w:rPr>
        <w:t>Charter of Human Rights and Responsibilities Act 2006</w:t>
      </w:r>
      <w:r w:rsidR="0015471C" w:rsidRPr="00680F6F">
        <w:rPr>
          <w:rFonts w:eastAsiaTheme="minorEastAsia"/>
          <w:lang w:eastAsia="en-US"/>
        </w:rPr>
        <w:t xml:space="preserve"> </w:t>
      </w:r>
      <w:r w:rsidR="000B0064">
        <w:rPr>
          <w:rFonts w:eastAsiaTheme="minorEastAsia"/>
          <w:lang w:eastAsia="en-US"/>
        </w:rPr>
        <w:t xml:space="preserve">(Vic) </w:t>
      </w:r>
      <w:r w:rsidR="0015471C" w:rsidRPr="00680F6F">
        <w:rPr>
          <w:rFonts w:eastAsiaTheme="minorEastAsia"/>
          <w:lang w:eastAsia="en-US"/>
        </w:rPr>
        <w:t>protects the freedom of thought, conscience, religion and belief.</w:t>
      </w:r>
      <w:r w:rsidR="0015471C" w:rsidRPr="00B94801">
        <w:rPr>
          <w:rStyle w:val="Rimandonotadichiusura"/>
          <w:rFonts w:asciiTheme="majorHAnsi" w:hAnsiTheme="majorHAnsi" w:cstheme="majorHAnsi"/>
          <w:szCs w:val="20"/>
        </w:rPr>
        <w:endnoteReference w:id="7"/>
      </w:r>
      <w:r w:rsidR="0015471C" w:rsidRPr="00680F6F">
        <w:rPr>
          <w:rStyle w:val="Rimandonotadichiusura"/>
          <w:rFonts w:asciiTheme="majorHAnsi" w:hAnsiTheme="majorHAnsi" w:cstheme="majorHAnsi"/>
          <w:szCs w:val="20"/>
        </w:rPr>
        <w:t xml:space="preserve"> </w:t>
      </w:r>
    </w:p>
    <w:p w14:paraId="62AAF87D" w14:textId="2C3DCF52" w:rsidR="0015471C" w:rsidRPr="0015471C" w:rsidRDefault="0015471C" w:rsidP="0015471C">
      <w:pPr>
        <w:rPr>
          <w:i/>
          <w:iCs/>
        </w:rPr>
      </w:pPr>
      <w:r>
        <w:t>VEOHRC</w:t>
      </w:r>
      <w:r w:rsidRPr="00B94801">
        <w:t xml:space="preserve"> can receive and conciliate complaints of religious discrimination or vilification that arise under the </w:t>
      </w:r>
      <w:r w:rsidRPr="00B76D01">
        <w:rPr>
          <w:i/>
          <w:iCs/>
        </w:rPr>
        <w:t>Equal Opportunity Act</w:t>
      </w:r>
      <w:r w:rsidRPr="00B94801">
        <w:t xml:space="preserve"> or </w:t>
      </w:r>
      <w:r w:rsidRPr="00B76D01">
        <w:rPr>
          <w:i/>
          <w:iCs/>
        </w:rPr>
        <w:t>Racial and Religious Tolerance Act</w:t>
      </w:r>
      <w:r w:rsidRPr="00B94801">
        <w:t>.</w:t>
      </w:r>
      <w:r>
        <w:rPr>
          <w:i/>
          <w:iCs/>
        </w:rPr>
        <w:t xml:space="preserve"> </w:t>
      </w:r>
      <w:r w:rsidRPr="00B94801">
        <w:t>VEOHRC also educates people about the rights and responsibilities contained in Victoria’s Charter of Human Rights and Responsibilities and raises awareness across the community about the importance of equality and human rights.</w:t>
      </w:r>
    </w:p>
    <w:p w14:paraId="62831992" w14:textId="39835137" w:rsidR="0015471C" w:rsidRPr="00B94801" w:rsidRDefault="0015471C" w:rsidP="0015471C">
      <w:r>
        <w:lastRenderedPageBreak/>
        <w:t>This Position Paper is based on the AHRC’s and VEOHRC’s collective experience and research in this area. In addition, t</w:t>
      </w:r>
      <w:r w:rsidRPr="00B94801">
        <w:t xml:space="preserve">he </w:t>
      </w:r>
      <w:r>
        <w:t xml:space="preserve">two Commissions </w:t>
      </w:r>
      <w:r w:rsidRPr="00B94801">
        <w:t xml:space="preserve">convened </w:t>
      </w:r>
      <w:r>
        <w:t xml:space="preserve">joint </w:t>
      </w:r>
      <w:r w:rsidRPr="00B94801">
        <w:t>roundtables in Sydney (11 June 2019) and Melbourne (27 June 2019) on the topic of serious harms on the basis of religion. Leaders representing a wide variety of religious organisations, as well as academic researchers with relevant expertise, participated in these events.</w:t>
      </w:r>
    </w:p>
    <w:p w14:paraId="5A78E202" w14:textId="77777777" w:rsidR="0015471C" w:rsidRPr="00B94801" w:rsidRDefault="0015471C" w:rsidP="0015471C">
      <w:r w:rsidRPr="00B94801">
        <w:t>The roundtables provided an opportunity:</w:t>
      </w:r>
    </w:p>
    <w:p w14:paraId="6A835D1C" w14:textId="77777777" w:rsidR="0015471C" w:rsidRPr="00680F6F" w:rsidRDefault="0015471C" w:rsidP="00B557F7">
      <w:pPr>
        <w:pStyle w:val="Paragrafoelenco"/>
        <w:numPr>
          <w:ilvl w:val="0"/>
          <w:numId w:val="25"/>
        </w:numPr>
        <w:rPr>
          <w:lang w:val="en-GB"/>
        </w:rPr>
      </w:pPr>
      <w:r w:rsidRPr="00680F6F">
        <w:rPr>
          <w:lang w:val="en-GB"/>
        </w:rPr>
        <w:t>to discuss the available research on serious harms on the basis of religion</w:t>
      </w:r>
    </w:p>
    <w:p w14:paraId="4C97FB13" w14:textId="77777777" w:rsidR="0015471C" w:rsidRPr="00680F6F" w:rsidRDefault="0015471C" w:rsidP="00B557F7">
      <w:pPr>
        <w:pStyle w:val="Paragrafoelenco"/>
        <w:numPr>
          <w:ilvl w:val="0"/>
          <w:numId w:val="25"/>
        </w:numPr>
        <w:rPr>
          <w:lang w:val="en-GB"/>
        </w:rPr>
      </w:pPr>
      <w:r w:rsidRPr="00680F6F">
        <w:rPr>
          <w:lang w:val="en-GB"/>
        </w:rPr>
        <w:t>for the religious organisations represented to share their experience of serious harms</w:t>
      </w:r>
    </w:p>
    <w:p w14:paraId="614523AF" w14:textId="7A245A93" w:rsidR="0015471C" w:rsidRPr="00680F6F" w:rsidRDefault="0015471C" w:rsidP="00B557F7">
      <w:pPr>
        <w:pStyle w:val="Paragrafoelenco"/>
        <w:numPr>
          <w:ilvl w:val="0"/>
          <w:numId w:val="25"/>
        </w:numPr>
        <w:rPr>
          <w:lang w:val="en-GB"/>
        </w:rPr>
      </w:pPr>
      <w:r w:rsidRPr="00680F6F">
        <w:rPr>
          <w:lang w:val="en-GB"/>
        </w:rPr>
        <w:t>to discuss ways in which these problems should be addressed.</w:t>
      </w:r>
    </w:p>
    <w:p w14:paraId="3B884F83" w14:textId="4C6F854C" w:rsidR="0015471C" w:rsidRPr="0015471C" w:rsidRDefault="0015471C" w:rsidP="0015471C">
      <w:r w:rsidRPr="00B94801">
        <w:t xml:space="preserve">While </w:t>
      </w:r>
      <w:r>
        <w:t xml:space="preserve">this work was </w:t>
      </w:r>
      <w:r w:rsidRPr="00B94801">
        <w:t xml:space="preserve">not prompted by any particular event, </w:t>
      </w:r>
      <w:r>
        <w:t xml:space="preserve">much of it has taken </w:t>
      </w:r>
      <w:r w:rsidRPr="00B94801">
        <w:t xml:space="preserve">place in the aftermath of the killing of 51 people at </w:t>
      </w:r>
      <w:r w:rsidR="000F168D">
        <w:t xml:space="preserve">the Al Noor </w:t>
      </w:r>
      <w:r w:rsidRPr="00B94801">
        <w:t xml:space="preserve">mosque </w:t>
      </w:r>
      <w:r w:rsidR="00BD602D">
        <w:t xml:space="preserve">and Linwood Islamic Centre </w:t>
      </w:r>
      <w:r w:rsidRPr="00B94801">
        <w:t>in Christchurch</w:t>
      </w:r>
      <w:r w:rsidR="00D5774D">
        <w:t xml:space="preserve"> </w:t>
      </w:r>
      <w:r w:rsidR="000F168D">
        <w:t>in</w:t>
      </w:r>
      <w:r w:rsidRPr="00B94801">
        <w:t xml:space="preserve"> March 2019. </w:t>
      </w:r>
      <w:proofErr w:type="gramStart"/>
      <w:r w:rsidRPr="00B94801">
        <w:t>Also</w:t>
      </w:r>
      <w:proofErr w:type="gramEnd"/>
      <w:r w:rsidRPr="00B94801">
        <w:t xml:space="preserve"> in recent memory was the killing of 11 people in an antisemitic attack at a synagogue in Pittsburgh, United States, on 27 October 2018. One school-aged roundtable participant lost a relative in the Christchurch attacks. Her deeply moving personal testimony reminded participants of the need to counter the rise of white supremacist extremism, which </w:t>
      </w:r>
      <w:r w:rsidR="000F168D">
        <w:t xml:space="preserve">is </w:t>
      </w:r>
      <w:r w:rsidRPr="00B94801">
        <w:t xml:space="preserve">often </w:t>
      </w:r>
      <w:r w:rsidR="000F168D" w:rsidRPr="00B94801">
        <w:t>target</w:t>
      </w:r>
      <w:r w:rsidR="000F168D">
        <w:t>ed at</w:t>
      </w:r>
      <w:r w:rsidR="000F168D" w:rsidRPr="00B94801">
        <w:t xml:space="preserve"> </w:t>
      </w:r>
      <w:r w:rsidRPr="00B94801">
        <w:t>religious or racial minorities.</w:t>
      </w:r>
    </w:p>
    <w:p w14:paraId="6340DB12" w14:textId="680A759C" w:rsidR="009F2764" w:rsidRDefault="00BC7282" w:rsidP="009E08D1">
      <w:pPr>
        <w:pStyle w:val="Titolo1"/>
      </w:pPr>
      <w:bookmarkStart w:id="8" w:name="_Toc43882215"/>
      <w:r>
        <w:t>Experiences of serious harm</w:t>
      </w:r>
      <w:bookmarkEnd w:id="8"/>
    </w:p>
    <w:p w14:paraId="1D066671" w14:textId="6768DB23" w:rsidR="0082636C" w:rsidRPr="00B94801" w:rsidRDefault="0082636C" w:rsidP="00B557F7">
      <w:r w:rsidRPr="00B94801">
        <w:t>Much of the available information on Australians’ experiences of serious harms on the basis of their religion is generated by religious communities themselves. In particular, representatives of Australia’s Jewish and Muslim communities have each sought to document the reported experience of prejudice and harmful conduct from within their respective communities.</w:t>
      </w:r>
    </w:p>
    <w:p w14:paraId="1994C92E" w14:textId="77777777" w:rsidR="0082636C" w:rsidRPr="00B94801" w:rsidRDefault="0082636C" w:rsidP="00EE5606">
      <w:pPr>
        <w:pStyle w:val="Titolo3"/>
        <w:rPr>
          <w:i w:val="0"/>
        </w:rPr>
      </w:pPr>
      <w:r w:rsidRPr="00B94801">
        <w:t>Executive Council of Australian Jewry</w:t>
      </w:r>
    </w:p>
    <w:p w14:paraId="421DE7E6" w14:textId="7DCF7A40" w:rsidR="0082636C" w:rsidRPr="00B94801" w:rsidRDefault="0082636C" w:rsidP="00B557F7">
      <w:r w:rsidRPr="00B94801">
        <w:t>The Executive Council of Australian Jewry (ECAJ) regularly reports on antisemitism in Australia. ECAJ’s highly detailed reports are based on incidents self-reported by members of the Jewish community in each state, and on the Council’s analysis of media, social media, political discourse and other sources. ECAJ adopts a working definition of ‘antisemitism’:</w:t>
      </w:r>
    </w:p>
    <w:p w14:paraId="56D9460D" w14:textId="24557593" w:rsidR="0082636C" w:rsidRPr="00B94801" w:rsidRDefault="0082636C" w:rsidP="00FD6DFF">
      <w:pPr>
        <w:pStyle w:val="Citazione"/>
      </w:pPr>
      <w:r w:rsidRPr="00BC5039">
        <w:lastRenderedPageBreak/>
        <w:t>Antisemitism is a certain perception of Jews, which may be expressed as hatred toward Jews. Rhetorical and physical manifestations of antisemitism are directed toward Jewish or non-Jewish individuals and/or their property, toward Jewish community institutions and religious facilities.</w:t>
      </w:r>
      <w:r>
        <w:rPr>
          <w:rStyle w:val="Rimandonotadichiusura"/>
          <w:rFonts w:asciiTheme="majorHAnsi" w:hAnsiTheme="majorHAnsi" w:cstheme="majorHAnsi"/>
          <w:szCs w:val="20"/>
        </w:rPr>
        <w:endnoteReference w:id="8"/>
      </w:r>
    </w:p>
    <w:p w14:paraId="792C88A6" w14:textId="344EA67D" w:rsidR="0082636C" w:rsidRPr="00B94801" w:rsidRDefault="0082636C" w:rsidP="00B557F7">
      <w:r w:rsidRPr="00B94801">
        <w:t xml:space="preserve">The 2018 report </w:t>
      </w:r>
      <w:r w:rsidR="000F168D">
        <w:t xml:space="preserve">recorded </w:t>
      </w:r>
      <w:r w:rsidR="00632904">
        <w:t xml:space="preserve">366 antisemitic incidents, </w:t>
      </w:r>
      <w:r w:rsidRPr="00B94801">
        <w:t>an unprecedented increase of 59</w:t>
      </w:r>
      <w:r w:rsidR="000F168D">
        <w:t>%</w:t>
      </w:r>
      <w:r w:rsidRPr="00B94801">
        <w:t xml:space="preserve"> from the previous twelve-month period. The 2019 report </w:t>
      </w:r>
      <w:r w:rsidR="000F168D">
        <w:t>recorded</w:t>
      </w:r>
      <w:r w:rsidR="000F168D" w:rsidRPr="00B94801">
        <w:t xml:space="preserve"> </w:t>
      </w:r>
      <w:r w:rsidRPr="00B94801">
        <w:t xml:space="preserve">368 incidents. Incidents </w:t>
      </w:r>
      <w:proofErr w:type="gramStart"/>
      <w:r w:rsidRPr="00B94801">
        <w:t>include</w:t>
      </w:r>
      <w:r w:rsidR="000F168D">
        <w:t>:</w:t>
      </w:r>
      <w:proofErr w:type="gramEnd"/>
      <w:r w:rsidRPr="00B94801">
        <w:t xml:space="preserve"> physical assault; abuse, harassment and intimidation; vandalism; graffiti; </w:t>
      </w:r>
      <w:r w:rsidR="000F168D">
        <w:t xml:space="preserve">and </w:t>
      </w:r>
      <w:r w:rsidRPr="00B94801">
        <w:t>hate communication</w:t>
      </w:r>
      <w:r w:rsidR="000F168D">
        <w:t>s</w:t>
      </w:r>
      <w:r w:rsidRPr="00B94801">
        <w:t xml:space="preserve"> via email</w:t>
      </w:r>
      <w:r>
        <w:t>,</w:t>
      </w:r>
      <w:r w:rsidRPr="00B94801">
        <w:t xml:space="preserve"> postal mail</w:t>
      </w:r>
      <w:r>
        <w:t>,</w:t>
      </w:r>
      <w:r w:rsidRPr="00B94801">
        <w:t xml:space="preserve"> telephone</w:t>
      </w:r>
      <w:r>
        <w:t>,</w:t>
      </w:r>
      <w:r w:rsidRPr="00B94801">
        <w:t xml:space="preserve"> leaflets, posters and stickers. While there was only a small increase in the overall number of incidents recorded between 2018 and 2019, there was a larger increase in certain categories of incidents of a more serious kind, including verbal abuse, harassment and intimidation.</w:t>
      </w:r>
      <w:r>
        <w:rPr>
          <w:rStyle w:val="Rimandonotadichiusura"/>
          <w:rFonts w:asciiTheme="majorHAnsi" w:hAnsiTheme="majorHAnsi" w:cstheme="majorHAnsi"/>
          <w:szCs w:val="20"/>
        </w:rPr>
        <w:endnoteReference w:id="9"/>
      </w:r>
    </w:p>
    <w:p w14:paraId="3C833BEB" w14:textId="6300D224" w:rsidR="0082636C" w:rsidRPr="00B94801" w:rsidRDefault="0082636C" w:rsidP="00B557F7">
      <w:r w:rsidRPr="00B94801">
        <w:t xml:space="preserve">The ECAJ report shows the </w:t>
      </w:r>
      <w:r w:rsidR="0070552D">
        <w:t>impact on individuals of harms committed</w:t>
      </w:r>
      <w:r w:rsidRPr="00B94801">
        <w:t xml:space="preserve"> on the basis of race or religion:</w:t>
      </w:r>
    </w:p>
    <w:p w14:paraId="119E8AB4" w14:textId="77777777" w:rsidR="0082636C" w:rsidRPr="00B557F7" w:rsidRDefault="0082636C" w:rsidP="00B557F7">
      <w:pPr>
        <w:pStyle w:val="Paragrafoelenco"/>
        <w:numPr>
          <w:ilvl w:val="0"/>
          <w:numId w:val="26"/>
        </w:numPr>
        <w:rPr>
          <w:lang w:val="en-GB"/>
        </w:rPr>
      </w:pPr>
      <w:r w:rsidRPr="00B557F7">
        <w:rPr>
          <w:lang w:val="en-GB"/>
        </w:rPr>
        <w:t>In July 2019 a 12-year-old Jewish boy at a public school in Melbourne was seriously assaulted by other students, who shouted antisemitic slurs during the assault. The boy required hospitalisation.</w:t>
      </w:r>
      <w:r>
        <w:rPr>
          <w:rStyle w:val="Rimandonotadichiusura"/>
          <w:rFonts w:asciiTheme="majorHAnsi" w:hAnsiTheme="majorHAnsi" w:cstheme="majorHAnsi"/>
          <w:szCs w:val="20"/>
          <w:lang w:val="en-GB"/>
        </w:rPr>
        <w:endnoteReference w:id="10"/>
      </w:r>
    </w:p>
    <w:p w14:paraId="0A3BD730" w14:textId="77777777" w:rsidR="0082636C" w:rsidRPr="00B557F7" w:rsidRDefault="0082636C" w:rsidP="00B557F7">
      <w:pPr>
        <w:pStyle w:val="Paragrafoelenco"/>
        <w:numPr>
          <w:ilvl w:val="0"/>
          <w:numId w:val="26"/>
        </w:numPr>
        <w:rPr>
          <w:lang w:val="en-GB"/>
        </w:rPr>
      </w:pPr>
      <w:r w:rsidRPr="00B557F7">
        <w:rPr>
          <w:lang w:val="en-GB"/>
        </w:rPr>
        <w:t>In October 2018 a group of Jewish students in Sydney were filmed and the footage placed on Instagram. Accompanying the footage was a caption reading ‘Put them in the oven? Yes/No’.</w:t>
      </w:r>
      <w:r>
        <w:rPr>
          <w:rStyle w:val="Rimandonotadichiusura"/>
          <w:rFonts w:asciiTheme="majorHAnsi" w:hAnsiTheme="majorHAnsi" w:cstheme="majorHAnsi"/>
          <w:szCs w:val="20"/>
          <w:lang w:val="en-GB"/>
        </w:rPr>
        <w:endnoteReference w:id="11"/>
      </w:r>
    </w:p>
    <w:p w14:paraId="34BAFDF7" w14:textId="318A9069" w:rsidR="0082636C" w:rsidRPr="00B557F7" w:rsidRDefault="0082636C" w:rsidP="00B557F7">
      <w:pPr>
        <w:pStyle w:val="Paragrafoelenco"/>
        <w:numPr>
          <w:ilvl w:val="0"/>
          <w:numId w:val="26"/>
        </w:numPr>
        <w:rPr>
          <w:lang w:val="en-GB"/>
        </w:rPr>
      </w:pPr>
      <w:r w:rsidRPr="00B557F7">
        <w:rPr>
          <w:lang w:val="en-GB"/>
        </w:rPr>
        <w:t>In October 2018 a Jewish teenage girl was targeted by two teenage boys on a bus. They said, among other things, that it was a ‘shame Hitler didn’t kill all the Jews</w:t>
      </w:r>
      <w:r w:rsidR="000F168D">
        <w:rPr>
          <w:lang w:val="en-GB"/>
        </w:rPr>
        <w:t>’</w:t>
      </w:r>
      <w:r w:rsidRPr="00B557F7">
        <w:rPr>
          <w:lang w:val="en-GB"/>
        </w:rPr>
        <w:t>. She was then followed by the perpetrators for two blocks.</w:t>
      </w:r>
      <w:r>
        <w:rPr>
          <w:rStyle w:val="Rimandonotadichiusura"/>
          <w:rFonts w:asciiTheme="majorHAnsi" w:hAnsiTheme="majorHAnsi" w:cstheme="majorHAnsi"/>
          <w:szCs w:val="20"/>
          <w:lang w:val="en-GB"/>
        </w:rPr>
        <w:endnoteReference w:id="12"/>
      </w:r>
    </w:p>
    <w:p w14:paraId="1A067C72" w14:textId="0662670A" w:rsidR="0082636C" w:rsidRPr="00B557F7" w:rsidRDefault="0082636C" w:rsidP="00B557F7">
      <w:pPr>
        <w:pStyle w:val="Paragrafoelenco"/>
        <w:numPr>
          <w:ilvl w:val="0"/>
          <w:numId w:val="26"/>
        </w:numPr>
        <w:rPr>
          <w:lang w:val="en-GB"/>
        </w:rPr>
      </w:pPr>
      <w:r w:rsidRPr="00B557F7">
        <w:rPr>
          <w:lang w:val="en-GB"/>
        </w:rPr>
        <w:t>In June 2019 a Jewish couple in Geelong, Victoria, had over a dozen pieces of pork thrown into their front yard.</w:t>
      </w:r>
      <w:r>
        <w:rPr>
          <w:rStyle w:val="Rimandonotadichiusura"/>
          <w:rFonts w:asciiTheme="majorHAnsi" w:hAnsiTheme="majorHAnsi" w:cstheme="majorHAnsi"/>
          <w:szCs w:val="20"/>
          <w:lang w:val="en-GB"/>
        </w:rPr>
        <w:endnoteReference w:id="13"/>
      </w:r>
    </w:p>
    <w:p w14:paraId="05E0E5E7" w14:textId="77777777" w:rsidR="0082636C" w:rsidRPr="00B94801" w:rsidRDefault="0082636C" w:rsidP="00EE5606">
      <w:pPr>
        <w:pStyle w:val="Titolo3"/>
      </w:pPr>
      <w:r w:rsidRPr="00B94801">
        <w:t>Islamophobia Register</w:t>
      </w:r>
    </w:p>
    <w:p w14:paraId="0313ED13" w14:textId="79D56D34" w:rsidR="0082636C" w:rsidRPr="00B94801" w:rsidRDefault="0082636C" w:rsidP="00B557F7">
      <w:r w:rsidRPr="00B94801">
        <w:t>Australia’s Muslim communities also collect information on serious harms. An Islamophobia Register was launched in 2014</w:t>
      </w:r>
      <w:r w:rsidR="0070552D">
        <w:t>, which has now reported twice. This gives</w:t>
      </w:r>
      <w:r w:rsidRPr="00B94801">
        <w:t xml:space="preserve"> Muslim Australians an opportunity to report experiences of Islamophobia</w:t>
      </w:r>
      <w:r w:rsidR="0070552D">
        <w:t>, which the Islamophobic Register defines as</w:t>
      </w:r>
      <w:r w:rsidRPr="00B94801">
        <w:t>:</w:t>
      </w:r>
      <w:r w:rsidR="00590BC7">
        <w:t xml:space="preserve"> </w:t>
      </w:r>
    </w:p>
    <w:p w14:paraId="31A8D19B" w14:textId="0E6B77F5" w:rsidR="0082636C" w:rsidRPr="00B94801" w:rsidRDefault="0070552D" w:rsidP="00FD6DFF">
      <w:pPr>
        <w:pStyle w:val="Citazione"/>
      </w:pPr>
      <w:r>
        <w:lastRenderedPageBreak/>
        <w:t xml:space="preserve">... </w:t>
      </w:r>
      <w:r w:rsidR="0082636C" w:rsidRPr="00B94801">
        <w:t>a form of racism that includes various forms of violence, violations, discrimination and subordination that occur across multiple sites in response to the problematisation of Muslim identity ... including physical attacks, assault, damage to property, offensive</w:t>
      </w:r>
      <w:r w:rsidR="00590BC7">
        <w:rPr>
          <w:rFonts w:ascii="Tahoma" w:hAnsi="Tahoma" w:cs="Tahoma"/>
        </w:rPr>
        <w:t xml:space="preserve"> </w:t>
      </w:r>
      <w:r w:rsidR="0082636C" w:rsidRPr="00B94801">
        <w:t>graffiti, non-verbal harassment, intimidation and online threats.</w:t>
      </w:r>
      <w:r w:rsidR="0082636C">
        <w:rPr>
          <w:rStyle w:val="Rimandonotadichiusura"/>
          <w:rFonts w:asciiTheme="majorHAnsi" w:hAnsiTheme="majorHAnsi" w:cstheme="majorHAnsi"/>
          <w:szCs w:val="20"/>
        </w:rPr>
        <w:endnoteReference w:id="14"/>
      </w:r>
    </w:p>
    <w:p w14:paraId="5D0DEDDE" w14:textId="1B91F033" w:rsidR="0082636C" w:rsidRPr="00B94801" w:rsidRDefault="0082636C" w:rsidP="00B557F7">
      <w:r w:rsidRPr="00B94801">
        <w:t xml:space="preserve">The second </w:t>
      </w:r>
      <w:r w:rsidRPr="00B94801">
        <w:rPr>
          <w:i/>
        </w:rPr>
        <w:t xml:space="preserve">Islamophobia in Australia </w:t>
      </w:r>
      <w:r w:rsidRPr="00B94801">
        <w:t>report was released in 2019. It documents 349 verified instances of reported Islamophobia from 2016 and 2017.</w:t>
      </w:r>
      <w:r w:rsidR="0070552D">
        <w:t xml:space="preserve"> The verification process includes following up reporters by email or phone calls, checking the details of cases, and identifying suspicious URLs.</w:t>
      </w:r>
      <w:r w:rsidRPr="00B94801">
        <w:t xml:space="preserve"> </w:t>
      </w:r>
    </w:p>
    <w:p w14:paraId="7A6B5215" w14:textId="77777777" w:rsidR="0082636C" w:rsidRPr="00B94801" w:rsidRDefault="0082636C" w:rsidP="00B557F7">
      <w:r w:rsidRPr="00B94801">
        <w:t>The data reveals some patterns in the nature of Islamophobic incidents:</w:t>
      </w:r>
    </w:p>
    <w:p w14:paraId="0238FA2D" w14:textId="63275656" w:rsidR="0082636C" w:rsidRPr="00B557F7" w:rsidRDefault="0082636C" w:rsidP="00B557F7">
      <w:pPr>
        <w:pStyle w:val="Paragrafoelenco"/>
        <w:numPr>
          <w:ilvl w:val="0"/>
          <w:numId w:val="27"/>
        </w:numPr>
        <w:rPr>
          <w:lang w:val="en-GB"/>
        </w:rPr>
      </w:pPr>
      <w:r w:rsidRPr="00B557F7">
        <w:rPr>
          <w:lang w:val="en-GB"/>
        </w:rPr>
        <w:t>72</w:t>
      </w:r>
      <w:r w:rsidR="000B7523">
        <w:rPr>
          <w:lang w:val="en-GB"/>
        </w:rPr>
        <w:t>%</w:t>
      </w:r>
      <w:r w:rsidRPr="00B557F7">
        <w:rPr>
          <w:lang w:val="en-GB"/>
        </w:rPr>
        <w:t xml:space="preserve"> of victims were women. </w:t>
      </w:r>
    </w:p>
    <w:p w14:paraId="5EE23E47" w14:textId="77281AB3" w:rsidR="0082636C" w:rsidRPr="00B557F7" w:rsidRDefault="0082636C" w:rsidP="00B557F7">
      <w:pPr>
        <w:pStyle w:val="Paragrafoelenco"/>
        <w:numPr>
          <w:ilvl w:val="0"/>
          <w:numId w:val="27"/>
        </w:numPr>
        <w:rPr>
          <w:lang w:val="en-GB"/>
        </w:rPr>
      </w:pPr>
      <w:r w:rsidRPr="00B557F7">
        <w:rPr>
          <w:lang w:val="en-GB"/>
        </w:rPr>
        <w:t>71</w:t>
      </w:r>
      <w:r w:rsidR="000B7523">
        <w:rPr>
          <w:lang w:val="en-GB"/>
        </w:rPr>
        <w:t>%</w:t>
      </w:r>
      <w:r w:rsidRPr="00B557F7">
        <w:rPr>
          <w:lang w:val="en-GB"/>
        </w:rPr>
        <w:t xml:space="preserve"> of perpetrators were men. </w:t>
      </w:r>
    </w:p>
    <w:p w14:paraId="287C10E6" w14:textId="58952FB9" w:rsidR="0082636C" w:rsidRPr="00B557F7" w:rsidRDefault="0082636C" w:rsidP="00B557F7">
      <w:pPr>
        <w:pStyle w:val="Paragrafoelenco"/>
        <w:numPr>
          <w:ilvl w:val="0"/>
          <w:numId w:val="27"/>
        </w:numPr>
        <w:rPr>
          <w:lang w:val="en-GB"/>
        </w:rPr>
      </w:pPr>
      <w:r w:rsidRPr="00B557F7">
        <w:rPr>
          <w:lang w:val="en-GB"/>
        </w:rPr>
        <w:t>Only 29</w:t>
      </w:r>
      <w:r w:rsidR="000B7523">
        <w:rPr>
          <w:lang w:val="en-GB"/>
        </w:rPr>
        <w:t>%</w:t>
      </w:r>
      <w:r w:rsidRPr="00B557F7">
        <w:rPr>
          <w:lang w:val="en-GB"/>
        </w:rPr>
        <w:t xml:space="preserve"> of incidents were reported to police. </w:t>
      </w:r>
    </w:p>
    <w:p w14:paraId="3AA10FA3" w14:textId="77777777" w:rsidR="0082636C" w:rsidRPr="00B557F7" w:rsidRDefault="0082636C" w:rsidP="00B557F7">
      <w:pPr>
        <w:pStyle w:val="Paragrafoelenco"/>
        <w:numPr>
          <w:ilvl w:val="0"/>
          <w:numId w:val="27"/>
        </w:numPr>
        <w:rPr>
          <w:lang w:val="en-GB"/>
        </w:rPr>
      </w:pPr>
      <w:r w:rsidRPr="00B557F7">
        <w:rPr>
          <w:lang w:val="en-GB"/>
        </w:rPr>
        <w:t xml:space="preserve">Police attended around half the incidents reported to them. </w:t>
      </w:r>
    </w:p>
    <w:p w14:paraId="4FE1B003" w14:textId="4438C094" w:rsidR="0082636C" w:rsidRPr="00B557F7" w:rsidRDefault="00B223C0" w:rsidP="00B557F7">
      <w:pPr>
        <w:pStyle w:val="Paragrafoelenco"/>
        <w:numPr>
          <w:ilvl w:val="0"/>
          <w:numId w:val="27"/>
        </w:numPr>
        <w:rPr>
          <w:lang w:val="en-GB"/>
        </w:rPr>
      </w:pPr>
      <w:r>
        <w:rPr>
          <w:lang w:val="en-GB"/>
        </w:rPr>
        <w:t>5</w:t>
      </w:r>
      <w:r w:rsidR="000B7523">
        <w:rPr>
          <w:lang w:val="en-GB"/>
        </w:rPr>
        <w:t>%</w:t>
      </w:r>
      <w:r>
        <w:rPr>
          <w:lang w:val="en-GB"/>
        </w:rPr>
        <w:t xml:space="preserve"> </w:t>
      </w:r>
      <w:r w:rsidR="0082636C" w:rsidRPr="00B557F7">
        <w:rPr>
          <w:lang w:val="en-GB"/>
        </w:rPr>
        <w:t xml:space="preserve">of incidents resulted in the victim requiring hospital treatment. </w:t>
      </w:r>
    </w:p>
    <w:p w14:paraId="202A4E17" w14:textId="1FC47FD3" w:rsidR="0082636C" w:rsidRPr="00B557F7" w:rsidRDefault="0082636C" w:rsidP="00B557F7">
      <w:pPr>
        <w:pStyle w:val="Paragrafoelenco"/>
        <w:numPr>
          <w:ilvl w:val="0"/>
          <w:numId w:val="27"/>
        </w:numPr>
        <w:rPr>
          <w:lang w:val="en-GB"/>
        </w:rPr>
      </w:pPr>
      <w:r w:rsidRPr="00B557F7">
        <w:rPr>
          <w:lang w:val="en-GB"/>
        </w:rPr>
        <w:t>14</w:t>
      </w:r>
      <w:r w:rsidR="000B7523">
        <w:rPr>
          <w:lang w:val="en-GB"/>
        </w:rPr>
        <w:t>%</w:t>
      </w:r>
      <w:r w:rsidRPr="00B557F7">
        <w:rPr>
          <w:lang w:val="en-GB"/>
        </w:rPr>
        <w:t xml:space="preserve"> of cases in the physical world (i.e. offline) involved children. </w:t>
      </w:r>
    </w:p>
    <w:p w14:paraId="0688D2B5" w14:textId="5FA0DDB4" w:rsidR="0082636C" w:rsidRPr="00B557F7" w:rsidRDefault="0082636C" w:rsidP="00B557F7">
      <w:pPr>
        <w:pStyle w:val="Paragrafoelenco"/>
        <w:numPr>
          <w:ilvl w:val="0"/>
          <w:numId w:val="27"/>
        </w:numPr>
        <w:rPr>
          <w:lang w:val="en-GB"/>
        </w:rPr>
      </w:pPr>
      <w:r w:rsidRPr="00B557F7">
        <w:rPr>
          <w:lang w:val="en-GB"/>
        </w:rPr>
        <w:t>Of female victims in the physical world, 96</w:t>
      </w:r>
      <w:r w:rsidR="000B7523">
        <w:rPr>
          <w:lang w:val="en-GB"/>
        </w:rPr>
        <w:t>%</w:t>
      </w:r>
      <w:r w:rsidRPr="00B557F7">
        <w:rPr>
          <w:lang w:val="en-GB"/>
        </w:rPr>
        <w:t xml:space="preserve"> were wearing a headscarf.</w:t>
      </w:r>
      <w:r>
        <w:rPr>
          <w:rStyle w:val="Rimandonotadichiusura"/>
          <w:rFonts w:asciiTheme="majorHAnsi" w:hAnsiTheme="majorHAnsi" w:cstheme="majorHAnsi"/>
          <w:szCs w:val="20"/>
          <w:lang w:val="en-GB"/>
        </w:rPr>
        <w:endnoteReference w:id="15"/>
      </w:r>
    </w:p>
    <w:p w14:paraId="33F47681" w14:textId="20A2EF16" w:rsidR="0082636C" w:rsidRPr="00B94801" w:rsidRDefault="0082636C" w:rsidP="00B557F7">
      <w:r w:rsidRPr="00B94801">
        <w:t xml:space="preserve">Like the ECAJ report, the </w:t>
      </w:r>
      <w:r w:rsidRPr="00B94801">
        <w:rPr>
          <w:i/>
        </w:rPr>
        <w:t>Islamophobia in Australia</w:t>
      </w:r>
      <w:r w:rsidRPr="00B94801">
        <w:t xml:space="preserve"> report offers powerful anecdotal </w:t>
      </w:r>
      <w:r w:rsidR="000B7523">
        <w:t>information</w:t>
      </w:r>
      <w:r w:rsidR="000B7523" w:rsidRPr="00B94801">
        <w:t xml:space="preserve"> </w:t>
      </w:r>
      <w:r w:rsidRPr="00B94801">
        <w:t>about the personal effects of Islamophobic abuse</w:t>
      </w:r>
      <w:r>
        <w:t>. For example</w:t>
      </w:r>
      <w:r w:rsidRPr="00B94801">
        <w:t>:</w:t>
      </w:r>
    </w:p>
    <w:p w14:paraId="4472FEEA" w14:textId="25BAE20E" w:rsidR="0082636C" w:rsidRPr="00956FD6" w:rsidRDefault="0082636C" w:rsidP="00956FD6">
      <w:pPr>
        <w:pStyle w:val="Paragrafoelenco"/>
        <w:numPr>
          <w:ilvl w:val="0"/>
          <w:numId w:val="28"/>
        </w:numPr>
        <w:rPr>
          <w:lang w:val="en-GB"/>
        </w:rPr>
      </w:pPr>
      <w:r w:rsidRPr="00956FD6">
        <w:rPr>
          <w:lang w:val="en-GB"/>
        </w:rPr>
        <w:t xml:space="preserve">A Muslim man reported an incident on a train trip he took with his wife and three children, all aged under ten. His wife wears the hijab. Another man on the train approached the family and asked if they were Muslim. When he found out they were, he verbally abused the parents. He then approached the children and said he would ‘love to kill them all’. The man told the </w:t>
      </w:r>
      <w:r w:rsidR="0070552D">
        <w:rPr>
          <w:lang w:val="en-GB"/>
        </w:rPr>
        <w:t xml:space="preserve">Islamophobia </w:t>
      </w:r>
      <w:r w:rsidRPr="00956FD6">
        <w:rPr>
          <w:lang w:val="en-GB"/>
        </w:rPr>
        <w:t>Register: ‘I cannot forget that journey for my entire life as I was sitting helplessly and watching him abuse myself, my wife and my children</w:t>
      </w:r>
      <w:r w:rsidR="000B7523">
        <w:rPr>
          <w:lang w:val="en-GB"/>
        </w:rPr>
        <w:t>’</w:t>
      </w:r>
      <w:r w:rsidRPr="00956FD6">
        <w:rPr>
          <w:lang w:val="en-GB"/>
        </w:rPr>
        <w:t>.</w:t>
      </w:r>
      <w:r>
        <w:rPr>
          <w:rStyle w:val="Rimandonotadichiusura"/>
          <w:rFonts w:asciiTheme="majorHAnsi" w:hAnsiTheme="majorHAnsi" w:cstheme="majorHAnsi"/>
          <w:szCs w:val="20"/>
          <w:lang w:val="en-GB"/>
        </w:rPr>
        <w:endnoteReference w:id="16"/>
      </w:r>
    </w:p>
    <w:p w14:paraId="0AAA3EDD" w14:textId="0D7EFC5F" w:rsidR="0082636C" w:rsidRPr="00956FD6" w:rsidRDefault="0082636C" w:rsidP="00956FD6">
      <w:pPr>
        <w:pStyle w:val="Paragrafoelenco"/>
        <w:numPr>
          <w:ilvl w:val="0"/>
          <w:numId w:val="28"/>
        </w:numPr>
        <w:rPr>
          <w:lang w:val="en-GB"/>
        </w:rPr>
      </w:pPr>
      <w:r w:rsidRPr="00956FD6">
        <w:rPr>
          <w:lang w:val="en-GB"/>
        </w:rPr>
        <w:t>A man praying in a car park was told to ‘get your own country’. He said: ‘I felt terrorised, harassed and scared by this man just because of my faith</w:t>
      </w:r>
      <w:r w:rsidR="000B7523">
        <w:rPr>
          <w:lang w:val="en-GB"/>
        </w:rPr>
        <w:t>’</w:t>
      </w:r>
      <w:r w:rsidRPr="00956FD6">
        <w:rPr>
          <w:lang w:val="en-GB"/>
        </w:rPr>
        <w:t>.</w:t>
      </w:r>
      <w:r>
        <w:rPr>
          <w:rStyle w:val="Rimandonotadichiusura"/>
          <w:rFonts w:asciiTheme="majorHAnsi" w:hAnsiTheme="majorHAnsi" w:cstheme="majorHAnsi"/>
          <w:szCs w:val="20"/>
          <w:lang w:val="en-GB"/>
        </w:rPr>
        <w:endnoteReference w:id="17"/>
      </w:r>
    </w:p>
    <w:p w14:paraId="17DB75CF" w14:textId="3A8CCB2B" w:rsidR="0082636C" w:rsidRPr="00956FD6" w:rsidRDefault="0082636C" w:rsidP="00B557F7">
      <w:pPr>
        <w:pStyle w:val="Paragrafoelenco"/>
        <w:numPr>
          <w:ilvl w:val="0"/>
          <w:numId w:val="28"/>
        </w:numPr>
        <w:rPr>
          <w:lang w:val="en-GB"/>
        </w:rPr>
      </w:pPr>
      <w:r w:rsidRPr="00956FD6">
        <w:rPr>
          <w:lang w:val="en-GB"/>
        </w:rPr>
        <w:lastRenderedPageBreak/>
        <w:t>Another woman was verbally abused while accompanied by her six-year-old daughter at a train station. She said: ‘How do I explain to a little child the harshest realities of religious and cultural discrimination Muslims are facing throughout the world?’</w:t>
      </w:r>
      <w:r>
        <w:rPr>
          <w:rStyle w:val="Rimandonotadichiusura"/>
          <w:rFonts w:asciiTheme="majorHAnsi" w:hAnsiTheme="majorHAnsi" w:cstheme="majorHAnsi"/>
          <w:szCs w:val="20"/>
          <w:lang w:val="en-GB"/>
        </w:rPr>
        <w:endnoteReference w:id="18"/>
      </w:r>
    </w:p>
    <w:p w14:paraId="59434DC1" w14:textId="77777777" w:rsidR="0082636C" w:rsidRPr="00B94801" w:rsidRDefault="0082636C" w:rsidP="00EE5606">
      <w:pPr>
        <w:pStyle w:val="Titolo3"/>
      </w:pPr>
      <w:r w:rsidRPr="00B94801">
        <w:t>Roundtables</w:t>
      </w:r>
    </w:p>
    <w:p w14:paraId="67FB6967" w14:textId="4637676B" w:rsidR="0082636C" w:rsidRPr="00B94801" w:rsidRDefault="0082636C" w:rsidP="00B557F7">
      <w:r w:rsidRPr="00B94801">
        <w:t xml:space="preserve">The roundtables held by the AHRC and VEOHRC also canvassed the experiences of people of faith. </w:t>
      </w:r>
      <w:r w:rsidR="000B7523">
        <w:t>Alt</w:t>
      </w:r>
      <w:r w:rsidRPr="00B94801">
        <w:t xml:space="preserve">hough Australia has not experienced an incident of racial or religious hatred on the scale of </w:t>
      </w:r>
      <w:r w:rsidR="000B7523">
        <w:t xml:space="preserve">the </w:t>
      </w:r>
      <w:r w:rsidRPr="00B94801">
        <w:t>Christchurch</w:t>
      </w:r>
      <w:r w:rsidR="000B7523">
        <w:t xml:space="preserve"> killings</w:t>
      </w:r>
      <w:r w:rsidRPr="00B94801">
        <w:t xml:space="preserve">, many roundtable participants </w:t>
      </w:r>
      <w:r w:rsidR="0070552D">
        <w:t xml:space="preserve">expressed the view </w:t>
      </w:r>
      <w:r w:rsidRPr="00B94801">
        <w:t>that incidents of violence, abuse and intimidation against members of their communities, both online and offline, were increasing. As well as detailing several cases of serious harms, roundtable participants pointed to an increasing atmosphere of hostility and discrimination, which can create an environment in which serious harms can occur.</w:t>
      </w:r>
    </w:p>
    <w:p w14:paraId="40EC76D4" w14:textId="470C7C28" w:rsidR="0082636C" w:rsidRPr="00B94801" w:rsidRDefault="0082636C" w:rsidP="00B557F7">
      <w:r w:rsidRPr="00B94801">
        <w:t xml:space="preserve">Incidents </w:t>
      </w:r>
      <w:r w:rsidR="000B7523">
        <w:t xml:space="preserve">reported had begun </w:t>
      </w:r>
      <w:r w:rsidRPr="00B94801">
        <w:t>at an early age. One participant spoke of a Muslim girl who had been labelled a ‘terrorist’ from her early years at school. A female teacher from a Muslim primary school recounted a public excursion where a man in the street verbally abused a group of her students, who were in school uniform. Though she reported this incident to the police, it was</w:t>
      </w:r>
      <w:r w:rsidR="000B7523">
        <w:t xml:space="preserve"> </w:t>
      </w:r>
      <w:r w:rsidRPr="00B94801">
        <w:t>n</w:t>
      </w:r>
      <w:r w:rsidR="000B7523">
        <w:t>o</w:t>
      </w:r>
      <w:r w:rsidRPr="00B94801">
        <w:t xml:space="preserve">t taken further. When the teacher tried to address the incident with her students, they </w:t>
      </w:r>
      <w:r w:rsidR="000B7523">
        <w:t>told</w:t>
      </w:r>
      <w:r w:rsidR="000B7523" w:rsidRPr="00B94801">
        <w:t xml:space="preserve"> </w:t>
      </w:r>
      <w:r w:rsidRPr="00B94801">
        <w:t>her not to worry, as they had experienced this kind of abuse in public before: ‘We’ll get over it</w:t>
      </w:r>
      <w:r w:rsidR="000B7523">
        <w:t>’</w:t>
      </w:r>
      <w:r w:rsidRPr="00B94801">
        <w:t xml:space="preserve">, they </w:t>
      </w:r>
      <w:r w:rsidR="000B7523">
        <w:t>said</w:t>
      </w:r>
      <w:r w:rsidRPr="00B94801">
        <w:t xml:space="preserve">. </w:t>
      </w:r>
    </w:p>
    <w:p w14:paraId="2EDA6389" w14:textId="3F68B8B0" w:rsidR="0082636C" w:rsidRPr="00B94801" w:rsidRDefault="0082636C" w:rsidP="00B557F7">
      <w:r w:rsidRPr="00B94801">
        <w:t xml:space="preserve">Several attendees noted that it </w:t>
      </w:r>
      <w:r w:rsidR="000B7523">
        <w:t>was</w:t>
      </w:r>
      <w:r w:rsidR="000B7523" w:rsidRPr="00B94801">
        <w:t xml:space="preserve"> </w:t>
      </w:r>
      <w:r w:rsidRPr="00B94801">
        <w:t>common for children to be present during incidents of public discrimination against their parents or carers. A frequent site of discrimination against Muslims was reported to be shopping centres, with security guards perceived as not responding adequately.</w:t>
      </w:r>
    </w:p>
    <w:p w14:paraId="4B61940B" w14:textId="50688709" w:rsidR="0082636C" w:rsidRPr="00B94801" w:rsidRDefault="0082636C" w:rsidP="00B557F7">
      <w:r w:rsidRPr="00B94801">
        <w:t xml:space="preserve">Many participants spoke of the practical and psychological </w:t>
      </w:r>
      <w:r w:rsidR="00C25926">
        <w:t xml:space="preserve">impacts </w:t>
      </w:r>
      <w:r w:rsidRPr="00B94801">
        <w:t>of these harms, both on an individual and commun</w:t>
      </w:r>
      <w:r>
        <w:t>ity</w:t>
      </w:r>
      <w:r w:rsidRPr="00B94801">
        <w:t xml:space="preserve"> level. A Jewish representative said that Jews in Australia do</w:t>
      </w:r>
      <w:r w:rsidR="00BB0DC7">
        <w:t xml:space="preserve"> not</w:t>
      </w:r>
      <w:r w:rsidR="00BB0DC7" w:rsidRPr="00B94801">
        <w:t xml:space="preserve"> </w:t>
      </w:r>
      <w:r w:rsidRPr="00B94801">
        <w:t xml:space="preserve">feel they can organise community events without intense security processes including, for example, checking the undersides of cars for bombs. A participant from the Uniting Church shared research showing that when Muslim women are abused or discriminated against in public, they tend to retreat into the </w:t>
      </w:r>
      <w:r>
        <w:t>home.</w:t>
      </w:r>
      <w:r>
        <w:rPr>
          <w:rStyle w:val="Rimandonotadichiusura"/>
          <w:rFonts w:asciiTheme="majorHAnsi" w:hAnsiTheme="majorHAnsi" w:cstheme="majorHAnsi"/>
          <w:szCs w:val="20"/>
        </w:rPr>
        <w:endnoteReference w:id="19"/>
      </w:r>
      <w:r>
        <w:t xml:space="preserve"> A Muslim participant </w:t>
      </w:r>
      <w:r w:rsidRPr="00B94801">
        <w:t xml:space="preserve">noted </w:t>
      </w:r>
      <w:r>
        <w:t xml:space="preserve">the fear of abuse or discrimination on the basis of their religious identity has </w:t>
      </w:r>
      <w:r w:rsidR="00BB0DC7">
        <w:t xml:space="preserve">affected </w:t>
      </w:r>
      <w:r w:rsidRPr="00B94801">
        <w:t>women’s ability to participate in work or study.</w:t>
      </w:r>
    </w:p>
    <w:p w14:paraId="3C6E5771" w14:textId="3BC6F702" w:rsidR="0082636C" w:rsidRPr="00B94801" w:rsidRDefault="0082636C" w:rsidP="00B557F7">
      <w:r w:rsidRPr="00B94801">
        <w:lastRenderedPageBreak/>
        <w:t>Discrimination can also lead to a lack of a sense of belonging in Australia. A Muslim participant, born in Australia, described a recent conversation with her 16-year-old daughter, who was also born in Australia. The mother had assumed that, being third generation</w:t>
      </w:r>
      <w:r w:rsidR="00BB0DC7">
        <w:t xml:space="preserve"> Australian</w:t>
      </w:r>
      <w:r w:rsidRPr="00B94801">
        <w:t>, her daughter would feel ‘more Australian’ than she did. Instead</w:t>
      </w:r>
      <w:r w:rsidR="00BB0DC7">
        <w:t>,</w:t>
      </w:r>
      <w:r w:rsidRPr="00B94801">
        <w:t xml:space="preserve"> the daughter confessed to feeling unwanted and un-Australian because of her religious identity. </w:t>
      </w:r>
    </w:p>
    <w:p w14:paraId="701D5174" w14:textId="77777777" w:rsidR="0082636C" w:rsidRPr="00B94801" w:rsidRDefault="0082636C" w:rsidP="00EE5606">
      <w:pPr>
        <w:pStyle w:val="Titolo3"/>
      </w:pPr>
      <w:r w:rsidRPr="00B94801">
        <w:t>Experience of other religious communities in Australia</w:t>
      </w:r>
    </w:p>
    <w:p w14:paraId="13198DCA" w14:textId="487FC93F" w:rsidR="0082636C" w:rsidRPr="00B94801" w:rsidRDefault="0082636C" w:rsidP="00B557F7">
      <w:r w:rsidRPr="00B94801">
        <w:t>Aside from the valuable work done by ECAJ, the Islamophobia Register and others, there are gaps in the research into Australians’ experiences of religious freedom</w:t>
      </w:r>
      <w:r w:rsidR="00BB0DC7">
        <w:t>,</w:t>
      </w:r>
      <w:r w:rsidRPr="00B94801">
        <w:t xml:space="preserve"> or its denial. </w:t>
      </w:r>
      <w:r>
        <w:t>For example, w</w:t>
      </w:r>
      <w:r w:rsidRPr="00B94801">
        <w:t>hen it comes to the religious freedom of Christians</w:t>
      </w:r>
      <w:r>
        <w:t xml:space="preserve"> and other religious communities</w:t>
      </w:r>
      <w:r w:rsidRPr="00B94801">
        <w:t xml:space="preserve">, much of the currently available data is </w:t>
      </w:r>
      <w:r w:rsidR="00BB0DC7">
        <w:t xml:space="preserve">also </w:t>
      </w:r>
      <w:r w:rsidRPr="00B94801">
        <w:t xml:space="preserve">anecdotal in nature. </w:t>
      </w:r>
    </w:p>
    <w:p w14:paraId="6B74A310" w14:textId="75105B58" w:rsidR="0082636C" w:rsidRPr="00B94801" w:rsidRDefault="0082636C" w:rsidP="009B6882">
      <w:r w:rsidRPr="00B94801">
        <w:t xml:space="preserve">Some anecdotal </w:t>
      </w:r>
      <w:r w:rsidR="00BB0DC7">
        <w:t>information</w:t>
      </w:r>
      <w:r w:rsidR="00BB0DC7" w:rsidRPr="00B94801">
        <w:t xml:space="preserve"> </w:t>
      </w:r>
      <w:r w:rsidRPr="00B94801">
        <w:t>can be found in submissions made to parliamentary and other inquiries by organisations such as Freedom for Faith. In a submission to the Australian Government’s Religious Freedom Review, chaired by the Hon. Philip Ruddock, Freedom for Faith noted that</w:t>
      </w:r>
      <w:r w:rsidR="009B6882">
        <w:t xml:space="preserve"> </w:t>
      </w:r>
      <w:r w:rsidRPr="00B94801">
        <w:t>the Australian Christian Lobby has reported numerous death threats to its staff in recent years, and female staff have been sent pornographic material. Suspicious packages containing white powder have been mailed to ACL, causing an Australia Post mail centre to be evacuated.</w:t>
      </w:r>
    </w:p>
    <w:p w14:paraId="4F5E6384" w14:textId="0F8D4458" w:rsidR="0082636C" w:rsidRPr="00B94801" w:rsidRDefault="0082636C" w:rsidP="00B557F7">
      <w:r w:rsidRPr="00B94801">
        <w:t xml:space="preserve">The submission also </w:t>
      </w:r>
      <w:r w:rsidR="00BB0DC7" w:rsidRPr="00B94801">
        <w:t>note</w:t>
      </w:r>
      <w:r w:rsidR="00BB0DC7">
        <w:t>d</w:t>
      </w:r>
      <w:r w:rsidR="00BB0DC7" w:rsidRPr="00B94801">
        <w:t xml:space="preserve"> </w:t>
      </w:r>
      <w:r w:rsidRPr="00B94801">
        <w:t>that ‘churches have also been subjected to arson attacks and other criminal damage. In Geelong, for example, five churches were burned down between 2015–16, belonging to different Christian denominations.’</w:t>
      </w:r>
      <w:r>
        <w:rPr>
          <w:rStyle w:val="Rimandonotadichiusura"/>
          <w:rFonts w:asciiTheme="majorHAnsi" w:hAnsiTheme="majorHAnsi" w:cstheme="majorHAnsi"/>
          <w:szCs w:val="20"/>
        </w:rPr>
        <w:endnoteReference w:id="20"/>
      </w:r>
    </w:p>
    <w:p w14:paraId="29D1046C" w14:textId="021F7574" w:rsidR="0082636C" w:rsidRPr="00B94801" w:rsidRDefault="0082636C" w:rsidP="00B557F7">
      <w:r w:rsidRPr="00B94801">
        <w:t>Consultations by AHRC</w:t>
      </w:r>
      <w:r>
        <w:t xml:space="preserve"> and VEOHRC</w:t>
      </w:r>
      <w:r w:rsidRPr="00B94801">
        <w:t xml:space="preserve"> staff with representatives of other religious communities, including the Hindu and Sikh communities, also reveal anecdotal </w:t>
      </w:r>
      <w:r w:rsidR="00BB0DC7">
        <w:t>information</w:t>
      </w:r>
      <w:r w:rsidR="00BB0DC7" w:rsidRPr="00B94801">
        <w:t xml:space="preserve"> </w:t>
      </w:r>
      <w:r w:rsidRPr="00B94801">
        <w:t>of possible violations of religious freedom including, for example, dietary requirements not being respected in prisons.</w:t>
      </w:r>
      <w:r>
        <w:t xml:space="preserve"> We also heard during our consultations from members of the Sikh community that they</w:t>
      </w:r>
      <w:r w:rsidR="00BB0DC7">
        <w:t>,</w:t>
      </w:r>
      <w:r>
        <w:t xml:space="preserve"> too</w:t>
      </w:r>
      <w:r w:rsidR="00BB0DC7">
        <w:t>,</w:t>
      </w:r>
      <w:r>
        <w:t xml:space="preserve"> experience serious harms, sometimes because they are incorrectly identified as Muslim. </w:t>
      </w:r>
      <w:r w:rsidRPr="00B94801">
        <w:t>In October 2018, SBS reported that more than 30 statues at the</w:t>
      </w:r>
      <w:r w:rsidR="00125CA3">
        <w:t xml:space="preserve"> Hindu</w:t>
      </w:r>
      <w:r w:rsidRPr="00B94801">
        <w:t xml:space="preserve"> </w:t>
      </w:r>
      <w:proofErr w:type="spellStart"/>
      <w:r w:rsidRPr="00B94801">
        <w:t>Barathiye</w:t>
      </w:r>
      <w:proofErr w:type="spellEnd"/>
      <w:r w:rsidRPr="00B94801">
        <w:t xml:space="preserve"> Mandir Temple in Sydney’s Regents Park were destroyed after vandals set fire to the interior of the temple. </w:t>
      </w:r>
      <w:proofErr w:type="gramStart"/>
      <w:r w:rsidRPr="00B94801">
        <w:t>The perpetrators broke instruments,</w:t>
      </w:r>
      <w:proofErr w:type="gramEnd"/>
      <w:r w:rsidRPr="00B94801">
        <w:t xml:space="preserve"> covered the room with paint, smashed items and wrote the word ‘Jesus’ on a wall. Head priest Pundit Paras Maharaj said, ‘We never expected anything like this to happen in Australia.’</w:t>
      </w:r>
      <w:r>
        <w:rPr>
          <w:rStyle w:val="Rimandonotadichiusura"/>
          <w:rFonts w:asciiTheme="majorHAnsi" w:hAnsiTheme="majorHAnsi" w:cstheme="majorHAnsi"/>
          <w:szCs w:val="20"/>
        </w:rPr>
        <w:endnoteReference w:id="21"/>
      </w:r>
    </w:p>
    <w:p w14:paraId="744ED86E" w14:textId="551145C0" w:rsidR="0082636C" w:rsidRPr="0082636C" w:rsidRDefault="0082636C" w:rsidP="00B557F7">
      <w:r w:rsidRPr="00B94801">
        <w:lastRenderedPageBreak/>
        <w:t xml:space="preserve">There is also </w:t>
      </w:r>
      <w:r w:rsidR="00BC4401">
        <w:t>limited</w:t>
      </w:r>
      <w:r w:rsidRPr="00B94801">
        <w:t xml:space="preserve"> research on Indigenous Australian spirituality and how it relates to questions of freedom of religion. For example, in ‘Sacred Claims and the Politics of Indigeneity in Australia’, Miranda Johnson explores how sacred claims by Indigenous Australians ‘have raised profound questions about settler national and Indigenous identity, legal evidence and the authenticity of tradition, and the history of colonialism within Australia</w:t>
      </w:r>
      <w:r w:rsidR="00BB0DC7">
        <w:t>’</w:t>
      </w:r>
      <w:r w:rsidRPr="00B94801">
        <w:t xml:space="preserve">. She </w:t>
      </w:r>
      <w:r w:rsidR="00BB0DC7" w:rsidRPr="00B94801">
        <w:t>note</w:t>
      </w:r>
      <w:r w:rsidR="00BB0DC7">
        <w:t>d</w:t>
      </w:r>
      <w:r w:rsidR="002A639D">
        <w:t xml:space="preserve"> </w:t>
      </w:r>
      <w:r w:rsidRPr="00B94801">
        <w:t xml:space="preserve">that the nature of demands by government and legal bodies for such claims to be authenticated can have ‘sharp consequences for Indigenous peoples who are not able to meet the high evidentiary </w:t>
      </w:r>
      <w:proofErr w:type="gramStart"/>
      <w:r w:rsidRPr="00B94801">
        <w:t>expectations’</w:t>
      </w:r>
      <w:proofErr w:type="gramEnd"/>
      <w:r w:rsidRPr="00B94801">
        <w:t>.</w:t>
      </w:r>
      <w:r>
        <w:rPr>
          <w:rStyle w:val="Rimandonotadichiusura"/>
          <w:rFonts w:asciiTheme="majorHAnsi" w:hAnsiTheme="majorHAnsi" w:cstheme="majorHAnsi"/>
          <w:szCs w:val="20"/>
        </w:rPr>
        <w:endnoteReference w:id="22"/>
      </w:r>
    </w:p>
    <w:p w14:paraId="0FA76D99" w14:textId="11886B83" w:rsidR="003423F4" w:rsidRDefault="00BC7282" w:rsidP="00B557F7">
      <w:pPr>
        <w:pStyle w:val="Titolo1"/>
      </w:pPr>
      <w:bookmarkStart w:id="9" w:name="_Toc43882216"/>
      <w:r>
        <w:t>Attitudes toward religious communities</w:t>
      </w:r>
      <w:bookmarkEnd w:id="9"/>
    </w:p>
    <w:p w14:paraId="38C3A324" w14:textId="398A3539" w:rsidR="00722B4F" w:rsidRPr="00B94801" w:rsidRDefault="00722B4F" w:rsidP="00AF4FAD">
      <w:r w:rsidRPr="00B94801">
        <w:t>Som</w:t>
      </w:r>
      <w:r>
        <w:t>e r</w:t>
      </w:r>
      <w:r w:rsidRPr="00B94801">
        <w:t xml:space="preserve">esearch has been </w:t>
      </w:r>
      <w:r>
        <w:t xml:space="preserve">undertaken </w:t>
      </w:r>
      <w:r w:rsidRPr="00B94801">
        <w:t>into Australians’ attitudes towards those of diverse religious beliefs and backgrounds. While negative attitudes are not in themselves examples of serious harms, the prevalence of negative attitudes towards particular groups can make serious harms on the basis of religion more likely to occur.</w:t>
      </w:r>
    </w:p>
    <w:p w14:paraId="4456691B" w14:textId="4A9754BE" w:rsidR="00722B4F" w:rsidRPr="00B94801" w:rsidRDefault="00722B4F" w:rsidP="00AF4FAD">
      <w:r w:rsidRPr="00B94801">
        <w:t>The 2017 Scanlon Foundation report investigated Australians’ perceptions of people of three different religious traditions. It noted</w:t>
      </w:r>
    </w:p>
    <w:p w14:paraId="3B11E615" w14:textId="45EAEE68" w:rsidR="00722B4F" w:rsidRPr="00B94801" w:rsidRDefault="00722B4F" w:rsidP="00FD6DFF">
      <w:pPr>
        <w:pStyle w:val="Citazione"/>
      </w:pPr>
      <w:r w:rsidRPr="00BC5039">
        <w:t>a relatively high level of negative opinion towards Muslims ... Over the course of seven surveys, negative opinion has been in the range 22%–25% (11%–14% very negative), at an average of 24%. This compares to 4%–5% negative opinion towards Christians (average 4.5%) and Buddhists (average 4.5%).</w:t>
      </w:r>
      <w:r>
        <w:rPr>
          <w:rStyle w:val="Rimandonotadichiusura"/>
          <w:rFonts w:asciiTheme="majorHAnsi" w:hAnsiTheme="majorHAnsi" w:cstheme="majorHAnsi"/>
          <w:szCs w:val="20"/>
        </w:rPr>
        <w:endnoteReference w:id="23"/>
      </w:r>
    </w:p>
    <w:p w14:paraId="01CC4476" w14:textId="108535B8" w:rsidR="00722B4F" w:rsidRPr="00B94801" w:rsidRDefault="00722B4F" w:rsidP="00AF4FAD">
      <w:r w:rsidRPr="00B94801">
        <w:t>In 2017, the Scanlon Foundation conducted anonymous online research in addition to telephone surveys, in order to correct for the reluctance of some people to admit certain attitudes to an interviewer. The online research showed a much higher level of negative attitudes towards Muslims</w:t>
      </w:r>
      <w:r>
        <w:t xml:space="preserve"> (</w:t>
      </w:r>
      <w:r w:rsidRPr="00B94801">
        <w:t>41.4</w:t>
      </w:r>
      <w:r w:rsidR="00BB0DC7">
        <w:t>%</w:t>
      </w:r>
      <w:r>
        <w:t>)</w:t>
      </w:r>
      <w:r w:rsidRPr="00B94801">
        <w:t>.</w:t>
      </w:r>
      <w:r>
        <w:rPr>
          <w:rStyle w:val="Rimandonotadichiusura"/>
          <w:rFonts w:asciiTheme="majorHAnsi" w:hAnsiTheme="majorHAnsi" w:cstheme="majorHAnsi"/>
          <w:szCs w:val="20"/>
        </w:rPr>
        <w:endnoteReference w:id="24"/>
      </w:r>
    </w:p>
    <w:p w14:paraId="146B0291" w14:textId="53D1A780" w:rsidR="00722B4F" w:rsidRPr="00B94801" w:rsidRDefault="00722B4F" w:rsidP="00AF4FAD">
      <w:r w:rsidRPr="00B94801">
        <w:t>In July 2017, Ipsos surveyed 17,401 people aged 16–64 across 23 countries on their attitudes to religion, using an online panel system. In Australia, the sample size was more than 1</w:t>
      </w:r>
      <w:r w:rsidR="00BB0DC7">
        <w:t>,</w:t>
      </w:r>
      <w:r w:rsidRPr="00B94801">
        <w:t>000. It found:</w:t>
      </w:r>
    </w:p>
    <w:p w14:paraId="684E21C8" w14:textId="515449C0" w:rsidR="00722B4F" w:rsidRPr="00AF4FAD" w:rsidRDefault="00722B4F" w:rsidP="00AF4FAD">
      <w:pPr>
        <w:pStyle w:val="Paragrafoelenco"/>
        <w:numPr>
          <w:ilvl w:val="0"/>
          <w:numId w:val="30"/>
        </w:numPr>
        <w:rPr>
          <w:lang w:val="en-GB"/>
        </w:rPr>
      </w:pPr>
      <w:r w:rsidRPr="00AF4FAD">
        <w:rPr>
          <w:lang w:val="en-GB"/>
        </w:rPr>
        <w:t>globally, 49</w:t>
      </w:r>
      <w:r w:rsidR="00BB0DC7">
        <w:rPr>
          <w:lang w:val="en-GB"/>
        </w:rPr>
        <w:t>%</w:t>
      </w:r>
      <w:r w:rsidRPr="00AF4FAD">
        <w:rPr>
          <w:lang w:val="en-GB"/>
        </w:rPr>
        <w:t xml:space="preserve"> thought ‘religion does more harm than good’</w:t>
      </w:r>
    </w:p>
    <w:p w14:paraId="1872F3D7" w14:textId="33BD7D38" w:rsidR="00722B4F" w:rsidRPr="00AF4FAD" w:rsidRDefault="00722B4F" w:rsidP="00AF4FAD">
      <w:pPr>
        <w:pStyle w:val="Paragrafoelenco"/>
        <w:numPr>
          <w:ilvl w:val="0"/>
          <w:numId w:val="30"/>
        </w:numPr>
        <w:rPr>
          <w:lang w:val="en-GB"/>
        </w:rPr>
      </w:pPr>
      <w:r w:rsidRPr="00AF4FAD">
        <w:rPr>
          <w:lang w:val="en-GB"/>
        </w:rPr>
        <w:t>in Australia 63</w:t>
      </w:r>
      <w:r w:rsidR="00BB0DC7">
        <w:rPr>
          <w:lang w:val="en-GB"/>
        </w:rPr>
        <w:t>%</w:t>
      </w:r>
      <w:r w:rsidRPr="00AF4FAD">
        <w:rPr>
          <w:lang w:val="en-GB"/>
        </w:rPr>
        <w:t xml:space="preserve"> agreed with this proposition</w:t>
      </w:r>
    </w:p>
    <w:p w14:paraId="0151D790" w14:textId="07798A90" w:rsidR="00722B4F" w:rsidRPr="00AF4FAD" w:rsidRDefault="00722B4F" w:rsidP="00AF4FAD">
      <w:pPr>
        <w:pStyle w:val="Paragrafoelenco"/>
        <w:numPr>
          <w:ilvl w:val="0"/>
          <w:numId w:val="30"/>
        </w:numPr>
        <w:rPr>
          <w:lang w:val="en-GB"/>
        </w:rPr>
      </w:pPr>
      <w:r w:rsidRPr="00AF4FAD">
        <w:rPr>
          <w:lang w:val="en-GB"/>
        </w:rPr>
        <w:t>only Belgium had a higher figure than Australia, at 68</w:t>
      </w:r>
      <w:r w:rsidR="00BB0DC7">
        <w:rPr>
          <w:lang w:val="en-GB"/>
        </w:rPr>
        <w:t>%</w:t>
      </w:r>
      <w:r w:rsidRPr="00AF4FAD">
        <w:rPr>
          <w:lang w:val="en-GB"/>
        </w:rPr>
        <w:t>.</w:t>
      </w:r>
      <w:r>
        <w:rPr>
          <w:rStyle w:val="Rimandonotadichiusura"/>
          <w:rFonts w:asciiTheme="majorHAnsi" w:hAnsiTheme="majorHAnsi" w:cstheme="majorHAnsi"/>
          <w:szCs w:val="20"/>
          <w:lang w:val="en-GB"/>
        </w:rPr>
        <w:endnoteReference w:id="25"/>
      </w:r>
    </w:p>
    <w:p w14:paraId="3BC7736C" w14:textId="77777777" w:rsidR="00722B4F" w:rsidRPr="00B94801" w:rsidRDefault="00722B4F" w:rsidP="00AF4FAD">
      <w:r w:rsidRPr="00B94801">
        <w:lastRenderedPageBreak/>
        <w:t xml:space="preserve">The Australian Generation Z Study, conducted between 2016 and 2018 by researchers at Deakin University, Australian National University and Monash University, comprised 11 focus groups in three states with almost 100 students in Years 9 and 10 (ages 15–16). It also included a nationally representative phone survey of 1200 people aged 13–18, and 30 in-depth follow-up interviews with survey participants. The study found: </w:t>
      </w:r>
    </w:p>
    <w:p w14:paraId="6DA3D458" w14:textId="1EC5818C" w:rsidR="00722B4F" w:rsidRPr="00AF4FAD" w:rsidRDefault="00BB0DC7" w:rsidP="00AF4FAD">
      <w:pPr>
        <w:pStyle w:val="Paragrafoelenco"/>
        <w:numPr>
          <w:ilvl w:val="0"/>
          <w:numId w:val="31"/>
        </w:numPr>
        <w:rPr>
          <w:lang w:val="en-GB"/>
        </w:rPr>
      </w:pPr>
      <w:r>
        <w:rPr>
          <w:lang w:val="en-GB"/>
        </w:rPr>
        <w:t>T</w:t>
      </w:r>
      <w:r w:rsidRPr="00AF4FAD">
        <w:rPr>
          <w:lang w:val="en-GB"/>
        </w:rPr>
        <w:t xml:space="preserve">eens </w:t>
      </w:r>
      <w:r w:rsidR="00722B4F" w:rsidRPr="00AF4FAD">
        <w:rPr>
          <w:lang w:val="en-GB"/>
        </w:rPr>
        <w:t>were open to religious diversity, with 93</w:t>
      </w:r>
      <w:r>
        <w:rPr>
          <w:lang w:val="en-GB"/>
        </w:rPr>
        <w:t>%</w:t>
      </w:r>
      <w:r w:rsidR="00722B4F" w:rsidRPr="00AF4FAD">
        <w:rPr>
          <w:lang w:val="en-GB"/>
        </w:rPr>
        <w:t xml:space="preserve"> agreeing that having many different faiths in Australia made it a better place to live.</w:t>
      </w:r>
    </w:p>
    <w:p w14:paraId="41161EAB" w14:textId="4870CE3F" w:rsidR="00722B4F" w:rsidRPr="00AF4FAD" w:rsidRDefault="00722B4F" w:rsidP="00AF4FAD">
      <w:pPr>
        <w:pStyle w:val="Paragrafoelenco"/>
        <w:numPr>
          <w:ilvl w:val="0"/>
          <w:numId w:val="31"/>
        </w:numPr>
        <w:rPr>
          <w:lang w:val="en-GB"/>
        </w:rPr>
      </w:pPr>
      <w:r w:rsidRPr="00AF4FAD">
        <w:rPr>
          <w:lang w:val="en-GB"/>
        </w:rPr>
        <w:t>74</w:t>
      </w:r>
      <w:r w:rsidR="00BB0DC7">
        <w:rPr>
          <w:lang w:val="en-GB"/>
        </w:rPr>
        <w:t>%</w:t>
      </w:r>
      <w:r w:rsidRPr="00AF4FAD">
        <w:rPr>
          <w:lang w:val="en-GB"/>
        </w:rPr>
        <w:t xml:space="preserve"> of teens hold positive attitudes towards Islam, Buddhism and Hinduism; 21</w:t>
      </w:r>
      <w:r w:rsidR="007269AF">
        <w:rPr>
          <w:lang w:val="en-GB"/>
        </w:rPr>
        <w:t>%</w:t>
      </w:r>
      <w:r w:rsidRPr="00AF4FAD">
        <w:rPr>
          <w:lang w:val="en-GB"/>
        </w:rPr>
        <w:t xml:space="preserve"> hold moderate to neutral views; and 5</w:t>
      </w:r>
      <w:r w:rsidR="007269AF">
        <w:rPr>
          <w:lang w:val="en-GB"/>
        </w:rPr>
        <w:t>%</w:t>
      </w:r>
      <w:r w:rsidRPr="00AF4FAD">
        <w:rPr>
          <w:lang w:val="en-GB"/>
        </w:rPr>
        <w:t xml:space="preserve"> hold negative views. </w:t>
      </w:r>
    </w:p>
    <w:p w14:paraId="08A352C7" w14:textId="2E48561D" w:rsidR="00722B4F" w:rsidRPr="00AF4FAD" w:rsidRDefault="00BB0DC7" w:rsidP="00AF4FAD">
      <w:pPr>
        <w:pStyle w:val="Paragrafoelenco"/>
        <w:numPr>
          <w:ilvl w:val="0"/>
          <w:numId w:val="31"/>
        </w:numPr>
        <w:rPr>
          <w:lang w:val="en-GB"/>
        </w:rPr>
      </w:pPr>
      <w:r>
        <w:rPr>
          <w:lang w:val="en-GB"/>
        </w:rPr>
        <w:t>T</w:t>
      </w:r>
      <w:r w:rsidRPr="00AF4FAD">
        <w:rPr>
          <w:lang w:val="en-GB"/>
        </w:rPr>
        <w:t xml:space="preserve">hose </w:t>
      </w:r>
      <w:r w:rsidR="00722B4F" w:rsidRPr="00AF4FAD">
        <w:rPr>
          <w:lang w:val="en-GB"/>
        </w:rPr>
        <w:t xml:space="preserve">who had received general religious education (GRE) were more likely to hold positive views towards religious minorities. Students who have had no GRE are about twice as likely to hold negative or neutral views. (GRE involves teaching about religions in a non-doctrinal and non-partisan way.) </w:t>
      </w:r>
    </w:p>
    <w:p w14:paraId="7CAB48CC" w14:textId="1E9E5CA3" w:rsidR="00722B4F" w:rsidRPr="00AF4FAD" w:rsidRDefault="00BB0DC7" w:rsidP="00AF4FAD">
      <w:pPr>
        <w:pStyle w:val="Paragrafoelenco"/>
        <w:numPr>
          <w:ilvl w:val="0"/>
          <w:numId w:val="31"/>
        </w:numPr>
        <w:rPr>
          <w:lang w:val="en-GB"/>
        </w:rPr>
      </w:pPr>
      <w:r>
        <w:rPr>
          <w:lang w:val="en-GB"/>
        </w:rPr>
        <w:t>A</w:t>
      </w:r>
      <w:r w:rsidRPr="00AF4FAD">
        <w:rPr>
          <w:lang w:val="en-GB"/>
        </w:rPr>
        <w:t xml:space="preserve">round </w:t>
      </w:r>
      <w:r w:rsidR="00722B4F" w:rsidRPr="00AF4FAD">
        <w:rPr>
          <w:lang w:val="en-GB"/>
        </w:rPr>
        <w:t>80</w:t>
      </w:r>
      <w:r>
        <w:rPr>
          <w:lang w:val="en-GB"/>
        </w:rPr>
        <w:t>%</w:t>
      </w:r>
      <w:r w:rsidR="00722B4F" w:rsidRPr="00AF4FAD">
        <w:rPr>
          <w:lang w:val="en-GB"/>
        </w:rPr>
        <w:t xml:space="preserve"> of secondary school students who had classes about diverse religions claim to have positive views of Muslims. This compares to around 70</w:t>
      </w:r>
      <w:r>
        <w:rPr>
          <w:lang w:val="en-GB"/>
        </w:rPr>
        <w:t>%</w:t>
      </w:r>
      <w:r w:rsidR="00722B4F" w:rsidRPr="00AF4FAD">
        <w:rPr>
          <w:lang w:val="en-GB"/>
        </w:rPr>
        <w:t xml:space="preserve"> who had not attended such classes.</w:t>
      </w:r>
    </w:p>
    <w:p w14:paraId="7FA127CA" w14:textId="3C54AA36" w:rsidR="00722B4F" w:rsidRPr="00B94801" w:rsidRDefault="00722B4F" w:rsidP="00AF4FAD">
      <w:r w:rsidRPr="00B94801">
        <w:t>A researcher from the study commented that, ‘Australian schools are still lagging behind the UK, EU and Canada with respect to their treatment of religion</w:t>
      </w:r>
      <w:r w:rsidR="00BB0DC7">
        <w:t>’</w:t>
      </w:r>
      <w:r w:rsidRPr="00B94801">
        <w:t>.</w:t>
      </w:r>
      <w:r>
        <w:rPr>
          <w:rStyle w:val="Rimandonotadichiusura"/>
          <w:rFonts w:asciiTheme="majorHAnsi" w:hAnsiTheme="majorHAnsi" w:cstheme="majorHAnsi"/>
          <w:szCs w:val="20"/>
        </w:rPr>
        <w:endnoteReference w:id="26"/>
      </w:r>
    </w:p>
    <w:p w14:paraId="2E40DE1B" w14:textId="54495263" w:rsidR="00722B4F" w:rsidRPr="00B94801" w:rsidRDefault="00722B4F" w:rsidP="00AF4FAD">
      <w:r w:rsidRPr="00B94801">
        <w:t xml:space="preserve">A number of roundtable participants pointed to the media and the </w:t>
      </w:r>
      <w:r w:rsidR="002A639D">
        <w:t>‘</w:t>
      </w:r>
      <w:r w:rsidRPr="00B94801">
        <w:t>general culture</w:t>
      </w:r>
      <w:r w:rsidR="002A639D">
        <w:t>’</w:t>
      </w:r>
      <w:r w:rsidRPr="00B94801">
        <w:t xml:space="preserve"> as sources of bigotry, misunderstanding or discrimination. Multiculturalism is now a highly contested concept. Religion is often portrayed in a negative or divisive way in popular culture. Many participants noted a lack of ‘religious literacy’ in the mainstream media and suggested that this contributes to harmful impacts on minority communities. There is, for example, a distinct lack of Muslim people in the Australian popular media—though there are often news stories about Muslims.</w:t>
      </w:r>
    </w:p>
    <w:p w14:paraId="46CDEB7D" w14:textId="0D6F4417" w:rsidR="00722B4F" w:rsidRPr="00B94801" w:rsidRDefault="00722B4F" w:rsidP="00AF4FAD">
      <w:r w:rsidRPr="00B94801">
        <w:lastRenderedPageBreak/>
        <w:t xml:space="preserve">Several participants suggested that public leaders </w:t>
      </w:r>
      <w:r w:rsidR="00BB0DC7" w:rsidRPr="00B94801">
        <w:t>d</w:t>
      </w:r>
      <w:r w:rsidR="00BB0DC7">
        <w:t>id</w:t>
      </w:r>
      <w:r w:rsidR="00BB0DC7" w:rsidRPr="00B94801">
        <w:t xml:space="preserve"> </w:t>
      </w:r>
      <w:r w:rsidRPr="00B94801">
        <w:t xml:space="preserve">not routinely identify the importance of religious diversity as part of multiculturalism. </w:t>
      </w:r>
      <w:r w:rsidR="00E23031">
        <w:t>Alt</w:t>
      </w:r>
      <w:r w:rsidRPr="00B94801">
        <w:t>hough we have strong national messaging regarding the importance of cultural diversity, this is rarely expressed in terms of religious diversity. Some suggested that religion, particularly Christianity, has a declining role in public discourse. In this context, some participants asked whether we still have ways to have a positive and robust discussion about engaging and encouraging faith communities in Australia, or whether there is a tendency to put faith and religion in the ‘too hard basket’.</w:t>
      </w:r>
    </w:p>
    <w:p w14:paraId="63336361" w14:textId="590D8033" w:rsidR="00BC7282" w:rsidRDefault="00722B4F" w:rsidP="00AF4FAD">
      <w:r w:rsidRPr="00B94801">
        <w:t xml:space="preserve">More specifically, some participants advocated targeted education of particular groups within society—police, security guards and the media were mentioned in this context. It was noted that education about religion in schools has been shown to have a very positive impact on students’ attitudes. A Jewish participant at the Melbourne roundtable discussed the positive, long-term impacts of </w:t>
      </w:r>
      <w:r w:rsidR="00E23031">
        <w:t xml:space="preserve">a </w:t>
      </w:r>
      <w:r w:rsidRPr="00B94801">
        <w:t xml:space="preserve">well-developed school program </w:t>
      </w:r>
      <w:r w:rsidR="002A639D">
        <w:t>called</w:t>
      </w:r>
      <w:r w:rsidRPr="00B94801">
        <w:t xml:space="preserve"> </w:t>
      </w:r>
      <w:hyperlink r:id="rId18" w:history="1">
        <w:r w:rsidRPr="00B94801">
          <w:t>Courage to Care</w:t>
        </w:r>
      </w:hyperlink>
      <w:r w:rsidRPr="00B94801">
        <w:t>, which ‘informs and educates Australians about the dangers of prejudice, racism and discrimination.’</w:t>
      </w:r>
      <w:r w:rsidR="00BD602D">
        <w:rPr>
          <w:rStyle w:val="Rimandonotadichiusura"/>
        </w:rPr>
        <w:endnoteReference w:id="27"/>
      </w:r>
    </w:p>
    <w:p w14:paraId="3771C86D" w14:textId="3A96FAE4" w:rsidR="00BC7282" w:rsidRDefault="00BC7282" w:rsidP="00BC7282">
      <w:pPr>
        <w:pStyle w:val="Titolo1"/>
      </w:pPr>
      <w:bookmarkStart w:id="10" w:name="_Toc43882217"/>
      <w:r>
        <w:t>The need for better prevalence data</w:t>
      </w:r>
      <w:bookmarkEnd w:id="10"/>
    </w:p>
    <w:p w14:paraId="24BEFA4B" w14:textId="1B4AEC27" w:rsidR="00722B4F" w:rsidRPr="00B94801" w:rsidRDefault="00722B4F" w:rsidP="00AF4FAD">
      <w:r w:rsidRPr="00B94801">
        <w:t xml:space="preserve">Governments need reliable data to </w:t>
      </w:r>
      <w:r w:rsidR="00E23031">
        <w:t>in</w:t>
      </w:r>
      <w:r w:rsidRPr="00B94801">
        <w:t xml:space="preserve">form effective law and policy. Such data is generally collected and assessed in accordance with conventional scientific practices, often at arm’s length from anyone with an interest in the data itself, to ensure its reliability. </w:t>
      </w:r>
    </w:p>
    <w:p w14:paraId="60ED6EA2" w14:textId="24525B6D" w:rsidR="00722B4F" w:rsidRPr="00B94801" w:rsidRDefault="00722B4F" w:rsidP="00AF4FAD">
      <w:r w:rsidRPr="00B94801">
        <w:t xml:space="preserve">While religious communities generate valuable </w:t>
      </w:r>
      <w:r w:rsidR="00E23031">
        <w:t>information</w:t>
      </w:r>
      <w:r w:rsidR="00E23031" w:rsidRPr="00B94801">
        <w:t xml:space="preserve"> </w:t>
      </w:r>
      <w:r w:rsidRPr="00B94801">
        <w:t xml:space="preserve">about the nature of serious harms, </w:t>
      </w:r>
      <w:r>
        <w:t xml:space="preserve">robust, comprehensive and comparable data about the </w:t>
      </w:r>
      <w:r w:rsidRPr="00B94801">
        <w:t>prevalence</w:t>
      </w:r>
      <w:r>
        <w:t xml:space="preserve"> of serious harms</w:t>
      </w:r>
      <w:r w:rsidRPr="00B94801">
        <w:t xml:space="preserve"> is harder to come by. ECAJ makes the important point that ‘many incidents of antisemitism in Australia occur but are not formally reported either to appropriate Jewish authorities or to the police. Thus, the statistics in [the ECAJ] Report represent only a proportion of incidents actually occurring in Australia.’</w:t>
      </w:r>
    </w:p>
    <w:p w14:paraId="73F67416" w14:textId="759FD060" w:rsidR="00722B4F" w:rsidRPr="00B94801" w:rsidRDefault="00722B4F" w:rsidP="00AF4FAD">
      <w:r w:rsidRPr="00B94801">
        <w:t xml:space="preserve">Since 2007, the most comprehensive research on Australia’s diversity has been found in the annual Scanlon Foundation report. The 2018 report records a rise in experiences of discrimination: ‘Reported experience of discrimination on the basis of </w:t>
      </w:r>
      <w:r>
        <w:t>“</w:t>
      </w:r>
      <w:r w:rsidRPr="00B94801">
        <w:t>skin colour, ethnic origin or religion</w:t>
      </w:r>
      <w:r>
        <w:t>”</w:t>
      </w:r>
      <w:r w:rsidRPr="00B94801">
        <w:t xml:space="preserve"> was at 19 per cent in 2018, close to the level of five of the last six years, but significantly higher than the 9 per cent–10 per cent in 2007–2009.’</w:t>
      </w:r>
      <w:r>
        <w:rPr>
          <w:rStyle w:val="Rimandonotadichiusura"/>
          <w:rFonts w:asciiTheme="majorHAnsi" w:hAnsiTheme="majorHAnsi" w:cstheme="majorHAnsi"/>
          <w:szCs w:val="20"/>
        </w:rPr>
        <w:endnoteReference w:id="28"/>
      </w:r>
    </w:p>
    <w:p w14:paraId="66870A41" w14:textId="27504180" w:rsidR="00722B4F" w:rsidRPr="00B94801" w:rsidRDefault="00722B4F" w:rsidP="00AF4FAD">
      <w:r w:rsidRPr="00B94801">
        <w:lastRenderedPageBreak/>
        <w:t>Experiences differ between people of different religious identities: ‘The aggregated data for the last six national surveys (2013–2018) [shows that] reported experience of discrimination ranges from 13 per cent Anglican and 14 per cent Catholic, to 22 per cent Buddhist, 36 per cent Hindu and 39 per cent Muslim.’</w:t>
      </w:r>
      <w:r>
        <w:rPr>
          <w:rStyle w:val="Rimandonotadichiusura"/>
          <w:rFonts w:asciiTheme="majorHAnsi" w:hAnsiTheme="majorHAnsi" w:cstheme="majorHAnsi"/>
          <w:szCs w:val="20"/>
        </w:rPr>
        <w:endnoteReference w:id="29"/>
      </w:r>
      <w:r w:rsidRPr="00B94801">
        <w:t xml:space="preserve"> These reported experiences of discrimination are not broken down according to their level of severity</w:t>
      </w:r>
      <w:r w:rsidR="00E23031">
        <w:t>,</w:t>
      </w:r>
      <w:r w:rsidRPr="00B94801">
        <w:t xml:space="preserve"> but </w:t>
      </w:r>
      <w:r>
        <w:t>may</w:t>
      </w:r>
      <w:r w:rsidRPr="00B94801">
        <w:t xml:space="preserve"> include incidents of serious harm.</w:t>
      </w:r>
    </w:p>
    <w:p w14:paraId="7989D63E" w14:textId="0BDDB042" w:rsidR="00722B4F" w:rsidRPr="00B94801" w:rsidRDefault="00722B4F" w:rsidP="00AF4FAD">
      <w:r w:rsidRPr="00B94801">
        <w:t>Another valuable report on the experiences of the Australian Jewish community is the Gen17 Australian Jewish Community Study undertaken by the Australian Centre for Jewish Civilisation at Monash University, and JCA, a peak body of Jewish organisations in NSW and ACT. They received 8</w:t>
      </w:r>
      <w:r w:rsidR="00E23031">
        <w:t>,</w:t>
      </w:r>
      <w:r w:rsidRPr="00B94801">
        <w:t>621 responses, making it one of the largest samples ever collected in a national Jewish community study anywhere in the world. For our purposes it is worth noting the data on antisemitism</w:t>
      </w:r>
      <w:r w:rsidR="00E23031">
        <w:t xml:space="preserve"> in this report</w:t>
      </w:r>
      <w:r w:rsidRPr="00B94801">
        <w:t xml:space="preserve">: </w:t>
      </w:r>
    </w:p>
    <w:p w14:paraId="37ED0834" w14:textId="068A347A" w:rsidR="00722B4F" w:rsidRPr="00AF4FAD" w:rsidRDefault="00722B4F" w:rsidP="00AF4FAD">
      <w:pPr>
        <w:pStyle w:val="Paragrafoelenco"/>
        <w:numPr>
          <w:ilvl w:val="0"/>
          <w:numId w:val="32"/>
        </w:numPr>
        <w:rPr>
          <w:lang w:val="en-GB"/>
        </w:rPr>
      </w:pPr>
      <w:r w:rsidRPr="00AF4FAD">
        <w:rPr>
          <w:lang w:val="en-GB"/>
        </w:rPr>
        <w:t>43</w:t>
      </w:r>
      <w:r w:rsidR="00E23031">
        <w:rPr>
          <w:lang w:val="en-GB"/>
        </w:rPr>
        <w:t>%</w:t>
      </w:r>
      <w:r w:rsidRPr="00AF4FAD">
        <w:rPr>
          <w:lang w:val="en-GB"/>
        </w:rPr>
        <w:t xml:space="preserve"> of respondents considered antisemitism to be ‘a very big problem’ or ‘a fairly big problem’.</w:t>
      </w:r>
    </w:p>
    <w:p w14:paraId="1B607A26" w14:textId="03733F5B" w:rsidR="00722B4F" w:rsidRPr="00AF4FAD" w:rsidRDefault="00722B4F" w:rsidP="00AF4FAD">
      <w:pPr>
        <w:pStyle w:val="Paragrafoelenco"/>
        <w:numPr>
          <w:ilvl w:val="0"/>
          <w:numId w:val="32"/>
        </w:numPr>
        <w:rPr>
          <w:lang w:val="en-GB"/>
        </w:rPr>
      </w:pPr>
      <w:r w:rsidRPr="00AF4FAD">
        <w:rPr>
          <w:lang w:val="en-GB"/>
        </w:rPr>
        <w:t>64</w:t>
      </w:r>
      <w:r w:rsidR="00E23031">
        <w:rPr>
          <w:lang w:val="en-GB"/>
        </w:rPr>
        <w:t>%</w:t>
      </w:r>
      <w:r w:rsidRPr="00AF4FAD">
        <w:rPr>
          <w:lang w:val="en-GB"/>
        </w:rPr>
        <w:t xml:space="preserve"> of respondents said that they had experienced antisemitic comments online. 73</w:t>
      </w:r>
      <w:r w:rsidR="00E23031">
        <w:rPr>
          <w:lang w:val="en-GB"/>
        </w:rPr>
        <w:t>%</w:t>
      </w:r>
      <w:r w:rsidRPr="00AF4FAD">
        <w:rPr>
          <w:lang w:val="en-GB"/>
        </w:rPr>
        <w:t xml:space="preserve"> of those aged 18–39 had experienced antisemitic comments online.</w:t>
      </w:r>
    </w:p>
    <w:p w14:paraId="5F3AD3AD" w14:textId="34314049" w:rsidR="00722B4F" w:rsidRPr="00AF4FAD" w:rsidRDefault="00722B4F" w:rsidP="00AF4FAD">
      <w:pPr>
        <w:pStyle w:val="Paragrafoelenco"/>
        <w:numPr>
          <w:ilvl w:val="0"/>
          <w:numId w:val="32"/>
        </w:numPr>
        <w:rPr>
          <w:lang w:val="en-GB"/>
        </w:rPr>
      </w:pPr>
      <w:r w:rsidRPr="00AF4FAD">
        <w:rPr>
          <w:lang w:val="en-GB"/>
        </w:rPr>
        <w:t>15</w:t>
      </w:r>
      <w:r w:rsidR="00E23031">
        <w:rPr>
          <w:lang w:val="en-GB"/>
        </w:rPr>
        <w:t>%</w:t>
      </w:r>
      <w:r w:rsidRPr="00AF4FAD">
        <w:rPr>
          <w:lang w:val="en-GB"/>
        </w:rPr>
        <w:t xml:space="preserve"> of male respondents, and 8</w:t>
      </w:r>
      <w:r w:rsidR="00E23031">
        <w:rPr>
          <w:lang w:val="en-GB"/>
        </w:rPr>
        <w:t>%</w:t>
      </w:r>
      <w:r w:rsidRPr="00AF4FAD">
        <w:rPr>
          <w:lang w:val="en-GB"/>
        </w:rPr>
        <w:t xml:space="preserve"> of female respondents reported having experienced verbal insults and harassment in the last twelve months. These results vary by age and religious identification: for example, 31</w:t>
      </w:r>
      <w:r w:rsidR="00E23031">
        <w:rPr>
          <w:lang w:val="en-GB"/>
        </w:rPr>
        <w:t>%</w:t>
      </w:r>
      <w:r w:rsidRPr="00AF4FAD">
        <w:rPr>
          <w:lang w:val="en-GB"/>
        </w:rPr>
        <w:t xml:space="preserve"> of Strictly Orthodox 18–39-year-old people had personally experienced verbal insults and harassment.</w:t>
      </w:r>
    </w:p>
    <w:p w14:paraId="5D3560F7" w14:textId="11F3D99B" w:rsidR="00722B4F" w:rsidRPr="00AF4FAD" w:rsidRDefault="00722B4F" w:rsidP="00AF4FAD">
      <w:pPr>
        <w:pStyle w:val="Paragrafoelenco"/>
        <w:numPr>
          <w:ilvl w:val="0"/>
          <w:numId w:val="32"/>
        </w:numPr>
        <w:rPr>
          <w:lang w:val="en-GB"/>
        </w:rPr>
      </w:pPr>
      <w:r w:rsidRPr="00AF4FAD">
        <w:rPr>
          <w:lang w:val="en-GB"/>
        </w:rPr>
        <w:t>2</w:t>
      </w:r>
      <w:r w:rsidR="00E23031">
        <w:rPr>
          <w:lang w:val="en-GB"/>
        </w:rPr>
        <w:t>%</w:t>
      </w:r>
      <w:r w:rsidRPr="00AF4FAD">
        <w:rPr>
          <w:lang w:val="en-GB"/>
        </w:rPr>
        <w:t xml:space="preserve"> of respondents had witnessed a physical attack, and 0.5</w:t>
      </w:r>
      <w:r w:rsidR="00E23031">
        <w:rPr>
          <w:lang w:val="en-GB"/>
        </w:rPr>
        <w:t>%</w:t>
      </w:r>
      <w:r w:rsidRPr="00AF4FAD">
        <w:rPr>
          <w:lang w:val="en-GB"/>
        </w:rPr>
        <w:t xml:space="preserve"> had experienced a physical attack.</w:t>
      </w:r>
      <w:r>
        <w:rPr>
          <w:rStyle w:val="Rimandonotadichiusura"/>
          <w:rFonts w:asciiTheme="majorHAnsi" w:hAnsiTheme="majorHAnsi" w:cstheme="majorHAnsi"/>
          <w:szCs w:val="20"/>
          <w:lang w:val="en-GB"/>
        </w:rPr>
        <w:endnoteReference w:id="30"/>
      </w:r>
    </w:p>
    <w:p w14:paraId="1C20C155" w14:textId="52EFC628" w:rsidR="00722B4F" w:rsidRPr="00B94801" w:rsidRDefault="00722B4F" w:rsidP="00AF4FAD">
      <w:r w:rsidRPr="00B94801">
        <w:t>Professor Gail Mason of the University of Sydney has investigated the prevalence of bias crime in her article</w:t>
      </w:r>
      <w:r w:rsidR="00E23031">
        <w:t>,</w:t>
      </w:r>
      <w:r w:rsidRPr="00B94801">
        <w:t xml:space="preserve"> ‘A Picture of Bias Crime in New South Wales’. Bias crime is crime that is motivated by prejudice, bias or hatred towards a presumed characteristic of the victim, such as race, religion, sexual orientation, disability status or gender identity. Mason presents the results of the first study of bias crime data held by the New South Wales Police Force and compares the NSW and Victorian data to offer the most comprehensive picture of reports of bias crime in Australia.</w:t>
      </w:r>
      <w:r>
        <w:t xml:space="preserve"> </w:t>
      </w:r>
    </w:p>
    <w:p w14:paraId="7D99E8D0" w14:textId="7FE2C596" w:rsidR="00722B4F" w:rsidRPr="00B94801" w:rsidRDefault="00722B4F" w:rsidP="00AF4FAD">
      <w:r w:rsidRPr="00B94801">
        <w:t>Between July 2007 and January 2017, a total of 2</w:t>
      </w:r>
      <w:r w:rsidR="00E23031">
        <w:t>,</w:t>
      </w:r>
      <w:r w:rsidRPr="00B94801">
        <w:t xml:space="preserve">467 reports were determined by the NSW Police Force’s Bias Crimes Unit (BCU) to fit the criteria of a bias crime, suspected bias crime or bias incident—an average of 34 reports per month. </w:t>
      </w:r>
    </w:p>
    <w:p w14:paraId="5E2CFE28" w14:textId="39C31177" w:rsidR="00722B4F" w:rsidRPr="00B94801" w:rsidRDefault="00722B4F" w:rsidP="00AF4FAD">
      <w:r w:rsidRPr="00B94801">
        <w:lastRenderedPageBreak/>
        <w:t>Mason examines the period 2013–2016, and finds that of the 1</w:t>
      </w:r>
      <w:r w:rsidR="00E23031">
        <w:t>,</w:t>
      </w:r>
      <w:r w:rsidRPr="00B94801">
        <w:t>050 cases recorded as a bias crime, suspected bias crime or bias incident in this period:</w:t>
      </w:r>
    </w:p>
    <w:p w14:paraId="7F1F2AE1" w14:textId="1A3A7EC6" w:rsidR="00722B4F" w:rsidRPr="00AF4FAD" w:rsidRDefault="00722B4F" w:rsidP="00AF4FAD">
      <w:pPr>
        <w:pStyle w:val="Paragrafoelenco"/>
        <w:numPr>
          <w:ilvl w:val="0"/>
          <w:numId w:val="33"/>
        </w:numPr>
        <w:rPr>
          <w:lang w:val="en-GB"/>
        </w:rPr>
      </w:pPr>
      <w:r w:rsidRPr="00AF4FAD">
        <w:rPr>
          <w:lang w:val="en-GB"/>
        </w:rPr>
        <w:t>44</w:t>
      </w:r>
      <w:r w:rsidR="00E23031">
        <w:rPr>
          <w:lang w:val="en-GB"/>
        </w:rPr>
        <w:t>%</w:t>
      </w:r>
      <w:r w:rsidRPr="00AF4FAD">
        <w:rPr>
          <w:lang w:val="en-GB"/>
        </w:rPr>
        <w:t xml:space="preserve"> were categorised by the BCU as motivated by religious bias</w:t>
      </w:r>
    </w:p>
    <w:p w14:paraId="69BCFE95" w14:textId="0D570F67" w:rsidR="00722B4F" w:rsidRPr="00AF4FAD" w:rsidRDefault="00722B4F" w:rsidP="00AF4FAD">
      <w:pPr>
        <w:pStyle w:val="Paragrafoelenco"/>
        <w:numPr>
          <w:ilvl w:val="0"/>
          <w:numId w:val="33"/>
        </w:numPr>
        <w:rPr>
          <w:lang w:val="en-GB"/>
        </w:rPr>
      </w:pPr>
      <w:r w:rsidRPr="00AF4FAD">
        <w:rPr>
          <w:lang w:val="en-GB"/>
        </w:rPr>
        <w:t>37</w:t>
      </w:r>
      <w:r w:rsidR="00E23031">
        <w:rPr>
          <w:lang w:val="en-GB"/>
        </w:rPr>
        <w:t>%</w:t>
      </w:r>
      <w:r w:rsidRPr="00AF4FAD">
        <w:rPr>
          <w:lang w:val="en-GB"/>
        </w:rPr>
        <w:t xml:space="preserve"> by racial/ethnic bias</w:t>
      </w:r>
    </w:p>
    <w:p w14:paraId="449B3D30" w14:textId="149324D4" w:rsidR="00722B4F" w:rsidRPr="00AF4FAD" w:rsidRDefault="00722B4F" w:rsidP="00AF4FAD">
      <w:pPr>
        <w:pStyle w:val="Paragrafoelenco"/>
        <w:numPr>
          <w:ilvl w:val="0"/>
          <w:numId w:val="33"/>
        </w:numPr>
        <w:rPr>
          <w:lang w:val="en-GB"/>
        </w:rPr>
      </w:pPr>
      <w:r w:rsidRPr="00AF4FAD">
        <w:rPr>
          <w:lang w:val="en-GB"/>
        </w:rPr>
        <w:t>14</w:t>
      </w:r>
      <w:r w:rsidR="00E23031">
        <w:rPr>
          <w:lang w:val="en-GB"/>
        </w:rPr>
        <w:t>%</w:t>
      </w:r>
      <w:r w:rsidRPr="00AF4FAD">
        <w:rPr>
          <w:lang w:val="en-GB"/>
        </w:rPr>
        <w:t xml:space="preserve"> by bias towards the victim’s sexual orientation/gender identity.</w:t>
      </w:r>
    </w:p>
    <w:p w14:paraId="690CCC88" w14:textId="3A6341BD" w:rsidR="00722B4F" w:rsidRPr="00B94801" w:rsidRDefault="00722B4F" w:rsidP="00AF4FAD">
      <w:r w:rsidRPr="00B94801">
        <w:t>Mason notes ‘the results of this study suggest that bias crime is under-reported and under-recorded</w:t>
      </w:r>
      <w:r w:rsidR="00E23031">
        <w:t>’</w:t>
      </w:r>
      <w:r w:rsidRPr="00B94801">
        <w:t>. This is often due to mistrust of police. She suggests that ‘the creation of sustainable police-community partnerships is key to building community confidence to report and police capacity to record bias crime</w:t>
      </w:r>
      <w:r w:rsidR="00E23031">
        <w:t>’</w:t>
      </w:r>
      <w:r w:rsidRPr="00B94801">
        <w:t>.</w:t>
      </w:r>
      <w:r>
        <w:rPr>
          <w:rStyle w:val="Rimandonotadichiusura"/>
          <w:rFonts w:asciiTheme="majorHAnsi" w:hAnsiTheme="majorHAnsi" w:cstheme="majorHAnsi"/>
          <w:szCs w:val="20"/>
        </w:rPr>
        <w:endnoteReference w:id="31"/>
      </w:r>
    </w:p>
    <w:p w14:paraId="4D23CBF4" w14:textId="313D9F8E" w:rsidR="00BC7282" w:rsidRDefault="00722B4F" w:rsidP="00AF4FAD">
      <w:r w:rsidRPr="00B94801">
        <w:t xml:space="preserve">Our roundtable participants acknowledged the anecdotal and self-reported nature of much of the existing information about serious harms on the basis of religion. It was agreed that this is not ideal. In fact, community members involved in collecting data on serious harms often report a level of vicarious trauma from constantly hearing about harms towards their fellow community members. The absence of a nationally consistent system for recording and classifying bias-motivated crimes was seen as an urgent priority. Some pointed to the systems in place in other countries, including Canada, the US and the UK, </w:t>
      </w:r>
      <w:r w:rsidR="00E23031">
        <w:t>which</w:t>
      </w:r>
      <w:r w:rsidR="00E23031" w:rsidRPr="00B94801">
        <w:t xml:space="preserve"> </w:t>
      </w:r>
      <w:r w:rsidRPr="00B94801">
        <w:t>have had systems in place for several decades. Particular reference was made to a UK online reporting tool, True Vision, which allows people to report incidents or crimes on the basis of various attributes, including religion. This tool is linked to the police, and also functions as an official national register.</w:t>
      </w:r>
      <w:r>
        <w:rPr>
          <w:rStyle w:val="Rimandonotadichiusura"/>
          <w:rFonts w:asciiTheme="majorHAnsi" w:hAnsiTheme="majorHAnsi" w:cstheme="majorHAnsi"/>
          <w:szCs w:val="20"/>
        </w:rPr>
        <w:endnoteReference w:id="32"/>
      </w:r>
    </w:p>
    <w:p w14:paraId="43B431C5" w14:textId="1A05B2CA" w:rsidR="00BC7282" w:rsidRDefault="00BD6AFF" w:rsidP="00BD6AFF">
      <w:pPr>
        <w:pStyle w:val="Titolo1"/>
      </w:pPr>
      <w:bookmarkStart w:id="11" w:name="_Toc43882218"/>
      <w:r>
        <w:t>Charting a way forward</w:t>
      </w:r>
      <w:bookmarkEnd w:id="11"/>
    </w:p>
    <w:p w14:paraId="66ECBF93" w14:textId="7349B389" w:rsidR="00FF6980" w:rsidRPr="00B94801" w:rsidRDefault="00FF6980" w:rsidP="00F75DBC">
      <w:r>
        <w:t xml:space="preserve">The experiences of serious harm shared by members of religious communities represented at our roundtable brought to life the research and data available, </w:t>
      </w:r>
      <w:r w:rsidRPr="00B94801">
        <w:t>sugges</w:t>
      </w:r>
      <w:r>
        <w:t>ting</w:t>
      </w:r>
      <w:r w:rsidRPr="00B94801">
        <w:t xml:space="preserve"> that serious harms do occur towards Australians on the basis of their religion</w:t>
      </w:r>
      <w:r>
        <w:t xml:space="preserve"> and </w:t>
      </w:r>
      <w:r w:rsidR="00404DF0">
        <w:t xml:space="preserve">that </w:t>
      </w:r>
      <w:r>
        <w:t>more must be done to understand and address the problem</w:t>
      </w:r>
      <w:r w:rsidRPr="00B94801">
        <w:t>. What can be done about it?</w:t>
      </w:r>
    </w:p>
    <w:p w14:paraId="42BB7A44" w14:textId="267C6D3D" w:rsidR="00FF6980" w:rsidRPr="00F75DBC" w:rsidRDefault="00FF6980" w:rsidP="00FD6DFF">
      <w:pPr>
        <w:pStyle w:val="Titolo3"/>
      </w:pPr>
      <w:r w:rsidRPr="00A07EA0">
        <w:t>Data</w:t>
      </w:r>
    </w:p>
    <w:p w14:paraId="2D4E63F6" w14:textId="4F9E41BC" w:rsidR="00FF6980" w:rsidRPr="00B94801" w:rsidRDefault="00FF6980" w:rsidP="00F75DBC">
      <w:r w:rsidRPr="00B94801">
        <w:t>The AHRC submission to the Religious Freedom Review in 2017</w:t>
      </w:r>
      <w:r w:rsidR="00E23031">
        <w:t>, chaired by the Hon</w:t>
      </w:r>
      <w:r w:rsidR="002A639D">
        <w:t>.</w:t>
      </w:r>
      <w:r w:rsidR="00E23031">
        <w:t xml:space="preserve"> Philip Ruddock,</w:t>
      </w:r>
      <w:r w:rsidRPr="00B94801">
        <w:t xml:space="preserve"> urged that the Australian Government</w:t>
      </w:r>
    </w:p>
    <w:p w14:paraId="335DA55E" w14:textId="675DE816" w:rsidR="00FF6980" w:rsidRPr="00606194" w:rsidRDefault="00FF6980" w:rsidP="002A639D">
      <w:pPr>
        <w:ind w:left="360"/>
        <w:rPr>
          <w:sz w:val="22"/>
          <w:szCs w:val="22"/>
        </w:rPr>
      </w:pPr>
      <w:r w:rsidRPr="00606194">
        <w:rPr>
          <w:sz w:val="22"/>
          <w:szCs w:val="22"/>
        </w:rPr>
        <w:t xml:space="preserve">commission an independent body to collect and analyse, in accordance with conventional scientific standards, quantitative information on the nature and prevalence of matters such as: </w:t>
      </w:r>
    </w:p>
    <w:p w14:paraId="2A9DC830" w14:textId="189D9459" w:rsidR="00FF6980" w:rsidRPr="00606194" w:rsidRDefault="00FF6980" w:rsidP="002A639D">
      <w:pPr>
        <w:pStyle w:val="Paragrafoelenco"/>
        <w:numPr>
          <w:ilvl w:val="1"/>
          <w:numId w:val="36"/>
        </w:numPr>
        <w:rPr>
          <w:sz w:val="22"/>
          <w:szCs w:val="22"/>
          <w:lang w:val="en-GB"/>
        </w:rPr>
      </w:pPr>
      <w:r w:rsidRPr="00606194">
        <w:rPr>
          <w:sz w:val="22"/>
          <w:szCs w:val="22"/>
          <w:lang w:val="en-GB"/>
        </w:rPr>
        <w:lastRenderedPageBreak/>
        <w:t xml:space="preserve">threats and actual physical violence linked to a person’s religion </w:t>
      </w:r>
    </w:p>
    <w:p w14:paraId="0215A665" w14:textId="7050D393" w:rsidR="00FF6980" w:rsidRPr="00606194" w:rsidRDefault="00FF6980" w:rsidP="002A639D">
      <w:pPr>
        <w:pStyle w:val="Paragrafoelenco"/>
        <w:numPr>
          <w:ilvl w:val="1"/>
          <w:numId w:val="36"/>
        </w:numPr>
        <w:rPr>
          <w:sz w:val="22"/>
          <w:szCs w:val="22"/>
          <w:lang w:val="en-GB"/>
        </w:rPr>
      </w:pPr>
      <w:r w:rsidRPr="00606194">
        <w:rPr>
          <w:sz w:val="22"/>
          <w:szCs w:val="22"/>
          <w:lang w:val="en-GB"/>
        </w:rPr>
        <w:t xml:space="preserve">verbal abuse, harassment or intimidation because of a person’s religion </w:t>
      </w:r>
    </w:p>
    <w:p w14:paraId="139D12B6" w14:textId="67D1A5E9" w:rsidR="00FF6980" w:rsidRPr="00606194" w:rsidRDefault="00FF6980" w:rsidP="002A639D">
      <w:pPr>
        <w:pStyle w:val="Paragrafoelenco"/>
        <w:numPr>
          <w:ilvl w:val="1"/>
          <w:numId w:val="36"/>
        </w:numPr>
        <w:rPr>
          <w:sz w:val="22"/>
          <w:szCs w:val="22"/>
          <w:lang w:val="en-GB"/>
        </w:rPr>
      </w:pPr>
      <w:r w:rsidRPr="00606194">
        <w:rPr>
          <w:sz w:val="22"/>
          <w:szCs w:val="22"/>
          <w:lang w:val="en-GB"/>
        </w:rPr>
        <w:t xml:space="preserve">discrimination based on religion and the contexts in which this arises </w:t>
      </w:r>
    </w:p>
    <w:p w14:paraId="34E8681D" w14:textId="5F9040D1" w:rsidR="00FF6980" w:rsidRPr="00A5084F" w:rsidRDefault="00FF6980" w:rsidP="002A639D">
      <w:pPr>
        <w:pStyle w:val="Paragrafoelenco"/>
        <w:numPr>
          <w:ilvl w:val="1"/>
          <w:numId w:val="36"/>
        </w:numPr>
        <w:rPr>
          <w:lang w:val="en-GB"/>
        </w:rPr>
      </w:pPr>
      <w:r w:rsidRPr="00606194">
        <w:rPr>
          <w:sz w:val="22"/>
          <w:szCs w:val="22"/>
          <w:lang w:val="en-GB"/>
        </w:rPr>
        <w:t>restrictions in the ability of a person to educate their children in a manner consistent with their religious belief.</w:t>
      </w:r>
      <w:r>
        <w:rPr>
          <w:rStyle w:val="Rimandonotadichiusura"/>
          <w:rFonts w:asciiTheme="majorHAnsi" w:hAnsiTheme="majorHAnsi" w:cstheme="majorHAnsi"/>
          <w:szCs w:val="20"/>
          <w:lang w:val="en-GB"/>
        </w:rPr>
        <w:endnoteReference w:id="33"/>
      </w:r>
    </w:p>
    <w:p w14:paraId="52EF017E" w14:textId="533ADC12" w:rsidR="00FF6980" w:rsidRPr="00B94801" w:rsidRDefault="00FF6980" w:rsidP="00F75DBC">
      <w:r w:rsidRPr="00B94801">
        <w:t>In its response to the Ruddock Report, the Australian Government committed to</w:t>
      </w:r>
    </w:p>
    <w:p w14:paraId="7C114DDC" w14:textId="022B1ECE" w:rsidR="00FF6980" w:rsidRPr="00B94801" w:rsidRDefault="00FF6980" w:rsidP="00FD6DFF">
      <w:pPr>
        <w:pStyle w:val="Citazione"/>
      </w:pPr>
      <w:r w:rsidRPr="00BC5039">
        <w:t>refer an inquiry into freedom of religion to the Australian Human Rights Commission, to be conducted by the new Freedom of Religion Commissioner ... to collect and analyse information on the experience of freedom of religion in Australia at the community level, the experience of freedom of religion impacting on other human rights and the extent to which religious diversity (as distinct from cultural diversity) is accepted and promoted in Australian society.</w:t>
      </w:r>
      <w:r>
        <w:rPr>
          <w:rStyle w:val="Rimandonotadichiusura"/>
          <w:rFonts w:asciiTheme="majorHAnsi" w:hAnsiTheme="majorHAnsi" w:cstheme="majorHAnsi"/>
          <w:szCs w:val="20"/>
        </w:rPr>
        <w:endnoteReference w:id="34"/>
      </w:r>
    </w:p>
    <w:p w14:paraId="528DE52D" w14:textId="4312DDD1" w:rsidR="002A639D" w:rsidRDefault="002A639D" w:rsidP="00F75DBC">
      <w:r>
        <w:t>At the time of writing, this proposal has not</w:t>
      </w:r>
      <w:r w:rsidR="00417516">
        <w:t xml:space="preserve"> yet</w:t>
      </w:r>
      <w:r>
        <w:t xml:space="preserve"> been enacted.</w:t>
      </w:r>
    </w:p>
    <w:p w14:paraId="6DDB4333" w14:textId="289DD002" w:rsidR="00FF6980" w:rsidRPr="00B94801" w:rsidRDefault="00FF6980" w:rsidP="00F75DBC">
      <w:r>
        <w:t xml:space="preserve">In its 2020 submission to the Victorian </w:t>
      </w:r>
      <w:r w:rsidRPr="00A07EA0">
        <w:t>Legal and Social Issues Committee’s Inquiry into Anti-Vilification Protections in Victoria</w:t>
      </w:r>
      <w:r>
        <w:t xml:space="preserve"> (Victorian Anti-vilification Inquiry)</w:t>
      </w:r>
      <w:r w:rsidRPr="00A07EA0">
        <w:t xml:space="preserve">, VEOHRC noted that despite efforts to collect data on hate in the Victorian community, there is a lack of an integrated coordinated approach to data collection in Victoria and nationally. This includes a lack of consistent categories and definitions, which makes it difficult to integrate, compare and analyse data. VEORHC recommended that the Victorian Government fund ongoing research on hate conduct and crime in Victoria, </w:t>
      </w:r>
      <w:r>
        <w:t xml:space="preserve">which would </w:t>
      </w:r>
      <w:r w:rsidRPr="00A07EA0">
        <w:t>includ</w:t>
      </w:r>
      <w:r>
        <w:t>e</w:t>
      </w:r>
      <w:r w:rsidRPr="00A07EA0">
        <w:t xml:space="preserve"> serious harms on the basis of religion.</w:t>
      </w:r>
    </w:p>
    <w:p w14:paraId="1F713456" w14:textId="12ADBCA8" w:rsidR="00FF6980" w:rsidRPr="00B94801" w:rsidRDefault="00FF6980" w:rsidP="00F75DBC">
      <w:r w:rsidRPr="00B94801">
        <w:t xml:space="preserve">Roundtable participants urged that any official system for reporting serious harms on the basis of religion will need to deal with the fact that some smaller religious communities are distrustful of police and other authorities. This is sometimes because of experiences in their countries of origin, or because of </w:t>
      </w:r>
      <w:r w:rsidR="00C25926">
        <w:t xml:space="preserve">negative </w:t>
      </w:r>
      <w:r w:rsidRPr="00B94801">
        <w:t>experiences with authorities in Australia. Also, much of the work that has been done with Muslim communities on these matters has been done within a Countering Violent Extremism (CVE) framework. Framing the issue in this way frequently undermines trust. Any national register would need to be independent, and at arm’s length from government.</w:t>
      </w:r>
    </w:p>
    <w:p w14:paraId="529E2CBE" w14:textId="6D61F7CF" w:rsidR="00FF6980" w:rsidRPr="00B94801" w:rsidRDefault="00FF6980" w:rsidP="00F75DBC">
      <w:r w:rsidRPr="00B94801">
        <w:lastRenderedPageBreak/>
        <w:t>The body conducting the research should work closely with religious communities to develop a reporting mechanism that can be used with confidence by people from Australia’s diverse multicultural and multifaith communities, including those where there is a historical mistrust of police and other authorities. Leaders and representatives of these communities should be involved in this development process from the beginning.</w:t>
      </w:r>
    </w:p>
    <w:p w14:paraId="15B592B1" w14:textId="626CA3C7" w:rsidR="00FF6980" w:rsidRPr="00B94801" w:rsidRDefault="00FF6980" w:rsidP="00F75DBC">
      <w:r w:rsidRPr="00B94801">
        <w:t>We recommend that the independent body study overseas examples of reporting mechanisms, especially those in the UK, Europe, the US and Canada. Research should also be done into the longer term physical and psychological impacts of repeated experiences of discrimination or abuse.</w:t>
      </w:r>
    </w:p>
    <w:p w14:paraId="51201C21" w14:textId="24C7155F" w:rsidR="00FF6980" w:rsidRPr="00B94801" w:rsidRDefault="00FF6980" w:rsidP="00F75DBC">
      <w:r w:rsidRPr="00B94801">
        <w:t>The AHRC is currently undertaking the Sharing the Stories of Australian Muslims Project. The project is made up of two research strands: a quantitative online survey collecting a national data set on the incidences of discrimin</w:t>
      </w:r>
      <w:r w:rsidR="00125CA3">
        <w:t xml:space="preserve">ation experienced by Australian </w:t>
      </w:r>
      <w:r w:rsidRPr="00B94801">
        <w:t>Muslims; and a qualitative consultation process focusing on community priorities and challenges. Data from the project will contribute to robust intelligence on Islamophobia experienced by Australian Muslims including incidences of serious harm on the basis of religion.</w:t>
      </w:r>
    </w:p>
    <w:p w14:paraId="5F681488" w14:textId="6A0D8661" w:rsidR="00FF6980" w:rsidRPr="00A5084F" w:rsidRDefault="00FF6980" w:rsidP="00EE5606">
      <w:pPr>
        <w:pStyle w:val="Titolo3"/>
      </w:pPr>
      <w:r w:rsidRPr="00A07EA0">
        <w:t>Dialogue</w:t>
      </w:r>
    </w:p>
    <w:p w14:paraId="36E88CBC" w14:textId="77777777" w:rsidR="00FF6980" w:rsidRPr="00B94801" w:rsidRDefault="00FF6980" w:rsidP="00F75DBC">
      <w:r w:rsidRPr="00B94801">
        <w:t>The AHRC previously recommended that the Australian Government</w:t>
      </w:r>
    </w:p>
    <w:p w14:paraId="4CD56CA8" w14:textId="23E9320C" w:rsidR="00FF6980" w:rsidRPr="00B94801" w:rsidRDefault="00FF6980" w:rsidP="00FD6DFF">
      <w:pPr>
        <w:pStyle w:val="Citazione"/>
      </w:pPr>
      <w:r w:rsidRPr="00BC5039">
        <w:t>enable the operation of a multi-faith advisory group, consisting of leaders and representatives of Australia’s diverse religious communities, to advise the Government on the practical experience of freedom of religion and belief, as well as policy and law reform in this area.</w:t>
      </w:r>
      <w:r>
        <w:rPr>
          <w:rStyle w:val="Rimandonotadichiusura"/>
          <w:rFonts w:asciiTheme="majorHAnsi" w:hAnsiTheme="majorHAnsi" w:cstheme="majorHAnsi"/>
          <w:szCs w:val="20"/>
        </w:rPr>
        <w:endnoteReference w:id="35"/>
      </w:r>
    </w:p>
    <w:p w14:paraId="17CDF88E" w14:textId="76A87B93" w:rsidR="00FF6980" w:rsidRPr="00B94801" w:rsidRDefault="00FF6980" w:rsidP="00F75DBC">
      <w:r w:rsidRPr="00B94801">
        <w:t xml:space="preserve">One roundtable participant pointed to existing NSW and Victorian ‘faith advisory groups’ which advise governments on issues affecting religious communities. These groups have a role in promoting peace, encouraging interfaith dialogue and building community friendships. A number of participants expressed support for a national version of these state-based groups. A number of regional interfaith dialogue processes currently exist, but they don’t have any official recognition by government. It was suggested that these disparate groups could be brought together into </w:t>
      </w:r>
      <w:r w:rsidR="00686067">
        <w:t>a body</w:t>
      </w:r>
      <w:r w:rsidR="00686067" w:rsidRPr="00B94801">
        <w:t xml:space="preserve"> </w:t>
      </w:r>
      <w:r w:rsidRPr="00B94801">
        <w:t>with more gravitas and impact. Participants stressed that any such group should involve more than just community consultation; it should have measurable outcomes and be able to influence policy processes.</w:t>
      </w:r>
    </w:p>
    <w:p w14:paraId="4A3CC133" w14:textId="7D5AFA54" w:rsidR="00FF6980" w:rsidRPr="00B94801" w:rsidRDefault="00FF6980" w:rsidP="00F75DBC">
      <w:r w:rsidRPr="00B94801">
        <w:lastRenderedPageBreak/>
        <w:t xml:space="preserve">A group of this kind could be </w:t>
      </w:r>
      <w:r w:rsidR="00417516">
        <w:t xml:space="preserve">coordinated </w:t>
      </w:r>
      <w:r w:rsidRPr="00B94801">
        <w:t>by the AHRC or a similar body and should include representation from the highest levels of government. The group should set clear targets and monitor outcomes. It could also have a role in supporting the interfaith groups that exist across Australia to build relationships and mutual respect.</w:t>
      </w:r>
    </w:p>
    <w:p w14:paraId="20D886A8" w14:textId="31FABE17" w:rsidR="00FF6980" w:rsidRPr="00A5084F" w:rsidRDefault="00FF6980" w:rsidP="00EE5606">
      <w:pPr>
        <w:pStyle w:val="Titolo3"/>
      </w:pPr>
      <w:r w:rsidRPr="00A07EA0">
        <w:t>Education</w:t>
      </w:r>
    </w:p>
    <w:p w14:paraId="2DB2A403" w14:textId="7EC8F1B4" w:rsidR="00FF6980" w:rsidRPr="00B94801" w:rsidRDefault="00FF6980" w:rsidP="00F75DBC">
      <w:r w:rsidRPr="00B94801">
        <w:t>In its response to the Ruddock Report, the Australian Government committed to</w:t>
      </w:r>
      <w:r w:rsidR="00686067">
        <w:t xml:space="preserve"> ask the proposed Freedom of Religion Commissioner</w:t>
      </w:r>
    </w:p>
    <w:p w14:paraId="082B2191" w14:textId="2D22408E" w:rsidR="00FF6980" w:rsidRPr="00FD6DFF" w:rsidRDefault="00FF6980" w:rsidP="00FD6DFF">
      <w:pPr>
        <w:pStyle w:val="Citazione"/>
      </w:pPr>
      <w:r w:rsidRPr="00BC5039">
        <w:t>to develop a religious engagement and public education program, informed by the outcomes of the Commissioner’s inquiry outlined in [the government’s response to the recommendation about the need for better data], about human rights and religion in Australia, the importance of the right to freedom of religion, and the current protections for freedom of religion under Australian and international law.</w:t>
      </w:r>
      <w:r w:rsidRPr="00FD6DFF">
        <w:rPr>
          <w:rStyle w:val="Rimandonotadichiusura"/>
          <w:rFonts w:asciiTheme="majorHAnsi" w:hAnsiTheme="majorHAnsi" w:cstheme="majorHAnsi"/>
          <w:sz w:val="22"/>
          <w:szCs w:val="22"/>
        </w:rPr>
        <w:endnoteReference w:id="36"/>
      </w:r>
    </w:p>
    <w:p w14:paraId="760267BB" w14:textId="50200701" w:rsidR="00FF6980" w:rsidRDefault="00FF6980" w:rsidP="00F75DBC">
      <w:r>
        <w:t>During consultations to inform VEOHRC’s submission to the Victorian Anti-Vilification Inquiry, calls were made for</w:t>
      </w:r>
      <w:r w:rsidRPr="00A07EA0">
        <w:t xml:space="preserve"> more awareness in the community to remove </w:t>
      </w:r>
      <w:r>
        <w:t xml:space="preserve">racial and religious </w:t>
      </w:r>
      <w:r w:rsidRPr="00A07EA0">
        <w:t>misconceptions</w:t>
      </w:r>
      <w:r>
        <w:t xml:space="preserve"> or </w:t>
      </w:r>
      <w:r w:rsidRPr="00A07EA0">
        <w:t>stereotypes, noting the importance of promoting a positive image of diverse communities in Victoria. VEOHRC’s submission</w:t>
      </w:r>
      <w:r>
        <w:t xml:space="preserve"> recommended </w:t>
      </w:r>
      <w:r w:rsidR="00686067">
        <w:t xml:space="preserve">that </w:t>
      </w:r>
      <w:r>
        <w:t xml:space="preserve">the Victorian Government fund </w:t>
      </w:r>
      <w:r w:rsidRPr="00A07EA0">
        <w:t>a public awareness</w:t>
      </w:r>
      <w:r>
        <w:t xml:space="preserve"> campaign</w:t>
      </w:r>
      <w:r w:rsidRPr="00A07EA0">
        <w:t xml:space="preserve"> to promote diversity and social cohesion in Victoria, and to increase understanding and respect for communities</w:t>
      </w:r>
      <w:r>
        <w:t xml:space="preserve"> who are disproportionately targeted by hate conduct and crime in the community</w:t>
      </w:r>
      <w:r w:rsidRPr="00A07EA0">
        <w:t xml:space="preserve">. </w:t>
      </w:r>
      <w:r>
        <w:t>VEOHRC also recommended th</w:t>
      </w:r>
      <w:r w:rsidR="00404DF0">
        <w:t>at</w:t>
      </w:r>
      <w:r>
        <w:t xml:space="preserve"> education and training be provided to </w:t>
      </w:r>
      <w:r w:rsidRPr="00A07EA0">
        <w:t xml:space="preserve">law enforcers to improve their </w:t>
      </w:r>
      <w:r w:rsidRPr="00F33282">
        <w:t>capability</w:t>
      </w:r>
      <w:r w:rsidRPr="00A07EA0">
        <w:t xml:space="preserve"> to identify, record and respond to hate crime; and </w:t>
      </w:r>
      <w:r w:rsidR="007D34B3">
        <w:t xml:space="preserve">to </w:t>
      </w:r>
      <w:r w:rsidRPr="00A07EA0">
        <w:t>courts and tribunal</w:t>
      </w:r>
      <w:r w:rsidR="00404DF0">
        <w:t>s</w:t>
      </w:r>
      <w:r w:rsidRPr="00A07EA0">
        <w:t xml:space="preserve"> to </w:t>
      </w:r>
      <w:r w:rsidR="00404DF0">
        <w:t xml:space="preserve">improve </w:t>
      </w:r>
      <w:r w:rsidRPr="00A07EA0">
        <w:t>understanding of the nature and impact of hate crime.</w:t>
      </w:r>
    </w:p>
    <w:p w14:paraId="49B28CA7" w14:textId="7944F635" w:rsidR="00FF6980" w:rsidRPr="00B94801" w:rsidRDefault="00FF6980" w:rsidP="00F75DBC">
      <w:r w:rsidRPr="00B94801">
        <w:t>Many roundtable participants, including a high school student from a Muslim school, discussed the need for training sessions on being an ‘active bystander’ who can help de-escalate a situation where it is safe to do so, or support the victim directly. ‘Bystander training’ could be considered for use in schools</w:t>
      </w:r>
      <w:r>
        <w:t>, shopping centres, for employers</w:t>
      </w:r>
      <w:r w:rsidRPr="00B94801">
        <w:t xml:space="preserve"> and </w:t>
      </w:r>
      <w:r>
        <w:t xml:space="preserve">in </w:t>
      </w:r>
      <w:r w:rsidRPr="00B94801">
        <w:t>other contexts. Such training includes scenario-based sessions where people learn how to respond in the moment as a victim or as a bystander. This gives young people the skills to identify and call out violence and intimidation and to help promote a culture of responding to rather than ignoring serious harms.</w:t>
      </w:r>
      <w:r>
        <w:t xml:space="preserve"> </w:t>
      </w:r>
    </w:p>
    <w:p w14:paraId="39F95589" w14:textId="7CA7F124" w:rsidR="00FF6980" w:rsidRPr="00B94801" w:rsidRDefault="00FF6980" w:rsidP="00F75DBC">
      <w:r w:rsidRPr="00B94801">
        <w:lastRenderedPageBreak/>
        <w:t xml:space="preserve">The workplace is another important context for education and training. Interfaith leaders should work with </w:t>
      </w:r>
      <w:r>
        <w:t xml:space="preserve">the </w:t>
      </w:r>
      <w:r w:rsidRPr="00B94801">
        <w:t>AHRC</w:t>
      </w:r>
      <w:r>
        <w:t>, state and territory anti-discrimination commissions (such as VEOHRC</w:t>
      </w:r>
      <w:r w:rsidRPr="00B94801">
        <w:t xml:space="preserve"> </w:t>
      </w:r>
      <w:r>
        <w:t xml:space="preserve">in Victoria) </w:t>
      </w:r>
      <w:r w:rsidRPr="00B94801">
        <w:t xml:space="preserve">or the Fair Work Commission to develop religious and cultural intelligence training for employees and employers. </w:t>
      </w:r>
      <w:r w:rsidR="00686067">
        <w:t>Customised</w:t>
      </w:r>
      <w:r w:rsidR="00686067" w:rsidRPr="00B94801">
        <w:t xml:space="preserve"> </w:t>
      </w:r>
      <w:r w:rsidRPr="00B94801">
        <w:t>programs may also be developed for workers who are particularly likely to need to deal with incidents of abuse or discrimination, such as security guards.</w:t>
      </w:r>
    </w:p>
    <w:p w14:paraId="6F4E9F69" w14:textId="39B2FCB3" w:rsidR="00FF6980" w:rsidRPr="00B94801" w:rsidRDefault="00FF6980" w:rsidP="00F75DBC">
      <w:r w:rsidRPr="00B94801">
        <w:t xml:space="preserve">In addition, faith leaders, government bodies and media organisations should work together to develop guidelines on media representation of religion and religious communities. A roundtable participant noted that there are very strong and well-supported guidelines about media reporting on issues such as suicide, which aim to reduce the negative effects of such reporting on vulnerable people. Similar guidelines could be developed to reduce the risk of serious harms on the basis of religion. </w:t>
      </w:r>
    </w:p>
    <w:p w14:paraId="700F7833" w14:textId="2295229D" w:rsidR="00BD6AFF" w:rsidRPr="00BD6AFF" w:rsidRDefault="00FF6980" w:rsidP="00BD6AFF">
      <w:r w:rsidRPr="00B94801">
        <w:t xml:space="preserve">Finally, education should be targeted towards religious communities and people of faith to inform them of their existing </w:t>
      </w:r>
      <w:r>
        <w:t xml:space="preserve">legal </w:t>
      </w:r>
      <w:r w:rsidRPr="00B94801">
        <w:t>rights, and the remedies available under current law.</w:t>
      </w:r>
      <w:r>
        <w:t xml:space="preserve"> This is important as there may not be a clear understanding across religious communities of their rights and options for reporting harm. For example, VEOHRC found during recent consultations there was a low understanding among religious communities of their rights to make complaints to VEOHRC about religious discrimination or vilification including the differences between lower level harms and more serious harms that could be brought to the police.</w:t>
      </w:r>
    </w:p>
    <w:p w14:paraId="25244958" w14:textId="1B8F9944" w:rsidR="003423F4" w:rsidRDefault="007D34B3" w:rsidP="003423F4">
      <w:pPr>
        <w:pStyle w:val="Titolo1"/>
      </w:pPr>
      <w:bookmarkStart w:id="12" w:name="_Toc43882219"/>
      <w:r>
        <w:t>Summary of r</w:t>
      </w:r>
      <w:r w:rsidR="00BD6AFF">
        <w:t>ecommendations</w:t>
      </w:r>
      <w:bookmarkEnd w:id="12"/>
    </w:p>
    <w:p w14:paraId="47FD3B9A" w14:textId="2E2B2DB5" w:rsidR="00FF6980" w:rsidRPr="00A5084F" w:rsidRDefault="00FF6980" w:rsidP="00A5084F">
      <w:pPr>
        <w:rPr>
          <w:b/>
        </w:rPr>
      </w:pPr>
      <w:r w:rsidRPr="00417516">
        <w:rPr>
          <w:bCs/>
        </w:rPr>
        <w:t>T</w:t>
      </w:r>
      <w:r>
        <w:t xml:space="preserve">he VEOHRC has made detailed recommendations to the Victorian Government in relation to law reform in the area of vilification and hate conduct. These can be found in VEOHRC submission to the Victorian Parliamentary Inquiry into Anti-Vilification Protections, </w:t>
      </w:r>
      <w:r w:rsidRPr="007D34B3">
        <w:rPr>
          <w:rFonts w:cs="Open Sans"/>
        </w:rPr>
        <w:t>at</w:t>
      </w:r>
      <w:r w:rsidR="007D34B3">
        <w:rPr>
          <w:rFonts w:cs="Open Sans"/>
        </w:rPr>
        <w:t xml:space="preserve"> </w:t>
      </w:r>
      <w:hyperlink r:id="rId19" w:history="1">
        <w:r w:rsidR="009D44E5" w:rsidRPr="00D14E11">
          <w:rPr>
            <w:rStyle w:val="Collegamentoipertestuale"/>
            <w:rFonts w:cs="Open Sans"/>
          </w:rPr>
          <w:t>https://www.humanrightscommission.vic.gov.au/policy-submissions/item/1869-submission-to-the-parliamentary-inquiry-into-anti-vilification-protections-feb-2020</w:t>
        </w:r>
      </w:hyperlink>
      <w:r w:rsidRPr="00B94801">
        <w:rPr>
          <w:b/>
        </w:rPr>
        <w:t xml:space="preserve"> </w:t>
      </w:r>
    </w:p>
    <w:p w14:paraId="6A9667F7" w14:textId="77777777" w:rsidR="00C85FC3" w:rsidRDefault="00C85FC3">
      <w:pPr>
        <w:keepLines w:val="0"/>
        <w:spacing w:before="0" w:after="0"/>
      </w:pPr>
      <w:r>
        <w:br w:type="page"/>
      </w:r>
    </w:p>
    <w:p w14:paraId="58E465C6" w14:textId="0AB8B222" w:rsidR="00FF6980" w:rsidRPr="007C32C6" w:rsidRDefault="00FF6980" w:rsidP="00A5084F">
      <w:r>
        <w:lastRenderedPageBreak/>
        <w:t>The AHRC and VEOHRC make the following joint recommendations:</w:t>
      </w:r>
    </w:p>
    <w:p w14:paraId="4D214D2C" w14:textId="77777777" w:rsidR="00FF6980" w:rsidRPr="00FE35B2" w:rsidRDefault="00FF6980" w:rsidP="00A5084F">
      <w:pPr>
        <w:pStyle w:val="Paragrafoelenco"/>
        <w:numPr>
          <w:ilvl w:val="0"/>
          <w:numId w:val="34"/>
        </w:numPr>
      </w:pPr>
      <w:r w:rsidRPr="00FE35B2">
        <w:t xml:space="preserve">The Commonwealth and Victorian Governments should </w:t>
      </w:r>
      <w:r>
        <w:t xml:space="preserve">each </w:t>
      </w:r>
      <w:r w:rsidRPr="00FE35B2">
        <w:t>commission ongoing quantitative research, in accordance with conventional scientific standards, on the nature and prevalence of serious harms on the basis of religion.</w:t>
      </w:r>
    </w:p>
    <w:p w14:paraId="119A6E93" w14:textId="77777777" w:rsidR="00FF6980" w:rsidRPr="00A5084F" w:rsidRDefault="00FF6980" w:rsidP="00A5084F">
      <w:pPr>
        <w:pStyle w:val="Paragrafoelenco"/>
        <w:numPr>
          <w:ilvl w:val="1"/>
          <w:numId w:val="34"/>
        </w:numPr>
        <w:rPr>
          <w:lang w:val="en-GB"/>
        </w:rPr>
      </w:pPr>
      <w:r w:rsidRPr="00A5084F">
        <w:rPr>
          <w:lang w:val="en-GB"/>
        </w:rPr>
        <w:t>This research might take the form of a national or state register, conducted independently and at arm’s length from police and government.</w:t>
      </w:r>
    </w:p>
    <w:p w14:paraId="6C90ABDB" w14:textId="77777777" w:rsidR="00FF6980" w:rsidRPr="00A5084F" w:rsidRDefault="00FF6980" w:rsidP="00A5084F">
      <w:pPr>
        <w:pStyle w:val="Paragrafoelenco"/>
        <w:numPr>
          <w:ilvl w:val="1"/>
          <w:numId w:val="34"/>
        </w:numPr>
        <w:rPr>
          <w:lang w:val="en-GB"/>
        </w:rPr>
      </w:pPr>
      <w:r w:rsidRPr="00A5084F">
        <w:rPr>
          <w:lang w:val="en-GB"/>
        </w:rPr>
        <w:t>The research should be conducted in close collaboration with leaders and representatives of religious communities.</w:t>
      </w:r>
    </w:p>
    <w:p w14:paraId="051DE214" w14:textId="77777777" w:rsidR="00FF6980" w:rsidRPr="00A5084F" w:rsidRDefault="00FF6980" w:rsidP="00A5084F">
      <w:pPr>
        <w:pStyle w:val="Paragrafoelenco"/>
        <w:numPr>
          <w:ilvl w:val="1"/>
          <w:numId w:val="34"/>
        </w:numPr>
        <w:rPr>
          <w:lang w:val="en-GB"/>
        </w:rPr>
      </w:pPr>
      <w:r w:rsidRPr="00A5084F">
        <w:rPr>
          <w:lang w:val="en-GB"/>
        </w:rPr>
        <w:t xml:space="preserve">Examples of best practice reporting mechanisms, especially those in the UK, Europe, the US and Canada, should be considered in the design of this prevalence research. </w:t>
      </w:r>
    </w:p>
    <w:p w14:paraId="6676D3EF" w14:textId="498546D4" w:rsidR="00FF6980" w:rsidRPr="00A5084F" w:rsidRDefault="00FF6980" w:rsidP="00A5084F">
      <w:pPr>
        <w:pStyle w:val="Paragrafoelenco"/>
        <w:numPr>
          <w:ilvl w:val="0"/>
          <w:numId w:val="34"/>
        </w:numPr>
        <w:rPr>
          <w:lang w:val="en-GB"/>
        </w:rPr>
      </w:pPr>
      <w:r w:rsidRPr="00A5084F">
        <w:rPr>
          <w:lang w:val="en-GB"/>
        </w:rPr>
        <w:t>The Commonwealth Government should establish a multifaith advisory group, consisting of leaders and representatives of Australia’s diverse religious communities, to advise the Government on the practical experience of freedom of religion and belief, as well as policy and law reform in this area.</w:t>
      </w:r>
    </w:p>
    <w:p w14:paraId="77AD5A47" w14:textId="18FB1733" w:rsidR="00FF6980" w:rsidRPr="00A5084F" w:rsidRDefault="00FF6980" w:rsidP="00A5084F">
      <w:pPr>
        <w:pStyle w:val="Paragrafoelenco"/>
        <w:numPr>
          <w:ilvl w:val="1"/>
          <w:numId w:val="34"/>
        </w:numPr>
        <w:rPr>
          <w:lang w:val="en-GB"/>
        </w:rPr>
      </w:pPr>
      <w:r w:rsidRPr="00A5084F">
        <w:rPr>
          <w:lang w:val="en-GB"/>
        </w:rPr>
        <w:t xml:space="preserve">This group could be </w:t>
      </w:r>
      <w:r w:rsidR="00417516">
        <w:rPr>
          <w:lang w:val="en-GB"/>
        </w:rPr>
        <w:t xml:space="preserve">coordinated </w:t>
      </w:r>
      <w:r w:rsidRPr="00A5084F">
        <w:rPr>
          <w:lang w:val="en-GB"/>
        </w:rPr>
        <w:t xml:space="preserve">by the </w:t>
      </w:r>
      <w:r w:rsidR="005C0745">
        <w:rPr>
          <w:lang w:val="en-GB"/>
        </w:rPr>
        <w:t>AHRC</w:t>
      </w:r>
      <w:r w:rsidRPr="00A5084F">
        <w:rPr>
          <w:lang w:val="en-GB"/>
        </w:rPr>
        <w:t xml:space="preserve"> or a similar body and should include representation from the highest levels of government. The group should set clear targets and monitor outcomes.</w:t>
      </w:r>
    </w:p>
    <w:p w14:paraId="506D498E" w14:textId="77777777" w:rsidR="00FF6980" w:rsidRPr="00A5084F" w:rsidRDefault="00FF6980" w:rsidP="00A5084F">
      <w:pPr>
        <w:pStyle w:val="Paragrafoelenco"/>
        <w:numPr>
          <w:ilvl w:val="1"/>
          <w:numId w:val="34"/>
        </w:numPr>
        <w:rPr>
          <w:lang w:val="en-GB"/>
        </w:rPr>
      </w:pPr>
      <w:r w:rsidRPr="00A5084F">
        <w:rPr>
          <w:lang w:val="en-GB"/>
        </w:rPr>
        <w:t>Victoria’s Multifaith Advisory Group offers an instructive example of an effective advisory body.</w:t>
      </w:r>
    </w:p>
    <w:p w14:paraId="0BABBEDB" w14:textId="77777777" w:rsidR="00FF6980" w:rsidRPr="00A5084F" w:rsidRDefault="00FF6980" w:rsidP="00A5084F">
      <w:pPr>
        <w:pStyle w:val="Paragrafoelenco"/>
        <w:numPr>
          <w:ilvl w:val="0"/>
          <w:numId w:val="34"/>
        </w:numPr>
        <w:rPr>
          <w:lang w:val="en-GB"/>
        </w:rPr>
      </w:pPr>
      <w:r w:rsidRPr="00A5084F">
        <w:rPr>
          <w:lang w:val="en-GB"/>
        </w:rPr>
        <w:t>The Commonwealth and Victorian Governments should each develop religious engagement and public education programs about religion and its place in Australia, the importance of the right to freedom of religion and belief, and the current protections for religious freedom in Victorian, Australian and international law.</w:t>
      </w:r>
    </w:p>
    <w:p w14:paraId="7C1E88BC" w14:textId="56C58B1C" w:rsidR="003423F4" w:rsidRPr="00E23DB3" w:rsidRDefault="00FF6980" w:rsidP="00A5084F">
      <w:pPr>
        <w:pStyle w:val="Paragrafoelenco"/>
        <w:numPr>
          <w:ilvl w:val="1"/>
          <w:numId w:val="34"/>
        </w:numPr>
      </w:pPr>
      <w:r w:rsidRPr="00EC417C">
        <w:t>These programs should include targeted education for groups such as police, security services, school students and the media.</w:t>
      </w:r>
    </w:p>
    <w:sectPr w:rsidR="003423F4" w:rsidRPr="00E23DB3" w:rsidSect="00460EE0">
      <w:headerReference w:type="even" r:id="rId20"/>
      <w:headerReference w:type="default" r:id="rId21"/>
      <w:footerReference w:type="even" r:id="rId22"/>
      <w:footerReference w:type="default" r:id="rId23"/>
      <w:headerReference w:type="first" r:id="rId24"/>
      <w:footerReference w:type="first" r:id="rId25"/>
      <w:endnotePr>
        <w:numFmt w:val="decimal"/>
      </w:endnotePr>
      <w:pgSz w:w="11906" w:h="16838" w:code="9"/>
      <w:pgMar w:top="1134" w:right="1418" w:bottom="1134" w:left="1418" w:header="907" w:footer="283" w:gutter="0"/>
      <w:pgNumType w:start="2"/>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CEE7040" w14:textId="77777777" w:rsidR="00300928" w:rsidRDefault="00300928" w:rsidP="00F14C6D">
      <w:r>
        <w:separator/>
      </w:r>
    </w:p>
  </w:endnote>
  <w:endnote w:type="continuationSeparator" w:id="0">
    <w:p w14:paraId="577B9A2C" w14:textId="77777777" w:rsidR="00300928" w:rsidRDefault="00300928" w:rsidP="00F14C6D">
      <w:r>
        <w:continuationSeparator/>
      </w:r>
    </w:p>
  </w:endnote>
  <w:endnote w:id="1">
    <w:p w14:paraId="500BAA78" w14:textId="0755112F" w:rsidR="007211DC" w:rsidRPr="00B359A2" w:rsidRDefault="007211DC" w:rsidP="00B359A2">
      <w:pPr>
        <w:pStyle w:val="Testonotadichiusura"/>
        <w:rPr>
          <w:lang w:eastAsia="en-US"/>
        </w:rPr>
      </w:pPr>
      <w:r w:rsidRPr="003B3652">
        <w:rPr>
          <w:rStyle w:val="Rimandonotadichiusura"/>
          <w:rFonts w:asciiTheme="majorHAnsi" w:hAnsiTheme="majorHAnsi"/>
          <w:sz w:val="18"/>
          <w:szCs w:val="18"/>
        </w:rPr>
        <w:endnoteRef/>
      </w:r>
      <w:r w:rsidRPr="003B3652">
        <w:t xml:space="preserve"> </w:t>
      </w:r>
      <w:r w:rsidRPr="00B359A2">
        <w:rPr>
          <w:i/>
          <w:iCs/>
        </w:rPr>
        <w:t>Australian Human Rights Commission Act 1986</w:t>
      </w:r>
      <w:r w:rsidRPr="00B359A2">
        <w:t xml:space="preserve"> (Cth), ss 3(1), 11, Schedule 2; </w:t>
      </w:r>
      <w:r w:rsidRPr="00B359A2">
        <w:rPr>
          <w:i/>
          <w:iCs/>
          <w:lang w:eastAsia="en-US"/>
        </w:rPr>
        <w:t>International Covenant on Civil and Political Rights</w:t>
      </w:r>
      <w:r w:rsidRPr="00B359A2">
        <w:rPr>
          <w:lang w:eastAsia="en-US"/>
        </w:rPr>
        <w:t>, opened for signature 16 December 1966, 999 UNTS 171 (entered into force 23 March 1976) article 18(3)</w:t>
      </w:r>
      <w:r>
        <w:rPr>
          <w:lang w:eastAsia="en-US"/>
        </w:rPr>
        <w:t>.</w:t>
      </w:r>
    </w:p>
  </w:endnote>
  <w:endnote w:id="2">
    <w:p w14:paraId="6A978B24" w14:textId="77777777" w:rsidR="007211DC" w:rsidRPr="00B359A2" w:rsidRDefault="007211DC" w:rsidP="00B359A2">
      <w:pPr>
        <w:pStyle w:val="Testonotadichiusura"/>
      </w:pPr>
      <w:r w:rsidRPr="00B359A2">
        <w:rPr>
          <w:rStyle w:val="Rimandonotadichiusura"/>
        </w:rPr>
        <w:endnoteRef/>
      </w:r>
      <w:r w:rsidRPr="00B359A2">
        <w:t xml:space="preserve"> </w:t>
      </w:r>
      <w:r w:rsidRPr="00C46805">
        <w:rPr>
          <w:i/>
        </w:rPr>
        <w:t xml:space="preserve">Australian Human Rights Commission Act 1986 </w:t>
      </w:r>
      <w:r w:rsidRPr="00B359A2">
        <w:t>(Cth), s 11.</w:t>
      </w:r>
    </w:p>
  </w:endnote>
  <w:endnote w:id="3">
    <w:p w14:paraId="52C1E434" w14:textId="77B999E3" w:rsidR="007211DC" w:rsidRPr="00B359A2" w:rsidRDefault="007211DC" w:rsidP="00B359A2">
      <w:pPr>
        <w:pStyle w:val="Testonotadichiusura"/>
      </w:pPr>
      <w:r w:rsidRPr="00B359A2">
        <w:rPr>
          <w:rStyle w:val="Rimandonotadichiusura"/>
        </w:rPr>
        <w:endnoteRef/>
      </w:r>
      <w:r w:rsidRPr="00B359A2">
        <w:t xml:space="preserve"> </w:t>
      </w:r>
      <w:r w:rsidRPr="00B359A2">
        <w:rPr>
          <w:i/>
        </w:rPr>
        <w:t>Racial Discrimination Act 1975</w:t>
      </w:r>
      <w:r w:rsidRPr="00B359A2">
        <w:t xml:space="preserve"> (Cth), </w:t>
      </w:r>
      <w:r w:rsidRPr="00B359A2">
        <w:rPr>
          <w:i/>
        </w:rPr>
        <w:t>Sex Discrimination Act 1984</w:t>
      </w:r>
      <w:r w:rsidRPr="00B359A2">
        <w:t xml:space="preserve"> (Cth), </w:t>
      </w:r>
      <w:r w:rsidRPr="00B359A2">
        <w:rPr>
          <w:i/>
        </w:rPr>
        <w:t>Disability Discrimination Act 1992</w:t>
      </w:r>
      <w:r w:rsidRPr="00B359A2">
        <w:t xml:space="preserve"> (Cth), </w:t>
      </w:r>
      <w:r w:rsidRPr="00B359A2">
        <w:rPr>
          <w:i/>
        </w:rPr>
        <w:t>Age Discrimination Act 2004</w:t>
      </w:r>
      <w:r w:rsidRPr="00B359A2">
        <w:t xml:space="preserve"> (Cth). See </w:t>
      </w:r>
      <w:r w:rsidRPr="00B359A2">
        <w:rPr>
          <w:i/>
        </w:rPr>
        <w:t>Australian Human Rights Commission Act 1986</w:t>
      </w:r>
      <w:r w:rsidRPr="00B359A2">
        <w:t xml:space="preserve"> (Cth), ss 3(1), 11(1)(aa).</w:t>
      </w:r>
    </w:p>
  </w:endnote>
  <w:endnote w:id="4">
    <w:p w14:paraId="735C8FF4" w14:textId="71FF6C5E" w:rsidR="007211DC" w:rsidRPr="00B359A2" w:rsidRDefault="007211DC" w:rsidP="00EA64CD">
      <w:pPr>
        <w:pStyle w:val="Testonotadichiusura"/>
        <w:rPr>
          <w:rFonts w:cs="Arial"/>
        </w:rPr>
      </w:pPr>
      <w:r w:rsidRPr="00B359A2">
        <w:rPr>
          <w:rStyle w:val="Rimandonotadichiusura"/>
          <w:rFonts w:asciiTheme="majorHAnsi" w:hAnsiTheme="majorHAnsi" w:cs="Arial"/>
        </w:rPr>
        <w:endnoteRef/>
      </w:r>
      <w:r w:rsidRPr="00B359A2">
        <w:rPr>
          <w:rFonts w:cs="Arial"/>
        </w:rPr>
        <w:t xml:space="preserve"> The Victorian Equal Opportunity and Human Rights Commission is an independent statutory agency with responsibilities under the </w:t>
      </w:r>
      <w:r w:rsidRPr="00B359A2">
        <w:rPr>
          <w:rFonts w:cs="Arial"/>
          <w:i/>
        </w:rPr>
        <w:t>Equal Opportunity Act 2010</w:t>
      </w:r>
      <w:r w:rsidRPr="00B359A2">
        <w:rPr>
          <w:rFonts w:cs="Arial"/>
        </w:rPr>
        <w:t xml:space="preserve"> (Vic), the </w:t>
      </w:r>
      <w:r w:rsidRPr="00B359A2">
        <w:rPr>
          <w:rFonts w:cs="Arial"/>
          <w:i/>
        </w:rPr>
        <w:t>Charter of Human Rights and Responsibilities Act 2006</w:t>
      </w:r>
      <w:r w:rsidRPr="00B359A2">
        <w:rPr>
          <w:rFonts w:cs="Arial"/>
        </w:rPr>
        <w:t xml:space="preserve"> (Vic) and the </w:t>
      </w:r>
      <w:r w:rsidRPr="00B359A2">
        <w:rPr>
          <w:rFonts w:cs="Arial"/>
          <w:i/>
        </w:rPr>
        <w:t>Racial and Religious Tolerance Act 2001</w:t>
      </w:r>
      <w:r w:rsidRPr="00B359A2">
        <w:rPr>
          <w:rFonts w:cs="Arial"/>
        </w:rPr>
        <w:t xml:space="preserve"> (Vic).</w:t>
      </w:r>
    </w:p>
  </w:endnote>
  <w:endnote w:id="5">
    <w:p w14:paraId="410B8784" w14:textId="77777777" w:rsidR="007211DC" w:rsidRPr="00B359A2" w:rsidRDefault="007211DC" w:rsidP="00EA64CD">
      <w:pPr>
        <w:pStyle w:val="Testonotadichiusura"/>
        <w:rPr>
          <w:rFonts w:cs="Arial"/>
        </w:rPr>
      </w:pPr>
      <w:r w:rsidRPr="00B359A2">
        <w:rPr>
          <w:rStyle w:val="Rimandonotadichiusura"/>
          <w:rFonts w:asciiTheme="majorHAnsi" w:hAnsiTheme="majorHAnsi" w:cs="Arial"/>
        </w:rPr>
        <w:endnoteRef/>
      </w:r>
      <w:r w:rsidRPr="00B359A2">
        <w:rPr>
          <w:rFonts w:cs="Arial"/>
        </w:rPr>
        <w:t xml:space="preserve"> </w:t>
      </w:r>
      <w:r w:rsidRPr="00B359A2">
        <w:rPr>
          <w:rFonts w:cs="Arial"/>
          <w:i/>
        </w:rPr>
        <w:t>Equal Opportunity Act 2010</w:t>
      </w:r>
      <w:r w:rsidRPr="00B359A2">
        <w:rPr>
          <w:rFonts w:cs="Arial"/>
        </w:rPr>
        <w:t xml:space="preserve"> (Vic) ss 6, 8-9. The Commission also notes that there are several exceptions for religious bodies, for example in s 82 of the </w:t>
      </w:r>
      <w:r w:rsidRPr="00B359A2">
        <w:rPr>
          <w:rFonts w:cs="Arial"/>
          <w:i/>
        </w:rPr>
        <w:t>Equal Opportunity Act 2010</w:t>
      </w:r>
      <w:r w:rsidRPr="00B359A2">
        <w:rPr>
          <w:rFonts w:cs="Arial"/>
        </w:rPr>
        <w:t xml:space="preserve"> (Vic).</w:t>
      </w:r>
    </w:p>
  </w:endnote>
  <w:endnote w:id="6">
    <w:p w14:paraId="725AA0CD" w14:textId="77777777" w:rsidR="007211DC" w:rsidRPr="003B3652" w:rsidRDefault="007211DC" w:rsidP="00EA64CD">
      <w:pPr>
        <w:pStyle w:val="Testonotadichiusura"/>
        <w:rPr>
          <w:rFonts w:cs="Arial"/>
        </w:rPr>
      </w:pPr>
      <w:r w:rsidRPr="00B359A2">
        <w:rPr>
          <w:rStyle w:val="Rimandonotadichiusura"/>
          <w:rFonts w:asciiTheme="majorHAnsi" w:hAnsiTheme="majorHAnsi" w:cs="Arial"/>
        </w:rPr>
        <w:endnoteRef/>
      </w:r>
      <w:r w:rsidRPr="00B359A2">
        <w:rPr>
          <w:rFonts w:cs="Arial"/>
        </w:rPr>
        <w:t xml:space="preserve"> </w:t>
      </w:r>
      <w:r w:rsidRPr="00B359A2">
        <w:rPr>
          <w:rFonts w:cs="Arial"/>
          <w:i/>
        </w:rPr>
        <w:t>Racial and Religious Tolerance Act 2001</w:t>
      </w:r>
      <w:r w:rsidRPr="00B359A2">
        <w:rPr>
          <w:rFonts w:cs="Arial"/>
        </w:rPr>
        <w:t xml:space="preserve"> (Vic) s 8. The Act provides civil and criminal mechanisms to resolve allegations of vilification: </w:t>
      </w:r>
      <w:r w:rsidRPr="00B359A2">
        <w:rPr>
          <w:rFonts w:cs="Arial"/>
          <w:i/>
        </w:rPr>
        <w:t>Racial and Religious Tolerance Act 2001</w:t>
      </w:r>
      <w:r w:rsidRPr="00B359A2">
        <w:rPr>
          <w:rFonts w:cs="Arial"/>
        </w:rPr>
        <w:t xml:space="preserve"> (Vic) ss 19</w:t>
      </w:r>
      <w:r w:rsidRPr="003B3652">
        <w:rPr>
          <w:rFonts w:cs="Arial"/>
        </w:rPr>
        <w:t>, 25.</w:t>
      </w:r>
    </w:p>
  </w:endnote>
  <w:endnote w:id="7">
    <w:p w14:paraId="19D7CE1D" w14:textId="77777777" w:rsidR="007211DC" w:rsidRPr="003B3652" w:rsidRDefault="007211DC" w:rsidP="00EA64CD">
      <w:pPr>
        <w:pStyle w:val="Testonotadichiusura"/>
        <w:rPr>
          <w:rFonts w:cs="Arial"/>
        </w:rPr>
      </w:pPr>
      <w:r w:rsidRPr="003B3652">
        <w:rPr>
          <w:rStyle w:val="Rimandonotadichiusura"/>
          <w:rFonts w:asciiTheme="majorHAnsi" w:hAnsiTheme="majorHAnsi" w:cs="Arial"/>
          <w:szCs w:val="18"/>
        </w:rPr>
        <w:endnoteRef/>
      </w:r>
      <w:r w:rsidRPr="003B3652">
        <w:rPr>
          <w:rFonts w:cs="Arial"/>
        </w:rPr>
        <w:t xml:space="preserve"> </w:t>
      </w:r>
      <w:r w:rsidRPr="00724D5F">
        <w:rPr>
          <w:rFonts w:cs="Arial"/>
          <w:i/>
        </w:rPr>
        <w:t>Charter of Human Rights and Responsibilities Act 2006</w:t>
      </w:r>
      <w:r w:rsidRPr="003B3652">
        <w:rPr>
          <w:rFonts w:cs="Arial"/>
        </w:rPr>
        <w:t xml:space="preserve"> (Vic) s 14. However, the Commission does not handle complaints about the Charter. In many cases these complaints can be made to the Victorian Ombudsman. </w:t>
      </w:r>
    </w:p>
  </w:endnote>
  <w:endnote w:id="8">
    <w:p w14:paraId="61DD37C9" w14:textId="7C68F57D" w:rsidR="007211DC" w:rsidRPr="003047D5" w:rsidRDefault="007211DC" w:rsidP="00EA64CD">
      <w:pPr>
        <w:pStyle w:val="Testonotadichiusura"/>
        <w:rPr>
          <w:rFonts w:cs="Open Sans"/>
          <w:lang w:val="en-US"/>
        </w:rPr>
      </w:pPr>
      <w:r w:rsidRPr="003B3652">
        <w:rPr>
          <w:rStyle w:val="Rimandonotadichiusura"/>
          <w:rFonts w:asciiTheme="majorHAnsi" w:hAnsiTheme="majorHAnsi"/>
          <w:sz w:val="18"/>
          <w:szCs w:val="18"/>
        </w:rPr>
        <w:endnoteRef/>
      </w:r>
      <w:r>
        <w:rPr>
          <w:lang w:val="en-US"/>
        </w:rPr>
        <w:t xml:space="preserve"> </w:t>
      </w:r>
      <w:r w:rsidRPr="003B3652">
        <w:rPr>
          <w:lang w:val="en-US"/>
        </w:rPr>
        <w:t xml:space="preserve">Nathan, Julie, </w:t>
      </w:r>
      <w:r w:rsidRPr="009D44E5">
        <w:rPr>
          <w:i/>
          <w:iCs/>
          <w:lang w:val="en-US"/>
        </w:rPr>
        <w:t>Report on Antisemitism in Australia 2019</w:t>
      </w:r>
      <w:r w:rsidRPr="003B3652">
        <w:rPr>
          <w:lang w:val="en-US"/>
        </w:rPr>
        <w:t xml:space="preserve">, Executive Council of Australian Jewry, p.14, available </w:t>
      </w:r>
      <w:r w:rsidRPr="003047D5">
        <w:rPr>
          <w:rFonts w:cs="Open Sans"/>
          <w:lang w:val="en-US"/>
        </w:rPr>
        <w:t xml:space="preserve">at </w:t>
      </w:r>
      <w:hyperlink r:id="rId1" w:history="1">
        <w:r w:rsidRPr="003047D5">
          <w:rPr>
            <w:rStyle w:val="Collegamentoipertestuale"/>
            <w:rFonts w:cs="Open Sans"/>
            <w:lang w:val="en-US"/>
          </w:rPr>
          <w:t>https://www.ecaj.org.au/the-ecaj-2019-antisemitism-report/</w:t>
        </w:r>
      </w:hyperlink>
      <w:r>
        <w:rPr>
          <w:lang w:eastAsia="en-US"/>
        </w:rPr>
        <w:t>.</w:t>
      </w:r>
    </w:p>
  </w:endnote>
  <w:endnote w:id="9">
    <w:p w14:paraId="7EB1F667" w14:textId="619EA6A8" w:rsidR="007211DC" w:rsidRPr="003B3652" w:rsidRDefault="007211DC" w:rsidP="00EA64CD">
      <w:pPr>
        <w:pStyle w:val="Testonotadichiusura"/>
        <w:rPr>
          <w:lang w:val="en-US"/>
        </w:rPr>
      </w:pPr>
      <w:r w:rsidRPr="003B3652">
        <w:rPr>
          <w:rStyle w:val="Rimandonotadichiusura"/>
          <w:rFonts w:asciiTheme="majorHAnsi" w:hAnsiTheme="majorHAnsi"/>
          <w:sz w:val="18"/>
          <w:szCs w:val="18"/>
        </w:rPr>
        <w:endnoteRef/>
      </w:r>
      <w:r w:rsidRPr="003B3652">
        <w:t xml:space="preserve"> </w:t>
      </w:r>
      <w:r w:rsidRPr="003B3652">
        <w:rPr>
          <w:lang w:val="en-US"/>
        </w:rPr>
        <w:t xml:space="preserve">Nathan, Julie, </w:t>
      </w:r>
      <w:r w:rsidRPr="009D44E5">
        <w:rPr>
          <w:i/>
          <w:iCs/>
          <w:lang w:val="en-US"/>
        </w:rPr>
        <w:t>Report on Antisemitism in Australia 2019</w:t>
      </w:r>
      <w:r w:rsidRPr="003B3652">
        <w:rPr>
          <w:lang w:val="en-US"/>
        </w:rPr>
        <w:t>, Executive Council of Australian Jewry</w:t>
      </w:r>
      <w:r>
        <w:rPr>
          <w:lang w:val="en-US"/>
        </w:rPr>
        <w:t xml:space="preserve">, </w:t>
      </w:r>
      <w:r w:rsidRPr="003B3652">
        <w:rPr>
          <w:lang w:val="en-US"/>
        </w:rPr>
        <w:t>7</w:t>
      </w:r>
      <w:r>
        <w:rPr>
          <w:lang w:eastAsia="en-US"/>
        </w:rPr>
        <w:t>.</w:t>
      </w:r>
    </w:p>
  </w:endnote>
  <w:endnote w:id="10">
    <w:p w14:paraId="0C46CC33" w14:textId="1E6C6AC0" w:rsidR="007211DC" w:rsidRPr="003B3652" w:rsidRDefault="007211DC" w:rsidP="00EA64CD">
      <w:pPr>
        <w:pStyle w:val="Testonotadichiusura"/>
        <w:rPr>
          <w:lang w:val="en-US"/>
        </w:rPr>
      </w:pPr>
      <w:r w:rsidRPr="003B3652">
        <w:rPr>
          <w:rStyle w:val="Rimandonotadichiusura"/>
          <w:rFonts w:asciiTheme="majorHAnsi" w:hAnsiTheme="majorHAnsi"/>
          <w:sz w:val="18"/>
          <w:szCs w:val="18"/>
        </w:rPr>
        <w:endnoteRef/>
      </w:r>
      <w:r w:rsidRPr="003B3652">
        <w:t xml:space="preserve"> </w:t>
      </w:r>
      <w:r w:rsidRPr="003B3652">
        <w:rPr>
          <w:lang w:val="en-US"/>
        </w:rPr>
        <w:t xml:space="preserve">Nathan, Julie, </w:t>
      </w:r>
      <w:r w:rsidRPr="009D44E5">
        <w:rPr>
          <w:i/>
          <w:iCs/>
          <w:lang w:val="en-US"/>
        </w:rPr>
        <w:t>Report on Antisemitism in Australia 2019</w:t>
      </w:r>
      <w:r w:rsidRPr="003B3652">
        <w:rPr>
          <w:lang w:val="en-US"/>
        </w:rPr>
        <w:t>, Executive Council of Australian Jewry, 33</w:t>
      </w:r>
      <w:r>
        <w:rPr>
          <w:lang w:eastAsia="en-US"/>
        </w:rPr>
        <w:t>.</w:t>
      </w:r>
    </w:p>
  </w:endnote>
  <w:endnote w:id="11">
    <w:p w14:paraId="131480E5" w14:textId="40481AEC" w:rsidR="007211DC" w:rsidRPr="003B3652" w:rsidRDefault="007211DC" w:rsidP="00EA64CD">
      <w:pPr>
        <w:pStyle w:val="Testonotadichiusura"/>
        <w:rPr>
          <w:lang w:val="en-US"/>
        </w:rPr>
      </w:pPr>
      <w:r w:rsidRPr="003B3652">
        <w:rPr>
          <w:rStyle w:val="Rimandonotadichiusura"/>
          <w:rFonts w:asciiTheme="majorHAnsi" w:hAnsiTheme="majorHAnsi"/>
          <w:sz w:val="18"/>
          <w:szCs w:val="18"/>
        </w:rPr>
        <w:endnoteRef/>
      </w:r>
      <w:r w:rsidRPr="003B3652">
        <w:t xml:space="preserve"> </w:t>
      </w:r>
      <w:r w:rsidRPr="003B3652">
        <w:rPr>
          <w:lang w:val="en-US"/>
        </w:rPr>
        <w:t xml:space="preserve">Nathan, Julie, </w:t>
      </w:r>
      <w:r w:rsidRPr="009D44E5">
        <w:rPr>
          <w:i/>
          <w:iCs/>
          <w:lang w:val="en-US"/>
        </w:rPr>
        <w:t>Report on Antisemitism in Australia 2019</w:t>
      </w:r>
      <w:r w:rsidRPr="003B3652">
        <w:rPr>
          <w:lang w:val="en-US"/>
        </w:rPr>
        <w:t>, Executive Council of Australian Jewry, 34</w:t>
      </w:r>
      <w:r>
        <w:rPr>
          <w:lang w:eastAsia="en-US"/>
        </w:rPr>
        <w:t>.</w:t>
      </w:r>
    </w:p>
  </w:endnote>
  <w:endnote w:id="12">
    <w:p w14:paraId="14A185CB" w14:textId="293D9B0A" w:rsidR="007211DC" w:rsidRPr="003B3652" w:rsidRDefault="007211DC" w:rsidP="00EA64CD">
      <w:pPr>
        <w:pStyle w:val="Testonotadichiusura"/>
        <w:rPr>
          <w:lang w:val="en-US"/>
        </w:rPr>
      </w:pPr>
      <w:r w:rsidRPr="003B3652">
        <w:rPr>
          <w:rStyle w:val="Rimandonotadichiusura"/>
          <w:rFonts w:asciiTheme="majorHAnsi" w:hAnsiTheme="majorHAnsi"/>
          <w:sz w:val="18"/>
          <w:szCs w:val="18"/>
        </w:rPr>
        <w:endnoteRef/>
      </w:r>
      <w:r w:rsidRPr="003B3652">
        <w:t xml:space="preserve"> </w:t>
      </w:r>
      <w:r w:rsidRPr="003B3652">
        <w:rPr>
          <w:lang w:val="en-US"/>
        </w:rPr>
        <w:t xml:space="preserve">Nathan, Julie, </w:t>
      </w:r>
      <w:r w:rsidRPr="009D44E5">
        <w:rPr>
          <w:i/>
          <w:iCs/>
          <w:lang w:val="en-US"/>
        </w:rPr>
        <w:t>Report on Antisemitism in Australia 2019</w:t>
      </w:r>
      <w:r w:rsidRPr="003B3652">
        <w:rPr>
          <w:lang w:val="en-US"/>
        </w:rPr>
        <w:t>, Executive Council of Australian Jewry, 34</w:t>
      </w:r>
      <w:r>
        <w:rPr>
          <w:lang w:eastAsia="en-US"/>
        </w:rPr>
        <w:t>.</w:t>
      </w:r>
    </w:p>
  </w:endnote>
  <w:endnote w:id="13">
    <w:p w14:paraId="139683DB" w14:textId="3B71972A" w:rsidR="007211DC" w:rsidRPr="003B3652" w:rsidRDefault="007211DC" w:rsidP="00EA64CD">
      <w:pPr>
        <w:pStyle w:val="Testonotadichiusura"/>
        <w:rPr>
          <w:lang w:val="en-US"/>
        </w:rPr>
      </w:pPr>
      <w:r w:rsidRPr="003B3652">
        <w:rPr>
          <w:rStyle w:val="Rimandonotadichiusura"/>
          <w:rFonts w:asciiTheme="majorHAnsi" w:hAnsiTheme="majorHAnsi"/>
          <w:sz w:val="18"/>
          <w:szCs w:val="18"/>
        </w:rPr>
        <w:endnoteRef/>
      </w:r>
      <w:r w:rsidRPr="003B3652">
        <w:t xml:space="preserve"> </w:t>
      </w:r>
      <w:r w:rsidRPr="003B3652">
        <w:rPr>
          <w:lang w:val="en-US"/>
        </w:rPr>
        <w:t xml:space="preserve">Nathan, Julie, </w:t>
      </w:r>
      <w:r w:rsidRPr="009D44E5">
        <w:rPr>
          <w:i/>
          <w:iCs/>
          <w:lang w:val="en-US"/>
        </w:rPr>
        <w:t>Report on Antisemitism in Australia 2019</w:t>
      </w:r>
      <w:r w:rsidRPr="003B3652">
        <w:rPr>
          <w:lang w:val="en-US"/>
        </w:rPr>
        <w:t>, Executive Council of Australian Jewry, 40</w:t>
      </w:r>
      <w:r>
        <w:rPr>
          <w:lang w:eastAsia="en-US"/>
        </w:rPr>
        <w:t>.</w:t>
      </w:r>
    </w:p>
  </w:endnote>
  <w:endnote w:id="14">
    <w:p w14:paraId="104D2A80" w14:textId="79309C22" w:rsidR="007211DC" w:rsidRPr="003B3652" w:rsidRDefault="007211DC" w:rsidP="00EA64CD">
      <w:pPr>
        <w:pStyle w:val="Testonotadichiusura"/>
      </w:pPr>
      <w:r w:rsidRPr="003B3652">
        <w:rPr>
          <w:vertAlign w:val="superscript"/>
        </w:rPr>
        <w:endnoteRef/>
      </w:r>
      <w:r w:rsidRPr="00EE5606">
        <w:rPr>
          <w:lang w:val="it-IT"/>
        </w:rPr>
        <w:t xml:space="preserve"> Iner, Derya, ed</w:t>
      </w:r>
      <w:r w:rsidRPr="00EE5606">
        <w:rPr>
          <w:i/>
          <w:iCs/>
          <w:lang w:val="it-IT"/>
        </w:rPr>
        <w:t>. Islamophobia in Australia Report II (2007-2018)</w:t>
      </w:r>
      <w:r w:rsidRPr="00EE5606">
        <w:rPr>
          <w:lang w:val="it-IT"/>
        </w:rPr>
        <w:t xml:space="preserve">. </w:t>
      </w:r>
      <w:r w:rsidRPr="003B3652">
        <w:t>Sydney: Charles Sturt University and ISRA, 2019, p.III</w:t>
      </w:r>
      <w:r>
        <w:rPr>
          <w:lang w:eastAsia="en-US"/>
        </w:rPr>
        <w:t>.</w:t>
      </w:r>
    </w:p>
  </w:endnote>
  <w:endnote w:id="15">
    <w:p w14:paraId="7B641DFA" w14:textId="19C4DE77" w:rsidR="007211DC" w:rsidRPr="003B3652" w:rsidRDefault="007211DC" w:rsidP="00EA64CD">
      <w:pPr>
        <w:pStyle w:val="Testonotadichiusura"/>
        <w:rPr>
          <w:lang w:val="en-US"/>
        </w:rPr>
      </w:pPr>
      <w:r w:rsidRPr="003B3652">
        <w:rPr>
          <w:rStyle w:val="Rimandonotadichiusura"/>
          <w:rFonts w:asciiTheme="majorHAnsi" w:hAnsiTheme="majorHAnsi"/>
          <w:sz w:val="18"/>
          <w:szCs w:val="18"/>
        </w:rPr>
        <w:endnoteRef/>
      </w:r>
      <w:r w:rsidRPr="003B3652">
        <w:t xml:space="preserve"> Iner, Derya, ed</w:t>
      </w:r>
      <w:r w:rsidRPr="003047D5">
        <w:rPr>
          <w:i/>
          <w:iCs/>
        </w:rPr>
        <w:t xml:space="preserve">. </w:t>
      </w:r>
      <w:r w:rsidRPr="00EE5606">
        <w:rPr>
          <w:i/>
          <w:iCs/>
          <w:lang w:val="it-IT"/>
        </w:rPr>
        <w:t>Islamophobia in Australia Report II (2007-2018)</w:t>
      </w:r>
      <w:r w:rsidRPr="00EE5606">
        <w:rPr>
          <w:lang w:val="it-IT"/>
        </w:rPr>
        <w:t xml:space="preserve">. </w:t>
      </w:r>
      <w:r w:rsidRPr="003B3652">
        <w:t>Sydney: Charles Sturt University and ISRA, 2019</w:t>
      </w:r>
      <w:r>
        <w:t>,</w:t>
      </w:r>
      <w:r w:rsidRPr="003B3652">
        <w:rPr>
          <w:lang w:val="en-US"/>
        </w:rPr>
        <w:t xml:space="preserve"> 4 ff.</w:t>
      </w:r>
    </w:p>
  </w:endnote>
  <w:endnote w:id="16">
    <w:p w14:paraId="4ADF09D7" w14:textId="58E2AF20" w:rsidR="007211DC" w:rsidRPr="003B3652" w:rsidRDefault="007211DC" w:rsidP="00EA64CD">
      <w:pPr>
        <w:pStyle w:val="Testonotadichiusura"/>
        <w:rPr>
          <w:lang w:val="en-US"/>
        </w:rPr>
      </w:pPr>
      <w:r w:rsidRPr="003B3652">
        <w:rPr>
          <w:rStyle w:val="Rimandonotadichiusura"/>
          <w:rFonts w:asciiTheme="majorHAnsi" w:hAnsiTheme="majorHAnsi"/>
          <w:sz w:val="18"/>
          <w:szCs w:val="18"/>
        </w:rPr>
        <w:endnoteRef/>
      </w:r>
      <w:r w:rsidRPr="003B3652">
        <w:t xml:space="preserve"> Iner, Derya, ed</w:t>
      </w:r>
      <w:r w:rsidRPr="003047D5">
        <w:rPr>
          <w:i/>
          <w:iCs/>
        </w:rPr>
        <w:t xml:space="preserve">. </w:t>
      </w:r>
      <w:r w:rsidRPr="00EE5606">
        <w:rPr>
          <w:i/>
          <w:iCs/>
          <w:lang w:val="it-IT"/>
        </w:rPr>
        <w:t>Islamophobia in Australia Report II (2007-2018)</w:t>
      </w:r>
      <w:r w:rsidRPr="00EE5606">
        <w:rPr>
          <w:lang w:val="it-IT"/>
        </w:rPr>
        <w:t xml:space="preserve">. </w:t>
      </w:r>
      <w:r w:rsidRPr="003B3652">
        <w:t>Sydney: Charles Sturt University and ISRA, 2019</w:t>
      </w:r>
      <w:r w:rsidRPr="003B3652">
        <w:rPr>
          <w:lang w:val="en-US"/>
        </w:rPr>
        <w:t>, 104-5</w:t>
      </w:r>
      <w:r>
        <w:rPr>
          <w:lang w:eastAsia="en-US"/>
        </w:rPr>
        <w:t>.</w:t>
      </w:r>
    </w:p>
  </w:endnote>
  <w:endnote w:id="17">
    <w:p w14:paraId="6989470F" w14:textId="0B653253" w:rsidR="007211DC" w:rsidRPr="003B3652" w:rsidRDefault="007211DC" w:rsidP="00EA64CD">
      <w:pPr>
        <w:pStyle w:val="Testonotadichiusura"/>
        <w:rPr>
          <w:lang w:val="en-US"/>
        </w:rPr>
      </w:pPr>
      <w:r w:rsidRPr="003B3652">
        <w:rPr>
          <w:rStyle w:val="Rimandonotadichiusura"/>
          <w:rFonts w:asciiTheme="majorHAnsi" w:hAnsiTheme="majorHAnsi"/>
          <w:sz w:val="18"/>
          <w:szCs w:val="18"/>
        </w:rPr>
        <w:endnoteRef/>
      </w:r>
      <w:r w:rsidRPr="003B3652">
        <w:t xml:space="preserve"> Iner, Derya, ed</w:t>
      </w:r>
      <w:r w:rsidRPr="003047D5">
        <w:rPr>
          <w:i/>
          <w:iCs/>
        </w:rPr>
        <w:t>. Islamophobia in Australia Report II (2007-2018)</w:t>
      </w:r>
      <w:r w:rsidRPr="003B3652">
        <w:t>. Sydney: Charles Sturt University and ISRA, 2019</w:t>
      </w:r>
      <w:r w:rsidRPr="003B3652">
        <w:rPr>
          <w:lang w:val="en-US"/>
        </w:rPr>
        <w:t>, 40</w:t>
      </w:r>
      <w:r>
        <w:rPr>
          <w:lang w:eastAsia="en-US"/>
        </w:rPr>
        <w:t>.</w:t>
      </w:r>
    </w:p>
  </w:endnote>
  <w:endnote w:id="18">
    <w:p w14:paraId="5277EF01" w14:textId="44484982" w:rsidR="007211DC" w:rsidRPr="003B3652" w:rsidRDefault="007211DC" w:rsidP="00EA64CD">
      <w:pPr>
        <w:pStyle w:val="Testonotadichiusura"/>
        <w:rPr>
          <w:lang w:val="en-US"/>
        </w:rPr>
      </w:pPr>
      <w:r w:rsidRPr="003B3652">
        <w:rPr>
          <w:rStyle w:val="Rimandonotadichiusura"/>
          <w:rFonts w:asciiTheme="majorHAnsi" w:hAnsiTheme="majorHAnsi"/>
          <w:sz w:val="18"/>
          <w:szCs w:val="18"/>
        </w:rPr>
        <w:endnoteRef/>
      </w:r>
      <w:r w:rsidRPr="003B3652">
        <w:t xml:space="preserve"> Iner, Derya, ed</w:t>
      </w:r>
      <w:r w:rsidRPr="003047D5">
        <w:rPr>
          <w:i/>
          <w:iCs/>
        </w:rPr>
        <w:t>. Islamophobia in Australia Report II (2007-2018)</w:t>
      </w:r>
      <w:r w:rsidRPr="003B3652">
        <w:t>. Sydney: Charles Sturt University and ISRA, 2019</w:t>
      </w:r>
      <w:r w:rsidRPr="003B3652">
        <w:rPr>
          <w:lang w:val="en-US"/>
        </w:rPr>
        <w:t>, 53</w:t>
      </w:r>
      <w:r>
        <w:rPr>
          <w:lang w:eastAsia="en-US"/>
        </w:rPr>
        <w:t>.</w:t>
      </w:r>
    </w:p>
  </w:endnote>
  <w:endnote w:id="19">
    <w:p w14:paraId="5E18CA0F" w14:textId="2438D246" w:rsidR="007211DC" w:rsidRPr="000F7FDD" w:rsidRDefault="007211DC" w:rsidP="00EA64CD">
      <w:pPr>
        <w:pStyle w:val="Testonotadichiusura"/>
        <w:rPr>
          <w:lang w:val="en-US"/>
        </w:rPr>
      </w:pPr>
      <w:r w:rsidRPr="000F7FDD">
        <w:rPr>
          <w:rStyle w:val="Rimandonotadichiusura"/>
          <w:rFonts w:asciiTheme="majorHAnsi" w:hAnsiTheme="majorHAnsi"/>
          <w:sz w:val="18"/>
          <w:szCs w:val="18"/>
        </w:rPr>
        <w:endnoteRef/>
      </w:r>
      <w:r w:rsidRPr="000F7FDD">
        <w:t xml:space="preserve"> </w:t>
      </w:r>
      <w:r>
        <w:t xml:space="preserve">Kailahi, April et. al., </w:t>
      </w:r>
      <w:r>
        <w:rPr>
          <w:i/>
        </w:rPr>
        <w:t>Resilient Women Project: Muslim Women and their Experiences of Prejudice</w:t>
      </w:r>
      <w:r>
        <w:t>, Uniting Church in Australia, 2019,</w:t>
      </w:r>
      <w:r w:rsidRPr="000F7FDD">
        <w:t xml:space="preserve"> available </w:t>
      </w:r>
      <w:r w:rsidRPr="003047D5">
        <w:rPr>
          <w:rFonts w:cs="Open Sans"/>
        </w:rPr>
        <w:t xml:space="preserve">at </w:t>
      </w:r>
      <w:hyperlink r:id="rId2" w:history="1">
        <w:r w:rsidRPr="003047D5">
          <w:rPr>
            <w:rStyle w:val="Collegamentoipertestuale"/>
            <w:rFonts w:cs="Open Sans"/>
          </w:rPr>
          <w:t>https://victas.uca.org.au/resilient-women-project-helps-combat-prejudice/</w:t>
        </w:r>
      </w:hyperlink>
      <w:r>
        <w:rPr>
          <w:lang w:eastAsia="en-US"/>
        </w:rPr>
        <w:t>.</w:t>
      </w:r>
      <w:r w:rsidRPr="000F7FDD">
        <w:t xml:space="preserve"> </w:t>
      </w:r>
    </w:p>
  </w:endnote>
  <w:endnote w:id="20">
    <w:p w14:paraId="780C9356" w14:textId="1DB122E1" w:rsidR="007211DC" w:rsidRPr="003B3652" w:rsidRDefault="007211DC" w:rsidP="00EA64CD">
      <w:pPr>
        <w:pStyle w:val="Testonotadichiusura"/>
        <w:rPr>
          <w:rFonts w:cs="Times Roman"/>
          <w:color w:val="000000"/>
          <w:lang w:val="en-US"/>
        </w:rPr>
      </w:pPr>
      <w:r w:rsidRPr="000F7FDD">
        <w:rPr>
          <w:rStyle w:val="Rimandonotadichiusura"/>
          <w:rFonts w:asciiTheme="majorHAnsi" w:hAnsiTheme="majorHAnsi"/>
          <w:sz w:val="18"/>
          <w:szCs w:val="18"/>
        </w:rPr>
        <w:endnoteRef/>
      </w:r>
      <w:r w:rsidRPr="000F7FDD">
        <w:t xml:space="preserve"> </w:t>
      </w:r>
      <w:r w:rsidRPr="000F7FDD">
        <w:rPr>
          <w:rFonts w:cs="Calibri Bold Italic"/>
          <w:color w:val="000000"/>
          <w:lang w:val="en-US"/>
        </w:rPr>
        <w:t xml:space="preserve">Freedom for Faith, </w:t>
      </w:r>
      <w:r w:rsidRPr="003047D5">
        <w:rPr>
          <w:rFonts w:cs="Calibri Italic"/>
          <w:i/>
          <w:iCs/>
          <w:color w:val="000000"/>
          <w:lang w:val="en-US"/>
        </w:rPr>
        <w:t>Protecting Diversity: Towards a Better Legal Framework for Religious Freedom in Australia</w:t>
      </w:r>
      <w:r w:rsidRPr="003B3652">
        <w:rPr>
          <w:rFonts w:cs="Calibri Bold Italic"/>
          <w:color w:val="000000"/>
          <w:lang w:val="en-US"/>
        </w:rPr>
        <w:t xml:space="preserve">, available at </w:t>
      </w:r>
      <w:hyperlink r:id="rId3" w:history="1">
        <w:r w:rsidRPr="00EE5606">
          <w:rPr>
            <w:rStyle w:val="Collegamentoipertestuale"/>
          </w:rPr>
          <w:t>https://freedomforfaith.org.au/library/the-ruddock-review</w:t>
        </w:r>
      </w:hyperlink>
      <w:r>
        <w:rPr>
          <w:lang w:eastAsia="en-US"/>
        </w:rPr>
        <w:t>.</w:t>
      </w:r>
    </w:p>
  </w:endnote>
  <w:endnote w:id="21">
    <w:p w14:paraId="157D4E0B" w14:textId="4B4A0D63" w:rsidR="007211DC" w:rsidRPr="003B3652" w:rsidRDefault="007211DC" w:rsidP="00EA64CD">
      <w:pPr>
        <w:pStyle w:val="Testonotadichiusura"/>
        <w:rPr>
          <w:rFonts w:cs="Times Roman"/>
          <w:color w:val="000000"/>
          <w:lang w:val="en-US"/>
        </w:rPr>
      </w:pPr>
      <w:r w:rsidRPr="003B3652">
        <w:rPr>
          <w:rStyle w:val="Rimandonotadichiusura"/>
          <w:rFonts w:asciiTheme="majorHAnsi" w:hAnsiTheme="majorHAnsi"/>
          <w:sz w:val="18"/>
          <w:szCs w:val="18"/>
        </w:rPr>
        <w:endnoteRef/>
      </w:r>
      <w:r w:rsidRPr="003B3652">
        <w:t xml:space="preserve"> </w:t>
      </w:r>
      <w:r w:rsidRPr="003B3652">
        <w:rPr>
          <w:rFonts w:cs="Calibri Bold Italic"/>
          <w:color w:val="000000"/>
          <w:lang w:val="en-US"/>
        </w:rPr>
        <w:t xml:space="preserve">‘We Never Expected This to Happen in Australia: Vandals Torch Hindu Temple’, SBS News, available at </w:t>
      </w:r>
      <w:hyperlink r:id="rId4" w:history="1">
        <w:r w:rsidRPr="00EE5606">
          <w:rPr>
            <w:rStyle w:val="Collegamentoipertestuale"/>
          </w:rPr>
          <w:t>https://www.sbs.com.au/news/we-never-expected-this-to-happen-in-australia-vandals-torch-hindu-temple</w:t>
        </w:r>
      </w:hyperlink>
      <w:r>
        <w:rPr>
          <w:lang w:eastAsia="en-US"/>
        </w:rPr>
        <w:t>.</w:t>
      </w:r>
    </w:p>
  </w:endnote>
  <w:endnote w:id="22">
    <w:p w14:paraId="0327C2F5" w14:textId="571AD173" w:rsidR="007211DC" w:rsidRPr="003B3652" w:rsidRDefault="007211DC" w:rsidP="00EA64CD">
      <w:pPr>
        <w:pStyle w:val="Testonotadichiusura"/>
        <w:rPr>
          <w:rFonts w:cs="Times Roman"/>
          <w:color w:val="000000"/>
          <w:lang w:val="en-US"/>
        </w:rPr>
      </w:pPr>
      <w:r w:rsidRPr="003B3652">
        <w:rPr>
          <w:rStyle w:val="Rimandonotadichiusura"/>
          <w:rFonts w:asciiTheme="majorHAnsi" w:hAnsiTheme="majorHAnsi"/>
          <w:sz w:val="18"/>
          <w:szCs w:val="18"/>
        </w:rPr>
        <w:endnoteRef/>
      </w:r>
      <w:r w:rsidRPr="003B3652">
        <w:t xml:space="preserve"> </w:t>
      </w:r>
      <w:r w:rsidRPr="003B3652">
        <w:rPr>
          <w:rFonts w:cs="Calibri Bold Italic"/>
          <w:color w:val="000000"/>
          <w:lang w:val="en-US"/>
        </w:rPr>
        <w:t xml:space="preserve">Johnson, M., ‘Sacred Claims and the Politics of Indigeneity in Australia’, in </w:t>
      </w:r>
      <w:r w:rsidRPr="003047D5">
        <w:rPr>
          <w:rFonts w:cs="Calibri Italic"/>
          <w:i/>
          <w:iCs/>
          <w:color w:val="000000"/>
          <w:lang w:val="en-US"/>
        </w:rPr>
        <w:t>Journal of Religious and Political Practice</w:t>
      </w:r>
      <w:r w:rsidRPr="003B3652">
        <w:rPr>
          <w:rFonts w:cs="Calibri Bold Italic"/>
          <w:color w:val="000000"/>
          <w:lang w:val="en-US"/>
        </w:rPr>
        <w:t>, 4:1, 78-92</w:t>
      </w:r>
      <w:r>
        <w:rPr>
          <w:rFonts w:cs="Calibri Bold Italic"/>
          <w:color w:val="000000"/>
          <w:lang w:val="en-US"/>
        </w:rPr>
        <w:t>.</w:t>
      </w:r>
    </w:p>
  </w:endnote>
  <w:endnote w:id="23">
    <w:p w14:paraId="18E86C47" w14:textId="0A4667B0" w:rsidR="007211DC" w:rsidRPr="003B3652" w:rsidRDefault="007211DC" w:rsidP="00EA64CD">
      <w:pPr>
        <w:pStyle w:val="Testonotadichiusura"/>
        <w:rPr>
          <w:rFonts w:cs="Times Roman"/>
          <w:color w:val="000000"/>
          <w:lang w:val="en-US"/>
        </w:rPr>
      </w:pPr>
      <w:r w:rsidRPr="003B3652">
        <w:rPr>
          <w:rStyle w:val="Rimandonotadichiusura"/>
          <w:rFonts w:asciiTheme="majorHAnsi" w:hAnsiTheme="majorHAnsi"/>
          <w:sz w:val="18"/>
          <w:szCs w:val="18"/>
        </w:rPr>
        <w:endnoteRef/>
      </w:r>
      <w:r w:rsidRPr="003B3652">
        <w:t xml:space="preserve"> </w:t>
      </w:r>
      <w:r w:rsidRPr="003B3652">
        <w:rPr>
          <w:rFonts w:cs="Calibri"/>
          <w:color w:val="000000"/>
          <w:lang w:val="en-US"/>
        </w:rPr>
        <w:t>Markus, A</w:t>
      </w:r>
      <w:r w:rsidRPr="003047D5">
        <w:rPr>
          <w:rFonts w:cs="Calibri"/>
          <w:i/>
          <w:iCs/>
          <w:color w:val="000000"/>
          <w:lang w:val="en-US"/>
        </w:rPr>
        <w:t>., Mapping Social Cohesion: the Scanlon Foundation Surveys</w:t>
      </w:r>
      <w:r w:rsidRPr="003B3652">
        <w:rPr>
          <w:rFonts w:cs="Calibri"/>
          <w:color w:val="000000"/>
          <w:lang w:val="en-US"/>
        </w:rPr>
        <w:t>, ACJC, Faculty of Arts, Monash University, p.57</w:t>
      </w:r>
      <w:r>
        <w:rPr>
          <w:rFonts w:cs="Calibri"/>
          <w:color w:val="000000"/>
          <w:lang w:val="en-US"/>
        </w:rPr>
        <w:t>.</w:t>
      </w:r>
    </w:p>
  </w:endnote>
  <w:endnote w:id="24">
    <w:p w14:paraId="278EA494" w14:textId="4A048349" w:rsidR="007211DC" w:rsidRPr="003B3652" w:rsidRDefault="007211DC" w:rsidP="00EA64CD">
      <w:pPr>
        <w:pStyle w:val="Testonotadichiusura"/>
        <w:rPr>
          <w:lang w:val="en-US"/>
        </w:rPr>
      </w:pPr>
      <w:r w:rsidRPr="003B3652">
        <w:rPr>
          <w:rStyle w:val="Rimandonotadichiusura"/>
          <w:rFonts w:asciiTheme="majorHAnsi" w:hAnsiTheme="majorHAnsi"/>
          <w:sz w:val="18"/>
          <w:szCs w:val="18"/>
        </w:rPr>
        <w:endnoteRef/>
      </w:r>
      <w:r w:rsidRPr="003B3652">
        <w:t xml:space="preserve"> </w:t>
      </w:r>
      <w:r w:rsidRPr="003B3652">
        <w:rPr>
          <w:rFonts w:cs="Calibri"/>
          <w:color w:val="000000"/>
          <w:lang w:val="en-US"/>
        </w:rPr>
        <w:t>Markus, A</w:t>
      </w:r>
      <w:r w:rsidRPr="003047D5">
        <w:rPr>
          <w:rFonts w:cs="Calibri"/>
          <w:i/>
          <w:iCs/>
          <w:color w:val="000000"/>
          <w:lang w:val="en-US"/>
        </w:rPr>
        <w:t>., Mapping Social Cohesion: the Scanlon Foundation Surveys</w:t>
      </w:r>
      <w:r w:rsidRPr="003B3652">
        <w:rPr>
          <w:rFonts w:cs="Calibri"/>
          <w:color w:val="000000"/>
          <w:lang w:val="en-US"/>
        </w:rPr>
        <w:t>, ACJC, Faculty of Arts, Monash University</w:t>
      </w:r>
      <w:r w:rsidRPr="003B3652">
        <w:rPr>
          <w:lang w:val="en-US"/>
        </w:rPr>
        <w:t>, 58</w:t>
      </w:r>
      <w:r>
        <w:rPr>
          <w:lang w:val="en-US"/>
        </w:rPr>
        <w:t>.</w:t>
      </w:r>
    </w:p>
  </w:endnote>
  <w:endnote w:id="25">
    <w:p w14:paraId="264C91DE" w14:textId="14AA2EFA" w:rsidR="007211DC" w:rsidRPr="00DE2D2A" w:rsidRDefault="007211DC" w:rsidP="00EA64CD">
      <w:pPr>
        <w:pStyle w:val="Testonotadichiusura"/>
        <w:rPr>
          <w:rFonts w:cs="Times Roman"/>
          <w:color w:val="000000"/>
          <w:lang w:val="en-US"/>
        </w:rPr>
      </w:pPr>
      <w:r w:rsidRPr="003B3652">
        <w:rPr>
          <w:rStyle w:val="Rimandonotadichiusura"/>
          <w:rFonts w:asciiTheme="majorHAnsi" w:hAnsiTheme="majorHAnsi"/>
          <w:sz w:val="18"/>
          <w:szCs w:val="18"/>
        </w:rPr>
        <w:endnoteRef/>
      </w:r>
      <w:r w:rsidRPr="003B3652">
        <w:t xml:space="preserve"> </w:t>
      </w:r>
      <w:r w:rsidRPr="003B3652">
        <w:rPr>
          <w:rFonts w:cs="Calibri"/>
          <w:color w:val="000000"/>
          <w:lang w:val="en-US"/>
        </w:rPr>
        <w:t xml:space="preserve">Ipsos, </w:t>
      </w:r>
      <w:r w:rsidRPr="003047D5">
        <w:rPr>
          <w:rFonts w:cs="Calibri"/>
          <w:i/>
          <w:iCs/>
          <w:color w:val="000000"/>
          <w:lang w:val="en-US"/>
        </w:rPr>
        <w:t>Global Views On Religion 2017</w:t>
      </w:r>
      <w:r w:rsidRPr="003B3652">
        <w:rPr>
          <w:rFonts w:cs="Calibri"/>
          <w:color w:val="000000"/>
          <w:lang w:val="en-US"/>
        </w:rPr>
        <w:t xml:space="preserve">, available at </w:t>
      </w:r>
      <w:hyperlink r:id="rId5" w:history="1">
        <w:r w:rsidRPr="00EE5606">
          <w:rPr>
            <w:rStyle w:val="Collegamentoipertestuale"/>
            <w:rFonts w:cs="Calibri"/>
            <w:lang w:val="en-US"/>
          </w:rPr>
          <w:t>https://www.ipsos.com/en-au/ipsos-global-study-shows-half-think-religion-does-more-harm-good</w:t>
        </w:r>
      </w:hyperlink>
      <w:r>
        <w:rPr>
          <w:lang w:val="en-US"/>
        </w:rPr>
        <w:t>.</w:t>
      </w:r>
    </w:p>
  </w:endnote>
  <w:endnote w:id="26">
    <w:p w14:paraId="16BF62CA" w14:textId="6F2A2C32" w:rsidR="007211DC" w:rsidRPr="003B3652" w:rsidRDefault="007211DC" w:rsidP="00EA64CD">
      <w:pPr>
        <w:pStyle w:val="Testonotadichiusura"/>
        <w:rPr>
          <w:rFonts w:cs="Times Roman"/>
          <w:color w:val="000000"/>
          <w:lang w:val="en-US"/>
        </w:rPr>
      </w:pPr>
      <w:r w:rsidRPr="003B3652">
        <w:rPr>
          <w:rStyle w:val="Rimandonotadichiusura"/>
          <w:rFonts w:asciiTheme="majorHAnsi" w:hAnsiTheme="majorHAnsi"/>
          <w:sz w:val="18"/>
          <w:szCs w:val="18"/>
        </w:rPr>
        <w:endnoteRef/>
      </w:r>
      <w:r w:rsidRPr="003B3652">
        <w:t xml:space="preserve"> </w:t>
      </w:r>
      <w:r w:rsidRPr="003B3652">
        <w:rPr>
          <w:rFonts w:cs="Calibri"/>
          <w:color w:val="000000"/>
          <w:lang w:val="en-US"/>
        </w:rPr>
        <w:t xml:space="preserve">Australian Generation Z Study, results and analysis available at </w:t>
      </w:r>
      <w:hyperlink r:id="rId6" w:history="1">
        <w:r w:rsidRPr="00EE5606">
          <w:rPr>
            <w:rStyle w:val="Collegamentoipertestuale"/>
            <w:rFonts w:cs="Calibri"/>
            <w:lang w:val="en-US"/>
          </w:rPr>
          <w:t>http://sociology.cass.anu.edu.au/research/projects/australia-s-gen-zs/publications-and-reports</w:t>
        </w:r>
      </w:hyperlink>
      <w:r w:rsidRPr="003B3652">
        <w:rPr>
          <w:rFonts w:cs="Calibri"/>
          <w:color w:val="0000FF"/>
          <w:lang w:val="en-US"/>
        </w:rPr>
        <w:t xml:space="preserve"> </w:t>
      </w:r>
    </w:p>
  </w:endnote>
  <w:endnote w:id="27">
    <w:p w14:paraId="75FC13CB" w14:textId="5495AFCA" w:rsidR="00BD602D" w:rsidRPr="00546C71" w:rsidRDefault="00BD602D">
      <w:pPr>
        <w:pStyle w:val="Testonotadichiusura"/>
        <w:rPr>
          <w:i/>
          <w:iCs/>
        </w:rPr>
      </w:pPr>
      <w:r>
        <w:rPr>
          <w:rStyle w:val="Rimandonotadichiusura"/>
        </w:rPr>
        <w:endnoteRef/>
      </w:r>
      <w:r>
        <w:t xml:space="preserve"> </w:t>
      </w:r>
      <w:hyperlink r:id="rId7" w:history="1">
        <w:r>
          <w:rPr>
            <w:rStyle w:val="Collegamentoipertestuale"/>
          </w:rPr>
          <w:t>https://couragetocare.com.au/</w:t>
        </w:r>
      </w:hyperlink>
      <w:r>
        <w:t xml:space="preserve"> </w:t>
      </w:r>
    </w:p>
  </w:endnote>
  <w:endnote w:id="28">
    <w:p w14:paraId="07FD0D44" w14:textId="78252308" w:rsidR="007211DC" w:rsidRPr="003B3652" w:rsidRDefault="007211DC" w:rsidP="00EA64CD">
      <w:pPr>
        <w:pStyle w:val="Testonotadichiusura"/>
        <w:rPr>
          <w:lang w:val="en-US"/>
        </w:rPr>
      </w:pPr>
      <w:r w:rsidRPr="003B3652">
        <w:rPr>
          <w:rStyle w:val="Rimandonotadichiusura"/>
          <w:rFonts w:asciiTheme="majorHAnsi" w:hAnsiTheme="majorHAnsi"/>
          <w:sz w:val="18"/>
          <w:szCs w:val="18"/>
        </w:rPr>
        <w:endnoteRef/>
      </w:r>
      <w:r w:rsidRPr="003B3652">
        <w:t xml:space="preserve"> </w:t>
      </w:r>
      <w:r w:rsidRPr="003B3652">
        <w:rPr>
          <w:rFonts w:cs="Calibri"/>
          <w:color w:val="000000"/>
          <w:lang w:val="en-US"/>
        </w:rPr>
        <w:t>Markus, A</w:t>
      </w:r>
      <w:r w:rsidRPr="003047D5">
        <w:rPr>
          <w:rFonts w:cs="Calibri"/>
          <w:i/>
          <w:iCs/>
          <w:color w:val="000000"/>
          <w:lang w:val="en-US"/>
        </w:rPr>
        <w:t>., Mapping Social Cohesion: the Scanlon Foundation Surveys</w:t>
      </w:r>
      <w:r w:rsidRPr="003B3652">
        <w:rPr>
          <w:rFonts w:cs="Calibri"/>
          <w:color w:val="000000"/>
          <w:lang w:val="en-US"/>
        </w:rPr>
        <w:t>, ACJC, Faculty of Arts, Monash University</w:t>
      </w:r>
      <w:r w:rsidRPr="003B3652">
        <w:rPr>
          <w:lang w:val="en-US"/>
        </w:rPr>
        <w:t>, 26</w:t>
      </w:r>
      <w:r>
        <w:rPr>
          <w:lang w:val="en-US"/>
        </w:rPr>
        <w:t>.</w:t>
      </w:r>
    </w:p>
  </w:endnote>
  <w:endnote w:id="29">
    <w:p w14:paraId="11F2AE91" w14:textId="43BDD1D5" w:rsidR="007211DC" w:rsidRPr="003B3652" w:rsidRDefault="007211DC" w:rsidP="00EA64CD">
      <w:pPr>
        <w:pStyle w:val="Testonotadichiusura"/>
        <w:rPr>
          <w:lang w:val="en-US"/>
        </w:rPr>
      </w:pPr>
      <w:r w:rsidRPr="003B3652">
        <w:rPr>
          <w:rStyle w:val="Rimandonotadichiusura"/>
          <w:rFonts w:asciiTheme="majorHAnsi" w:hAnsiTheme="majorHAnsi"/>
          <w:sz w:val="18"/>
          <w:szCs w:val="18"/>
        </w:rPr>
        <w:endnoteRef/>
      </w:r>
      <w:r w:rsidRPr="003B3652">
        <w:t xml:space="preserve"> </w:t>
      </w:r>
      <w:r w:rsidRPr="003B3652">
        <w:rPr>
          <w:rFonts w:cs="Calibri"/>
          <w:color w:val="000000"/>
          <w:lang w:val="en-US"/>
        </w:rPr>
        <w:t>Markus, A</w:t>
      </w:r>
      <w:r w:rsidRPr="003047D5">
        <w:rPr>
          <w:rFonts w:cs="Calibri"/>
          <w:i/>
          <w:iCs/>
          <w:color w:val="000000"/>
          <w:lang w:val="en-US"/>
        </w:rPr>
        <w:t>., Mapping Social Cohesion: the Scanlon Foundation Surveys</w:t>
      </w:r>
      <w:r w:rsidRPr="003B3652">
        <w:rPr>
          <w:rFonts w:cs="Calibri"/>
          <w:color w:val="000000"/>
          <w:lang w:val="en-US"/>
        </w:rPr>
        <w:t>, ACJC, Faculty of Arts, Monash University</w:t>
      </w:r>
      <w:r w:rsidRPr="003B3652">
        <w:rPr>
          <w:lang w:val="en-US"/>
        </w:rPr>
        <w:t>, 69</w:t>
      </w:r>
      <w:r>
        <w:rPr>
          <w:lang w:val="en-US"/>
        </w:rPr>
        <w:t>.</w:t>
      </w:r>
    </w:p>
  </w:endnote>
  <w:endnote w:id="30">
    <w:p w14:paraId="261FA162" w14:textId="216BCF64" w:rsidR="007211DC" w:rsidRPr="003B3652" w:rsidRDefault="007211DC" w:rsidP="00EA64CD">
      <w:pPr>
        <w:pStyle w:val="Testonotadichiusura"/>
        <w:rPr>
          <w:rFonts w:cs="Times Roman"/>
          <w:color w:val="000000"/>
          <w:lang w:val="en-US"/>
        </w:rPr>
      </w:pPr>
      <w:r w:rsidRPr="003B3652">
        <w:rPr>
          <w:rStyle w:val="Rimandonotadichiusura"/>
          <w:rFonts w:asciiTheme="majorHAnsi" w:hAnsiTheme="majorHAnsi"/>
          <w:sz w:val="18"/>
          <w:szCs w:val="18"/>
        </w:rPr>
        <w:endnoteRef/>
      </w:r>
      <w:r w:rsidRPr="003B3652">
        <w:t xml:space="preserve"> </w:t>
      </w:r>
      <w:r w:rsidRPr="003B3652">
        <w:rPr>
          <w:rFonts w:cs="Calibri"/>
          <w:color w:val="000000"/>
          <w:lang w:val="en-US"/>
        </w:rPr>
        <w:t xml:space="preserve">Graham, D. and Markus, A., </w:t>
      </w:r>
      <w:r w:rsidRPr="003047D5">
        <w:rPr>
          <w:rFonts w:cs="Calibri"/>
          <w:i/>
          <w:iCs/>
          <w:color w:val="000000"/>
          <w:lang w:val="en-US"/>
        </w:rPr>
        <w:t>Gen17 Australian Community Survey: Preliminary Findings</w:t>
      </w:r>
      <w:r w:rsidRPr="003B3652">
        <w:rPr>
          <w:rFonts w:cs="Calibri"/>
          <w:color w:val="000000"/>
          <w:lang w:val="en-US"/>
        </w:rPr>
        <w:t>, Australian Centre for Jewish Civilisation, Monash University, 2018</w:t>
      </w:r>
      <w:r>
        <w:rPr>
          <w:rFonts w:ascii="Tahoma" w:hAnsi="Tahoma" w:cs="Tahoma"/>
          <w:color w:val="000000"/>
          <w:lang w:val="en-US"/>
        </w:rPr>
        <w:t>.</w:t>
      </w:r>
    </w:p>
  </w:endnote>
  <w:endnote w:id="31">
    <w:p w14:paraId="267EE2A0" w14:textId="7A8DFEF3" w:rsidR="007211DC" w:rsidRPr="003B3652" w:rsidRDefault="007211DC" w:rsidP="00EA64CD">
      <w:pPr>
        <w:pStyle w:val="Testonotadichiusura"/>
        <w:rPr>
          <w:rFonts w:cs="Times Roman"/>
          <w:color w:val="000000"/>
          <w:lang w:val="en-US"/>
        </w:rPr>
      </w:pPr>
      <w:r w:rsidRPr="003B3652">
        <w:rPr>
          <w:rStyle w:val="Rimandonotadichiusura"/>
          <w:rFonts w:asciiTheme="majorHAnsi" w:hAnsiTheme="majorHAnsi"/>
          <w:sz w:val="18"/>
          <w:szCs w:val="18"/>
        </w:rPr>
        <w:endnoteRef/>
      </w:r>
      <w:r w:rsidRPr="003B3652">
        <w:t xml:space="preserve"> </w:t>
      </w:r>
      <w:r w:rsidRPr="003B3652">
        <w:rPr>
          <w:rFonts w:cs="Calibri"/>
          <w:color w:val="000000"/>
          <w:lang w:val="en-US"/>
        </w:rPr>
        <w:t xml:space="preserve">Mason, G., ‘A Picture of Bias Crime in New South Wales’ in </w:t>
      </w:r>
      <w:r w:rsidRPr="003047D5">
        <w:rPr>
          <w:rFonts w:cs="Calibri"/>
          <w:i/>
          <w:iCs/>
          <w:color w:val="000000"/>
          <w:lang w:val="en-US"/>
        </w:rPr>
        <w:t>Cosmopolitan Civil Societies: an Interdisciplinary Journal</w:t>
      </w:r>
      <w:r w:rsidRPr="003B3652">
        <w:rPr>
          <w:rFonts w:cs="Calibri"/>
          <w:color w:val="000000"/>
          <w:lang w:val="en-US"/>
        </w:rPr>
        <w:t>, 11 (1), 47-66</w:t>
      </w:r>
      <w:r>
        <w:rPr>
          <w:rFonts w:ascii="Tahoma" w:hAnsi="Tahoma" w:cs="Tahoma"/>
          <w:color w:val="000000"/>
          <w:lang w:val="en-US"/>
        </w:rPr>
        <w:t>.</w:t>
      </w:r>
    </w:p>
  </w:endnote>
  <w:endnote w:id="32">
    <w:p w14:paraId="6CC8EC8A" w14:textId="6190E427" w:rsidR="007211DC" w:rsidRPr="003047D5" w:rsidRDefault="007211DC" w:rsidP="00EA64CD">
      <w:pPr>
        <w:pStyle w:val="Testonotadichiusura"/>
        <w:rPr>
          <w:rFonts w:cs="Open Sans"/>
          <w:lang w:val="en-US"/>
        </w:rPr>
      </w:pPr>
      <w:r w:rsidRPr="003047D5">
        <w:rPr>
          <w:rStyle w:val="Rimandonotadichiusura"/>
          <w:rFonts w:cs="Open Sans"/>
        </w:rPr>
        <w:endnoteRef/>
      </w:r>
      <w:r w:rsidRPr="003047D5">
        <w:rPr>
          <w:rFonts w:cs="Open Sans"/>
        </w:rPr>
        <w:t xml:space="preserve"> </w:t>
      </w:r>
      <w:hyperlink r:id="rId8" w:history="1">
        <w:r w:rsidRPr="003047D5">
          <w:rPr>
            <w:rStyle w:val="Collegamentoipertestuale"/>
            <w:rFonts w:cs="Open Sans"/>
          </w:rPr>
          <w:t>https://www.report-it.org.uk/home</w:t>
        </w:r>
      </w:hyperlink>
      <w:r>
        <w:rPr>
          <w:rFonts w:cs="Open Sans"/>
        </w:rPr>
        <w:t>.</w:t>
      </w:r>
    </w:p>
  </w:endnote>
  <w:endnote w:id="33">
    <w:p w14:paraId="453ABD00" w14:textId="2C566A9C" w:rsidR="007211DC" w:rsidRPr="003B3652" w:rsidRDefault="007211DC" w:rsidP="00EA64CD">
      <w:pPr>
        <w:pStyle w:val="Testonotadichiusura"/>
        <w:rPr>
          <w:lang w:val="en-US"/>
        </w:rPr>
      </w:pPr>
      <w:r w:rsidRPr="003B3652">
        <w:rPr>
          <w:rStyle w:val="Rimandonotadichiusura"/>
          <w:rFonts w:asciiTheme="majorHAnsi" w:hAnsiTheme="majorHAnsi"/>
          <w:sz w:val="18"/>
          <w:szCs w:val="18"/>
        </w:rPr>
        <w:endnoteRef/>
      </w:r>
      <w:r w:rsidRPr="003B3652">
        <w:t xml:space="preserve"> </w:t>
      </w:r>
      <w:r>
        <w:t xml:space="preserve">Australian Human Rights Commission, </w:t>
      </w:r>
      <w:r w:rsidRPr="00D87EB8">
        <w:rPr>
          <w:i/>
          <w:iCs/>
          <w:lang w:val="en-US"/>
        </w:rPr>
        <w:t>Religious Freedom Review: Australian Human Rights Commission Submission to the Expert Panel</w:t>
      </w:r>
      <w:r w:rsidRPr="003B3652">
        <w:rPr>
          <w:lang w:val="en-US"/>
        </w:rPr>
        <w:t>, February 2018, 4</w:t>
      </w:r>
      <w:r>
        <w:rPr>
          <w:lang w:val="en-US"/>
        </w:rPr>
        <w:t xml:space="preserve">, available at </w:t>
      </w:r>
      <w:hyperlink r:id="rId9" w:history="1">
        <w:r w:rsidRPr="000D6EF4">
          <w:rPr>
            <w:rStyle w:val="Collegamentoipertestuale"/>
            <w:lang w:val="en-US"/>
          </w:rPr>
          <w:t>https://humanrights.gov.au/our-work/legal/submission/religious-freedom-review-2018</w:t>
        </w:r>
      </w:hyperlink>
      <w:r>
        <w:rPr>
          <w:rFonts w:ascii="Tahoma" w:hAnsi="Tahoma" w:cs="Tahoma"/>
          <w:color w:val="000000"/>
          <w:lang w:val="en-US"/>
        </w:rPr>
        <w:t>.</w:t>
      </w:r>
    </w:p>
  </w:endnote>
  <w:endnote w:id="34">
    <w:p w14:paraId="797174D3" w14:textId="0A44B5D9" w:rsidR="007211DC" w:rsidRPr="003047D5" w:rsidRDefault="007211DC" w:rsidP="00EA64CD">
      <w:pPr>
        <w:pStyle w:val="Testonotadichiusura"/>
        <w:rPr>
          <w:rFonts w:cs="Open Sans"/>
          <w:lang w:val="en-US"/>
        </w:rPr>
      </w:pPr>
      <w:r w:rsidRPr="003B3652">
        <w:rPr>
          <w:rStyle w:val="Rimandonotadichiusura"/>
          <w:rFonts w:asciiTheme="majorHAnsi" w:hAnsiTheme="majorHAnsi"/>
          <w:sz w:val="18"/>
          <w:szCs w:val="18"/>
        </w:rPr>
        <w:endnoteRef/>
      </w:r>
      <w:r w:rsidRPr="003B3652">
        <w:t xml:space="preserve"> </w:t>
      </w:r>
      <w:r w:rsidRPr="00D87EB8">
        <w:rPr>
          <w:i/>
          <w:iCs/>
          <w:lang w:val="en-US"/>
        </w:rPr>
        <w:t>Australian Government Response to the Religious Freedom Review</w:t>
      </w:r>
      <w:r w:rsidRPr="003B3652">
        <w:rPr>
          <w:lang w:val="en-US"/>
        </w:rPr>
        <w:t xml:space="preserve">, 14, available at </w:t>
      </w:r>
      <w:hyperlink r:id="rId10" w:history="1">
        <w:r w:rsidRPr="003047D5">
          <w:rPr>
            <w:rStyle w:val="Collegamentoipertestuale"/>
            <w:rFonts w:cs="Open Sans"/>
            <w:lang w:val="en-US"/>
          </w:rPr>
          <w:t>https://www.ag.gov.au/RightsAndProtections/HumanRights/Documents/Response-religious-freedom-2018.pdf</w:t>
        </w:r>
      </w:hyperlink>
      <w:r>
        <w:rPr>
          <w:rFonts w:ascii="Tahoma" w:hAnsi="Tahoma" w:cs="Tahoma"/>
          <w:color w:val="000000"/>
          <w:lang w:val="en-US"/>
        </w:rPr>
        <w:t>.</w:t>
      </w:r>
    </w:p>
  </w:endnote>
  <w:endnote w:id="35">
    <w:p w14:paraId="109BBBF7" w14:textId="0900EAC6" w:rsidR="007211DC" w:rsidRPr="003B3652" w:rsidRDefault="007211DC" w:rsidP="00EA64CD">
      <w:pPr>
        <w:pStyle w:val="Testonotadichiusura"/>
        <w:rPr>
          <w:lang w:val="en-US"/>
        </w:rPr>
      </w:pPr>
      <w:r w:rsidRPr="003B3652">
        <w:rPr>
          <w:rStyle w:val="Rimandonotadichiusura"/>
          <w:rFonts w:asciiTheme="majorHAnsi" w:hAnsiTheme="majorHAnsi"/>
          <w:sz w:val="18"/>
          <w:szCs w:val="18"/>
        </w:rPr>
        <w:endnoteRef/>
      </w:r>
      <w:r w:rsidRPr="003B3652">
        <w:t xml:space="preserve"> </w:t>
      </w:r>
      <w:r w:rsidRPr="00D87EB8">
        <w:rPr>
          <w:i/>
          <w:iCs/>
          <w:lang w:val="en-US"/>
        </w:rPr>
        <w:t>Religious Freedom Review: Australian Human Rights Commission Submission to the Expert Panel</w:t>
      </w:r>
      <w:r w:rsidRPr="003B3652">
        <w:rPr>
          <w:lang w:val="en-US"/>
        </w:rPr>
        <w:t>, February 2018, 5</w:t>
      </w:r>
      <w:r>
        <w:rPr>
          <w:lang w:val="en-US"/>
        </w:rPr>
        <w:t xml:space="preserve">, available at </w:t>
      </w:r>
      <w:hyperlink r:id="rId11" w:history="1">
        <w:r w:rsidRPr="000D6EF4">
          <w:rPr>
            <w:rStyle w:val="Collegamentoipertestuale"/>
            <w:lang w:val="en-US"/>
          </w:rPr>
          <w:t>https://humanrights.gov.au/our-work/legal/submission/religious-freedom-review-2018</w:t>
        </w:r>
      </w:hyperlink>
      <w:r>
        <w:rPr>
          <w:rFonts w:ascii="Tahoma" w:hAnsi="Tahoma" w:cs="Tahoma"/>
          <w:color w:val="000000"/>
          <w:lang w:val="en-US"/>
        </w:rPr>
        <w:t>.</w:t>
      </w:r>
    </w:p>
  </w:endnote>
  <w:endnote w:id="36">
    <w:p w14:paraId="4186A934" w14:textId="033B7677" w:rsidR="007211DC" w:rsidRPr="003B3652" w:rsidRDefault="007211DC" w:rsidP="00EA64CD">
      <w:pPr>
        <w:pStyle w:val="Testonotadichiusura"/>
        <w:rPr>
          <w:lang w:val="en-US"/>
        </w:rPr>
      </w:pPr>
      <w:r w:rsidRPr="003B3652">
        <w:rPr>
          <w:rStyle w:val="Rimandonotadichiusura"/>
          <w:rFonts w:asciiTheme="majorHAnsi" w:hAnsiTheme="majorHAnsi"/>
          <w:sz w:val="18"/>
          <w:szCs w:val="18"/>
        </w:rPr>
        <w:endnoteRef/>
      </w:r>
      <w:r w:rsidRPr="003B3652">
        <w:t xml:space="preserve"> </w:t>
      </w:r>
      <w:r w:rsidRPr="00D87EB8">
        <w:rPr>
          <w:i/>
          <w:iCs/>
          <w:lang w:val="en-US"/>
        </w:rPr>
        <w:t>Australian Government Response to the Religious Freedom Review</w:t>
      </w:r>
      <w:r>
        <w:rPr>
          <w:lang w:val="en-US"/>
        </w:rPr>
        <w:t>, 15</w:t>
      </w:r>
      <w:r w:rsidRPr="003B3652">
        <w:rPr>
          <w:lang w:val="en-US"/>
        </w:rPr>
        <w:t xml:space="preserve">, available at </w:t>
      </w:r>
      <w:hyperlink r:id="rId12" w:history="1">
        <w:r w:rsidRPr="003047D5">
          <w:rPr>
            <w:rStyle w:val="Collegamentoipertestuale"/>
            <w:rFonts w:cs="Open Sans"/>
            <w:lang w:val="en-US"/>
          </w:rPr>
          <w:t>https://www.ag.gov.au/RightsAndProtections/HumanRights/Documents/Response-religious-freedom-2018.pdf</w:t>
        </w:r>
      </w:hyperlink>
      <w:r>
        <w:rPr>
          <w:rFonts w:ascii="Tahoma" w:hAnsi="Tahoma" w:cs="Tahoma"/>
          <w:color w:val="000000"/>
          <w:lang w:val="en-US"/>
        </w:rPr>
        <w:t>.</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altName w:val="Segoe UI"/>
    <w:panose1 w:val="020B0606030504020204"/>
    <w:charset w:val="00"/>
    <w:family w:val="swiss"/>
    <w:pitch w:val="variable"/>
    <w:sig w:usb0="E00002EF" w:usb1="4000205B" w:usb2="00000028"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ArialMT">
    <w:altName w:val="Arial"/>
    <w:panose1 w:val="020B0604020202020204"/>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egoe UI">
    <w:panose1 w:val="020B0604020202020204"/>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Open Sans Condensed Light">
    <w:altName w:val="Segoe UI"/>
    <w:panose1 w:val="020B0306030504020204"/>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000247B" w:usb2="00000009" w:usb3="00000000" w:csb0="000001FF" w:csb1="00000000"/>
  </w:font>
  <w:font w:name="Yu Mincho">
    <w:altName w:val="Yu Mincho"/>
    <w:panose1 w:val="02020400000000000000"/>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 w:name="Times Roman">
    <w:panose1 w:val="00000500000000020000"/>
    <w:charset w:val="00"/>
    <w:family w:val="auto"/>
    <w:pitch w:val="variable"/>
    <w:sig w:usb0="E00002FF" w:usb1="5000205A" w:usb2="00000000" w:usb3="00000000" w:csb0="0000019F" w:csb1="00000000"/>
  </w:font>
  <w:font w:name="Calibri Bold Italic">
    <w:panose1 w:val="020B0604020202020204"/>
    <w:charset w:val="00"/>
    <w:family w:val="auto"/>
    <w:pitch w:val="variable"/>
    <w:sig w:usb0="00000003" w:usb1="00000000" w:usb2="00000000" w:usb3="00000000" w:csb0="00000001" w:csb1="00000000"/>
  </w:font>
  <w:font w:name="Calibri Italic">
    <w:panose1 w:val="020B0604020202020204"/>
    <w:charset w:val="00"/>
    <w:family w:val="auto"/>
    <w:pitch w:val="variable"/>
    <w:sig w:usb0="00000003" w:usb1="00000000" w:usb2="00000000" w:usb3="00000000" w:csb0="00000001"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FD8CC1" w14:textId="77777777" w:rsidR="007211DC" w:rsidRDefault="007211DC">
    <w:pPr>
      <w:pStyle w:val="Pidipagina"/>
    </w:pPr>
    <w:r w:rsidRPr="00622508">
      <w:fldChar w:fldCharType="begin"/>
    </w:r>
    <w:r>
      <w:instrText xml:space="preserve"> PAGE   \* MERGEFORMAT </w:instrText>
    </w:r>
    <w:r w:rsidRPr="00622508">
      <w:fldChar w:fldCharType="separate"/>
    </w:r>
    <w:r w:rsidR="00A14715">
      <w:rPr>
        <w:noProof/>
      </w:rPr>
      <w:t>20</w:t>
    </w:r>
    <w:r w:rsidRPr="00622508">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D673AD" w14:textId="77777777" w:rsidR="007211DC" w:rsidRDefault="007211DC" w:rsidP="00E53546">
    <w:pPr>
      <w:pStyle w:val="FooterOddPageNumber"/>
    </w:pPr>
    <w:r w:rsidRPr="00AB7C8F">
      <w:fldChar w:fldCharType="begin"/>
    </w:r>
    <w:r>
      <w:instrText xml:space="preserve"> PAGE   \* MERGEFORMAT </w:instrText>
    </w:r>
    <w:r w:rsidRPr="00AB7C8F">
      <w:fldChar w:fldCharType="separate"/>
    </w:r>
    <w:r w:rsidR="00A14715">
      <w:rPr>
        <w:noProof/>
      </w:rPr>
      <w:t>21</w:t>
    </w:r>
    <w:r w:rsidRPr="00AB7C8F">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EEE78E" w14:textId="77777777" w:rsidR="007211DC" w:rsidRDefault="007211DC" w:rsidP="00E53546">
    <w:pPr>
      <w:pStyle w:val="FooterEvenPageNumber"/>
    </w:pPr>
    <w:r w:rsidRPr="00F127A8">
      <w:fldChar w:fldCharType="begin"/>
    </w:r>
    <w:r>
      <w:instrText xml:space="preserve"> PAGE   \* MERGEFORMAT </w:instrText>
    </w:r>
    <w:r w:rsidRPr="00F127A8">
      <w:fldChar w:fldCharType="separate"/>
    </w:r>
    <w:r w:rsidR="00A14715">
      <w:rPr>
        <w:noProof/>
      </w:rPr>
      <w:t>2</w:t>
    </w:r>
    <w:r w:rsidRPr="00F127A8">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3A9834A" w14:textId="77777777" w:rsidR="00300928" w:rsidRDefault="00300928" w:rsidP="00F14C6D">
      <w:r>
        <w:separator/>
      </w:r>
    </w:p>
  </w:footnote>
  <w:footnote w:type="continuationSeparator" w:id="0">
    <w:p w14:paraId="417BE871" w14:textId="77777777" w:rsidR="00300928" w:rsidRDefault="00300928" w:rsidP="00F14C6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AB9D78" w14:textId="77777777" w:rsidR="007211DC" w:rsidRPr="000465F1" w:rsidRDefault="00300928" w:rsidP="000465F1">
    <w:pPr>
      <w:pStyle w:val="Intestazione"/>
    </w:pPr>
    <w:r>
      <w:rPr>
        <w:noProof/>
      </w:rPr>
      <w:pict w14:anchorId="610BD4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34833" o:spid="_x0000_s2050" type="#_x0000_t75" alt="report watermark" style="position:absolute;left:0;text-align:left;margin-left:0;margin-top:0;width:930.9pt;height:1359.95pt;z-index:-251658752;mso-wrap-edited:f;mso-width-percent:0;mso-height-percent:0;mso-position-horizontal:center;mso-position-horizontal-relative:margin;mso-position-vertical:center;mso-position-vertical-relative:margin;mso-width-percent:0;mso-height-percent:0" o:allowincell="f">
          <v:imagedata r:id="rId1" o:title="report watermark"/>
          <w10:wrap anchorx="margin" anchory="margin"/>
        </v:shape>
      </w:pict>
    </w:r>
    <w:r w:rsidR="007211DC" w:rsidRPr="000465F1">
      <w:t>Australian Human Rights Commission</w:t>
    </w:r>
  </w:p>
  <w:p w14:paraId="0AC4BA19" w14:textId="77777777" w:rsidR="007211DC" w:rsidRPr="00622508" w:rsidRDefault="007211DC" w:rsidP="00622508">
    <w:pPr>
      <w:pStyle w:val="Pidipagina"/>
    </w:pPr>
    <w:r w:rsidRPr="001F62CC">
      <w:rPr>
        <w:rStyle w:val="HeaderDocumentTitle"/>
      </w:rPr>
      <w:t>Short title</w:t>
    </w:r>
    <w:r w:rsidRPr="00622508">
      <w:rPr>
        <w:rStyle w:val="HeaderDocumentTitle"/>
      </w:rPr>
      <w:t>, report name,</w:t>
    </w:r>
    <w:r w:rsidRPr="00622508">
      <w:t xml:space="preserve"> Date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09880E" w14:textId="77777777" w:rsidR="007211DC" w:rsidRPr="000465F1" w:rsidRDefault="00300928" w:rsidP="000465F1">
    <w:r>
      <w:rPr>
        <w:noProof/>
      </w:rPr>
      <w:pict w14:anchorId="1DD98A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34834" o:spid="_x0000_s2049" type="#_x0000_t75" alt="report watermark" style="position:absolute;margin-left:0;margin-top:0;width:930.9pt;height:1359.95pt;z-index:-251657728;mso-wrap-edited:f;mso-width-percent:0;mso-height-percent:0;mso-position-horizontal:center;mso-position-horizontal-relative:margin;mso-position-vertical:center;mso-position-vertical-relative:margin;mso-width-percent:0;mso-height-percent:0" o:allowincell="f">
          <v:imagedata r:id="rId1" o:title="report watermark"/>
          <w10:wrap anchorx="margin" anchory="margin"/>
        </v:shape>
      </w:pict>
    </w:r>
    <w:r w:rsidR="007211DC" w:rsidRPr="000465F1">
      <w:t>Australian Human Rights Commission</w:t>
    </w:r>
  </w:p>
  <w:p w14:paraId="23B5596E" w14:textId="77777777" w:rsidR="007211DC" w:rsidRPr="000465F1" w:rsidRDefault="007211DC" w:rsidP="000465F1">
    <w:pPr>
      <w:pStyle w:val="Pidipagina"/>
    </w:pPr>
    <w:r w:rsidRPr="000465F1">
      <w:t>Short document title, Short description – Date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ACA425" w14:textId="7116EC7C" w:rsidR="007211DC" w:rsidRDefault="007211DC" w:rsidP="002012F7">
    <w:pPr>
      <w:pStyle w:val="Intestazione"/>
    </w:pPr>
  </w:p>
  <w:p w14:paraId="0321E641" w14:textId="77777777" w:rsidR="007211DC" w:rsidRDefault="007211DC" w:rsidP="002012F7">
    <w:pPr>
      <w:pStyle w:val="Intestazione"/>
    </w:pPr>
  </w:p>
  <w:p w14:paraId="468AF1AD" w14:textId="77777777" w:rsidR="007211DC" w:rsidRDefault="007211DC" w:rsidP="002012F7">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ECA8A8" w14:textId="77777777" w:rsidR="007211DC" w:rsidRPr="000465F1" w:rsidRDefault="007211DC" w:rsidP="0015239E">
    <w:pPr>
      <w:pStyle w:val="Intestazione"/>
    </w:pPr>
    <w:r w:rsidRPr="000465F1">
      <w:t>Australian Human Rights Commission</w:t>
    </w:r>
  </w:p>
  <w:p w14:paraId="360F204B" w14:textId="350A3E1D" w:rsidR="007211DC" w:rsidRDefault="007211DC" w:rsidP="0015239E">
    <w:pPr>
      <w:pStyle w:val="HeaderDocumentDate"/>
      <w:rPr>
        <w:rStyle w:val="HeaderDocumentTitle"/>
        <w:b w:val="0"/>
        <w:bCs/>
      </w:rPr>
    </w:pPr>
    <w:r>
      <w:rPr>
        <w:rStyle w:val="HeaderDocumentTitle"/>
      </w:rPr>
      <w:t xml:space="preserve">Freedom of Religion in Australia </w:t>
    </w:r>
    <w:r w:rsidR="005D2241">
      <w:rPr>
        <w:rStyle w:val="HeaderDocumentTitle"/>
        <w:b w:val="0"/>
        <w:bCs/>
      </w:rPr>
      <w:t>July</w:t>
    </w:r>
    <w:r w:rsidRPr="004C5FC8">
      <w:rPr>
        <w:rStyle w:val="HeaderDocumentTitle"/>
        <w:b w:val="0"/>
        <w:bCs/>
      </w:rPr>
      <w:t xml:space="preserve"> 2020</w:t>
    </w:r>
  </w:p>
  <w:p w14:paraId="2A82F6A7" w14:textId="77777777" w:rsidR="007211DC" w:rsidRPr="000465F1" w:rsidRDefault="007211DC" w:rsidP="0015239E">
    <w:pPr>
      <w:pStyle w:val="HeaderDocumentDat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F7787A" w14:textId="77777777" w:rsidR="007211DC" w:rsidRPr="000465F1" w:rsidRDefault="007211DC" w:rsidP="00CA5D90">
    <w:pPr>
      <w:pStyle w:val="Intestazione"/>
    </w:pPr>
    <w:bookmarkStart w:id="13" w:name="_Hlk514672172"/>
    <w:bookmarkStart w:id="14" w:name="_Hlk514672173"/>
    <w:r w:rsidRPr="000465F1">
      <w:t>Australian Human Rights Commission</w:t>
    </w:r>
  </w:p>
  <w:bookmarkEnd w:id="13"/>
  <w:bookmarkEnd w:id="14"/>
  <w:p w14:paraId="53D5CA0B" w14:textId="425C814F" w:rsidR="007211DC" w:rsidRDefault="007211DC" w:rsidP="002F5E96">
    <w:pPr>
      <w:pStyle w:val="HeaderDocumentDate"/>
    </w:pPr>
    <w:r>
      <w:rPr>
        <w:rStyle w:val="HeaderDocumentTitle"/>
      </w:rPr>
      <w:t>Freedom of Religion in Australia</w:t>
    </w:r>
    <w:r>
      <w:t xml:space="preserve"> </w:t>
    </w:r>
    <w:r>
      <w:fldChar w:fldCharType="begin"/>
    </w:r>
    <w:r>
      <w:instrText xml:space="preserve"> CREATEDATE  \@ "MMMM yyyy"  \* MERGEFORMAT </w:instrText>
    </w:r>
    <w:r>
      <w:fldChar w:fldCharType="separate"/>
    </w:r>
    <w:r>
      <w:rPr>
        <w:noProof/>
      </w:rPr>
      <w:t>July 2020</w:t>
    </w:r>
    <w:r>
      <w:fldChar w:fldCharType="end"/>
    </w:r>
  </w:p>
  <w:p w14:paraId="0D2E5E5F" w14:textId="77777777" w:rsidR="007211DC" w:rsidRPr="000465F1" w:rsidRDefault="007211DC" w:rsidP="002F5E96">
    <w:pPr>
      <w:pStyle w:val="HeaderDocumentDat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1F33AA" w14:textId="77777777" w:rsidR="007211DC" w:rsidRPr="000465F1" w:rsidRDefault="007211DC" w:rsidP="0063009F">
    <w:pPr>
      <w:pStyle w:val="Intestazione"/>
    </w:pPr>
    <w:r w:rsidRPr="000465F1">
      <w:t>Australian Human Rights Commission</w:t>
    </w:r>
  </w:p>
  <w:p w14:paraId="6A0DC7B6" w14:textId="37EC5E9D" w:rsidR="007211DC" w:rsidRPr="00680F6F" w:rsidRDefault="007211DC" w:rsidP="00680F6F">
    <w:pPr>
      <w:pStyle w:val="HeaderDocumentDate"/>
      <w:rPr>
        <w:b/>
        <w:noProof/>
      </w:rPr>
    </w:pPr>
    <w:r>
      <w:rPr>
        <w:rStyle w:val="HeaderDocumentTitle"/>
      </w:rPr>
      <w:t>Freedom of Religion in Australia</w:t>
    </w:r>
    <w:r>
      <w:t xml:space="preserve"> </w:t>
    </w:r>
    <w:r>
      <w:fldChar w:fldCharType="begin"/>
    </w:r>
    <w:r>
      <w:instrText xml:space="preserve"> CREATEDATE  \@ "MMMM yyyy"  \* MERGEFORMAT </w:instrText>
    </w:r>
    <w:r>
      <w:fldChar w:fldCharType="separate"/>
    </w:r>
    <w:r w:rsidR="00606194">
      <w:rPr>
        <w:noProof/>
      </w:rPr>
      <w:t>July</w:t>
    </w:r>
    <w:r>
      <w:rPr>
        <w:noProof/>
      </w:rPr>
      <w:t xml:space="preserve"> 2020</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4E301292"/>
    <w:lvl w:ilvl="0">
      <w:start w:val="1"/>
      <w:numFmt w:val="decimal"/>
      <w:pStyle w:val="Numeroelenco5"/>
      <w:lvlText w:val="%1."/>
      <w:lvlJc w:val="left"/>
      <w:pPr>
        <w:tabs>
          <w:tab w:val="num" w:pos="1492"/>
        </w:tabs>
        <w:ind w:left="1492" w:hanging="360"/>
      </w:pPr>
    </w:lvl>
  </w:abstractNum>
  <w:abstractNum w:abstractNumId="1" w15:restartNumberingAfterBreak="0">
    <w:nsid w:val="FFFFFF7D"/>
    <w:multiLevelType w:val="singleLevel"/>
    <w:tmpl w:val="6F36045A"/>
    <w:lvl w:ilvl="0">
      <w:start w:val="1"/>
      <w:numFmt w:val="decimal"/>
      <w:pStyle w:val="Numeroelenco4"/>
      <w:lvlText w:val="%1."/>
      <w:lvlJc w:val="left"/>
      <w:pPr>
        <w:tabs>
          <w:tab w:val="num" w:pos="1209"/>
        </w:tabs>
        <w:ind w:left="1209" w:hanging="360"/>
      </w:pPr>
    </w:lvl>
  </w:abstractNum>
  <w:abstractNum w:abstractNumId="2" w15:restartNumberingAfterBreak="0">
    <w:nsid w:val="FFFFFF7E"/>
    <w:multiLevelType w:val="singleLevel"/>
    <w:tmpl w:val="5558AC88"/>
    <w:lvl w:ilvl="0">
      <w:start w:val="1"/>
      <w:numFmt w:val="decimal"/>
      <w:pStyle w:val="Numeroelenco3"/>
      <w:lvlText w:val="%1."/>
      <w:lvlJc w:val="left"/>
      <w:pPr>
        <w:tabs>
          <w:tab w:val="num" w:pos="926"/>
        </w:tabs>
        <w:ind w:left="926" w:hanging="360"/>
      </w:pPr>
    </w:lvl>
  </w:abstractNum>
  <w:abstractNum w:abstractNumId="3" w15:restartNumberingAfterBreak="0">
    <w:nsid w:val="FFFFFF7F"/>
    <w:multiLevelType w:val="singleLevel"/>
    <w:tmpl w:val="91EC8FA0"/>
    <w:lvl w:ilvl="0">
      <w:start w:val="1"/>
      <w:numFmt w:val="decimal"/>
      <w:pStyle w:val="Numeroelenco2"/>
      <w:lvlText w:val="%1."/>
      <w:lvlJc w:val="left"/>
      <w:pPr>
        <w:tabs>
          <w:tab w:val="num" w:pos="643"/>
        </w:tabs>
        <w:ind w:left="643" w:hanging="360"/>
      </w:pPr>
    </w:lvl>
  </w:abstractNum>
  <w:abstractNum w:abstractNumId="4" w15:restartNumberingAfterBreak="0">
    <w:nsid w:val="FFFFFF80"/>
    <w:multiLevelType w:val="singleLevel"/>
    <w:tmpl w:val="3104E1E6"/>
    <w:lvl w:ilvl="0">
      <w:start w:val="1"/>
      <w:numFmt w:val="bullet"/>
      <w:pStyle w:val="Puntoelenco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2C21C32"/>
    <w:lvl w:ilvl="0">
      <w:start w:val="1"/>
      <w:numFmt w:val="bullet"/>
      <w:pStyle w:val="Puntoelenco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656989A"/>
    <w:lvl w:ilvl="0">
      <w:start w:val="1"/>
      <w:numFmt w:val="bullet"/>
      <w:pStyle w:val="Puntoelenco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F9C86F2"/>
    <w:lvl w:ilvl="0">
      <w:start w:val="1"/>
      <w:numFmt w:val="bullet"/>
      <w:pStyle w:val="Puntoelenco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3FEF416"/>
    <w:lvl w:ilvl="0">
      <w:start w:val="1"/>
      <w:numFmt w:val="decimal"/>
      <w:pStyle w:val="Numeroelenco"/>
      <w:lvlText w:val="%1."/>
      <w:lvlJc w:val="left"/>
      <w:pPr>
        <w:tabs>
          <w:tab w:val="num" w:pos="360"/>
        </w:tabs>
        <w:ind w:left="360" w:hanging="360"/>
      </w:pPr>
    </w:lvl>
  </w:abstractNum>
  <w:abstractNum w:abstractNumId="9" w15:restartNumberingAfterBreak="0">
    <w:nsid w:val="FFFFFF89"/>
    <w:multiLevelType w:val="singleLevel"/>
    <w:tmpl w:val="09D44524"/>
    <w:lvl w:ilvl="0">
      <w:start w:val="1"/>
      <w:numFmt w:val="bullet"/>
      <w:pStyle w:val="Puntoelenco"/>
      <w:lvlText w:val=""/>
      <w:lvlJc w:val="left"/>
      <w:pPr>
        <w:tabs>
          <w:tab w:val="num" w:pos="360"/>
        </w:tabs>
        <w:ind w:left="360" w:hanging="3"/>
      </w:pPr>
      <w:rPr>
        <w:rFonts w:ascii="Symbol" w:hAnsi="Symbol" w:hint="default"/>
      </w:rPr>
    </w:lvl>
  </w:abstractNum>
  <w:abstractNum w:abstractNumId="10" w15:restartNumberingAfterBreak="0">
    <w:nsid w:val="08170C67"/>
    <w:multiLevelType w:val="hybridMultilevel"/>
    <w:tmpl w:val="DBDE8D82"/>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1" w15:restartNumberingAfterBreak="0">
    <w:nsid w:val="0D9C3C14"/>
    <w:multiLevelType w:val="hybridMultilevel"/>
    <w:tmpl w:val="26FAAD44"/>
    <w:lvl w:ilvl="0" w:tplc="04090001">
      <w:start w:val="1"/>
      <w:numFmt w:val="bullet"/>
      <w:lvlText w:val=""/>
      <w:lvlJc w:val="left"/>
      <w:pPr>
        <w:ind w:left="720" w:hanging="360"/>
      </w:pPr>
      <w:rPr>
        <w:rFonts w:ascii="Symbol" w:hAnsi="Symbol" w:cs="Symbol" w:hint="default"/>
      </w:rPr>
    </w:lvl>
    <w:lvl w:ilvl="1" w:tplc="04090001">
      <w:start w:val="1"/>
      <w:numFmt w:val="bullet"/>
      <w:lvlText w:val=""/>
      <w:lvlJc w:val="left"/>
      <w:pPr>
        <w:ind w:left="720" w:hanging="360"/>
      </w:pPr>
      <w:rPr>
        <w:rFonts w:ascii="Symbol" w:hAnsi="Symbol"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2" w15:restartNumberingAfterBreak="0">
    <w:nsid w:val="0E771A72"/>
    <w:multiLevelType w:val="hybridMultilevel"/>
    <w:tmpl w:val="F7D415EA"/>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3" w15:restartNumberingAfterBreak="0">
    <w:nsid w:val="10A8229D"/>
    <w:multiLevelType w:val="hybridMultilevel"/>
    <w:tmpl w:val="324A9F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3543D81"/>
    <w:multiLevelType w:val="hybridMultilevel"/>
    <w:tmpl w:val="6338F092"/>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5" w15:restartNumberingAfterBreak="0">
    <w:nsid w:val="1DCB237C"/>
    <w:multiLevelType w:val="hybridMultilevel"/>
    <w:tmpl w:val="F6E2FC0A"/>
    <w:lvl w:ilvl="0" w:tplc="A32EC982">
      <w:start w:val="1"/>
      <w:numFmt w:val="decimal"/>
      <w:pStyle w:val="SubmissionNormal"/>
      <w:lvlText w:val="%1."/>
      <w:lvlJc w:val="left"/>
      <w:pPr>
        <w:tabs>
          <w:tab w:val="num" w:pos="720"/>
        </w:tabs>
        <w:ind w:left="720" w:hanging="360"/>
      </w:pPr>
      <w:rPr>
        <w:rFonts w:hint="default"/>
      </w:rPr>
    </w:lvl>
    <w:lvl w:ilvl="1" w:tplc="0C090019">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6" w15:restartNumberingAfterBreak="0">
    <w:nsid w:val="1F890E08"/>
    <w:multiLevelType w:val="hybridMultilevel"/>
    <w:tmpl w:val="1196F55A"/>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7" w15:restartNumberingAfterBreak="0">
    <w:nsid w:val="21352D32"/>
    <w:multiLevelType w:val="hybridMultilevel"/>
    <w:tmpl w:val="2A9E5C44"/>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8" w15:restartNumberingAfterBreak="0">
    <w:nsid w:val="21B71560"/>
    <w:multiLevelType w:val="multilevel"/>
    <w:tmpl w:val="0C090023"/>
    <w:styleLink w:val="ArticoloSezione"/>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9" w15:restartNumberingAfterBreak="0">
    <w:nsid w:val="25EB68A4"/>
    <w:multiLevelType w:val="multilevel"/>
    <w:tmpl w:val="8F7C2D86"/>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lowerLetter"/>
      <w:lvlText w:val="(%3)"/>
      <w:lvlJc w:val="left"/>
      <w:pPr>
        <w:tabs>
          <w:tab w:val="num" w:pos="851"/>
        </w:tabs>
        <w:ind w:left="851" w:hanging="851"/>
      </w:pPr>
      <w:rPr>
        <w:rFonts w:hint="default"/>
      </w:rPr>
    </w:lvl>
    <w:lvl w:ilvl="3">
      <w:start w:val="1"/>
      <w:numFmt w:val="lowerRoman"/>
      <w:lvlText w:val="(%4)"/>
      <w:lvlJc w:val="left"/>
      <w:pPr>
        <w:tabs>
          <w:tab w:val="num" w:pos="851"/>
        </w:tabs>
        <w:ind w:left="851" w:hanging="851"/>
      </w:pPr>
      <w:rPr>
        <w:rFonts w:hint="default"/>
      </w:rPr>
    </w:lvl>
    <w:lvl w:ilvl="4">
      <w:start w:val="1"/>
      <w:numFmt w:val="decimal"/>
      <w:lvlText w:val="%1.%2.%3.%4.%5"/>
      <w:lvlJc w:val="left"/>
      <w:pPr>
        <w:tabs>
          <w:tab w:val="num" w:pos="0"/>
        </w:tabs>
        <w:ind w:left="1008" w:hanging="1008"/>
      </w:pPr>
      <w:rPr>
        <w:rFonts w:hint="default"/>
      </w:rPr>
    </w:lvl>
    <w:lvl w:ilvl="5">
      <w:start w:val="1"/>
      <w:numFmt w:val="decimal"/>
      <w:lvlText w:val="%1.%2.%3.%4.%5.%6"/>
      <w:lvlJc w:val="left"/>
      <w:pPr>
        <w:tabs>
          <w:tab w:val="num" w:pos="0"/>
        </w:tabs>
        <w:ind w:left="1152" w:hanging="1152"/>
      </w:pPr>
      <w:rPr>
        <w:rFonts w:hint="default"/>
      </w:rPr>
    </w:lvl>
    <w:lvl w:ilvl="6">
      <w:start w:val="1"/>
      <w:numFmt w:val="decimal"/>
      <w:lvlText w:val="%1.%2.%3.%4.%5.%6.%7"/>
      <w:lvlJc w:val="left"/>
      <w:pPr>
        <w:tabs>
          <w:tab w:val="num" w:pos="0"/>
        </w:tabs>
        <w:ind w:left="1296" w:hanging="1296"/>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584" w:hanging="1584"/>
      </w:pPr>
      <w:rPr>
        <w:rFonts w:hint="default"/>
      </w:rPr>
    </w:lvl>
  </w:abstractNum>
  <w:abstractNum w:abstractNumId="20" w15:restartNumberingAfterBreak="0">
    <w:nsid w:val="26DA2962"/>
    <w:multiLevelType w:val="hybridMultilevel"/>
    <w:tmpl w:val="92DC9F00"/>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87970A2"/>
    <w:multiLevelType w:val="hybridMultilevel"/>
    <w:tmpl w:val="485EA6EA"/>
    <w:lvl w:ilvl="0" w:tplc="C3DC8B78">
      <w:start w:val="1"/>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2ADD2251"/>
    <w:multiLevelType w:val="hybridMultilevel"/>
    <w:tmpl w:val="6F322E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F7F5BA4"/>
    <w:multiLevelType w:val="hybridMultilevel"/>
    <w:tmpl w:val="D15099AA"/>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DDD0B38"/>
    <w:multiLevelType w:val="hybridMultilevel"/>
    <w:tmpl w:val="45AA0A3C"/>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5" w15:restartNumberingAfterBreak="0">
    <w:nsid w:val="3EC42FE8"/>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6" w15:restartNumberingAfterBreak="0">
    <w:nsid w:val="44890C35"/>
    <w:multiLevelType w:val="hybridMultilevel"/>
    <w:tmpl w:val="F03CCB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9FF7A73"/>
    <w:multiLevelType w:val="multilevel"/>
    <w:tmpl w:val="8F7C2D86"/>
    <w:lvl w:ilvl="0">
      <w:start w:val="1"/>
      <w:numFmt w:val="decimal"/>
      <w:pStyle w:val="Titolo1"/>
      <w:lvlText w:val="%1"/>
      <w:lvlJc w:val="left"/>
      <w:pPr>
        <w:tabs>
          <w:tab w:val="num" w:pos="851"/>
        </w:tabs>
        <w:ind w:left="851" w:hanging="851"/>
      </w:pPr>
      <w:rPr>
        <w:rFonts w:hint="default"/>
      </w:rPr>
    </w:lvl>
    <w:lvl w:ilvl="1">
      <w:start w:val="1"/>
      <w:numFmt w:val="decimal"/>
      <w:pStyle w:val="Titolo2"/>
      <w:lvlText w:val="%1.%2"/>
      <w:lvlJc w:val="left"/>
      <w:pPr>
        <w:tabs>
          <w:tab w:val="num" w:pos="851"/>
        </w:tabs>
        <w:ind w:left="851" w:hanging="851"/>
      </w:pPr>
      <w:rPr>
        <w:rFonts w:hint="default"/>
      </w:rPr>
    </w:lvl>
    <w:lvl w:ilvl="2">
      <w:start w:val="1"/>
      <w:numFmt w:val="lowerLetter"/>
      <w:lvlText w:val="(%3)"/>
      <w:lvlJc w:val="left"/>
      <w:pPr>
        <w:tabs>
          <w:tab w:val="num" w:pos="851"/>
        </w:tabs>
        <w:ind w:left="851" w:hanging="851"/>
      </w:pPr>
      <w:rPr>
        <w:rFonts w:hint="default"/>
      </w:rPr>
    </w:lvl>
    <w:lvl w:ilvl="3">
      <w:start w:val="1"/>
      <w:numFmt w:val="lowerRoman"/>
      <w:lvlText w:val="(%4)"/>
      <w:lvlJc w:val="left"/>
      <w:pPr>
        <w:tabs>
          <w:tab w:val="num" w:pos="851"/>
        </w:tabs>
        <w:ind w:left="851" w:hanging="851"/>
      </w:pPr>
      <w:rPr>
        <w:rFonts w:hint="default"/>
      </w:rPr>
    </w:lvl>
    <w:lvl w:ilvl="4">
      <w:start w:val="1"/>
      <w:numFmt w:val="decimal"/>
      <w:pStyle w:val="Titolo5"/>
      <w:lvlText w:val="%1.%2.%3.%4.%5"/>
      <w:lvlJc w:val="left"/>
      <w:pPr>
        <w:tabs>
          <w:tab w:val="num" w:pos="0"/>
        </w:tabs>
        <w:ind w:left="1008" w:hanging="1008"/>
      </w:pPr>
      <w:rPr>
        <w:rFonts w:hint="default"/>
      </w:rPr>
    </w:lvl>
    <w:lvl w:ilvl="5">
      <w:start w:val="1"/>
      <w:numFmt w:val="decimal"/>
      <w:pStyle w:val="Titolo6"/>
      <w:lvlText w:val="%1.%2.%3.%4.%5.%6"/>
      <w:lvlJc w:val="left"/>
      <w:pPr>
        <w:tabs>
          <w:tab w:val="num" w:pos="0"/>
        </w:tabs>
        <w:ind w:left="1152" w:hanging="1152"/>
      </w:pPr>
      <w:rPr>
        <w:rFonts w:hint="default"/>
      </w:rPr>
    </w:lvl>
    <w:lvl w:ilvl="6">
      <w:start w:val="1"/>
      <w:numFmt w:val="decimal"/>
      <w:pStyle w:val="Titolo7"/>
      <w:lvlText w:val="%1.%2.%3.%4.%5.%6.%7"/>
      <w:lvlJc w:val="left"/>
      <w:pPr>
        <w:tabs>
          <w:tab w:val="num" w:pos="0"/>
        </w:tabs>
        <w:ind w:left="1296" w:hanging="1296"/>
      </w:pPr>
      <w:rPr>
        <w:rFonts w:hint="default"/>
      </w:rPr>
    </w:lvl>
    <w:lvl w:ilvl="7">
      <w:start w:val="1"/>
      <w:numFmt w:val="decimal"/>
      <w:pStyle w:val="Titolo8"/>
      <w:lvlText w:val="%1.%2.%3.%4.%5.%6.%7.%8"/>
      <w:lvlJc w:val="left"/>
      <w:pPr>
        <w:tabs>
          <w:tab w:val="num" w:pos="0"/>
        </w:tabs>
        <w:ind w:left="1440" w:hanging="1440"/>
      </w:pPr>
      <w:rPr>
        <w:rFonts w:hint="default"/>
      </w:rPr>
    </w:lvl>
    <w:lvl w:ilvl="8">
      <w:start w:val="1"/>
      <w:numFmt w:val="decimal"/>
      <w:pStyle w:val="Titolo9"/>
      <w:lvlText w:val="%1.%2.%3.%4.%5.%6.%7.%8.%9"/>
      <w:lvlJc w:val="left"/>
      <w:pPr>
        <w:tabs>
          <w:tab w:val="num" w:pos="0"/>
        </w:tabs>
        <w:ind w:left="1584" w:hanging="1584"/>
      </w:pPr>
      <w:rPr>
        <w:rFonts w:hint="default"/>
      </w:rPr>
    </w:lvl>
  </w:abstractNum>
  <w:abstractNum w:abstractNumId="28" w15:restartNumberingAfterBreak="0">
    <w:nsid w:val="4C773286"/>
    <w:multiLevelType w:val="multilevel"/>
    <w:tmpl w:val="8F7C2D86"/>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lowerLetter"/>
      <w:lvlText w:val="(%3)"/>
      <w:lvlJc w:val="left"/>
      <w:pPr>
        <w:tabs>
          <w:tab w:val="num" w:pos="851"/>
        </w:tabs>
        <w:ind w:left="851" w:hanging="851"/>
      </w:pPr>
      <w:rPr>
        <w:rFonts w:hint="default"/>
      </w:rPr>
    </w:lvl>
    <w:lvl w:ilvl="3">
      <w:start w:val="1"/>
      <w:numFmt w:val="lowerRoman"/>
      <w:lvlText w:val="(%4)"/>
      <w:lvlJc w:val="left"/>
      <w:pPr>
        <w:tabs>
          <w:tab w:val="num" w:pos="851"/>
        </w:tabs>
        <w:ind w:left="851" w:hanging="851"/>
      </w:pPr>
      <w:rPr>
        <w:rFonts w:hint="default"/>
      </w:rPr>
    </w:lvl>
    <w:lvl w:ilvl="4">
      <w:start w:val="1"/>
      <w:numFmt w:val="decimal"/>
      <w:lvlText w:val="%1.%2.%3.%4.%5"/>
      <w:lvlJc w:val="left"/>
      <w:pPr>
        <w:tabs>
          <w:tab w:val="num" w:pos="0"/>
        </w:tabs>
        <w:ind w:left="1008" w:hanging="1008"/>
      </w:pPr>
      <w:rPr>
        <w:rFonts w:hint="default"/>
      </w:rPr>
    </w:lvl>
    <w:lvl w:ilvl="5">
      <w:start w:val="1"/>
      <w:numFmt w:val="decimal"/>
      <w:lvlText w:val="%1.%2.%3.%4.%5.%6"/>
      <w:lvlJc w:val="left"/>
      <w:pPr>
        <w:tabs>
          <w:tab w:val="num" w:pos="0"/>
        </w:tabs>
        <w:ind w:left="1152" w:hanging="1152"/>
      </w:pPr>
      <w:rPr>
        <w:rFonts w:hint="default"/>
      </w:rPr>
    </w:lvl>
    <w:lvl w:ilvl="6">
      <w:start w:val="1"/>
      <w:numFmt w:val="decimal"/>
      <w:lvlText w:val="%1.%2.%3.%4.%5.%6.%7"/>
      <w:lvlJc w:val="left"/>
      <w:pPr>
        <w:tabs>
          <w:tab w:val="num" w:pos="0"/>
        </w:tabs>
        <w:ind w:left="1296" w:hanging="1296"/>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584" w:hanging="1584"/>
      </w:pPr>
      <w:rPr>
        <w:rFonts w:hint="default"/>
      </w:rPr>
    </w:lvl>
  </w:abstractNum>
  <w:abstractNum w:abstractNumId="29" w15:restartNumberingAfterBreak="0">
    <w:nsid w:val="4E4322A8"/>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30" w15:restartNumberingAfterBreak="0">
    <w:nsid w:val="4E6824C5"/>
    <w:multiLevelType w:val="hybridMultilevel"/>
    <w:tmpl w:val="6592EF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9502477"/>
    <w:multiLevelType w:val="hybridMultilevel"/>
    <w:tmpl w:val="29AC38FE"/>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32" w15:restartNumberingAfterBreak="0">
    <w:nsid w:val="648E6CBA"/>
    <w:multiLevelType w:val="multilevel"/>
    <w:tmpl w:val="540CA368"/>
    <w:styleLink w:val="ListBulletmaster"/>
    <w:lvl w:ilvl="0">
      <w:start w:val="1"/>
      <w:numFmt w:val="bullet"/>
      <w:lvlText w:val=""/>
      <w:lvlJc w:val="left"/>
      <w:pPr>
        <w:tabs>
          <w:tab w:val="num" w:pos="360"/>
        </w:tabs>
        <w:ind w:left="360" w:hanging="360"/>
      </w:pPr>
      <w:rPr>
        <w:rFonts w:ascii="Symbol" w:hAnsi="Symbol" w:hint="default"/>
        <w:color w:val="auto"/>
      </w:rPr>
    </w:lvl>
    <w:lvl w:ilvl="1">
      <w:start w:val="1"/>
      <w:numFmt w:val="bullet"/>
      <w:lvlText w:val=""/>
      <w:lvlJc w:val="left"/>
      <w:pPr>
        <w:ind w:left="714" w:hanging="357"/>
      </w:pPr>
      <w:rPr>
        <w:rFonts w:ascii="Symbol" w:hAnsi="Symbol" w:hint="default"/>
        <w:color w:val="auto"/>
      </w:rPr>
    </w:lvl>
    <w:lvl w:ilvl="2">
      <w:start w:val="1"/>
      <w:numFmt w:val="bullet"/>
      <w:lvlText w:val=""/>
      <w:lvlJc w:val="left"/>
      <w:pPr>
        <w:ind w:left="1072" w:hanging="358"/>
      </w:pPr>
      <w:rPr>
        <w:rFonts w:ascii="Symbol" w:hAnsi="Symbol" w:hint="default"/>
        <w:color w:val="auto"/>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64AF6341"/>
    <w:multiLevelType w:val="hybridMultilevel"/>
    <w:tmpl w:val="B7CCC6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88868E4"/>
    <w:multiLevelType w:val="hybridMultilevel"/>
    <w:tmpl w:val="7F94C116"/>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35" w15:restartNumberingAfterBreak="0">
    <w:nsid w:val="68BE1017"/>
    <w:multiLevelType w:val="hybridMultilevel"/>
    <w:tmpl w:val="EE9800CE"/>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36" w15:restartNumberingAfterBreak="0">
    <w:nsid w:val="6A660AB1"/>
    <w:multiLevelType w:val="hybridMultilevel"/>
    <w:tmpl w:val="C234BC5E"/>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37" w15:restartNumberingAfterBreak="0">
    <w:nsid w:val="6D28715F"/>
    <w:multiLevelType w:val="hybridMultilevel"/>
    <w:tmpl w:val="141016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6F7816B1"/>
    <w:multiLevelType w:val="hybridMultilevel"/>
    <w:tmpl w:val="7FBE1316"/>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num w:numId="1">
    <w:abstractNumId w:val="27"/>
  </w:num>
  <w:num w:numId="2">
    <w:abstractNumId w:val="9"/>
  </w:num>
  <w:num w:numId="3">
    <w:abstractNumId w:val="7"/>
  </w:num>
  <w:num w:numId="4">
    <w:abstractNumId w:val="6"/>
  </w:num>
  <w:num w:numId="5">
    <w:abstractNumId w:val="5"/>
  </w:num>
  <w:num w:numId="6">
    <w:abstractNumId w:val="4"/>
  </w:num>
  <w:num w:numId="7">
    <w:abstractNumId w:val="8"/>
  </w:num>
  <w:num w:numId="8">
    <w:abstractNumId w:val="1"/>
  </w:num>
  <w:num w:numId="9">
    <w:abstractNumId w:val="0"/>
  </w:num>
  <w:num w:numId="10">
    <w:abstractNumId w:val="3"/>
  </w:num>
  <w:num w:numId="11">
    <w:abstractNumId w:val="2"/>
  </w:num>
  <w:num w:numId="12">
    <w:abstractNumId w:val="29"/>
  </w:num>
  <w:num w:numId="13">
    <w:abstractNumId w:val="25"/>
  </w:num>
  <w:num w:numId="14">
    <w:abstractNumId w:val="18"/>
  </w:num>
  <w:num w:numId="15">
    <w:abstractNumId w:val="15"/>
  </w:num>
  <w:num w:numId="16">
    <w:abstractNumId w:val="32"/>
  </w:num>
  <w:num w:numId="17">
    <w:abstractNumId w:val="33"/>
  </w:num>
  <w:num w:numId="18">
    <w:abstractNumId w:val="26"/>
  </w:num>
  <w:num w:numId="19">
    <w:abstractNumId w:val="13"/>
  </w:num>
  <w:num w:numId="20">
    <w:abstractNumId w:val="30"/>
  </w:num>
  <w:num w:numId="21">
    <w:abstractNumId w:val="20"/>
  </w:num>
  <w:num w:numId="22">
    <w:abstractNumId w:val="23"/>
  </w:num>
  <w:num w:numId="23">
    <w:abstractNumId w:val="22"/>
  </w:num>
  <w:num w:numId="24">
    <w:abstractNumId w:val="36"/>
  </w:num>
  <w:num w:numId="25">
    <w:abstractNumId w:val="34"/>
  </w:num>
  <w:num w:numId="26">
    <w:abstractNumId w:val="10"/>
  </w:num>
  <w:num w:numId="27">
    <w:abstractNumId w:val="24"/>
  </w:num>
  <w:num w:numId="28">
    <w:abstractNumId w:val="35"/>
  </w:num>
  <w:num w:numId="29">
    <w:abstractNumId w:val="17"/>
  </w:num>
  <w:num w:numId="30">
    <w:abstractNumId w:val="14"/>
  </w:num>
  <w:num w:numId="31">
    <w:abstractNumId w:val="16"/>
  </w:num>
  <w:num w:numId="32">
    <w:abstractNumId w:val="31"/>
  </w:num>
  <w:num w:numId="33">
    <w:abstractNumId w:val="38"/>
  </w:num>
  <w:num w:numId="34">
    <w:abstractNumId w:val="12"/>
  </w:num>
  <w:num w:numId="35">
    <w:abstractNumId w:val="21"/>
  </w:num>
  <w:num w:numId="36">
    <w:abstractNumId w:val="11"/>
  </w:num>
  <w:num w:numId="37">
    <w:abstractNumId w:val="19"/>
  </w:num>
  <w:num w:numId="38">
    <w:abstractNumId w:val="28"/>
  </w:num>
  <w:num w:numId="39">
    <w:abstractNumId w:val="37"/>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5"/>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ocumentProtection w:edit="trackedChanges" w:formatting="1" w:enforcement="0"/>
  <w:defaultTabStop w:val="720"/>
  <w:hyphenationZone w:val="283"/>
  <w:evenAndOddHeaders/>
  <w:drawingGridHorizontalSpacing w:val="120"/>
  <w:displayHorizontalDrawingGridEvery w:val="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0715"/>
    <w:rsid w:val="000015EC"/>
    <w:rsid w:val="00003EA5"/>
    <w:rsid w:val="000161C2"/>
    <w:rsid w:val="0002476A"/>
    <w:rsid w:val="00036BE4"/>
    <w:rsid w:val="000430B8"/>
    <w:rsid w:val="00045712"/>
    <w:rsid w:val="00045C4B"/>
    <w:rsid w:val="000465F1"/>
    <w:rsid w:val="0005003D"/>
    <w:rsid w:val="0005731B"/>
    <w:rsid w:val="000579B1"/>
    <w:rsid w:val="00061C6C"/>
    <w:rsid w:val="0006474A"/>
    <w:rsid w:val="00066C68"/>
    <w:rsid w:val="00072EDA"/>
    <w:rsid w:val="000A1DB8"/>
    <w:rsid w:val="000A48AC"/>
    <w:rsid w:val="000A520E"/>
    <w:rsid w:val="000B0064"/>
    <w:rsid w:val="000B0603"/>
    <w:rsid w:val="000B0A5D"/>
    <w:rsid w:val="000B5B68"/>
    <w:rsid w:val="000B7523"/>
    <w:rsid w:val="000C5608"/>
    <w:rsid w:val="000C5DA6"/>
    <w:rsid w:val="000D7C17"/>
    <w:rsid w:val="000E130A"/>
    <w:rsid w:val="000F168D"/>
    <w:rsid w:val="00125CA3"/>
    <w:rsid w:val="00134774"/>
    <w:rsid w:val="00140274"/>
    <w:rsid w:val="00151263"/>
    <w:rsid w:val="0015239E"/>
    <w:rsid w:val="0015471C"/>
    <w:rsid w:val="00160715"/>
    <w:rsid w:val="0016266F"/>
    <w:rsid w:val="00162A8D"/>
    <w:rsid w:val="00165E3C"/>
    <w:rsid w:val="00172863"/>
    <w:rsid w:val="00173FB5"/>
    <w:rsid w:val="00174D9A"/>
    <w:rsid w:val="001839D6"/>
    <w:rsid w:val="00194734"/>
    <w:rsid w:val="00195EDE"/>
    <w:rsid w:val="001B0353"/>
    <w:rsid w:val="001C1F8B"/>
    <w:rsid w:val="001E0E26"/>
    <w:rsid w:val="001E4C70"/>
    <w:rsid w:val="001E5676"/>
    <w:rsid w:val="001F2BBB"/>
    <w:rsid w:val="001F52FD"/>
    <w:rsid w:val="001F62CC"/>
    <w:rsid w:val="00200677"/>
    <w:rsid w:val="002012F7"/>
    <w:rsid w:val="002027F6"/>
    <w:rsid w:val="00205BE5"/>
    <w:rsid w:val="002068EB"/>
    <w:rsid w:val="0022678B"/>
    <w:rsid w:val="00231ED1"/>
    <w:rsid w:val="002329AE"/>
    <w:rsid w:val="00241523"/>
    <w:rsid w:val="00242624"/>
    <w:rsid w:val="0024557E"/>
    <w:rsid w:val="002471FD"/>
    <w:rsid w:val="002527D0"/>
    <w:rsid w:val="002632EA"/>
    <w:rsid w:val="0028506A"/>
    <w:rsid w:val="002850B0"/>
    <w:rsid w:val="002863D7"/>
    <w:rsid w:val="002873B4"/>
    <w:rsid w:val="00290996"/>
    <w:rsid w:val="00292AB5"/>
    <w:rsid w:val="002A43C2"/>
    <w:rsid w:val="002A639D"/>
    <w:rsid w:val="002B1B65"/>
    <w:rsid w:val="002C02DB"/>
    <w:rsid w:val="002C1866"/>
    <w:rsid w:val="002C2B22"/>
    <w:rsid w:val="002C5943"/>
    <w:rsid w:val="002E14BD"/>
    <w:rsid w:val="002E47C8"/>
    <w:rsid w:val="002E5A1B"/>
    <w:rsid w:val="002F4CE1"/>
    <w:rsid w:val="002F5E96"/>
    <w:rsid w:val="0030053D"/>
    <w:rsid w:val="00300928"/>
    <w:rsid w:val="00300F22"/>
    <w:rsid w:val="00304441"/>
    <w:rsid w:val="003047D5"/>
    <w:rsid w:val="00304A37"/>
    <w:rsid w:val="0031040E"/>
    <w:rsid w:val="00310ED4"/>
    <w:rsid w:val="00312301"/>
    <w:rsid w:val="0031492A"/>
    <w:rsid w:val="00316C1A"/>
    <w:rsid w:val="00323C73"/>
    <w:rsid w:val="00331141"/>
    <w:rsid w:val="00333204"/>
    <w:rsid w:val="00336C06"/>
    <w:rsid w:val="003423F4"/>
    <w:rsid w:val="00344758"/>
    <w:rsid w:val="00347142"/>
    <w:rsid w:val="00350D1B"/>
    <w:rsid w:val="003565A8"/>
    <w:rsid w:val="003566EA"/>
    <w:rsid w:val="003724A9"/>
    <w:rsid w:val="00372C79"/>
    <w:rsid w:val="003A168E"/>
    <w:rsid w:val="003A48B7"/>
    <w:rsid w:val="003C1D2E"/>
    <w:rsid w:val="003E5DEF"/>
    <w:rsid w:val="003E65F1"/>
    <w:rsid w:val="003F0DE6"/>
    <w:rsid w:val="003F2AE6"/>
    <w:rsid w:val="0040497E"/>
    <w:rsid w:val="00404DF0"/>
    <w:rsid w:val="00417516"/>
    <w:rsid w:val="00422417"/>
    <w:rsid w:val="00424233"/>
    <w:rsid w:val="00434945"/>
    <w:rsid w:val="00445CB5"/>
    <w:rsid w:val="00460EE0"/>
    <w:rsid w:val="004712FB"/>
    <w:rsid w:val="00471BB7"/>
    <w:rsid w:val="00472EFF"/>
    <w:rsid w:val="00473CD4"/>
    <w:rsid w:val="00474063"/>
    <w:rsid w:val="00476793"/>
    <w:rsid w:val="00481111"/>
    <w:rsid w:val="00481B2A"/>
    <w:rsid w:val="00482091"/>
    <w:rsid w:val="00495440"/>
    <w:rsid w:val="004A187B"/>
    <w:rsid w:val="004A2D3C"/>
    <w:rsid w:val="004A4D83"/>
    <w:rsid w:val="004C5FC8"/>
    <w:rsid w:val="004C7412"/>
    <w:rsid w:val="004D04BF"/>
    <w:rsid w:val="004D4E0E"/>
    <w:rsid w:val="004E0DFF"/>
    <w:rsid w:val="004F1C7C"/>
    <w:rsid w:val="004F4FEA"/>
    <w:rsid w:val="00510390"/>
    <w:rsid w:val="005123F0"/>
    <w:rsid w:val="00513540"/>
    <w:rsid w:val="00513941"/>
    <w:rsid w:val="0053051D"/>
    <w:rsid w:val="00546C71"/>
    <w:rsid w:val="00560B0E"/>
    <w:rsid w:val="00561019"/>
    <w:rsid w:val="00564208"/>
    <w:rsid w:val="00571CEB"/>
    <w:rsid w:val="00590BC7"/>
    <w:rsid w:val="00591951"/>
    <w:rsid w:val="005A0964"/>
    <w:rsid w:val="005B36F6"/>
    <w:rsid w:val="005C0745"/>
    <w:rsid w:val="005C2ECF"/>
    <w:rsid w:val="005C5D41"/>
    <w:rsid w:val="005D1AA7"/>
    <w:rsid w:val="005D1F34"/>
    <w:rsid w:val="005D2241"/>
    <w:rsid w:val="005D383D"/>
    <w:rsid w:val="005F66C9"/>
    <w:rsid w:val="00606194"/>
    <w:rsid w:val="00607713"/>
    <w:rsid w:val="00607D17"/>
    <w:rsid w:val="00616F88"/>
    <w:rsid w:val="00622508"/>
    <w:rsid w:val="0063009F"/>
    <w:rsid w:val="00632904"/>
    <w:rsid w:val="006356C5"/>
    <w:rsid w:val="00646603"/>
    <w:rsid w:val="00650E26"/>
    <w:rsid w:val="00654793"/>
    <w:rsid w:val="00680F6F"/>
    <w:rsid w:val="006821D7"/>
    <w:rsid w:val="00686067"/>
    <w:rsid w:val="00696AB3"/>
    <w:rsid w:val="006A6BB3"/>
    <w:rsid w:val="006B3DE1"/>
    <w:rsid w:val="006C0642"/>
    <w:rsid w:val="006D0407"/>
    <w:rsid w:val="006D4C6A"/>
    <w:rsid w:val="006D5EE5"/>
    <w:rsid w:val="006E02B4"/>
    <w:rsid w:val="006E6D3B"/>
    <w:rsid w:val="0070552D"/>
    <w:rsid w:val="00714FF5"/>
    <w:rsid w:val="007211DC"/>
    <w:rsid w:val="00722B4F"/>
    <w:rsid w:val="00724D5F"/>
    <w:rsid w:val="007269AF"/>
    <w:rsid w:val="00730BD2"/>
    <w:rsid w:val="0073745E"/>
    <w:rsid w:val="00747931"/>
    <w:rsid w:val="007540BF"/>
    <w:rsid w:val="007637A8"/>
    <w:rsid w:val="00765B58"/>
    <w:rsid w:val="00770DCB"/>
    <w:rsid w:val="00772C35"/>
    <w:rsid w:val="00775485"/>
    <w:rsid w:val="00783532"/>
    <w:rsid w:val="007846B5"/>
    <w:rsid w:val="007B06EA"/>
    <w:rsid w:val="007C5CF6"/>
    <w:rsid w:val="007D2F00"/>
    <w:rsid w:val="007D34B3"/>
    <w:rsid w:val="007D59B4"/>
    <w:rsid w:val="007E5B88"/>
    <w:rsid w:val="007F0D0B"/>
    <w:rsid w:val="008007A8"/>
    <w:rsid w:val="008042D9"/>
    <w:rsid w:val="00814FC0"/>
    <w:rsid w:val="00817C73"/>
    <w:rsid w:val="00823005"/>
    <w:rsid w:val="0082636C"/>
    <w:rsid w:val="008449B9"/>
    <w:rsid w:val="00847191"/>
    <w:rsid w:val="0086254F"/>
    <w:rsid w:val="008724DE"/>
    <w:rsid w:val="008758D9"/>
    <w:rsid w:val="00882B0A"/>
    <w:rsid w:val="008A3D57"/>
    <w:rsid w:val="008A7305"/>
    <w:rsid w:val="008B23BC"/>
    <w:rsid w:val="008B3899"/>
    <w:rsid w:val="008E328C"/>
    <w:rsid w:val="008E3D60"/>
    <w:rsid w:val="008E3F4C"/>
    <w:rsid w:val="008E78F0"/>
    <w:rsid w:val="008F062E"/>
    <w:rsid w:val="008F4317"/>
    <w:rsid w:val="00900633"/>
    <w:rsid w:val="0090165F"/>
    <w:rsid w:val="00901B82"/>
    <w:rsid w:val="00912B09"/>
    <w:rsid w:val="00913D11"/>
    <w:rsid w:val="0091791D"/>
    <w:rsid w:val="009432CF"/>
    <w:rsid w:val="00956FD6"/>
    <w:rsid w:val="00966C2F"/>
    <w:rsid w:val="0096742A"/>
    <w:rsid w:val="00972934"/>
    <w:rsid w:val="0097512B"/>
    <w:rsid w:val="00982404"/>
    <w:rsid w:val="00990B81"/>
    <w:rsid w:val="009A1259"/>
    <w:rsid w:val="009B1CCE"/>
    <w:rsid w:val="009B6882"/>
    <w:rsid w:val="009C25C6"/>
    <w:rsid w:val="009D44E5"/>
    <w:rsid w:val="009D67F6"/>
    <w:rsid w:val="009E08D1"/>
    <w:rsid w:val="009E0FE1"/>
    <w:rsid w:val="009E4BD0"/>
    <w:rsid w:val="009F00BC"/>
    <w:rsid w:val="009F2764"/>
    <w:rsid w:val="009F5B10"/>
    <w:rsid w:val="009F5B96"/>
    <w:rsid w:val="00A018A8"/>
    <w:rsid w:val="00A0406E"/>
    <w:rsid w:val="00A11307"/>
    <w:rsid w:val="00A13AF3"/>
    <w:rsid w:val="00A14715"/>
    <w:rsid w:val="00A21388"/>
    <w:rsid w:val="00A259EC"/>
    <w:rsid w:val="00A25A10"/>
    <w:rsid w:val="00A27791"/>
    <w:rsid w:val="00A27ABE"/>
    <w:rsid w:val="00A355F9"/>
    <w:rsid w:val="00A41355"/>
    <w:rsid w:val="00A437B6"/>
    <w:rsid w:val="00A43B92"/>
    <w:rsid w:val="00A5084F"/>
    <w:rsid w:val="00A54251"/>
    <w:rsid w:val="00A6179E"/>
    <w:rsid w:val="00A64316"/>
    <w:rsid w:val="00A804D9"/>
    <w:rsid w:val="00A8573B"/>
    <w:rsid w:val="00A92915"/>
    <w:rsid w:val="00A92F92"/>
    <w:rsid w:val="00A96892"/>
    <w:rsid w:val="00AA2051"/>
    <w:rsid w:val="00AA70C4"/>
    <w:rsid w:val="00AB7C8F"/>
    <w:rsid w:val="00AC2192"/>
    <w:rsid w:val="00AC636D"/>
    <w:rsid w:val="00AD31FA"/>
    <w:rsid w:val="00AF4FAD"/>
    <w:rsid w:val="00B00F61"/>
    <w:rsid w:val="00B124B3"/>
    <w:rsid w:val="00B223C0"/>
    <w:rsid w:val="00B233AD"/>
    <w:rsid w:val="00B237FB"/>
    <w:rsid w:val="00B24B1D"/>
    <w:rsid w:val="00B26C33"/>
    <w:rsid w:val="00B277E0"/>
    <w:rsid w:val="00B34946"/>
    <w:rsid w:val="00B359A2"/>
    <w:rsid w:val="00B519FD"/>
    <w:rsid w:val="00B520BC"/>
    <w:rsid w:val="00B539CC"/>
    <w:rsid w:val="00B557F7"/>
    <w:rsid w:val="00B63D24"/>
    <w:rsid w:val="00B65495"/>
    <w:rsid w:val="00B76D01"/>
    <w:rsid w:val="00B924E6"/>
    <w:rsid w:val="00B974B8"/>
    <w:rsid w:val="00BA262D"/>
    <w:rsid w:val="00BA540F"/>
    <w:rsid w:val="00BA5698"/>
    <w:rsid w:val="00BB0DC7"/>
    <w:rsid w:val="00BB3A8E"/>
    <w:rsid w:val="00BC4401"/>
    <w:rsid w:val="00BC5039"/>
    <w:rsid w:val="00BC6060"/>
    <w:rsid w:val="00BC7282"/>
    <w:rsid w:val="00BC79EB"/>
    <w:rsid w:val="00BD602D"/>
    <w:rsid w:val="00BD6AFF"/>
    <w:rsid w:val="00BD7FCF"/>
    <w:rsid w:val="00BF6406"/>
    <w:rsid w:val="00C050C3"/>
    <w:rsid w:val="00C064DC"/>
    <w:rsid w:val="00C132CA"/>
    <w:rsid w:val="00C149BD"/>
    <w:rsid w:val="00C25926"/>
    <w:rsid w:val="00C25BDA"/>
    <w:rsid w:val="00C33104"/>
    <w:rsid w:val="00C332D4"/>
    <w:rsid w:val="00C46805"/>
    <w:rsid w:val="00C471D1"/>
    <w:rsid w:val="00C51011"/>
    <w:rsid w:val="00C560AC"/>
    <w:rsid w:val="00C5781C"/>
    <w:rsid w:val="00C60343"/>
    <w:rsid w:val="00C7387B"/>
    <w:rsid w:val="00C854D4"/>
    <w:rsid w:val="00C85FC3"/>
    <w:rsid w:val="00C90556"/>
    <w:rsid w:val="00CA0D78"/>
    <w:rsid w:val="00CA4855"/>
    <w:rsid w:val="00CA5D90"/>
    <w:rsid w:val="00CB24FE"/>
    <w:rsid w:val="00CC0E7E"/>
    <w:rsid w:val="00CC2AA0"/>
    <w:rsid w:val="00CD58FD"/>
    <w:rsid w:val="00CE6817"/>
    <w:rsid w:val="00D00582"/>
    <w:rsid w:val="00D03307"/>
    <w:rsid w:val="00D0420A"/>
    <w:rsid w:val="00D10742"/>
    <w:rsid w:val="00D343FA"/>
    <w:rsid w:val="00D418FF"/>
    <w:rsid w:val="00D5774D"/>
    <w:rsid w:val="00D65C76"/>
    <w:rsid w:val="00D7262B"/>
    <w:rsid w:val="00D734C7"/>
    <w:rsid w:val="00D7542B"/>
    <w:rsid w:val="00D8351F"/>
    <w:rsid w:val="00D87EB8"/>
    <w:rsid w:val="00DA1D32"/>
    <w:rsid w:val="00DA2F73"/>
    <w:rsid w:val="00DA7A55"/>
    <w:rsid w:val="00DC307B"/>
    <w:rsid w:val="00DC343B"/>
    <w:rsid w:val="00DC462F"/>
    <w:rsid w:val="00DC499A"/>
    <w:rsid w:val="00DD2BA1"/>
    <w:rsid w:val="00DD6A21"/>
    <w:rsid w:val="00DE18A7"/>
    <w:rsid w:val="00DE2EFB"/>
    <w:rsid w:val="00DE60CA"/>
    <w:rsid w:val="00DF01B6"/>
    <w:rsid w:val="00E02517"/>
    <w:rsid w:val="00E13AAD"/>
    <w:rsid w:val="00E14833"/>
    <w:rsid w:val="00E1675F"/>
    <w:rsid w:val="00E23031"/>
    <w:rsid w:val="00E23DB3"/>
    <w:rsid w:val="00E24FA3"/>
    <w:rsid w:val="00E26B28"/>
    <w:rsid w:val="00E31465"/>
    <w:rsid w:val="00E328CD"/>
    <w:rsid w:val="00E3489E"/>
    <w:rsid w:val="00E3546C"/>
    <w:rsid w:val="00E362F0"/>
    <w:rsid w:val="00E36B95"/>
    <w:rsid w:val="00E4003F"/>
    <w:rsid w:val="00E458F6"/>
    <w:rsid w:val="00E45954"/>
    <w:rsid w:val="00E46704"/>
    <w:rsid w:val="00E53546"/>
    <w:rsid w:val="00E55F24"/>
    <w:rsid w:val="00E84C0B"/>
    <w:rsid w:val="00EA44D9"/>
    <w:rsid w:val="00EA64CD"/>
    <w:rsid w:val="00EB6A76"/>
    <w:rsid w:val="00EC1946"/>
    <w:rsid w:val="00ED5D9D"/>
    <w:rsid w:val="00EE5606"/>
    <w:rsid w:val="00EE5F18"/>
    <w:rsid w:val="00EF155E"/>
    <w:rsid w:val="00F0799D"/>
    <w:rsid w:val="00F107A0"/>
    <w:rsid w:val="00F127A8"/>
    <w:rsid w:val="00F14C6D"/>
    <w:rsid w:val="00F220A5"/>
    <w:rsid w:val="00F25651"/>
    <w:rsid w:val="00F318C2"/>
    <w:rsid w:val="00F34362"/>
    <w:rsid w:val="00F34BC9"/>
    <w:rsid w:val="00F42802"/>
    <w:rsid w:val="00F513AE"/>
    <w:rsid w:val="00F65369"/>
    <w:rsid w:val="00F75DBC"/>
    <w:rsid w:val="00F8302E"/>
    <w:rsid w:val="00F86DAB"/>
    <w:rsid w:val="00FA22A8"/>
    <w:rsid w:val="00FA2C72"/>
    <w:rsid w:val="00FA4916"/>
    <w:rsid w:val="00FA7E5C"/>
    <w:rsid w:val="00FB193D"/>
    <w:rsid w:val="00FB3422"/>
    <w:rsid w:val="00FB42B3"/>
    <w:rsid w:val="00FD01B5"/>
    <w:rsid w:val="00FD2539"/>
    <w:rsid w:val="00FD5BF0"/>
    <w:rsid w:val="00FD6DFF"/>
    <w:rsid w:val="00FF6980"/>
    <w:rsid w:val="00FF7829"/>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1"/>
    </o:shapelayout>
  </w:shapeDefaults>
  <w:decimalSymbol w:val=","/>
  <w:listSeparator w:val=";"/>
  <w14:docId w14:val="161D910C"/>
  <w15:docId w15:val="{E278D352-32BF-409D-A712-2B2659DDC7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en-AU" w:bidi="ar-SA"/>
      </w:rPr>
    </w:rPrDefault>
    <w:pPrDefault/>
  </w:docDefaults>
  <w:latentStyles w:defLockedState="1" w:defUIPriority="0" w:defSemiHidden="0" w:defUnhideWhenUsed="0" w:defQFormat="0" w:count="376">
    <w:lsdException w:name="Normal" w:locked="0" w:qFormat="1"/>
    <w:lsdException w:name="heading 1" w:locked="0" w:qFormat="1"/>
    <w:lsdException w:name="heading 2" w:locked="0" w:qFormat="1"/>
    <w:lsdException w:name="heading 3" w:locked="0" w:qFormat="1"/>
    <w:lsdException w:name="heading 4" w:locked="0" w:semiHidden="1" w:unhideWhenUsed="1"/>
    <w:lsdException w:name="heading 5" w:locked="0" w:semiHidden="1" w:unhideWhenUsed="1"/>
    <w:lsdException w:name="heading 6" w:locked="0"/>
    <w:lsdException w:name="heading 7" w:locked="0"/>
    <w:lsdException w:name="heading 8" w:locked="0"/>
    <w:lsdException w:name="heading 9" w:locked="0"/>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locked="0" w:semiHidden="1" w:unhideWhenUsed="1" w:qFormat="1"/>
    <w:lsdException w:name="footer" w:locked="0"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locked="0" w:semiHidden="1" w:uiPriority="99" w:unhideWhenUsed="1" w:qFormat="1"/>
    <w:lsdException w:name="endnote text" w:locked="0"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4" w:unhideWhenUsed="1" w:qFormat="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locked="0"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locked="0"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99" w:unhideWhenUsed="1"/>
    <w:lsdException w:name="FollowedHyperlink" w:semiHidden="1" w:unhideWhenUsed="1"/>
    <w:lsdException w:name="Strong" w:locked="0"/>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locked="0" w:semiHidden="1" w:uiPriority="99"/>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locked="0" w:uiPriority="34" w:qFormat="1"/>
    <w:lsdException w:name="Quote" w:locked="0" w:uiPriority="29"/>
    <w:lsdException w:name="Intense Quote" w:locked="0"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0" w:uiPriority="19"/>
    <w:lsdException w:name="Intense Emphasis" w:locked="0" w:uiPriority="21"/>
    <w:lsdException w:name="Subtle Reference" w:locked="0" w:uiPriority="31"/>
    <w:lsdException w:name="Intense Reference" w:locked="0" w:uiPriority="32"/>
    <w:lsdException w:name="Book Title" w:locked="0" w:uiPriority="33"/>
    <w:lsdException w:name="Bibliography" w:locked="0" w:semiHidden="1" w:uiPriority="37" w:unhideWhenUsed="1"/>
    <w:lsdException w:name="TOC Heading" w:locked="0" w:semiHidden="1" w:uiPriority="39" w:unhideWhenUsed="1"/>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atentStyles>
  <w:style w:type="paragraph" w:default="1" w:styleId="Normale">
    <w:name w:val="Normal"/>
    <w:qFormat/>
    <w:rsid w:val="00DD2BA1"/>
    <w:pPr>
      <w:keepLines/>
      <w:spacing w:before="240" w:after="240"/>
    </w:pPr>
    <w:rPr>
      <w:rFonts w:ascii="Open Sans" w:eastAsia="MS Mincho" w:hAnsi="Open Sans"/>
      <w:sz w:val="24"/>
      <w:szCs w:val="24"/>
    </w:rPr>
  </w:style>
  <w:style w:type="paragraph" w:styleId="Titolo1">
    <w:name w:val="heading 1"/>
    <w:basedOn w:val="Normale"/>
    <w:next w:val="Normale"/>
    <w:link w:val="Titolo1Carattere"/>
    <w:qFormat/>
    <w:rsid w:val="005C2ECF"/>
    <w:pPr>
      <w:keepNext/>
      <w:numPr>
        <w:numId w:val="1"/>
      </w:numPr>
      <w:spacing w:before="360"/>
      <w:outlineLvl w:val="0"/>
    </w:pPr>
    <w:rPr>
      <w:b/>
      <w:bCs/>
      <w:sz w:val="36"/>
      <w:szCs w:val="28"/>
    </w:rPr>
  </w:style>
  <w:style w:type="paragraph" w:styleId="Titolo2">
    <w:name w:val="heading 2"/>
    <w:basedOn w:val="Titolo1"/>
    <w:next w:val="Normale"/>
    <w:link w:val="Titolo2Carattere"/>
    <w:qFormat/>
    <w:rsid w:val="005C2ECF"/>
    <w:pPr>
      <w:numPr>
        <w:ilvl w:val="1"/>
      </w:numPr>
      <w:outlineLvl w:val="1"/>
    </w:pPr>
    <w:rPr>
      <w:bCs w:val="0"/>
      <w:sz w:val="28"/>
      <w:szCs w:val="26"/>
    </w:rPr>
  </w:style>
  <w:style w:type="paragraph" w:styleId="Titolo3">
    <w:name w:val="heading 3"/>
    <w:basedOn w:val="Titolo2"/>
    <w:next w:val="Normale"/>
    <w:link w:val="Titolo3Carattere"/>
    <w:qFormat/>
    <w:rsid w:val="00EE5606"/>
    <w:pPr>
      <w:numPr>
        <w:ilvl w:val="0"/>
        <w:numId w:val="0"/>
      </w:numPr>
      <w:outlineLvl w:val="2"/>
    </w:pPr>
    <w:rPr>
      <w:b w:val="0"/>
      <w:bCs/>
      <w:i/>
      <w:sz w:val="24"/>
    </w:rPr>
  </w:style>
  <w:style w:type="paragraph" w:styleId="Titolo4">
    <w:name w:val="heading 4"/>
    <w:basedOn w:val="Titolo3"/>
    <w:next w:val="Normale"/>
    <w:link w:val="Titolo4Carattere"/>
    <w:locked/>
    <w:rsid w:val="008007A8"/>
    <w:pPr>
      <w:numPr>
        <w:ilvl w:val="3"/>
      </w:numPr>
      <w:outlineLvl w:val="3"/>
    </w:pPr>
    <w:rPr>
      <w:bCs w:val="0"/>
      <w:i w:val="0"/>
      <w:iCs/>
    </w:rPr>
  </w:style>
  <w:style w:type="paragraph" w:styleId="Titolo5">
    <w:name w:val="heading 5"/>
    <w:basedOn w:val="Normale"/>
    <w:next w:val="Normale"/>
    <w:link w:val="Titolo5Carattere"/>
    <w:locked/>
    <w:rsid w:val="005C2ECF"/>
    <w:pPr>
      <w:keepNext/>
      <w:numPr>
        <w:ilvl w:val="4"/>
        <w:numId w:val="1"/>
      </w:numPr>
      <w:spacing w:before="200"/>
      <w:outlineLvl w:val="4"/>
    </w:pPr>
  </w:style>
  <w:style w:type="paragraph" w:styleId="Titolo6">
    <w:name w:val="heading 6"/>
    <w:basedOn w:val="Normale"/>
    <w:next w:val="Normale"/>
    <w:link w:val="Titolo6Carattere"/>
    <w:locked/>
    <w:rsid w:val="005C2ECF"/>
    <w:pPr>
      <w:keepNext/>
      <w:numPr>
        <w:ilvl w:val="5"/>
        <w:numId w:val="1"/>
      </w:numPr>
      <w:spacing w:before="200"/>
      <w:outlineLvl w:val="5"/>
    </w:pPr>
    <w:rPr>
      <w:i/>
      <w:iCs/>
    </w:rPr>
  </w:style>
  <w:style w:type="paragraph" w:styleId="Titolo7">
    <w:name w:val="heading 7"/>
    <w:basedOn w:val="Normale"/>
    <w:next w:val="Normale"/>
    <w:link w:val="Titolo7Carattere"/>
    <w:locked/>
    <w:rsid w:val="005C2ECF"/>
    <w:pPr>
      <w:keepNext/>
      <w:numPr>
        <w:ilvl w:val="6"/>
        <w:numId w:val="1"/>
      </w:numPr>
      <w:spacing w:before="200"/>
      <w:outlineLvl w:val="6"/>
    </w:pPr>
    <w:rPr>
      <w:i/>
      <w:iCs/>
    </w:rPr>
  </w:style>
  <w:style w:type="paragraph" w:styleId="Titolo8">
    <w:name w:val="heading 8"/>
    <w:basedOn w:val="Normale"/>
    <w:next w:val="Normale"/>
    <w:link w:val="Titolo8Carattere"/>
    <w:locked/>
    <w:rsid w:val="005C2ECF"/>
    <w:pPr>
      <w:keepNext/>
      <w:numPr>
        <w:ilvl w:val="7"/>
        <w:numId w:val="1"/>
      </w:numPr>
      <w:spacing w:before="200"/>
      <w:outlineLvl w:val="7"/>
    </w:pPr>
    <w:rPr>
      <w:sz w:val="20"/>
      <w:szCs w:val="20"/>
    </w:rPr>
  </w:style>
  <w:style w:type="paragraph" w:styleId="Titolo9">
    <w:name w:val="heading 9"/>
    <w:basedOn w:val="Normale"/>
    <w:next w:val="Normale"/>
    <w:link w:val="Titolo9Carattere"/>
    <w:locked/>
    <w:rsid w:val="005C2ECF"/>
    <w:pPr>
      <w:keepNext/>
      <w:numPr>
        <w:ilvl w:val="8"/>
        <w:numId w:val="1"/>
      </w:numPr>
      <w:spacing w:before="200"/>
      <w:outlineLvl w:val="8"/>
    </w:pPr>
    <w:rPr>
      <w:i/>
      <w:iCs/>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link w:val="Titolo1"/>
    <w:rsid w:val="005C2ECF"/>
    <w:rPr>
      <w:rFonts w:ascii="Open Sans" w:eastAsia="MS Mincho" w:hAnsi="Open Sans"/>
      <w:b/>
      <w:bCs/>
      <w:sz w:val="36"/>
      <w:szCs w:val="28"/>
    </w:rPr>
  </w:style>
  <w:style w:type="character" w:customStyle="1" w:styleId="Titolo2Carattere">
    <w:name w:val="Titolo 2 Carattere"/>
    <w:link w:val="Titolo2"/>
    <w:rsid w:val="005C2ECF"/>
    <w:rPr>
      <w:rFonts w:ascii="Open Sans" w:eastAsia="MS Mincho" w:hAnsi="Open Sans"/>
      <w:b/>
      <w:sz w:val="28"/>
      <w:szCs w:val="26"/>
    </w:rPr>
  </w:style>
  <w:style w:type="character" w:customStyle="1" w:styleId="Titolo3Carattere">
    <w:name w:val="Titolo 3 Carattere"/>
    <w:link w:val="Titolo3"/>
    <w:rsid w:val="00EE5606"/>
    <w:rPr>
      <w:rFonts w:ascii="Open Sans" w:eastAsia="MS Mincho" w:hAnsi="Open Sans"/>
      <w:bCs/>
      <w:i/>
      <w:sz w:val="24"/>
      <w:szCs w:val="26"/>
    </w:rPr>
  </w:style>
  <w:style w:type="character" w:customStyle="1" w:styleId="Titolo4Carattere">
    <w:name w:val="Titolo 4 Carattere"/>
    <w:link w:val="Titolo4"/>
    <w:rsid w:val="008007A8"/>
    <w:rPr>
      <w:rFonts w:ascii="Open Sans" w:eastAsia="MS Mincho" w:hAnsi="Open Sans"/>
      <w:i/>
      <w:iCs/>
      <w:sz w:val="24"/>
      <w:szCs w:val="26"/>
    </w:rPr>
  </w:style>
  <w:style w:type="character" w:styleId="Enfasigrassetto">
    <w:name w:val="Strong"/>
    <w:locked/>
    <w:rsid w:val="00471BB7"/>
    <w:rPr>
      <w:rFonts w:ascii="Open Sans" w:hAnsi="Open Sans"/>
      <w:b/>
      <w:bCs/>
    </w:rPr>
  </w:style>
  <w:style w:type="character" w:customStyle="1" w:styleId="Titolo5Carattere">
    <w:name w:val="Titolo 5 Carattere"/>
    <w:link w:val="Titolo5"/>
    <w:rsid w:val="005C2ECF"/>
    <w:rPr>
      <w:rFonts w:ascii="Open Sans" w:eastAsia="MS Mincho" w:hAnsi="Open Sans"/>
      <w:sz w:val="24"/>
      <w:szCs w:val="24"/>
    </w:rPr>
  </w:style>
  <w:style w:type="character" w:customStyle="1" w:styleId="Titolo6Carattere">
    <w:name w:val="Titolo 6 Carattere"/>
    <w:link w:val="Titolo6"/>
    <w:rsid w:val="005C2ECF"/>
    <w:rPr>
      <w:rFonts w:ascii="Open Sans" w:eastAsia="MS Mincho" w:hAnsi="Open Sans"/>
      <w:i/>
      <w:iCs/>
      <w:sz w:val="24"/>
      <w:szCs w:val="24"/>
    </w:rPr>
  </w:style>
  <w:style w:type="character" w:customStyle="1" w:styleId="Titolo7Carattere">
    <w:name w:val="Titolo 7 Carattere"/>
    <w:link w:val="Titolo7"/>
    <w:rsid w:val="005C2ECF"/>
    <w:rPr>
      <w:rFonts w:ascii="Open Sans" w:eastAsia="MS Mincho" w:hAnsi="Open Sans"/>
      <w:i/>
      <w:iCs/>
      <w:sz w:val="24"/>
      <w:szCs w:val="24"/>
    </w:rPr>
  </w:style>
  <w:style w:type="character" w:customStyle="1" w:styleId="Titolo8Carattere">
    <w:name w:val="Titolo 8 Carattere"/>
    <w:link w:val="Titolo8"/>
    <w:rsid w:val="005C2ECF"/>
    <w:rPr>
      <w:rFonts w:ascii="Open Sans" w:eastAsia="MS Mincho" w:hAnsi="Open Sans"/>
    </w:rPr>
  </w:style>
  <w:style w:type="character" w:customStyle="1" w:styleId="Titolo9Carattere">
    <w:name w:val="Titolo 9 Carattere"/>
    <w:link w:val="Titolo9"/>
    <w:rsid w:val="005C2ECF"/>
    <w:rPr>
      <w:rFonts w:ascii="Open Sans" w:eastAsia="MS Mincho" w:hAnsi="Open Sans"/>
      <w:i/>
      <w:iCs/>
    </w:rPr>
  </w:style>
  <w:style w:type="paragraph" w:styleId="Intestazione">
    <w:name w:val="header"/>
    <w:basedOn w:val="Normale"/>
    <w:link w:val="IntestazioneCarattere"/>
    <w:qFormat/>
    <w:rsid w:val="00CA5D90"/>
    <w:pPr>
      <w:tabs>
        <w:tab w:val="center" w:pos="4513"/>
        <w:tab w:val="right" w:pos="9026"/>
      </w:tabs>
      <w:spacing w:after="0"/>
      <w:jc w:val="right"/>
    </w:pPr>
    <w:rPr>
      <w:sz w:val="22"/>
    </w:rPr>
  </w:style>
  <w:style w:type="character" w:customStyle="1" w:styleId="IntestazioneCarattere">
    <w:name w:val="Intestazione Carattere"/>
    <w:link w:val="Intestazione"/>
    <w:rsid w:val="0016266F"/>
    <w:rPr>
      <w:rFonts w:ascii="Open Sans" w:eastAsia="MS Mincho" w:hAnsi="Open Sans"/>
      <w:sz w:val="22"/>
      <w:szCs w:val="24"/>
    </w:rPr>
  </w:style>
  <w:style w:type="paragraph" w:styleId="Pidipagina">
    <w:name w:val="footer"/>
    <w:basedOn w:val="Normale"/>
    <w:link w:val="PidipaginaCarattere"/>
    <w:uiPriority w:val="99"/>
    <w:rsid w:val="0063009F"/>
    <w:pPr>
      <w:tabs>
        <w:tab w:val="right" w:pos="2835"/>
        <w:tab w:val="right" w:pos="5670"/>
      </w:tabs>
      <w:spacing w:before="0" w:after="0"/>
      <w:ind w:left="-868"/>
    </w:pPr>
    <w:rPr>
      <w:sz w:val="18"/>
    </w:rPr>
  </w:style>
  <w:style w:type="character" w:customStyle="1" w:styleId="PidipaginaCarattere">
    <w:name w:val="Piè di pagina Carattere"/>
    <w:link w:val="Pidipagina"/>
    <w:uiPriority w:val="99"/>
    <w:rsid w:val="0063009F"/>
    <w:rPr>
      <w:rFonts w:ascii="Open Sans" w:eastAsia="MS Mincho" w:hAnsi="Open Sans"/>
      <w:sz w:val="18"/>
      <w:szCs w:val="24"/>
    </w:rPr>
  </w:style>
  <w:style w:type="paragraph" w:styleId="Sommario3">
    <w:name w:val="toc 3"/>
    <w:basedOn w:val="Normale"/>
    <w:next w:val="Normale"/>
    <w:uiPriority w:val="39"/>
    <w:locked/>
    <w:rsid w:val="00DD2BA1"/>
    <w:pPr>
      <w:tabs>
        <w:tab w:val="left" w:pos="1202"/>
        <w:tab w:val="right" w:leader="dot" w:pos="9060"/>
      </w:tabs>
      <w:spacing w:before="0" w:after="0"/>
      <w:ind w:left="1440" w:hanging="720"/>
    </w:pPr>
    <w:rPr>
      <w:rFonts w:cs="Arial"/>
      <w:i/>
      <w:noProof/>
    </w:rPr>
  </w:style>
  <w:style w:type="character" w:styleId="Testosegnaposto">
    <w:name w:val="Placeholder Text"/>
    <w:uiPriority w:val="99"/>
    <w:semiHidden/>
    <w:rsid w:val="00471BB7"/>
    <w:rPr>
      <w:rFonts w:ascii="Open Sans" w:hAnsi="Open Sans"/>
      <w:color w:val="auto"/>
      <w:sz w:val="24"/>
    </w:rPr>
  </w:style>
  <w:style w:type="paragraph" w:styleId="Elencocontinua4">
    <w:name w:val="List Continue 4"/>
    <w:basedOn w:val="Normale"/>
    <w:semiHidden/>
    <w:locked/>
    <w:rsid w:val="005C2ECF"/>
    <w:pPr>
      <w:spacing w:after="120"/>
      <w:ind w:left="1132"/>
    </w:pPr>
  </w:style>
  <w:style w:type="numbering" w:styleId="111111">
    <w:name w:val="Outline List 2"/>
    <w:basedOn w:val="Nessunelenco"/>
    <w:semiHidden/>
    <w:locked/>
    <w:rsid w:val="00E45954"/>
    <w:pPr>
      <w:numPr>
        <w:numId w:val="12"/>
      </w:numPr>
    </w:pPr>
  </w:style>
  <w:style w:type="paragraph" w:styleId="Sommario1">
    <w:name w:val="toc 1"/>
    <w:basedOn w:val="Normale"/>
    <w:next w:val="Normale"/>
    <w:uiPriority w:val="39"/>
    <w:rsid w:val="000B5B68"/>
    <w:pPr>
      <w:tabs>
        <w:tab w:val="right" w:leader="dot" w:pos="9060"/>
      </w:tabs>
      <w:spacing w:after="0"/>
      <w:ind w:left="720" w:hanging="720"/>
    </w:pPr>
    <w:rPr>
      <w:b/>
      <w:noProof/>
    </w:rPr>
  </w:style>
  <w:style w:type="paragraph" w:styleId="Sommario2">
    <w:name w:val="toc 2"/>
    <w:basedOn w:val="Normale"/>
    <w:next w:val="Normale"/>
    <w:uiPriority w:val="39"/>
    <w:locked/>
    <w:rsid w:val="00A92F92"/>
    <w:pPr>
      <w:tabs>
        <w:tab w:val="right" w:leader="dot" w:pos="9060"/>
      </w:tabs>
      <w:spacing w:before="0" w:after="0"/>
      <w:ind w:left="958" w:hanging="720"/>
    </w:pPr>
    <w:rPr>
      <w:b/>
      <w:i/>
      <w:noProof/>
    </w:rPr>
  </w:style>
  <w:style w:type="paragraph" w:styleId="Sommario4">
    <w:name w:val="toc 4"/>
    <w:basedOn w:val="Normale"/>
    <w:next w:val="Normale"/>
    <w:uiPriority w:val="39"/>
    <w:semiHidden/>
    <w:locked/>
    <w:rsid w:val="00814FC0"/>
    <w:pPr>
      <w:tabs>
        <w:tab w:val="left" w:pos="1440"/>
        <w:tab w:val="right" w:leader="dot" w:pos="9060"/>
      </w:tabs>
      <w:spacing w:before="0" w:after="0"/>
      <w:ind w:left="1440" w:hanging="720"/>
    </w:pPr>
    <w:rPr>
      <w:noProof/>
    </w:rPr>
  </w:style>
  <w:style w:type="character" w:styleId="Collegamentoipertestuale">
    <w:name w:val="Hyperlink"/>
    <w:uiPriority w:val="99"/>
    <w:unhideWhenUsed/>
    <w:rsid w:val="00EE5606"/>
    <w:rPr>
      <w:rFonts w:ascii="Open Sans" w:hAnsi="Open Sans"/>
      <w:color w:val="0070C0"/>
      <w:u w:val="none"/>
    </w:rPr>
  </w:style>
  <w:style w:type="paragraph" w:styleId="Titolosommario">
    <w:name w:val="TOC Heading"/>
    <w:basedOn w:val="Normale"/>
    <w:next w:val="Normale"/>
    <w:uiPriority w:val="39"/>
    <w:rsid w:val="00471BB7"/>
    <w:pPr>
      <w:spacing w:before="0" w:after="360"/>
    </w:pPr>
    <w:rPr>
      <w:b/>
      <w:lang w:val="en-US" w:eastAsia="en-US"/>
    </w:rPr>
  </w:style>
  <w:style w:type="paragraph" w:styleId="Testonotadichiusura">
    <w:name w:val="endnote text"/>
    <w:basedOn w:val="Normale"/>
    <w:link w:val="TestonotadichiusuraCarattere"/>
    <w:qFormat/>
    <w:rsid w:val="0002476A"/>
    <w:pPr>
      <w:spacing w:before="0" w:after="0"/>
      <w:ind w:left="142" w:hanging="142"/>
    </w:pPr>
    <w:rPr>
      <w:sz w:val="20"/>
      <w:szCs w:val="20"/>
    </w:rPr>
  </w:style>
  <w:style w:type="character" w:customStyle="1" w:styleId="TestonotadichiusuraCarattere">
    <w:name w:val="Testo nota di chiusura Carattere"/>
    <w:link w:val="Testonotadichiusura"/>
    <w:rsid w:val="00E55F24"/>
    <w:rPr>
      <w:rFonts w:ascii="Open Sans" w:eastAsia="MS Mincho" w:hAnsi="Open Sans"/>
    </w:rPr>
  </w:style>
  <w:style w:type="character" w:styleId="Rimandonotadichiusura">
    <w:name w:val="endnote reference"/>
    <w:uiPriority w:val="99"/>
    <w:qFormat/>
    <w:rsid w:val="00045C4B"/>
    <w:rPr>
      <w:rFonts w:ascii="Open Sans" w:hAnsi="Open Sans"/>
      <w:sz w:val="20"/>
      <w:vertAlign w:val="superscript"/>
    </w:rPr>
  </w:style>
  <w:style w:type="numbering" w:styleId="1ai">
    <w:name w:val="Outline List 1"/>
    <w:basedOn w:val="Nessunelenco"/>
    <w:semiHidden/>
    <w:locked/>
    <w:rsid w:val="00E45954"/>
    <w:pPr>
      <w:numPr>
        <w:numId w:val="13"/>
      </w:numPr>
    </w:pPr>
  </w:style>
  <w:style w:type="numbering" w:styleId="ArticoloSezione">
    <w:name w:val="Outline List 3"/>
    <w:basedOn w:val="Nessunelenco"/>
    <w:semiHidden/>
    <w:locked/>
    <w:rsid w:val="00E45954"/>
    <w:pPr>
      <w:numPr>
        <w:numId w:val="14"/>
      </w:numPr>
    </w:pPr>
  </w:style>
  <w:style w:type="paragraph" w:styleId="Testodelblocco">
    <w:name w:val="Block Text"/>
    <w:basedOn w:val="Normale"/>
    <w:semiHidden/>
    <w:rsid w:val="00045C4B"/>
    <w:pPr>
      <w:spacing w:after="120"/>
      <w:ind w:left="1440" w:right="1440"/>
    </w:pPr>
  </w:style>
  <w:style w:type="paragraph" w:styleId="Corpotesto">
    <w:name w:val="Body Text"/>
    <w:basedOn w:val="Normale"/>
    <w:semiHidden/>
    <w:rsid w:val="00045C4B"/>
    <w:pPr>
      <w:spacing w:after="120"/>
    </w:pPr>
  </w:style>
  <w:style w:type="paragraph" w:styleId="Corpodeltesto2">
    <w:name w:val="Body Text 2"/>
    <w:basedOn w:val="Normale"/>
    <w:semiHidden/>
    <w:rsid w:val="00045C4B"/>
    <w:pPr>
      <w:spacing w:after="120" w:line="480" w:lineRule="auto"/>
    </w:pPr>
  </w:style>
  <w:style w:type="paragraph" w:styleId="Corpodeltesto3">
    <w:name w:val="Body Text 3"/>
    <w:basedOn w:val="Normale"/>
    <w:semiHidden/>
    <w:rsid w:val="00045C4B"/>
    <w:pPr>
      <w:spacing w:after="120"/>
    </w:pPr>
    <w:rPr>
      <w:sz w:val="16"/>
      <w:szCs w:val="16"/>
    </w:rPr>
  </w:style>
  <w:style w:type="paragraph" w:styleId="Primorientrocorpodeltesto">
    <w:name w:val="Body Text First Indent"/>
    <w:basedOn w:val="Corpotesto"/>
    <w:semiHidden/>
    <w:rsid w:val="00E45954"/>
    <w:pPr>
      <w:ind w:firstLine="210"/>
    </w:pPr>
  </w:style>
  <w:style w:type="paragraph" w:styleId="Rientrocorpodeltesto">
    <w:name w:val="Body Text Indent"/>
    <w:basedOn w:val="Normale"/>
    <w:semiHidden/>
    <w:rsid w:val="00045C4B"/>
    <w:pPr>
      <w:spacing w:after="120"/>
      <w:ind w:left="283"/>
    </w:pPr>
  </w:style>
  <w:style w:type="paragraph" w:styleId="Primorientrocorpodeltesto2">
    <w:name w:val="Body Text First Indent 2"/>
    <w:basedOn w:val="Rientrocorpodeltesto"/>
    <w:semiHidden/>
    <w:rsid w:val="00045C4B"/>
    <w:pPr>
      <w:ind w:firstLine="210"/>
    </w:pPr>
  </w:style>
  <w:style w:type="paragraph" w:styleId="Rientrocorpodeltesto2">
    <w:name w:val="Body Text Indent 2"/>
    <w:basedOn w:val="Normale"/>
    <w:semiHidden/>
    <w:rsid w:val="00045C4B"/>
    <w:pPr>
      <w:spacing w:after="120" w:line="480" w:lineRule="auto"/>
      <w:ind w:left="283"/>
    </w:pPr>
  </w:style>
  <w:style w:type="paragraph" w:styleId="Rientrocorpodeltesto3">
    <w:name w:val="Body Text Indent 3"/>
    <w:basedOn w:val="Normale"/>
    <w:semiHidden/>
    <w:rsid w:val="00045C4B"/>
    <w:pPr>
      <w:spacing w:after="120"/>
      <w:ind w:left="283"/>
    </w:pPr>
    <w:rPr>
      <w:sz w:val="16"/>
      <w:szCs w:val="16"/>
    </w:rPr>
  </w:style>
  <w:style w:type="paragraph" w:styleId="Formuladichiusura">
    <w:name w:val="Closing"/>
    <w:basedOn w:val="Normale"/>
    <w:semiHidden/>
    <w:rsid w:val="00045C4B"/>
    <w:pPr>
      <w:ind w:left="4252"/>
    </w:pPr>
  </w:style>
  <w:style w:type="paragraph" w:styleId="Data">
    <w:name w:val="Date"/>
    <w:basedOn w:val="Normale"/>
    <w:next w:val="Normale"/>
    <w:semiHidden/>
    <w:rsid w:val="005C2ECF"/>
    <w:pPr>
      <w:spacing w:before="120" w:after="120"/>
      <w:jc w:val="right"/>
    </w:pPr>
  </w:style>
  <w:style w:type="paragraph" w:styleId="Firmadipostaelettronica">
    <w:name w:val="E-mail Signature"/>
    <w:basedOn w:val="Normale"/>
    <w:semiHidden/>
    <w:rsid w:val="00045C4B"/>
  </w:style>
  <w:style w:type="character" w:styleId="Enfasicorsivo">
    <w:name w:val="Emphasis"/>
    <w:rsid w:val="00045C4B"/>
    <w:rPr>
      <w:rFonts w:ascii="Open Sans" w:hAnsi="Open Sans"/>
      <w:i w:val="0"/>
      <w:iCs/>
    </w:rPr>
  </w:style>
  <w:style w:type="paragraph" w:styleId="Indirizzodestinatario">
    <w:name w:val="envelope address"/>
    <w:basedOn w:val="Normale"/>
    <w:semiHidden/>
    <w:rsid w:val="00045C4B"/>
    <w:pPr>
      <w:framePr w:w="7920" w:h="1980" w:hRule="exact" w:hSpace="180" w:wrap="auto" w:hAnchor="page" w:xAlign="center" w:yAlign="bottom"/>
      <w:spacing w:before="0" w:after="0"/>
      <w:ind w:left="2880"/>
    </w:pPr>
    <w:rPr>
      <w:rFonts w:cs="Arial"/>
    </w:rPr>
  </w:style>
  <w:style w:type="paragraph" w:styleId="Indirizzomittente">
    <w:name w:val="envelope return"/>
    <w:basedOn w:val="Normale"/>
    <w:semiHidden/>
    <w:rsid w:val="00045C4B"/>
    <w:rPr>
      <w:rFonts w:cs="Arial"/>
      <w:sz w:val="20"/>
      <w:szCs w:val="20"/>
    </w:rPr>
  </w:style>
  <w:style w:type="character" w:styleId="AcronimoHTML">
    <w:name w:val="HTML Acronym"/>
    <w:semiHidden/>
    <w:rsid w:val="005C2ECF"/>
    <w:rPr>
      <w:rFonts w:ascii="Open Sans" w:hAnsi="Open Sans"/>
    </w:rPr>
  </w:style>
  <w:style w:type="paragraph" w:styleId="IndirizzoHTML">
    <w:name w:val="HTML Address"/>
    <w:basedOn w:val="Normale"/>
    <w:semiHidden/>
    <w:rsid w:val="005C2ECF"/>
    <w:rPr>
      <w:i/>
      <w:iCs/>
    </w:rPr>
  </w:style>
  <w:style w:type="character" w:styleId="CitazioneHTML">
    <w:name w:val="HTML Cite"/>
    <w:semiHidden/>
    <w:rsid w:val="005C2ECF"/>
    <w:rPr>
      <w:rFonts w:ascii="Open Sans" w:hAnsi="Open Sans"/>
      <w:i/>
      <w:iCs/>
    </w:rPr>
  </w:style>
  <w:style w:type="character" w:styleId="CodiceHTML">
    <w:name w:val="HTML Code"/>
    <w:semiHidden/>
    <w:rsid w:val="005C2ECF"/>
    <w:rPr>
      <w:rFonts w:ascii="Open Sans" w:hAnsi="Open Sans" w:cs="Courier New"/>
      <w:sz w:val="20"/>
      <w:szCs w:val="20"/>
    </w:rPr>
  </w:style>
  <w:style w:type="character" w:styleId="DefinizioneHTML">
    <w:name w:val="HTML Definition"/>
    <w:semiHidden/>
    <w:rsid w:val="005C2ECF"/>
    <w:rPr>
      <w:rFonts w:ascii="Open Sans" w:hAnsi="Open Sans"/>
      <w:i/>
      <w:iCs/>
    </w:rPr>
  </w:style>
  <w:style w:type="character" w:styleId="TastieraHTML">
    <w:name w:val="HTML Keyboard"/>
    <w:semiHidden/>
    <w:rsid w:val="005C2ECF"/>
    <w:rPr>
      <w:rFonts w:ascii="Open Sans" w:hAnsi="Open Sans" w:cs="Courier New"/>
      <w:sz w:val="20"/>
      <w:szCs w:val="20"/>
    </w:rPr>
  </w:style>
  <w:style w:type="paragraph" w:styleId="PreformattatoHTML">
    <w:name w:val="HTML Preformatted"/>
    <w:basedOn w:val="Normale"/>
    <w:semiHidden/>
    <w:rsid w:val="005C2ECF"/>
    <w:rPr>
      <w:rFonts w:cs="Courier New"/>
      <w:sz w:val="20"/>
      <w:szCs w:val="20"/>
    </w:rPr>
  </w:style>
  <w:style w:type="character" w:styleId="EsempioHTML">
    <w:name w:val="HTML Sample"/>
    <w:semiHidden/>
    <w:rsid w:val="005C2ECF"/>
    <w:rPr>
      <w:rFonts w:ascii="Open Sans" w:hAnsi="Open Sans" w:cs="Courier New"/>
    </w:rPr>
  </w:style>
  <w:style w:type="character" w:styleId="MacchinadascrivereHTML">
    <w:name w:val="HTML Typewriter"/>
    <w:semiHidden/>
    <w:rsid w:val="005C2ECF"/>
    <w:rPr>
      <w:rFonts w:ascii="Open Sans" w:hAnsi="Open Sans" w:cs="Courier New"/>
      <w:sz w:val="20"/>
      <w:szCs w:val="20"/>
    </w:rPr>
  </w:style>
  <w:style w:type="character" w:styleId="VariabileHTML">
    <w:name w:val="HTML Variable"/>
    <w:semiHidden/>
    <w:rsid w:val="005C2ECF"/>
    <w:rPr>
      <w:rFonts w:ascii="Open Sans" w:hAnsi="Open Sans"/>
      <w:i/>
      <w:iCs/>
    </w:rPr>
  </w:style>
  <w:style w:type="character" w:styleId="Numeroriga">
    <w:name w:val="line number"/>
    <w:semiHidden/>
    <w:rsid w:val="005C2ECF"/>
    <w:rPr>
      <w:rFonts w:ascii="Open Sans" w:hAnsi="Open Sans"/>
    </w:rPr>
  </w:style>
  <w:style w:type="paragraph" w:styleId="Elenco">
    <w:name w:val="List"/>
    <w:basedOn w:val="Normale"/>
    <w:semiHidden/>
    <w:locked/>
    <w:rsid w:val="005C2ECF"/>
    <w:pPr>
      <w:ind w:left="283" w:hanging="283"/>
    </w:pPr>
  </w:style>
  <w:style w:type="paragraph" w:styleId="Elenco2">
    <w:name w:val="List 2"/>
    <w:basedOn w:val="Normale"/>
    <w:semiHidden/>
    <w:locked/>
    <w:rsid w:val="005C2ECF"/>
    <w:pPr>
      <w:ind w:left="566" w:hanging="283"/>
    </w:pPr>
  </w:style>
  <w:style w:type="paragraph" w:styleId="Elenco3">
    <w:name w:val="List 3"/>
    <w:basedOn w:val="Normale"/>
    <w:semiHidden/>
    <w:locked/>
    <w:rsid w:val="005C2ECF"/>
    <w:pPr>
      <w:ind w:left="849" w:hanging="283"/>
    </w:pPr>
  </w:style>
  <w:style w:type="paragraph" w:styleId="Elenco4">
    <w:name w:val="List 4"/>
    <w:basedOn w:val="Normale"/>
    <w:semiHidden/>
    <w:locked/>
    <w:rsid w:val="005C2ECF"/>
    <w:pPr>
      <w:ind w:left="1132" w:hanging="283"/>
    </w:pPr>
  </w:style>
  <w:style w:type="paragraph" w:styleId="Elenco5">
    <w:name w:val="List 5"/>
    <w:basedOn w:val="Normale"/>
    <w:semiHidden/>
    <w:locked/>
    <w:rsid w:val="005C2ECF"/>
    <w:pPr>
      <w:ind w:left="1415" w:hanging="283"/>
    </w:pPr>
  </w:style>
  <w:style w:type="paragraph" w:styleId="Puntoelenco">
    <w:name w:val="List Bullet"/>
    <w:basedOn w:val="Numeroelenco"/>
    <w:qFormat/>
    <w:rsid w:val="002C5943"/>
    <w:pPr>
      <w:numPr>
        <w:numId w:val="2"/>
      </w:numPr>
      <w:ind w:left="1094" w:hanging="737"/>
    </w:pPr>
  </w:style>
  <w:style w:type="paragraph" w:styleId="Puntoelenco2">
    <w:name w:val="List Bullet 2"/>
    <w:basedOn w:val="Normale"/>
    <w:semiHidden/>
    <w:locked/>
    <w:rsid w:val="005C2ECF"/>
    <w:pPr>
      <w:numPr>
        <w:numId w:val="3"/>
      </w:numPr>
    </w:pPr>
  </w:style>
  <w:style w:type="paragraph" w:styleId="Puntoelenco3">
    <w:name w:val="List Bullet 3"/>
    <w:basedOn w:val="Normale"/>
    <w:uiPriority w:val="4"/>
    <w:semiHidden/>
    <w:qFormat/>
    <w:locked/>
    <w:rsid w:val="005C2ECF"/>
    <w:pPr>
      <w:numPr>
        <w:numId w:val="4"/>
      </w:numPr>
    </w:pPr>
  </w:style>
  <w:style w:type="paragraph" w:styleId="Puntoelenco4">
    <w:name w:val="List Bullet 4"/>
    <w:basedOn w:val="Normale"/>
    <w:semiHidden/>
    <w:locked/>
    <w:rsid w:val="005C2ECF"/>
    <w:pPr>
      <w:numPr>
        <w:numId w:val="5"/>
      </w:numPr>
    </w:pPr>
  </w:style>
  <w:style w:type="paragraph" w:styleId="Puntoelenco5">
    <w:name w:val="List Bullet 5"/>
    <w:basedOn w:val="Normale"/>
    <w:semiHidden/>
    <w:locked/>
    <w:rsid w:val="005C2ECF"/>
    <w:pPr>
      <w:numPr>
        <w:numId w:val="6"/>
      </w:numPr>
    </w:pPr>
  </w:style>
  <w:style w:type="paragraph" w:styleId="Elencocontinua">
    <w:name w:val="List Continue"/>
    <w:basedOn w:val="Normale"/>
    <w:semiHidden/>
    <w:locked/>
    <w:rsid w:val="005C2ECF"/>
    <w:pPr>
      <w:spacing w:after="120"/>
      <w:ind w:left="283"/>
    </w:pPr>
  </w:style>
  <w:style w:type="paragraph" w:styleId="Elencocontinua2">
    <w:name w:val="List Continue 2"/>
    <w:basedOn w:val="Normale"/>
    <w:semiHidden/>
    <w:locked/>
    <w:rsid w:val="005C2ECF"/>
    <w:pPr>
      <w:spacing w:after="120"/>
      <w:ind w:left="566"/>
    </w:pPr>
  </w:style>
  <w:style w:type="paragraph" w:styleId="Elencocontinua3">
    <w:name w:val="List Continue 3"/>
    <w:basedOn w:val="Normale"/>
    <w:semiHidden/>
    <w:locked/>
    <w:rsid w:val="005C2ECF"/>
    <w:pPr>
      <w:spacing w:after="120"/>
      <w:ind w:left="849"/>
    </w:pPr>
  </w:style>
  <w:style w:type="paragraph" w:styleId="Elencocontinua5">
    <w:name w:val="List Continue 5"/>
    <w:basedOn w:val="Normale"/>
    <w:semiHidden/>
    <w:locked/>
    <w:rsid w:val="005C2ECF"/>
    <w:pPr>
      <w:spacing w:after="120"/>
      <w:ind w:left="1415"/>
    </w:pPr>
  </w:style>
  <w:style w:type="paragraph" w:styleId="Numeroelenco">
    <w:name w:val="List Number"/>
    <w:basedOn w:val="Normale"/>
    <w:qFormat/>
    <w:rsid w:val="002C5943"/>
    <w:pPr>
      <w:numPr>
        <w:numId w:val="7"/>
      </w:numPr>
      <w:tabs>
        <w:tab w:val="clear" w:pos="360"/>
        <w:tab w:val="left" w:pos="1134"/>
      </w:tabs>
      <w:spacing w:before="120" w:after="120"/>
      <w:ind w:left="1094" w:hanging="737"/>
      <w:contextualSpacing/>
    </w:pPr>
  </w:style>
  <w:style w:type="paragraph" w:styleId="Numeroelenco2">
    <w:name w:val="List Number 2"/>
    <w:basedOn w:val="Normale"/>
    <w:semiHidden/>
    <w:locked/>
    <w:rsid w:val="005C2ECF"/>
    <w:pPr>
      <w:numPr>
        <w:numId w:val="10"/>
      </w:numPr>
    </w:pPr>
  </w:style>
  <w:style w:type="paragraph" w:styleId="Numeroelenco3">
    <w:name w:val="List Number 3"/>
    <w:basedOn w:val="Normale"/>
    <w:semiHidden/>
    <w:locked/>
    <w:rsid w:val="005C2ECF"/>
    <w:pPr>
      <w:numPr>
        <w:numId w:val="11"/>
      </w:numPr>
    </w:pPr>
  </w:style>
  <w:style w:type="paragraph" w:styleId="Numeroelenco4">
    <w:name w:val="List Number 4"/>
    <w:basedOn w:val="Normale"/>
    <w:semiHidden/>
    <w:locked/>
    <w:rsid w:val="005C2ECF"/>
    <w:pPr>
      <w:numPr>
        <w:numId w:val="8"/>
      </w:numPr>
    </w:pPr>
  </w:style>
  <w:style w:type="paragraph" w:styleId="Numeroelenco5">
    <w:name w:val="List Number 5"/>
    <w:basedOn w:val="Normale"/>
    <w:semiHidden/>
    <w:locked/>
    <w:rsid w:val="005C2ECF"/>
    <w:pPr>
      <w:numPr>
        <w:numId w:val="9"/>
      </w:numPr>
    </w:pPr>
  </w:style>
  <w:style w:type="paragraph" w:styleId="Intestazionemessaggio">
    <w:name w:val="Message Header"/>
    <w:basedOn w:val="Normale"/>
    <w:semiHidden/>
    <w:locked/>
    <w:rsid w:val="005C2ECF"/>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eWeb">
    <w:name w:val="Normal (Web)"/>
    <w:basedOn w:val="Normale"/>
    <w:uiPriority w:val="99"/>
    <w:semiHidden/>
    <w:rsid w:val="005C2ECF"/>
  </w:style>
  <w:style w:type="paragraph" w:styleId="Rientronormale">
    <w:name w:val="Normal Indent"/>
    <w:basedOn w:val="Normale"/>
    <w:semiHidden/>
    <w:rsid w:val="005C2ECF"/>
    <w:pPr>
      <w:ind w:left="720"/>
    </w:pPr>
  </w:style>
  <w:style w:type="paragraph" w:styleId="Intestazionenota">
    <w:name w:val="Note Heading"/>
    <w:basedOn w:val="Normale"/>
    <w:next w:val="Normale"/>
    <w:semiHidden/>
    <w:rsid w:val="00E45954"/>
  </w:style>
  <w:style w:type="character" w:styleId="Numeropagina">
    <w:name w:val="page number"/>
    <w:semiHidden/>
    <w:rsid w:val="00471BB7"/>
    <w:rPr>
      <w:rFonts w:ascii="Open Sans" w:hAnsi="Open Sans"/>
      <w:sz w:val="24"/>
    </w:rPr>
  </w:style>
  <w:style w:type="paragraph" w:styleId="Testonormale">
    <w:name w:val="Plain Text"/>
    <w:basedOn w:val="Normale"/>
    <w:semiHidden/>
    <w:rsid w:val="00471BB7"/>
    <w:rPr>
      <w:rFonts w:cs="Courier New"/>
      <w:szCs w:val="20"/>
    </w:rPr>
  </w:style>
  <w:style w:type="paragraph" w:styleId="Formuladiapertura">
    <w:name w:val="Salutation"/>
    <w:basedOn w:val="Normale"/>
    <w:next w:val="Normale"/>
    <w:semiHidden/>
    <w:locked/>
    <w:rsid w:val="00471BB7"/>
  </w:style>
  <w:style w:type="paragraph" w:styleId="Firma">
    <w:name w:val="Signature"/>
    <w:basedOn w:val="Normale"/>
    <w:semiHidden/>
    <w:locked/>
    <w:rsid w:val="00E45954"/>
    <w:pPr>
      <w:ind w:left="4252"/>
    </w:pPr>
  </w:style>
  <w:style w:type="paragraph" w:styleId="Sottotitolo">
    <w:name w:val="Subtitle"/>
    <w:basedOn w:val="Normale"/>
    <w:link w:val="SottotitoloCarattere"/>
    <w:qFormat/>
    <w:rsid w:val="00817C73"/>
    <w:pPr>
      <w:jc w:val="right"/>
      <w:outlineLvl w:val="1"/>
    </w:pPr>
    <w:rPr>
      <w:rFonts w:cs="Arial"/>
      <w:color w:val="237BBC"/>
      <w:sz w:val="28"/>
    </w:rPr>
  </w:style>
  <w:style w:type="table" w:styleId="Tabellaeffetti3D1">
    <w:name w:val="Table 3D effects 1"/>
    <w:basedOn w:val="Tabellanormale"/>
    <w:semiHidden/>
    <w:locked/>
    <w:rsid w:val="00E45954"/>
    <w:pPr>
      <w:spacing w:after="24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laeffetti3D2">
    <w:name w:val="Table 3D effects 2"/>
    <w:basedOn w:val="Tabellanormale"/>
    <w:semiHidden/>
    <w:locked/>
    <w:rsid w:val="00E45954"/>
    <w:pPr>
      <w:spacing w:after="24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aeffetti3D3">
    <w:name w:val="Table 3D effects 3"/>
    <w:basedOn w:val="Tabellanormale"/>
    <w:semiHidden/>
    <w:locked/>
    <w:rsid w:val="00E45954"/>
    <w:pPr>
      <w:spacing w:after="24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aclassica1">
    <w:name w:val="Table Classic 1"/>
    <w:basedOn w:val="Tabellanormale"/>
    <w:semiHidden/>
    <w:locked/>
    <w:rsid w:val="00E45954"/>
    <w:pPr>
      <w:spacing w:after="24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aclassica2">
    <w:name w:val="Table Classic 2"/>
    <w:basedOn w:val="Tabellanormale"/>
    <w:semiHidden/>
    <w:locked/>
    <w:rsid w:val="00E45954"/>
    <w:pPr>
      <w:spacing w:after="240"/>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laclassica3">
    <w:name w:val="Table Classic 3"/>
    <w:basedOn w:val="Tabellanormale"/>
    <w:semiHidden/>
    <w:locked/>
    <w:rsid w:val="00E45954"/>
    <w:pPr>
      <w:spacing w:after="240"/>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laclassica4">
    <w:name w:val="Table Classic 4"/>
    <w:basedOn w:val="Tabellanormale"/>
    <w:semiHidden/>
    <w:locked/>
    <w:rsid w:val="00E45954"/>
    <w:pPr>
      <w:spacing w:after="240"/>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laacolori1">
    <w:name w:val="Table Colorful 1"/>
    <w:basedOn w:val="Tabellanormale"/>
    <w:semiHidden/>
    <w:locked/>
    <w:rsid w:val="00E45954"/>
    <w:pPr>
      <w:spacing w:after="240"/>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laacolori2">
    <w:name w:val="Table Colorful 2"/>
    <w:basedOn w:val="Tabellanormale"/>
    <w:semiHidden/>
    <w:locked/>
    <w:rsid w:val="00E45954"/>
    <w:pPr>
      <w:spacing w:after="240"/>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laacolori3">
    <w:name w:val="Table Colorful 3"/>
    <w:basedOn w:val="Tabellanormale"/>
    <w:semiHidden/>
    <w:locked/>
    <w:rsid w:val="00E45954"/>
    <w:pPr>
      <w:spacing w:after="240"/>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lacolonne1">
    <w:name w:val="Table Columns 1"/>
    <w:basedOn w:val="Tabellanormale"/>
    <w:semiHidden/>
    <w:locked/>
    <w:rsid w:val="00E45954"/>
    <w:pPr>
      <w:spacing w:after="240"/>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acolonne2">
    <w:name w:val="Table Columns 2"/>
    <w:basedOn w:val="Tabellanormale"/>
    <w:semiHidden/>
    <w:locked/>
    <w:rsid w:val="00E45954"/>
    <w:pPr>
      <w:spacing w:after="240"/>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acolonne3">
    <w:name w:val="Table Columns 3"/>
    <w:basedOn w:val="Tabellanormale"/>
    <w:semiHidden/>
    <w:locked/>
    <w:rsid w:val="00E45954"/>
    <w:pPr>
      <w:spacing w:after="240"/>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lacolonne4">
    <w:name w:val="Table Columns 4"/>
    <w:basedOn w:val="Tabellanormale"/>
    <w:semiHidden/>
    <w:locked/>
    <w:rsid w:val="00E45954"/>
    <w:pPr>
      <w:spacing w:after="240"/>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lacolonne5">
    <w:name w:val="Table Columns 5"/>
    <w:basedOn w:val="Tabellanormale"/>
    <w:semiHidden/>
    <w:locked/>
    <w:rsid w:val="00E45954"/>
    <w:pPr>
      <w:spacing w:after="240"/>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lacontemporanea">
    <w:name w:val="Table Contemporary"/>
    <w:basedOn w:val="Tabellanormale"/>
    <w:semiHidden/>
    <w:locked/>
    <w:rsid w:val="00E45954"/>
    <w:pPr>
      <w:spacing w:after="240"/>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laelegante">
    <w:name w:val="Table Elegant"/>
    <w:basedOn w:val="Tabellanormale"/>
    <w:semiHidden/>
    <w:locked/>
    <w:rsid w:val="00E45954"/>
    <w:pPr>
      <w:spacing w:after="24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Grigliatabella">
    <w:name w:val="Table Grid"/>
    <w:basedOn w:val="Tabellanormale"/>
    <w:semiHidden/>
    <w:locked/>
    <w:rsid w:val="00E45954"/>
    <w:pPr>
      <w:spacing w:after="2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gliatabella1">
    <w:name w:val="Table Grid 1"/>
    <w:basedOn w:val="Tabellanormale"/>
    <w:semiHidden/>
    <w:locked/>
    <w:rsid w:val="00E45954"/>
    <w:pPr>
      <w:spacing w:after="24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Grigliatabella2">
    <w:name w:val="Table Grid 2"/>
    <w:basedOn w:val="Tabellanormale"/>
    <w:semiHidden/>
    <w:locked/>
    <w:rsid w:val="00E45954"/>
    <w:pPr>
      <w:spacing w:after="240"/>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Grigliatabella3">
    <w:name w:val="Table Grid 3"/>
    <w:basedOn w:val="Tabellanormale"/>
    <w:semiHidden/>
    <w:locked/>
    <w:rsid w:val="00E45954"/>
    <w:pPr>
      <w:spacing w:after="240"/>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Grigliatabella4">
    <w:name w:val="Table Grid 4"/>
    <w:basedOn w:val="Tabellanormale"/>
    <w:semiHidden/>
    <w:locked/>
    <w:rsid w:val="00E45954"/>
    <w:pPr>
      <w:spacing w:after="240"/>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Grigliatabella5">
    <w:name w:val="Table Grid 5"/>
    <w:basedOn w:val="Tabellanormale"/>
    <w:semiHidden/>
    <w:locked/>
    <w:rsid w:val="00E45954"/>
    <w:pPr>
      <w:spacing w:after="24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gliatabella6">
    <w:name w:val="Table Grid 6"/>
    <w:basedOn w:val="Tabellanormale"/>
    <w:semiHidden/>
    <w:locked/>
    <w:rsid w:val="00E45954"/>
    <w:pPr>
      <w:spacing w:after="240"/>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gliatabella7">
    <w:name w:val="Table Grid 7"/>
    <w:basedOn w:val="Tabellanormale"/>
    <w:semiHidden/>
    <w:locked/>
    <w:rsid w:val="00E45954"/>
    <w:pPr>
      <w:spacing w:after="240"/>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gliatabella8">
    <w:name w:val="Table Grid 8"/>
    <w:basedOn w:val="Tabellanormale"/>
    <w:semiHidden/>
    <w:locked/>
    <w:rsid w:val="00E45954"/>
    <w:pPr>
      <w:spacing w:after="240"/>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Elencotabella1">
    <w:name w:val="Table List 1"/>
    <w:basedOn w:val="Tabellanormale"/>
    <w:semiHidden/>
    <w:locked/>
    <w:rsid w:val="00E45954"/>
    <w:pPr>
      <w:spacing w:after="240"/>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Elencotabella2">
    <w:name w:val="Table List 2"/>
    <w:basedOn w:val="Tabellanormale"/>
    <w:semiHidden/>
    <w:locked/>
    <w:rsid w:val="00E45954"/>
    <w:pPr>
      <w:spacing w:after="240"/>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Elencotabella3">
    <w:name w:val="Table List 3"/>
    <w:basedOn w:val="Tabellanormale"/>
    <w:semiHidden/>
    <w:locked/>
    <w:rsid w:val="00E45954"/>
    <w:pPr>
      <w:spacing w:after="240"/>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Elencotabella4">
    <w:name w:val="Table List 4"/>
    <w:basedOn w:val="Tabellanormale"/>
    <w:semiHidden/>
    <w:locked/>
    <w:rsid w:val="00E45954"/>
    <w:pPr>
      <w:spacing w:after="240"/>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Elencotabella5">
    <w:name w:val="Table List 5"/>
    <w:basedOn w:val="Tabellanormale"/>
    <w:semiHidden/>
    <w:locked/>
    <w:rsid w:val="00E45954"/>
    <w:pPr>
      <w:spacing w:after="240"/>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Elencotabella6">
    <w:name w:val="Table List 6"/>
    <w:basedOn w:val="Tabellanormale"/>
    <w:semiHidden/>
    <w:locked/>
    <w:rsid w:val="00E45954"/>
    <w:pPr>
      <w:spacing w:after="240"/>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Elencotabella7">
    <w:name w:val="Table List 7"/>
    <w:basedOn w:val="Tabellanormale"/>
    <w:semiHidden/>
    <w:locked/>
    <w:rsid w:val="00E45954"/>
    <w:pPr>
      <w:spacing w:after="240"/>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Elencotabella8">
    <w:name w:val="Table List 8"/>
    <w:basedOn w:val="Tabellanormale"/>
    <w:semiHidden/>
    <w:locked/>
    <w:rsid w:val="00E45954"/>
    <w:pPr>
      <w:spacing w:after="240"/>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laprofessionale">
    <w:name w:val="Table Professional"/>
    <w:basedOn w:val="Tabellanormale"/>
    <w:semiHidden/>
    <w:locked/>
    <w:rsid w:val="00E45954"/>
    <w:pPr>
      <w:spacing w:after="24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lasemplice1">
    <w:name w:val="Table Simple 1"/>
    <w:basedOn w:val="Tabellanormale"/>
    <w:semiHidden/>
    <w:locked/>
    <w:rsid w:val="00E45954"/>
    <w:pPr>
      <w:spacing w:after="240"/>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lasemplice2">
    <w:name w:val="Table Simple 2"/>
    <w:basedOn w:val="Tabellanormale"/>
    <w:semiHidden/>
    <w:locked/>
    <w:rsid w:val="00E45954"/>
    <w:pPr>
      <w:spacing w:after="240"/>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lasemplice3">
    <w:name w:val="Table Simple 3"/>
    <w:basedOn w:val="Tabellanormale"/>
    <w:semiHidden/>
    <w:locked/>
    <w:rsid w:val="00E45954"/>
    <w:pPr>
      <w:spacing w:after="240"/>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laconombreggiatura1">
    <w:name w:val="Table Subtle 1"/>
    <w:basedOn w:val="Tabellanormale"/>
    <w:semiHidden/>
    <w:locked/>
    <w:rsid w:val="00E45954"/>
    <w:pPr>
      <w:spacing w:after="240"/>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aconombreggiatura2">
    <w:name w:val="Table Subtle 2"/>
    <w:basedOn w:val="Tabellanormale"/>
    <w:semiHidden/>
    <w:locked/>
    <w:rsid w:val="00E45954"/>
    <w:pPr>
      <w:spacing w:after="240"/>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atema">
    <w:name w:val="Table Theme"/>
    <w:basedOn w:val="Tabellanormale"/>
    <w:semiHidden/>
    <w:locked/>
    <w:rsid w:val="00E45954"/>
    <w:pPr>
      <w:spacing w:after="2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laWeb1">
    <w:name w:val="Table Web 1"/>
    <w:basedOn w:val="Tabellanormale"/>
    <w:semiHidden/>
    <w:locked/>
    <w:rsid w:val="00E45954"/>
    <w:pPr>
      <w:spacing w:after="24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aWeb2">
    <w:name w:val="Table Web 2"/>
    <w:basedOn w:val="Tabellanormale"/>
    <w:semiHidden/>
    <w:locked/>
    <w:rsid w:val="00E45954"/>
    <w:pPr>
      <w:spacing w:after="240"/>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aWeb3">
    <w:name w:val="Table Web 3"/>
    <w:basedOn w:val="Tabellanormale"/>
    <w:semiHidden/>
    <w:locked/>
    <w:rsid w:val="00E45954"/>
    <w:pPr>
      <w:spacing w:after="240"/>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olo">
    <w:name w:val="Title"/>
    <w:basedOn w:val="Normale"/>
    <w:rsid w:val="00E45954"/>
    <w:pPr>
      <w:spacing w:after="60"/>
      <w:jc w:val="center"/>
      <w:outlineLvl w:val="0"/>
    </w:pPr>
    <w:rPr>
      <w:rFonts w:cs="Arial"/>
      <w:b/>
      <w:bCs/>
      <w:kern w:val="28"/>
      <w:sz w:val="32"/>
      <w:szCs w:val="32"/>
    </w:rPr>
  </w:style>
  <w:style w:type="character" w:styleId="Collegamentovisitato">
    <w:name w:val="FollowedHyperlink"/>
    <w:semiHidden/>
    <w:rsid w:val="00045C4B"/>
    <w:rPr>
      <w:rFonts w:ascii="Open Sans" w:hAnsi="Open Sans"/>
      <w:color w:val="800080"/>
      <w:u w:val="single"/>
    </w:rPr>
  </w:style>
  <w:style w:type="paragraph" w:customStyle="1" w:styleId="MainTitle">
    <w:name w:val="Main Title"/>
    <w:next w:val="Sottotitolo"/>
    <w:qFormat/>
    <w:rsid w:val="00A355F9"/>
    <w:pPr>
      <w:spacing w:before="240" w:after="240" w:line="740" w:lineRule="exact"/>
      <w:contextualSpacing/>
      <w:jc w:val="right"/>
    </w:pPr>
    <w:rPr>
      <w:rFonts w:ascii="Open Sans" w:hAnsi="Open Sans"/>
      <w:bCs/>
      <w:color w:val="237BBC"/>
      <w:kern w:val="32"/>
      <w:sz w:val="56"/>
      <w:szCs w:val="32"/>
    </w:rPr>
  </w:style>
  <w:style w:type="paragraph" w:customStyle="1" w:styleId="HeaderFooter">
    <w:name w:val="Header &amp; Footer"/>
    <w:basedOn w:val="Normale"/>
    <w:semiHidden/>
    <w:locked/>
    <w:rsid w:val="005C2ECF"/>
    <w:pPr>
      <w:spacing w:line="200" w:lineRule="exact"/>
      <w:jc w:val="both"/>
    </w:pPr>
    <w:rPr>
      <w:rFonts w:eastAsia="Times New Roman" w:cs="ArialMT"/>
      <w:sz w:val="16"/>
      <w:lang w:eastAsia="en-US"/>
    </w:rPr>
  </w:style>
  <w:style w:type="paragraph" w:customStyle="1" w:styleId="LogoType">
    <w:name w:val="Logo Type"/>
    <w:basedOn w:val="Intestazione"/>
    <w:semiHidden/>
    <w:locked/>
    <w:rsid w:val="005C2ECF"/>
    <w:pPr>
      <w:pBdr>
        <w:bottom w:val="single" w:sz="4" w:space="4" w:color="auto"/>
      </w:pBdr>
      <w:tabs>
        <w:tab w:val="clear" w:pos="4513"/>
        <w:tab w:val="clear" w:pos="9026"/>
        <w:tab w:val="left" w:pos="4686"/>
        <w:tab w:val="left" w:pos="7088"/>
        <w:tab w:val="left" w:pos="7242"/>
      </w:tabs>
      <w:spacing w:before="0" w:line="320" w:lineRule="exact"/>
    </w:pPr>
    <w:rPr>
      <w:rFonts w:cs="ArialMT"/>
      <w:b/>
      <w:spacing w:val="-20"/>
      <w:sz w:val="32"/>
      <w:lang w:eastAsia="en-US"/>
    </w:rPr>
  </w:style>
  <w:style w:type="paragraph" w:styleId="Testofumetto">
    <w:name w:val="Balloon Text"/>
    <w:basedOn w:val="Normale"/>
    <w:link w:val="TestofumettoCarattere"/>
    <w:semiHidden/>
    <w:rsid w:val="00045C4B"/>
    <w:pPr>
      <w:spacing w:before="0" w:after="0"/>
    </w:pPr>
    <w:rPr>
      <w:rFonts w:cs="Tahoma"/>
      <w:sz w:val="16"/>
      <w:szCs w:val="16"/>
    </w:rPr>
  </w:style>
  <w:style w:type="character" w:customStyle="1" w:styleId="TestofumettoCarattere">
    <w:name w:val="Testo fumetto Carattere"/>
    <w:link w:val="Testofumetto"/>
    <w:semiHidden/>
    <w:rsid w:val="00045C4B"/>
    <w:rPr>
      <w:rFonts w:ascii="Open Sans" w:eastAsia="MS Mincho" w:hAnsi="Open Sans" w:cs="Tahoma"/>
      <w:sz w:val="16"/>
      <w:szCs w:val="16"/>
    </w:rPr>
  </w:style>
  <w:style w:type="character" w:customStyle="1" w:styleId="CharChar">
    <w:name w:val="Char Char"/>
    <w:semiHidden/>
    <w:locked/>
    <w:rsid w:val="00045C4B"/>
    <w:rPr>
      <w:rFonts w:ascii="Open Sans" w:hAnsi="Open Sans" w:cs="Arial"/>
      <w:lang w:val="en-AU" w:eastAsia="en-AU" w:bidi="ar-SA"/>
    </w:rPr>
  </w:style>
  <w:style w:type="character" w:customStyle="1" w:styleId="EndnoteTextChar">
    <w:name w:val="Endnote Text Char"/>
    <w:locked/>
    <w:rsid w:val="00045C4B"/>
    <w:rPr>
      <w:rFonts w:ascii="Open Sans" w:hAnsi="Open Sans"/>
      <w:sz w:val="20"/>
      <w:lang w:bidi="ar-SA"/>
    </w:rPr>
  </w:style>
  <w:style w:type="character" w:customStyle="1" w:styleId="SottotitoloCarattere">
    <w:name w:val="Sottotitolo Carattere"/>
    <w:link w:val="Sottotitolo"/>
    <w:rsid w:val="00817C73"/>
    <w:rPr>
      <w:rFonts w:ascii="Open Sans" w:eastAsia="MS Mincho" w:hAnsi="Open Sans" w:cs="Arial"/>
      <w:color w:val="237BBC"/>
      <w:sz w:val="28"/>
      <w:szCs w:val="24"/>
    </w:rPr>
  </w:style>
  <w:style w:type="paragraph" w:customStyle="1" w:styleId="SubmissionNormal">
    <w:name w:val="Submission Normal"/>
    <w:basedOn w:val="Normale"/>
    <w:link w:val="SubmissionNormalChar"/>
    <w:locked/>
    <w:rsid w:val="00B34946"/>
    <w:pPr>
      <w:numPr>
        <w:numId w:val="15"/>
      </w:numPr>
      <w:tabs>
        <w:tab w:val="clear" w:pos="720"/>
      </w:tabs>
      <w:ind w:hanging="720"/>
    </w:pPr>
    <w:rPr>
      <w:rFonts w:eastAsia="Times New Roman"/>
    </w:rPr>
  </w:style>
  <w:style w:type="character" w:customStyle="1" w:styleId="SubmissionNormalChar">
    <w:name w:val="Submission Normal Char"/>
    <w:link w:val="SubmissionNormal"/>
    <w:rsid w:val="00B34946"/>
    <w:rPr>
      <w:rFonts w:ascii="Open Sans" w:hAnsi="Open Sans"/>
      <w:sz w:val="24"/>
      <w:szCs w:val="24"/>
    </w:rPr>
  </w:style>
  <w:style w:type="paragraph" w:customStyle="1" w:styleId="coveraddresses">
    <w:name w:val="cover addresses"/>
    <w:basedOn w:val="Pidipagina"/>
    <w:locked/>
    <w:rsid w:val="005C2ECF"/>
    <w:pPr>
      <w:spacing w:after="40"/>
    </w:pPr>
    <w:rPr>
      <w:szCs w:val="16"/>
    </w:rPr>
  </w:style>
  <w:style w:type="paragraph" w:customStyle="1" w:styleId="coveraddress">
    <w:name w:val="cover address"/>
    <w:basedOn w:val="coveraddresses"/>
    <w:locked/>
    <w:rsid w:val="005C2ECF"/>
  </w:style>
  <w:style w:type="paragraph" w:styleId="Didascalia">
    <w:name w:val="caption"/>
    <w:basedOn w:val="Normale"/>
    <w:next w:val="Normale"/>
    <w:semiHidden/>
    <w:unhideWhenUsed/>
    <w:qFormat/>
    <w:rsid w:val="00045C4B"/>
    <w:rPr>
      <w:b/>
      <w:bCs/>
      <w:sz w:val="20"/>
      <w:szCs w:val="20"/>
    </w:rPr>
  </w:style>
  <w:style w:type="character" w:styleId="Rimandocommento">
    <w:name w:val="annotation reference"/>
    <w:rsid w:val="00045C4B"/>
    <w:rPr>
      <w:rFonts w:ascii="Open Sans" w:hAnsi="Open Sans"/>
      <w:sz w:val="16"/>
      <w:szCs w:val="16"/>
    </w:rPr>
  </w:style>
  <w:style w:type="paragraph" w:styleId="Testocommento">
    <w:name w:val="annotation text"/>
    <w:basedOn w:val="Normale"/>
    <w:link w:val="TestocommentoCarattere"/>
    <w:rsid w:val="00045C4B"/>
    <w:rPr>
      <w:sz w:val="20"/>
      <w:szCs w:val="20"/>
    </w:rPr>
  </w:style>
  <w:style w:type="character" w:customStyle="1" w:styleId="TestocommentoCarattere">
    <w:name w:val="Testo commento Carattere"/>
    <w:link w:val="Testocommento"/>
    <w:rsid w:val="00045C4B"/>
    <w:rPr>
      <w:rFonts w:ascii="Open Sans" w:eastAsia="MS Mincho" w:hAnsi="Open Sans"/>
    </w:rPr>
  </w:style>
  <w:style w:type="paragraph" w:styleId="Soggettocommento">
    <w:name w:val="annotation subject"/>
    <w:basedOn w:val="Testocommento"/>
    <w:next w:val="Testocommento"/>
    <w:link w:val="SoggettocommentoCarattere"/>
    <w:rsid w:val="00045C4B"/>
    <w:rPr>
      <w:b/>
      <w:bCs/>
    </w:rPr>
  </w:style>
  <w:style w:type="character" w:customStyle="1" w:styleId="SoggettocommentoCarattere">
    <w:name w:val="Soggetto commento Carattere"/>
    <w:link w:val="Soggettocommento"/>
    <w:rsid w:val="00045C4B"/>
    <w:rPr>
      <w:rFonts w:ascii="Open Sans" w:eastAsia="MS Mincho" w:hAnsi="Open Sans"/>
      <w:b/>
      <w:bCs/>
    </w:rPr>
  </w:style>
  <w:style w:type="paragraph" w:styleId="Mappadocumento">
    <w:name w:val="Document Map"/>
    <w:basedOn w:val="Normale"/>
    <w:link w:val="MappadocumentoCarattere"/>
    <w:rsid w:val="00045C4B"/>
    <w:rPr>
      <w:rFonts w:cs="Segoe UI"/>
      <w:sz w:val="16"/>
      <w:szCs w:val="16"/>
    </w:rPr>
  </w:style>
  <w:style w:type="character" w:customStyle="1" w:styleId="MappadocumentoCarattere">
    <w:name w:val="Mappa documento Carattere"/>
    <w:link w:val="Mappadocumento"/>
    <w:rsid w:val="00045C4B"/>
    <w:rPr>
      <w:rFonts w:ascii="Open Sans" w:eastAsia="MS Mincho" w:hAnsi="Open Sans" w:cs="Segoe UI"/>
      <w:sz w:val="16"/>
      <w:szCs w:val="16"/>
    </w:rPr>
  </w:style>
  <w:style w:type="paragraph" w:styleId="Indice1">
    <w:name w:val="index 1"/>
    <w:basedOn w:val="Normale"/>
    <w:next w:val="Normale"/>
    <w:rsid w:val="005C2ECF"/>
    <w:pPr>
      <w:ind w:left="240" w:hanging="240"/>
    </w:pPr>
  </w:style>
  <w:style w:type="paragraph" w:styleId="Indice2">
    <w:name w:val="index 2"/>
    <w:basedOn w:val="Normale"/>
    <w:next w:val="Normale"/>
    <w:rsid w:val="005C2ECF"/>
    <w:pPr>
      <w:ind w:left="480" w:hanging="240"/>
    </w:pPr>
  </w:style>
  <w:style w:type="paragraph" w:styleId="Indice3">
    <w:name w:val="index 3"/>
    <w:basedOn w:val="Normale"/>
    <w:next w:val="Normale"/>
    <w:rsid w:val="005C2ECF"/>
    <w:pPr>
      <w:ind w:left="720" w:hanging="240"/>
    </w:pPr>
  </w:style>
  <w:style w:type="paragraph" w:styleId="Indice4">
    <w:name w:val="index 4"/>
    <w:basedOn w:val="Normale"/>
    <w:next w:val="Normale"/>
    <w:rsid w:val="005C2ECF"/>
    <w:pPr>
      <w:ind w:left="960" w:hanging="240"/>
    </w:pPr>
  </w:style>
  <w:style w:type="paragraph" w:styleId="Indice5">
    <w:name w:val="index 5"/>
    <w:basedOn w:val="Normale"/>
    <w:next w:val="Normale"/>
    <w:rsid w:val="005C2ECF"/>
    <w:pPr>
      <w:ind w:left="1200" w:hanging="240"/>
    </w:pPr>
  </w:style>
  <w:style w:type="paragraph" w:styleId="Indice6">
    <w:name w:val="index 6"/>
    <w:basedOn w:val="Normale"/>
    <w:next w:val="Normale"/>
    <w:rsid w:val="005C2ECF"/>
    <w:pPr>
      <w:ind w:left="1440" w:hanging="240"/>
    </w:pPr>
  </w:style>
  <w:style w:type="paragraph" w:styleId="Indice7">
    <w:name w:val="index 7"/>
    <w:basedOn w:val="Normale"/>
    <w:next w:val="Normale"/>
    <w:rsid w:val="005C2ECF"/>
    <w:pPr>
      <w:ind w:left="1680" w:hanging="240"/>
    </w:pPr>
  </w:style>
  <w:style w:type="paragraph" w:styleId="Indice8">
    <w:name w:val="index 8"/>
    <w:basedOn w:val="Normale"/>
    <w:next w:val="Normale"/>
    <w:rsid w:val="005C2ECF"/>
    <w:pPr>
      <w:ind w:left="1920" w:hanging="240"/>
    </w:pPr>
  </w:style>
  <w:style w:type="paragraph" w:styleId="Indice9">
    <w:name w:val="index 9"/>
    <w:basedOn w:val="Normale"/>
    <w:next w:val="Normale"/>
    <w:rsid w:val="005C2ECF"/>
    <w:pPr>
      <w:ind w:left="2160" w:hanging="240"/>
    </w:pPr>
  </w:style>
  <w:style w:type="paragraph" w:styleId="Titoloindice">
    <w:name w:val="index heading"/>
    <w:basedOn w:val="Normale"/>
    <w:next w:val="Indice1"/>
    <w:rsid w:val="005C2ECF"/>
    <w:rPr>
      <w:rFonts w:eastAsia="Times New Roman"/>
      <w:b/>
      <w:bCs/>
    </w:rPr>
  </w:style>
  <w:style w:type="paragraph" w:styleId="Testomacro">
    <w:name w:val="macro"/>
    <w:link w:val="TestomacroCarattere"/>
    <w:rsid w:val="005C2ECF"/>
    <w:pPr>
      <w:tabs>
        <w:tab w:val="left" w:pos="480"/>
        <w:tab w:val="left" w:pos="960"/>
        <w:tab w:val="left" w:pos="1440"/>
        <w:tab w:val="left" w:pos="1920"/>
        <w:tab w:val="left" w:pos="2400"/>
        <w:tab w:val="left" w:pos="2880"/>
        <w:tab w:val="left" w:pos="3360"/>
        <w:tab w:val="left" w:pos="3840"/>
        <w:tab w:val="left" w:pos="4320"/>
      </w:tabs>
      <w:spacing w:before="240" w:after="240"/>
    </w:pPr>
    <w:rPr>
      <w:rFonts w:ascii="Open Sans" w:eastAsia="MS Mincho" w:hAnsi="Open Sans" w:cs="Courier New"/>
    </w:rPr>
  </w:style>
  <w:style w:type="character" w:customStyle="1" w:styleId="TestomacroCarattere">
    <w:name w:val="Testo macro Carattere"/>
    <w:link w:val="Testomacro"/>
    <w:rsid w:val="005C2ECF"/>
    <w:rPr>
      <w:rFonts w:ascii="Open Sans" w:eastAsia="MS Mincho" w:hAnsi="Open Sans" w:cs="Courier New"/>
    </w:rPr>
  </w:style>
  <w:style w:type="paragraph" w:styleId="Indicefonti">
    <w:name w:val="table of authorities"/>
    <w:basedOn w:val="Normale"/>
    <w:next w:val="Normale"/>
    <w:locked/>
    <w:rsid w:val="00471BB7"/>
    <w:pPr>
      <w:ind w:left="240" w:hanging="240"/>
    </w:pPr>
  </w:style>
  <w:style w:type="paragraph" w:styleId="Indicedellefigure">
    <w:name w:val="table of figures"/>
    <w:basedOn w:val="Normale"/>
    <w:next w:val="Normale"/>
    <w:locked/>
    <w:rsid w:val="00471BB7"/>
  </w:style>
  <w:style w:type="paragraph" w:styleId="Titoloindicefonti">
    <w:name w:val="toa heading"/>
    <w:basedOn w:val="Normale"/>
    <w:next w:val="Normale"/>
    <w:locked/>
    <w:rsid w:val="00471BB7"/>
    <w:pPr>
      <w:spacing w:before="120"/>
    </w:pPr>
    <w:rPr>
      <w:rFonts w:eastAsia="Times New Roman"/>
      <w:b/>
      <w:bCs/>
    </w:rPr>
  </w:style>
  <w:style w:type="paragraph" w:styleId="Sommario5">
    <w:name w:val="toc 5"/>
    <w:basedOn w:val="Normale"/>
    <w:next w:val="Normale"/>
    <w:semiHidden/>
    <w:locked/>
    <w:rsid w:val="00471BB7"/>
    <w:pPr>
      <w:ind w:left="960"/>
    </w:pPr>
  </w:style>
  <w:style w:type="paragraph" w:styleId="Sommario6">
    <w:name w:val="toc 6"/>
    <w:basedOn w:val="Normale"/>
    <w:next w:val="Normale"/>
    <w:semiHidden/>
    <w:locked/>
    <w:rsid w:val="00471BB7"/>
    <w:pPr>
      <w:ind w:left="1200"/>
    </w:pPr>
  </w:style>
  <w:style w:type="paragraph" w:styleId="Sommario7">
    <w:name w:val="toc 7"/>
    <w:basedOn w:val="Normale"/>
    <w:next w:val="Normale"/>
    <w:semiHidden/>
    <w:locked/>
    <w:rsid w:val="00471BB7"/>
    <w:pPr>
      <w:ind w:left="1440"/>
    </w:pPr>
  </w:style>
  <w:style w:type="paragraph" w:styleId="Sommario8">
    <w:name w:val="toc 8"/>
    <w:basedOn w:val="Normale"/>
    <w:next w:val="Normale"/>
    <w:semiHidden/>
    <w:locked/>
    <w:rsid w:val="00471BB7"/>
    <w:pPr>
      <w:ind w:left="1680"/>
    </w:pPr>
  </w:style>
  <w:style w:type="paragraph" w:styleId="Sommario9">
    <w:name w:val="toc 9"/>
    <w:basedOn w:val="Normale"/>
    <w:next w:val="Normale"/>
    <w:semiHidden/>
    <w:locked/>
    <w:rsid w:val="00471BB7"/>
    <w:pPr>
      <w:ind w:left="1920"/>
    </w:pPr>
  </w:style>
  <w:style w:type="paragraph" w:styleId="Nessunaspaziatura">
    <w:name w:val="No Spacing"/>
    <w:uiPriority w:val="1"/>
    <w:qFormat/>
    <w:rsid w:val="00471BB7"/>
    <w:rPr>
      <w:rFonts w:ascii="Open Sans" w:eastAsia="MS Mincho" w:hAnsi="Open Sans"/>
      <w:sz w:val="24"/>
      <w:szCs w:val="24"/>
    </w:rPr>
  </w:style>
  <w:style w:type="character" w:styleId="Enfasidelicata">
    <w:name w:val="Subtle Emphasis"/>
    <w:uiPriority w:val="19"/>
    <w:locked/>
    <w:rsid w:val="00471BB7"/>
    <w:rPr>
      <w:rFonts w:ascii="Open Sans" w:hAnsi="Open Sans"/>
      <w:i w:val="0"/>
      <w:iCs/>
      <w:color w:val="auto"/>
      <w:sz w:val="24"/>
    </w:rPr>
  </w:style>
  <w:style w:type="character" w:styleId="Enfasiintensa">
    <w:name w:val="Intense Emphasis"/>
    <w:uiPriority w:val="21"/>
    <w:locked/>
    <w:rsid w:val="00471BB7"/>
    <w:rPr>
      <w:rFonts w:ascii="Open Sans" w:hAnsi="Open Sans"/>
      <w:i w:val="0"/>
      <w:iCs/>
      <w:color w:val="auto"/>
    </w:rPr>
  </w:style>
  <w:style w:type="paragraph" w:styleId="Citazione">
    <w:name w:val="Quote"/>
    <w:basedOn w:val="Normale"/>
    <w:next w:val="Normale"/>
    <w:link w:val="CitazioneCarattere"/>
    <w:uiPriority w:val="29"/>
    <w:rsid w:val="00FD6DFF"/>
    <w:pPr>
      <w:spacing w:before="200" w:after="160"/>
      <w:ind w:left="720"/>
    </w:pPr>
    <w:rPr>
      <w:iCs/>
      <w:sz w:val="22"/>
    </w:rPr>
  </w:style>
  <w:style w:type="character" w:customStyle="1" w:styleId="CitazioneCarattere">
    <w:name w:val="Citazione Carattere"/>
    <w:link w:val="Citazione"/>
    <w:uiPriority w:val="29"/>
    <w:rsid w:val="00FD6DFF"/>
    <w:rPr>
      <w:rFonts w:ascii="Open Sans" w:eastAsia="MS Mincho" w:hAnsi="Open Sans"/>
      <w:iCs/>
      <w:sz w:val="22"/>
      <w:szCs w:val="24"/>
    </w:rPr>
  </w:style>
  <w:style w:type="paragraph" w:styleId="Citazioneintensa">
    <w:name w:val="Intense Quote"/>
    <w:basedOn w:val="Normale"/>
    <w:next w:val="Normale"/>
    <w:link w:val="CitazioneintensaCarattere"/>
    <w:uiPriority w:val="30"/>
    <w:locked/>
    <w:rsid w:val="00471BB7"/>
    <w:pPr>
      <w:pBdr>
        <w:top w:val="single" w:sz="4" w:space="10" w:color="4472C4"/>
        <w:bottom w:val="single" w:sz="4" w:space="10" w:color="4472C4"/>
      </w:pBdr>
      <w:spacing w:before="360" w:after="360"/>
      <w:ind w:left="864" w:right="864"/>
      <w:jc w:val="center"/>
    </w:pPr>
    <w:rPr>
      <w:iCs/>
    </w:rPr>
  </w:style>
  <w:style w:type="character" w:customStyle="1" w:styleId="CitazioneintensaCarattere">
    <w:name w:val="Citazione intensa Carattere"/>
    <w:link w:val="Citazioneintensa"/>
    <w:uiPriority w:val="30"/>
    <w:rsid w:val="00471BB7"/>
    <w:rPr>
      <w:rFonts w:ascii="Open Sans" w:eastAsia="MS Mincho" w:hAnsi="Open Sans"/>
      <w:iCs/>
      <w:sz w:val="24"/>
      <w:szCs w:val="24"/>
    </w:rPr>
  </w:style>
  <w:style w:type="character" w:styleId="Riferimentodelicato">
    <w:name w:val="Subtle Reference"/>
    <w:uiPriority w:val="31"/>
    <w:locked/>
    <w:rsid w:val="00471BB7"/>
    <w:rPr>
      <w:rFonts w:ascii="Open Sans" w:hAnsi="Open Sans"/>
      <w:smallCaps/>
      <w:color w:val="auto"/>
      <w:sz w:val="24"/>
    </w:rPr>
  </w:style>
  <w:style w:type="character" w:styleId="Riferimentointenso">
    <w:name w:val="Intense Reference"/>
    <w:uiPriority w:val="32"/>
    <w:locked/>
    <w:rsid w:val="00471BB7"/>
    <w:rPr>
      <w:rFonts w:ascii="Open Sans" w:hAnsi="Open Sans"/>
      <w:b w:val="0"/>
      <w:bCs/>
      <w:smallCaps/>
      <w:color w:val="auto"/>
      <w:spacing w:val="5"/>
      <w:sz w:val="24"/>
    </w:rPr>
  </w:style>
  <w:style w:type="character" w:styleId="Titolodellibro">
    <w:name w:val="Book Title"/>
    <w:aliases w:val="Text Title"/>
    <w:uiPriority w:val="33"/>
    <w:rsid w:val="00471BB7"/>
    <w:rPr>
      <w:rFonts w:ascii="Open Sans" w:hAnsi="Open Sans"/>
      <w:b w:val="0"/>
      <w:bCs/>
      <w:i/>
      <w:iCs/>
      <w:spacing w:val="5"/>
      <w:sz w:val="24"/>
    </w:rPr>
  </w:style>
  <w:style w:type="paragraph" w:styleId="Paragrafoelenco">
    <w:name w:val="List Paragraph"/>
    <w:basedOn w:val="Normale"/>
    <w:uiPriority w:val="34"/>
    <w:qFormat/>
    <w:locked/>
    <w:rsid w:val="00471BB7"/>
    <w:pPr>
      <w:ind w:left="720"/>
    </w:pPr>
  </w:style>
  <w:style w:type="paragraph" w:styleId="Bibliografia">
    <w:name w:val="Bibliography"/>
    <w:basedOn w:val="Normale"/>
    <w:next w:val="Normale"/>
    <w:uiPriority w:val="37"/>
    <w:semiHidden/>
    <w:unhideWhenUsed/>
    <w:rsid w:val="00471BB7"/>
  </w:style>
  <w:style w:type="character" w:customStyle="1" w:styleId="Hashtag1">
    <w:name w:val="Hashtag1"/>
    <w:uiPriority w:val="99"/>
    <w:semiHidden/>
    <w:unhideWhenUsed/>
    <w:locked/>
    <w:rsid w:val="00471BB7"/>
    <w:rPr>
      <w:rFonts w:ascii="Open Sans" w:hAnsi="Open Sans"/>
      <w:color w:val="2B579A"/>
      <w:shd w:val="clear" w:color="auto" w:fill="E6E6E6"/>
    </w:rPr>
  </w:style>
  <w:style w:type="character" w:customStyle="1" w:styleId="Mention1">
    <w:name w:val="Mention1"/>
    <w:uiPriority w:val="99"/>
    <w:semiHidden/>
    <w:unhideWhenUsed/>
    <w:locked/>
    <w:rsid w:val="00471BB7"/>
    <w:rPr>
      <w:rFonts w:ascii="Open Sans" w:hAnsi="Open Sans"/>
      <w:color w:val="auto"/>
      <w:shd w:val="clear" w:color="auto" w:fill="E6E6E6"/>
    </w:rPr>
  </w:style>
  <w:style w:type="character" w:customStyle="1" w:styleId="SmartHyperlink1">
    <w:name w:val="Smart Hyperlink1"/>
    <w:uiPriority w:val="99"/>
    <w:semiHidden/>
    <w:unhideWhenUsed/>
    <w:locked/>
    <w:rsid w:val="00471BB7"/>
    <w:rPr>
      <w:rFonts w:ascii="Open Sans" w:hAnsi="Open Sans"/>
      <w:u w:val="dotted"/>
    </w:rPr>
  </w:style>
  <w:style w:type="character" w:customStyle="1" w:styleId="UnresolvedMention1">
    <w:name w:val="Unresolved Mention1"/>
    <w:uiPriority w:val="99"/>
    <w:semiHidden/>
    <w:unhideWhenUsed/>
    <w:locked/>
    <w:rsid w:val="00471BB7"/>
    <w:rPr>
      <w:rFonts w:ascii="Open Sans" w:hAnsi="Open Sans"/>
      <w:color w:val="auto"/>
      <w:shd w:val="clear" w:color="auto" w:fill="E6E6E6"/>
    </w:rPr>
  </w:style>
  <w:style w:type="character" w:customStyle="1" w:styleId="HeaderDocumentTitle">
    <w:name w:val="Header Document Title"/>
    <w:uiPriority w:val="1"/>
    <w:qFormat/>
    <w:rsid w:val="001F62CC"/>
    <w:rPr>
      <w:rFonts w:ascii="Open Sans" w:hAnsi="Open Sans"/>
      <w:b/>
      <w:noProof/>
      <w:sz w:val="18"/>
    </w:rPr>
  </w:style>
  <w:style w:type="paragraph" w:customStyle="1" w:styleId="HeaderDocumentDate">
    <w:name w:val="Header Document Date"/>
    <w:basedOn w:val="Pidipagina"/>
    <w:qFormat/>
    <w:rsid w:val="002850B0"/>
    <w:pPr>
      <w:jc w:val="right"/>
    </w:pPr>
  </w:style>
  <w:style w:type="paragraph" w:customStyle="1" w:styleId="FooterEvenPageNumber">
    <w:name w:val="Footer Even Page Number"/>
    <w:basedOn w:val="Pidipagina"/>
    <w:rsid w:val="00E53546"/>
  </w:style>
  <w:style w:type="paragraph" w:customStyle="1" w:styleId="FooterOddPageNumber">
    <w:name w:val="Footer Odd Page Number"/>
    <w:basedOn w:val="Pidipagina"/>
    <w:rsid w:val="00E53546"/>
    <w:pPr>
      <w:jc w:val="right"/>
    </w:pPr>
  </w:style>
  <w:style w:type="numbering" w:customStyle="1" w:styleId="ListBulletmaster">
    <w:name w:val="List Bullet (master)"/>
    <w:rsid w:val="0015471C"/>
    <w:pPr>
      <w:numPr>
        <w:numId w:val="16"/>
      </w:numPr>
    </w:pPr>
  </w:style>
  <w:style w:type="paragraph" w:customStyle="1" w:styleId="VEOHRCBodytext">
    <w:name w:val="VEOHRC Body text"/>
    <w:link w:val="VEOHRCBodytextChar"/>
    <w:rsid w:val="0015471C"/>
    <w:pPr>
      <w:keepNext/>
      <w:spacing w:before="80" w:after="120"/>
    </w:pPr>
    <w:rPr>
      <w:rFonts w:ascii="Arial" w:eastAsia="Arial Unicode MS" w:hAnsi="Arial"/>
      <w:sz w:val="24"/>
      <w:szCs w:val="24"/>
      <w:lang w:val="en-GB"/>
    </w:rPr>
  </w:style>
  <w:style w:type="character" w:customStyle="1" w:styleId="VEOHRCBodytextChar">
    <w:name w:val="VEOHRC Body text Char"/>
    <w:basedOn w:val="Carpredefinitoparagrafo"/>
    <w:link w:val="VEOHRCBodytext"/>
    <w:rsid w:val="0015471C"/>
    <w:rPr>
      <w:rFonts w:ascii="Arial" w:eastAsia="Arial Unicode MS" w:hAnsi="Arial"/>
      <w:sz w:val="24"/>
      <w:szCs w:val="24"/>
      <w:lang w:val="en-GB"/>
    </w:rPr>
  </w:style>
  <w:style w:type="character" w:customStyle="1" w:styleId="UnresolvedMention2">
    <w:name w:val="Unresolved Mention2"/>
    <w:basedOn w:val="Carpredefinitoparagrafo"/>
    <w:uiPriority w:val="99"/>
    <w:semiHidden/>
    <w:unhideWhenUsed/>
    <w:rsid w:val="007D34B3"/>
    <w:rPr>
      <w:color w:val="605E5C"/>
      <w:shd w:val="clear" w:color="auto" w:fill="E1DFDD"/>
    </w:rPr>
  </w:style>
  <w:style w:type="character" w:customStyle="1" w:styleId="UnresolvedMention3">
    <w:name w:val="Unresolved Mention3"/>
    <w:basedOn w:val="Carpredefinitoparagrafo"/>
    <w:uiPriority w:val="99"/>
    <w:semiHidden/>
    <w:unhideWhenUsed/>
    <w:rsid w:val="00EE5606"/>
    <w:rPr>
      <w:color w:val="605E5C"/>
      <w:shd w:val="clear" w:color="auto" w:fill="E1DFDD"/>
    </w:rPr>
  </w:style>
  <w:style w:type="paragraph" w:customStyle="1" w:styleId="CopyrightText">
    <w:name w:val="Copyright Text"/>
    <w:basedOn w:val="Normale"/>
    <w:uiPriority w:val="99"/>
    <w:rsid w:val="00DD2BA1"/>
    <w:pPr>
      <w:tabs>
        <w:tab w:val="left" w:pos="567"/>
      </w:tabs>
      <w:suppressAutoHyphens/>
      <w:autoSpaceDE w:val="0"/>
      <w:autoSpaceDN w:val="0"/>
      <w:adjustRightInd w:val="0"/>
      <w:spacing w:before="0" w:after="57" w:line="288" w:lineRule="auto"/>
      <w:textAlignment w:val="center"/>
    </w:pPr>
    <w:rPr>
      <w:rFonts w:eastAsia="Times New Roman" w:cs="Open Sans"/>
      <w:color w:val="FFFFFF"/>
      <w:sz w:val="16"/>
      <w:szCs w:val="16"/>
      <w:u w:color="000000"/>
    </w:rPr>
  </w:style>
  <w:style w:type="character" w:customStyle="1" w:styleId="Bold">
    <w:name w:val="Bold"/>
    <w:uiPriority w:val="99"/>
    <w:rsid w:val="00DD2BA1"/>
    <w:rPr>
      <w:rFonts w:ascii="Open Sans" w:hAnsi="Open Sans" w:cs="Open Sans"/>
      <w:b/>
      <w:bCs/>
    </w:rPr>
  </w:style>
  <w:style w:type="paragraph" w:customStyle="1" w:styleId="InternalCoverMain">
    <w:name w:val="Internal Cover Main"/>
    <w:basedOn w:val="Normale"/>
    <w:uiPriority w:val="99"/>
    <w:rsid w:val="002C2B22"/>
    <w:pPr>
      <w:suppressAutoHyphens/>
      <w:autoSpaceDE w:val="0"/>
      <w:autoSpaceDN w:val="0"/>
      <w:adjustRightInd w:val="0"/>
      <w:spacing w:before="0" w:after="567" w:line="720" w:lineRule="atLeast"/>
      <w:jc w:val="center"/>
      <w:textAlignment w:val="center"/>
    </w:pPr>
    <w:rPr>
      <w:rFonts w:ascii="Open Sans Condensed Light" w:eastAsia="Times New Roman" w:hAnsi="Open Sans Condensed Light" w:cs="Open Sans Condensed Light"/>
      <w:color w:val="4C4C4C"/>
      <w:sz w:val="72"/>
      <w:szCs w:val="72"/>
      <w:lang w:val="en-US"/>
    </w:rPr>
  </w:style>
  <w:style w:type="paragraph" w:customStyle="1" w:styleId="Paragrafobase">
    <w:name w:val="[Paragrafo base]"/>
    <w:basedOn w:val="Normale"/>
    <w:uiPriority w:val="99"/>
    <w:rsid w:val="002C2B22"/>
    <w:pPr>
      <w:suppressAutoHyphens/>
      <w:autoSpaceDE w:val="0"/>
      <w:autoSpaceDN w:val="0"/>
      <w:adjustRightInd w:val="0"/>
      <w:spacing w:before="0" w:after="170" w:line="288" w:lineRule="auto"/>
      <w:textAlignment w:val="center"/>
    </w:pPr>
    <w:rPr>
      <w:rFonts w:eastAsia="Times New Roman" w:cs="Open Sans"/>
      <w:color w:val="000000"/>
      <w:sz w:val="20"/>
      <w:szCs w:val="20"/>
      <w:lang w:val="en-US"/>
    </w:rPr>
  </w:style>
  <w:style w:type="paragraph" w:styleId="Testonotaapidipagina">
    <w:name w:val="footnote text"/>
    <w:basedOn w:val="Normale"/>
    <w:link w:val="TestonotaapidipaginaCarattere"/>
    <w:semiHidden/>
    <w:unhideWhenUsed/>
    <w:locked/>
    <w:rsid w:val="00BD602D"/>
    <w:pPr>
      <w:spacing w:before="0" w:after="0"/>
    </w:pPr>
    <w:rPr>
      <w:sz w:val="20"/>
      <w:szCs w:val="20"/>
    </w:rPr>
  </w:style>
  <w:style w:type="character" w:customStyle="1" w:styleId="TestonotaapidipaginaCarattere">
    <w:name w:val="Testo nota a piè di pagina Carattere"/>
    <w:basedOn w:val="Carpredefinitoparagrafo"/>
    <w:link w:val="Testonotaapidipagina"/>
    <w:semiHidden/>
    <w:rsid w:val="00BD602D"/>
    <w:rPr>
      <w:rFonts w:ascii="Open Sans" w:eastAsia="MS Mincho" w:hAnsi="Open Sans"/>
    </w:rPr>
  </w:style>
  <w:style w:type="character" w:styleId="Rimandonotaapidipagina">
    <w:name w:val="footnote reference"/>
    <w:basedOn w:val="Carpredefinitoparagrafo"/>
    <w:semiHidden/>
    <w:unhideWhenUsed/>
    <w:locked/>
    <w:rsid w:val="00BD602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37367260">
      <w:bodyDiv w:val="1"/>
      <w:marLeft w:val="0"/>
      <w:marRight w:val="0"/>
      <w:marTop w:val="0"/>
      <w:marBottom w:val="0"/>
      <w:divBdr>
        <w:top w:val="none" w:sz="0" w:space="0" w:color="auto"/>
        <w:left w:val="none" w:sz="0" w:space="0" w:color="auto"/>
        <w:bottom w:val="none" w:sz="0" w:space="0" w:color="auto"/>
        <w:right w:val="none" w:sz="0" w:space="0" w:color="auto"/>
      </w:divBdr>
    </w:div>
    <w:div w:id="779758380">
      <w:bodyDiv w:val="1"/>
      <w:marLeft w:val="0"/>
      <w:marRight w:val="0"/>
      <w:marTop w:val="0"/>
      <w:marBottom w:val="0"/>
      <w:divBdr>
        <w:top w:val="none" w:sz="0" w:space="0" w:color="auto"/>
        <w:left w:val="none" w:sz="0" w:space="0" w:color="auto"/>
        <w:bottom w:val="none" w:sz="0" w:space="0" w:color="auto"/>
        <w:right w:val="none" w:sz="0" w:space="0" w:color="auto"/>
      </w:divBdr>
    </w:div>
    <w:div w:id="977101536">
      <w:bodyDiv w:val="1"/>
      <w:marLeft w:val="0"/>
      <w:marRight w:val="0"/>
      <w:marTop w:val="0"/>
      <w:marBottom w:val="0"/>
      <w:divBdr>
        <w:top w:val="none" w:sz="0" w:space="0" w:color="auto"/>
        <w:left w:val="none" w:sz="0" w:space="0" w:color="auto"/>
        <w:bottom w:val="none" w:sz="0" w:space="0" w:color="auto"/>
        <w:right w:val="none" w:sz="0" w:space="0" w:color="auto"/>
      </w:divBdr>
    </w:div>
    <w:div w:id="1145782401">
      <w:bodyDiv w:val="1"/>
      <w:marLeft w:val="0"/>
      <w:marRight w:val="0"/>
      <w:marTop w:val="0"/>
      <w:marBottom w:val="0"/>
      <w:divBdr>
        <w:top w:val="none" w:sz="0" w:space="0" w:color="auto"/>
        <w:left w:val="none" w:sz="0" w:space="0" w:color="auto"/>
        <w:bottom w:val="none" w:sz="0" w:space="0" w:color="auto"/>
        <w:right w:val="none" w:sz="0" w:space="0" w:color="auto"/>
      </w:divBdr>
      <w:divsChild>
        <w:div w:id="428086932">
          <w:marLeft w:val="0"/>
          <w:marRight w:val="0"/>
          <w:marTop w:val="0"/>
          <w:marBottom w:val="0"/>
          <w:divBdr>
            <w:top w:val="none" w:sz="0" w:space="0" w:color="auto"/>
            <w:left w:val="none" w:sz="0" w:space="0" w:color="auto"/>
            <w:bottom w:val="none" w:sz="0" w:space="0" w:color="auto"/>
            <w:right w:val="none" w:sz="0" w:space="0" w:color="auto"/>
          </w:divBdr>
          <w:divsChild>
            <w:div w:id="338972665">
              <w:marLeft w:val="0"/>
              <w:marRight w:val="0"/>
              <w:marTop w:val="0"/>
              <w:marBottom w:val="0"/>
              <w:divBdr>
                <w:top w:val="none" w:sz="0" w:space="0" w:color="auto"/>
                <w:left w:val="none" w:sz="0" w:space="0" w:color="auto"/>
                <w:bottom w:val="none" w:sz="0" w:space="0" w:color="auto"/>
                <w:right w:val="none" w:sz="0" w:space="0" w:color="auto"/>
              </w:divBdr>
              <w:divsChild>
                <w:div w:id="1044864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creativecommons.org/licenses/by/4.0/legalcode" TargetMode="External"/><Relationship Id="rId18" Type="http://schemas.openxmlformats.org/officeDocument/2006/relationships/hyperlink" Target="https://couragetocare.com.au/"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4.jp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www.humanrightscommission.vic.gov.au/about" TargetMode="Externa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hyperlink" Target="http://www.humanrights.gov.au/about-commission" TargetMode="External"/><Relationship Id="rId23" Type="http://schemas.openxmlformats.org/officeDocument/2006/relationships/footer" Target="footer2.xml"/><Relationship Id="rId10" Type="http://schemas.openxmlformats.org/officeDocument/2006/relationships/header" Target="header2.xml"/><Relationship Id="rId19" Type="http://schemas.openxmlformats.org/officeDocument/2006/relationships/hyperlink" Target="https://www.humanrightscommission.vic.gov.au/policy-submissions/item/1869-submission-to-the-parliamentary-inquiry-into-anti-vilification-protections-feb-2020"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communications@humanrights.gov.au" TargetMode="External"/><Relationship Id="rId22" Type="http://schemas.openxmlformats.org/officeDocument/2006/relationships/footer" Target="footer1.xml"/><Relationship Id="rId27" Type="http://schemas.openxmlformats.org/officeDocument/2006/relationships/theme" Target="theme/theme1.xml"/></Relationships>
</file>

<file path=word/_rels/endnotes.xml.rels><?xml version="1.0" encoding="UTF-8" standalone="yes"?>
<Relationships xmlns="http://schemas.openxmlformats.org/package/2006/relationships"><Relationship Id="rId8" Type="http://schemas.openxmlformats.org/officeDocument/2006/relationships/hyperlink" Target="https://www.report-it.org.uk/home" TargetMode="External"/><Relationship Id="rId3" Type="http://schemas.openxmlformats.org/officeDocument/2006/relationships/hyperlink" Target="https://freedomforfaith.org.au/library/the-ruddock-review" TargetMode="External"/><Relationship Id="rId7" Type="http://schemas.openxmlformats.org/officeDocument/2006/relationships/hyperlink" Target="https://couragetocare.com.au/" TargetMode="External"/><Relationship Id="rId12" Type="http://schemas.openxmlformats.org/officeDocument/2006/relationships/hyperlink" Target="https://www.ag.gov.au/RightsAndProtections/HumanRights/Documents/Response-religious-freedom-2018.pdf" TargetMode="External"/><Relationship Id="rId2" Type="http://schemas.openxmlformats.org/officeDocument/2006/relationships/hyperlink" Target="https://victas.uca.org.au/resilient-women-project-helps-combat-prejudice/" TargetMode="External"/><Relationship Id="rId1" Type="http://schemas.openxmlformats.org/officeDocument/2006/relationships/hyperlink" Target="https://www.ecaj.org.au/the-ecaj-2019-antisemitism-report/" TargetMode="External"/><Relationship Id="rId6" Type="http://schemas.openxmlformats.org/officeDocument/2006/relationships/hyperlink" Target="http://sociology.cass.anu.edu.au/research/projects/australia-s-gen-zs/publications-and-reports" TargetMode="External"/><Relationship Id="rId11" Type="http://schemas.openxmlformats.org/officeDocument/2006/relationships/hyperlink" Target="https://humanrights.gov.au/our-work/legal/submission/religious-freedom-review-2018" TargetMode="External"/><Relationship Id="rId5" Type="http://schemas.openxmlformats.org/officeDocument/2006/relationships/hyperlink" Target="https://www.ipsos.com/en-au/ipsos-global-study-shows-half-think-religion-does-more-harm-good" TargetMode="External"/><Relationship Id="rId10" Type="http://schemas.openxmlformats.org/officeDocument/2006/relationships/hyperlink" Target="https://www.ag.gov.au/RightsAndProtections/HumanRights/Documents/Response-religious-freedom-2018.pdf" TargetMode="External"/><Relationship Id="rId4" Type="http://schemas.openxmlformats.org/officeDocument/2006/relationships/hyperlink" Target="https://www.sbs.com.au/news/we-never-expected-this-to-happen-in-australia-vandals-torch-hindu-temple" TargetMode="External"/><Relationship Id="rId9" Type="http://schemas.openxmlformats.org/officeDocument/2006/relationships/hyperlink" Target="https://humanrights.gov.au/our-work/legal/submission/religious-freedom-review-2018"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G:\Templates\Commission\Guidelines%20or%20Policy%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3D9FD5-9B25-482E-B206-711F4C3C50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G:\Templates\Commission\Guidelines or Policy template.dotx</Template>
  <TotalTime>4</TotalTime>
  <Pages>24</Pages>
  <Words>6099</Words>
  <Characters>34765</Characters>
  <Application>Microsoft Office Word</Application>
  <DocSecurity>0</DocSecurity>
  <Lines>289</Lines>
  <Paragraphs>81</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Year</vt:lpstr>
      <vt:lpstr>Year</vt:lpstr>
    </vt:vector>
  </TitlesOfParts>
  <Company>Human Rights and Equal Opportunity Commission</Company>
  <LinksUpToDate>false</LinksUpToDate>
  <CharactersWithSpaces>40783</CharactersWithSpaces>
  <SharedDoc>false</SharedDoc>
  <HLinks>
    <vt:vector size="24" baseType="variant">
      <vt:variant>
        <vt:i4>1703995</vt:i4>
      </vt:variant>
      <vt:variant>
        <vt:i4>20</vt:i4>
      </vt:variant>
      <vt:variant>
        <vt:i4>0</vt:i4>
      </vt:variant>
      <vt:variant>
        <vt:i4>5</vt:i4>
      </vt:variant>
      <vt:variant>
        <vt:lpwstr/>
      </vt:variant>
      <vt:variant>
        <vt:lpwstr>_Toc515289374</vt:lpwstr>
      </vt:variant>
      <vt:variant>
        <vt:i4>1703995</vt:i4>
      </vt:variant>
      <vt:variant>
        <vt:i4>14</vt:i4>
      </vt:variant>
      <vt:variant>
        <vt:i4>0</vt:i4>
      </vt:variant>
      <vt:variant>
        <vt:i4>5</vt:i4>
      </vt:variant>
      <vt:variant>
        <vt:lpwstr/>
      </vt:variant>
      <vt:variant>
        <vt:lpwstr>_Toc515289373</vt:lpwstr>
      </vt:variant>
      <vt:variant>
        <vt:i4>1703995</vt:i4>
      </vt:variant>
      <vt:variant>
        <vt:i4>8</vt:i4>
      </vt:variant>
      <vt:variant>
        <vt:i4>0</vt:i4>
      </vt:variant>
      <vt:variant>
        <vt:i4>5</vt:i4>
      </vt:variant>
      <vt:variant>
        <vt:lpwstr/>
      </vt:variant>
      <vt:variant>
        <vt:lpwstr>_Toc515289372</vt:lpwstr>
      </vt:variant>
      <vt:variant>
        <vt:i4>1703995</vt:i4>
      </vt:variant>
      <vt:variant>
        <vt:i4>2</vt:i4>
      </vt:variant>
      <vt:variant>
        <vt:i4>0</vt:i4>
      </vt:variant>
      <vt:variant>
        <vt:i4>5</vt:i4>
      </vt:variant>
      <vt:variant>
        <vt:lpwstr/>
      </vt:variant>
      <vt:variant>
        <vt:lpwstr>_Toc515289371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Year</dc:title>
  <dc:subject/>
  <dc:creator>Daniel Nellor</dc:creator>
  <cp:keywords/>
  <cp:lastModifiedBy>Jo Stocovaz</cp:lastModifiedBy>
  <cp:revision>3</cp:revision>
  <cp:lastPrinted>1900-12-31T14:00:00Z</cp:lastPrinted>
  <dcterms:created xsi:type="dcterms:W3CDTF">2020-06-24T03:59:00Z</dcterms:created>
  <dcterms:modified xsi:type="dcterms:W3CDTF">2020-06-24T07:10:00Z</dcterms:modified>
</cp:coreProperties>
</file>