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3C552" w14:textId="401DC30A" w:rsidR="00A355F9" w:rsidRPr="00BC5BB7" w:rsidRDefault="00BC5BB7" w:rsidP="00A355F9">
      <w:pPr>
        <w:pStyle w:val="MainTitle"/>
        <w:rPr>
          <w:sz w:val="40"/>
          <w:szCs w:val="20"/>
        </w:rPr>
      </w:pPr>
      <w:r w:rsidRPr="00BC5BB7">
        <w:rPr>
          <w:sz w:val="40"/>
          <w:szCs w:val="20"/>
        </w:rPr>
        <w:t xml:space="preserve">Mr </w:t>
      </w:r>
      <w:proofErr w:type="spellStart"/>
      <w:r w:rsidRPr="00BC5BB7">
        <w:rPr>
          <w:sz w:val="40"/>
          <w:szCs w:val="20"/>
        </w:rPr>
        <w:t>Andrwas</w:t>
      </w:r>
      <w:proofErr w:type="spellEnd"/>
      <w:r w:rsidRPr="00BC5BB7">
        <w:rPr>
          <w:sz w:val="40"/>
          <w:szCs w:val="20"/>
        </w:rPr>
        <w:t xml:space="preserve"> v The Commonwealth of Australia (Department of Home Affairs)</w:t>
      </w:r>
    </w:p>
    <w:p w14:paraId="71D6750B" w14:textId="2851C987" w:rsidR="002B124B" w:rsidRPr="00501C2D" w:rsidRDefault="00BC5BB7" w:rsidP="00501C2D">
      <w:pPr>
        <w:spacing w:after="480"/>
        <w:jc w:val="right"/>
        <w:rPr>
          <w:b/>
          <w:bCs/>
          <w:sz w:val="32"/>
          <w:szCs w:val="32"/>
        </w:rPr>
      </w:pPr>
      <w:r w:rsidRPr="00501C2D">
        <w:rPr>
          <w:b/>
          <w:bCs/>
          <w:sz w:val="32"/>
          <w:szCs w:val="32"/>
        </w:rPr>
        <w:t xml:space="preserve">[2023] </w:t>
      </w:r>
      <w:proofErr w:type="spellStart"/>
      <w:r w:rsidRPr="00501C2D">
        <w:rPr>
          <w:b/>
          <w:bCs/>
          <w:sz w:val="32"/>
          <w:szCs w:val="32"/>
        </w:rPr>
        <w:t>AusHRC</w:t>
      </w:r>
      <w:proofErr w:type="spellEnd"/>
      <w:r w:rsidRPr="00501C2D">
        <w:rPr>
          <w:b/>
          <w:bCs/>
          <w:sz w:val="32"/>
          <w:szCs w:val="32"/>
        </w:rPr>
        <w:t xml:space="preserve"> 147</w:t>
      </w:r>
    </w:p>
    <w:p w14:paraId="7C65FFEB" w14:textId="47A563B8" w:rsidR="00BC5BB7" w:rsidRPr="00E776E6" w:rsidRDefault="00BC5BB7" w:rsidP="00501C2D">
      <w:pPr>
        <w:spacing w:after="480"/>
        <w:jc w:val="right"/>
        <w:rPr>
          <w:sz w:val="28"/>
          <w:szCs w:val="28"/>
        </w:rPr>
      </w:pPr>
      <w:r w:rsidRPr="00E776E6">
        <w:rPr>
          <w:sz w:val="28"/>
          <w:szCs w:val="28"/>
        </w:rPr>
        <w:fldChar w:fldCharType="begin"/>
      </w:r>
      <w:r w:rsidRPr="00E776E6">
        <w:rPr>
          <w:sz w:val="28"/>
          <w:szCs w:val="28"/>
        </w:rPr>
        <w:instrText xml:space="preserve"> CREATEDATE  \@ "MMMM yyyy"  \* MERGEFORMAT </w:instrText>
      </w:r>
      <w:r w:rsidRPr="00E776E6">
        <w:rPr>
          <w:sz w:val="28"/>
          <w:szCs w:val="28"/>
        </w:rPr>
        <w:fldChar w:fldCharType="separate"/>
      </w:r>
      <w:r w:rsidR="00FC10F9">
        <w:rPr>
          <w:noProof/>
          <w:sz w:val="28"/>
          <w:szCs w:val="28"/>
        </w:rPr>
        <w:t>March</w:t>
      </w:r>
      <w:r w:rsidRPr="00E776E6">
        <w:rPr>
          <w:rFonts w:cs="Arial"/>
          <w:noProof/>
          <w:sz w:val="28"/>
          <w:szCs w:val="28"/>
        </w:rPr>
        <w:t xml:space="preserve"> 2023</w:t>
      </w:r>
      <w:r w:rsidRPr="00E776E6">
        <w:rPr>
          <w:rFonts w:cs="Arial"/>
          <w:sz w:val="28"/>
          <w:szCs w:val="28"/>
        </w:rPr>
        <w:fldChar w:fldCharType="end"/>
      </w:r>
    </w:p>
    <w:p w14:paraId="7E9080FA" w14:textId="7017CE6F" w:rsidR="009E4BD0" w:rsidRPr="00AC636D" w:rsidRDefault="00961135" w:rsidP="00961135">
      <w:pPr>
        <w:jc w:val="right"/>
        <w:sectPr w:rsidR="009E4BD0" w:rsidRPr="00AC636D" w:rsidSect="00AC636D">
          <w:headerReference w:type="even" r:id="rId14"/>
          <w:headerReference w:type="default" r:id="rId15"/>
          <w:headerReference w:type="first" r:id="rId16"/>
          <w:footerReference w:type="first" r:id="rId17"/>
          <w:type w:val="continuous"/>
          <w:pgSz w:w="11906" w:h="16838" w:code="9"/>
          <w:pgMar w:top="228" w:right="1700" w:bottom="1134" w:left="1418" w:header="277" w:footer="1361" w:gutter="0"/>
          <w:pgNumType w:start="2"/>
          <w:cols w:space="708"/>
          <w:titlePg/>
          <w:docGrid w:linePitch="360"/>
        </w:sectPr>
      </w:pPr>
      <w:r w:rsidRPr="00E60C48">
        <w:rPr>
          <w:rFonts w:cs="Open Sans"/>
          <w:color w:val="0070C0"/>
        </w:rPr>
        <w:t xml:space="preserve">  </w:t>
      </w:r>
    </w:p>
    <w:p w14:paraId="404F5F14" w14:textId="77777777" w:rsidR="003D76F4" w:rsidRDefault="003D76F4" w:rsidP="00371F6C">
      <w:pPr>
        <w:rPr>
          <w:rFonts w:cs="Open Sans"/>
          <w:b/>
          <w:bCs/>
          <w:sz w:val="36"/>
          <w:szCs w:val="36"/>
        </w:rPr>
      </w:pPr>
    </w:p>
    <w:p w14:paraId="7F005FB3" w14:textId="77777777" w:rsidR="0095169A" w:rsidRDefault="0095169A" w:rsidP="00371F6C">
      <w:pPr>
        <w:rPr>
          <w:rFonts w:cs="Open Sans"/>
          <w:b/>
          <w:bCs/>
          <w:sz w:val="36"/>
          <w:szCs w:val="36"/>
        </w:rPr>
      </w:pPr>
    </w:p>
    <w:p w14:paraId="7428C64A" w14:textId="744B120D" w:rsidR="00371F6C" w:rsidRDefault="00371F6C" w:rsidP="00371F6C">
      <w:pPr>
        <w:rPr>
          <w:rFonts w:cs="Open Sans"/>
          <w:b/>
          <w:bCs/>
          <w:sz w:val="36"/>
          <w:szCs w:val="36"/>
        </w:rPr>
      </w:pPr>
      <w:r>
        <w:rPr>
          <w:rFonts w:cs="Open Sans"/>
          <w:b/>
          <w:bCs/>
          <w:sz w:val="36"/>
          <w:szCs w:val="36"/>
        </w:rPr>
        <w:t xml:space="preserve">Mr </w:t>
      </w:r>
      <w:proofErr w:type="spellStart"/>
      <w:r>
        <w:rPr>
          <w:rFonts w:cs="Open Sans"/>
          <w:b/>
          <w:bCs/>
          <w:sz w:val="36"/>
          <w:szCs w:val="36"/>
        </w:rPr>
        <w:t>Andrwas</w:t>
      </w:r>
      <w:proofErr w:type="spellEnd"/>
      <w:r>
        <w:rPr>
          <w:rFonts w:cs="Open Sans"/>
          <w:b/>
          <w:bCs/>
          <w:sz w:val="36"/>
          <w:szCs w:val="36"/>
        </w:rPr>
        <w:t xml:space="preserve"> v Commonwealth of Australia (Department of Home Affairs)</w:t>
      </w:r>
    </w:p>
    <w:p w14:paraId="5B4C09CE" w14:textId="77777777" w:rsidR="00371F6C" w:rsidRDefault="00371F6C" w:rsidP="00371F6C">
      <w:pPr>
        <w:rPr>
          <w:rFonts w:cs="Open Sans"/>
          <w:b/>
          <w:bCs/>
        </w:rPr>
      </w:pPr>
    </w:p>
    <w:p w14:paraId="0F2106AB" w14:textId="7D64D5F0" w:rsidR="00371F6C" w:rsidRDefault="00371F6C" w:rsidP="00371F6C">
      <w:pPr>
        <w:rPr>
          <w:rFonts w:cs="Open Sans"/>
        </w:rPr>
      </w:pPr>
      <w:r w:rsidRPr="008C7B94">
        <w:rPr>
          <w:rFonts w:cs="Open Sans"/>
          <w:sz w:val="32"/>
          <w:szCs w:val="32"/>
        </w:rPr>
        <w:t>[</w:t>
      </w:r>
      <w:r w:rsidRPr="00990D51">
        <w:rPr>
          <w:rFonts w:cs="Open Sans"/>
          <w:sz w:val="32"/>
          <w:szCs w:val="32"/>
        </w:rPr>
        <w:t>202</w:t>
      </w:r>
      <w:r>
        <w:rPr>
          <w:rFonts w:cs="Open Sans"/>
          <w:sz w:val="32"/>
          <w:szCs w:val="32"/>
        </w:rPr>
        <w:t>3</w:t>
      </w:r>
      <w:r w:rsidRPr="00990D51">
        <w:rPr>
          <w:rFonts w:cs="Open Sans"/>
          <w:sz w:val="32"/>
          <w:szCs w:val="32"/>
        </w:rPr>
        <w:t xml:space="preserve">] </w:t>
      </w:r>
      <w:proofErr w:type="spellStart"/>
      <w:r w:rsidRPr="00990D51">
        <w:rPr>
          <w:rFonts w:cs="Open Sans"/>
          <w:sz w:val="32"/>
          <w:szCs w:val="32"/>
        </w:rPr>
        <w:t>AusHRC</w:t>
      </w:r>
      <w:proofErr w:type="spellEnd"/>
      <w:r>
        <w:rPr>
          <w:rFonts w:cs="Open Sans"/>
          <w:sz w:val="32"/>
          <w:szCs w:val="32"/>
        </w:rPr>
        <w:t xml:space="preserve"> </w:t>
      </w:r>
      <w:r w:rsidRPr="00990D51">
        <w:rPr>
          <w:rFonts w:cs="Open Sans"/>
          <w:sz w:val="32"/>
          <w:szCs w:val="32"/>
        </w:rPr>
        <w:t>14</w:t>
      </w:r>
      <w:r>
        <w:rPr>
          <w:rFonts w:cs="Open Sans"/>
          <w:sz w:val="32"/>
          <w:szCs w:val="32"/>
        </w:rPr>
        <w:t>7</w:t>
      </w:r>
    </w:p>
    <w:p w14:paraId="01099801" w14:textId="77777777" w:rsidR="00371F6C" w:rsidRDefault="00371F6C" w:rsidP="00371F6C">
      <w:pPr>
        <w:rPr>
          <w:rFonts w:cs="Open Sans"/>
        </w:rPr>
      </w:pPr>
    </w:p>
    <w:p w14:paraId="68191595" w14:textId="77777777" w:rsidR="00371F6C" w:rsidRDefault="00371F6C" w:rsidP="00371F6C">
      <w:pPr>
        <w:rPr>
          <w:rFonts w:cs="Open Sans"/>
          <w:i/>
          <w:iCs/>
        </w:rPr>
      </w:pPr>
      <w:r w:rsidRPr="00311321">
        <w:rPr>
          <w:rFonts w:cs="Open Sans"/>
          <w:i/>
          <w:iCs/>
        </w:rPr>
        <w:t xml:space="preserve">Report into </w:t>
      </w:r>
      <w:r>
        <w:rPr>
          <w:rFonts w:cs="Open Sans"/>
          <w:i/>
          <w:iCs/>
        </w:rPr>
        <w:t>a safe place of detention</w:t>
      </w:r>
    </w:p>
    <w:p w14:paraId="255DF050" w14:textId="115D81AE" w:rsidR="00371F6C" w:rsidRDefault="00371F6C" w:rsidP="00371F6C">
      <w:pPr>
        <w:rPr>
          <w:rFonts w:cs="Open Sans"/>
        </w:rPr>
      </w:pPr>
      <w:r>
        <w:rPr>
          <w:rFonts w:cs="Open Sans"/>
        </w:rPr>
        <w:t xml:space="preserve">Australian Human Rights Commission 2023 </w:t>
      </w:r>
    </w:p>
    <w:p w14:paraId="3BA3983F" w14:textId="77777777" w:rsidR="0095169A" w:rsidRDefault="00371F6C" w:rsidP="003D76F4">
      <w:pPr>
        <w:spacing w:before="0" w:after="0"/>
      </w:pPr>
      <w:r>
        <w:br w:type="page"/>
      </w:r>
    </w:p>
    <w:p w14:paraId="4360D152" w14:textId="77777777" w:rsidR="0095169A" w:rsidRPr="00CD5013" w:rsidRDefault="0095169A" w:rsidP="003D76F4">
      <w:pPr>
        <w:spacing w:before="0" w:after="0"/>
        <w:rPr>
          <w:sz w:val="22"/>
          <w:szCs w:val="22"/>
        </w:rPr>
      </w:pPr>
    </w:p>
    <w:p w14:paraId="4AC88212" w14:textId="0E147F35" w:rsidR="003D76F4" w:rsidRPr="00CD5013" w:rsidRDefault="003D76F4" w:rsidP="003D76F4">
      <w:pPr>
        <w:spacing w:before="0" w:after="0"/>
        <w:rPr>
          <w:sz w:val="22"/>
          <w:szCs w:val="22"/>
        </w:rPr>
      </w:pPr>
      <w:r w:rsidRPr="00CD5013">
        <w:rPr>
          <w:rFonts w:cs="Open Sans"/>
          <w:sz w:val="22"/>
          <w:szCs w:val="22"/>
        </w:rPr>
        <w:t>The Hon Mark Dreyfus QC MP</w:t>
      </w:r>
      <w:r w:rsidRPr="00CD5013">
        <w:rPr>
          <w:rFonts w:cs="Open Sans"/>
          <w:sz w:val="22"/>
          <w:szCs w:val="22"/>
        </w:rPr>
        <w:tab/>
      </w:r>
      <w:r w:rsidRPr="00CD5013">
        <w:rPr>
          <w:rFonts w:cs="Open Sans"/>
          <w:sz w:val="22"/>
          <w:szCs w:val="22"/>
        </w:rPr>
        <w:br/>
        <w:t>Attorney-General</w:t>
      </w:r>
      <w:r w:rsidRPr="00CD5013">
        <w:rPr>
          <w:rFonts w:cs="Open Sans"/>
          <w:sz w:val="22"/>
          <w:szCs w:val="22"/>
        </w:rPr>
        <w:br/>
        <w:t>Parliament House</w:t>
      </w:r>
      <w:r w:rsidRPr="00CD5013">
        <w:rPr>
          <w:rFonts w:cs="Open Sans"/>
          <w:sz w:val="22"/>
          <w:szCs w:val="22"/>
        </w:rPr>
        <w:br/>
        <w:t xml:space="preserve">Canberra ACT 2600 </w:t>
      </w:r>
    </w:p>
    <w:p w14:paraId="0932DB83" w14:textId="09C4A776" w:rsidR="003D76F4" w:rsidRPr="00CD5013" w:rsidRDefault="003D76F4" w:rsidP="003D76F4">
      <w:pPr>
        <w:rPr>
          <w:rFonts w:cs="Open Sans"/>
          <w:sz w:val="22"/>
          <w:szCs w:val="22"/>
        </w:rPr>
      </w:pPr>
      <w:r w:rsidRPr="00CD5013">
        <w:rPr>
          <w:rFonts w:cs="Open Sans"/>
          <w:sz w:val="22"/>
          <w:szCs w:val="22"/>
        </w:rPr>
        <w:br/>
        <w:t>Dear Attorney</w:t>
      </w:r>
    </w:p>
    <w:p w14:paraId="7F1BE470" w14:textId="51BEBC99" w:rsidR="003D76F4" w:rsidRPr="00CD5013" w:rsidRDefault="003D76F4" w:rsidP="003D76F4">
      <w:pPr>
        <w:spacing w:before="0" w:after="0"/>
        <w:rPr>
          <w:rFonts w:cs="Open Sans"/>
          <w:sz w:val="22"/>
          <w:szCs w:val="22"/>
        </w:rPr>
      </w:pPr>
      <w:r w:rsidRPr="00CD5013">
        <w:rPr>
          <w:rFonts w:cs="Open Sans"/>
          <w:sz w:val="22"/>
          <w:szCs w:val="22"/>
        </w:rPr>
        <w:t xml:space="preserve">I have completed my report pursuant to section 11(1)(f) of the </w:t>
      </w:r>
      <w:r w:rsidRPr="00CD5013">
        <w:rPr>
          <w:rFonts w:cs="Open Sans"/>
          <w:i/>
          <w:iCs/>
          <w:sz w:val="22"/>
          <w:szCs w:val="22"/>
        </w:rPr>
        <w:t xml:space="preserve">Australian Human Rights Commission Act 1986 </w:t>
      </w:r>
      <w:r w:rsidRPr="00CD5013">
        <w:rPr>
          <w:rFonts w:cs="Open Sans"/>
          <w:sz w:val="22"/>
          <w:szCs w:val="22"/>
        </w:rPr>
        <w:t>(</w:t>
      </w:r>
      <w:proofErr w:type="spellStart"/>
      <w:r w:rsidRPr="00CD5013">
        <w:rPr>
          <w:rFonts w:cs="Open Sans"/>
          <w:sz w:val="22"/>
          <w:szCs w:val="22"/>
        </w:rPr>
        <w:t>Cth</w:t>
      </w:r>
      <w:proofErr w:type="spellEnd"/>
      <w:r w:rsidRPr="00CD5013">
        <w:rPr>
          <w:rFonts w:cs="Open Sans"/>
          <w:sz w:val="22"/>
          <w:szCs w:val="22"/>
        </w:rPr>
        <w:t>)</w:t>
      </w:r>
      <w:r w:rsidRPr="00CD5013">
        <w:rPr>
          <w:rFonts w:cs="Open Sans"/>
          <w:i/>
          <w:iCs/>
          <w:sz w:val="22"/>
          <w:szCs w:val="22"/>
        </w:rPr>
        <w:t xml:space="preserve"> </w:t>
      </w:r>
      <w:r w:rsidRPr="00CD5013">
        <w:rPr>
          <w:rFonts w:cs="Open Sans"/>
          <w:sz w:val="22"/>
          <w:szCs w:val="22"/>
        </w:rPr>
        <w:t xml:space="preserve">(AHRC Act) into the human rights complaint of </w:t>
      </w:r>
      <w:r w:rsidRPr="00CD5013">
        <w:rPr>
          <w:sz w:val="22"/>
          <w:szCs w:val="22"/>
        </w:rPr>
        <w:t xml:space="preserve">Mr </w:t>
      </w:r>
      <w:r w:rsidR="0095169A" w:rsidRPr="00CD5013">
        <w:rPr>
          <w:sz w:val="22"/>
          <w:szCs w:val="22"/>
        </w:rPr>
        <w:t xml:space="preserve">Issa </w:t>
      </w:r>
      <w:proofErr w:type="spellStart"/>
      <w:r w:rsidR="0095169A" w:rsidRPr="00CD5013">
        <w:rPr>
          <w:sz w:val="22"/>
          <w:szCs w:val="22"/>
        </w:rPr>
        <w:t>Andrwas</w:t>
      </w:r>
      <w:proofErr w:type="spellEnd"/>
      <w:r w:rsidRPr="00CD5013">
        <w:rPr>
          <w:rFonts w:cs="Open Sans"/>
          <w:sz w:val="22"/>
          <w:szCs w:val="22"/>
        </w:rPr>
        <w:t xml:space="preserve"> alleging a breach of his human rights by the Department of Home Affairs (the Department). </w:t>
      </w:r>
    </w:p>
    <w:p w14:paraId="6C179133" w14:textId="77777777" w:rsidR="003D76F4" w:rsidRPr="00CD5013" w:rsidRDefault="003D76F4" w:rsidP="003D76F4">
      <w:pPr>
        <w:spacing w:before="0" w:after="0"/>
        <w:rPr>
          <w:rFonts w:cs="Open Sans"/>
          <w:sz w:val="22"/>
          <w:szCs w:val="22"/>
        </w:rPr>
      </w:pPr>
    </w:p>
    <w:p w14:paraId="5F2A3CC0" w14:textId="733E3352" w:rsidR="003D76F4" w:rsidRPr="00CD5013" w:rsidRDefault="003D76F4" w:rsidP="003D76F4">
      <w:pPr>
        <w:spacing w:before="0" w:after="0"/>
        <w:rPr>
          <w:rFonts w:cs="Open Sans"/>
          <w:sz w:val="22"/>
          <w:szCs w:val="22"/>
        </w:rPr>
      </w:pPr>
      <w:r w:rsidRPr="00CD5013">
        <w:rPr>
          <w:rFonts w:cs="Open Sans"/>
          <w:sz w:val="22"/>
          <w:szCs w:val="22"/>
        </w:rPr>
        <w:t xml:space="preserve">Mr </w:t>
      </w:r>
      <w:proofErr w:type="spellStart"/>
      <w:r w:rsidR="00B23A0D" w:rsidRPr="00CD5013">
        <w:rPr>
          <w:rFonts w:cs="Open Sans"/>
          <w:sz w:val="22"/>
          <w:szCs w:val="22"/>
        </w:rPr>
        <w:t>Andrwas</w:t>
      </w:r>
      <w:proofErr w:type="spellEnd"/>
      <w:r w:rsidRPr="00CD5013">
        <w:rPr>
          <w:rFonts w:cs="Open Sans"/>
          <w:sz w:val="22"/>
          <w:szCs w:val="22"/>
        </w:rPr>
        <w:t xml:space="preserve"> complains that he was not provided with a safe place of detention whilst </w:t>
      </w:r>
      <w:r w:rsidR="00220849" w:rsidRPr="00CD5013">
        <w:rPr>
          <w:rFonts w:cs="Open Sans"/>
          <w:sz w:val="22"/>
          <w:szCs w:val="22"/>
        </w:rPr>
        <w:t>detained</w:t>
      </w:r>
      <w:r w:rsidRPr="00CD5013">
        <w:rPr>
          <w:rFonts w:cs="Open Sans"/>
          <w:sz w:val="22"/>
          <w:szCs w:val="22"/>
        </w:rPr>
        <w:t xml:space="preserve"> at </w:t>
      </w:r>
      <w:r w:rsidR="00A85A0E" w:rsidRPr="00CD5013">
        <w:rPr>
          <w:rFonts w:cs="Open Sans"/>
          <w:sz w:val="22"/>
          <w:szCs w:val="22"/>
        </w:rPr>
        <w:t xml:space="preserve">Villawood Immigration Detention Centre in </w:t>
      </w:r>
      <w:r w:rsidR="00BC3B9B" w:rsidRPr="00CD5013">
        <w:rPr>
          <w:rFonts w:cs="Open Sans"/>
          <w:sz w:val="22"/>
          <w:szCs w:val="22"/>
        </w:rPr>
        <w:t xml:space="preserve">Sydney. </w:t>
      </w:r>
    </w:p>
    <w:p w14:paraId="726968E4" w14:textId="77777777" w:rsidR="003D76F4" w:rsidRPr="00CD5013" w:rsidRDefault="003D76F4" w:rsidP="003D76F4">
      <w:pPr>
        <w:spacing w:before="0" w:after="0"/>
        <w:rPr>
          <w:rFonts w:cs="Open Sans"/>
          <w:sz w:val="22"/>
          <w:szCs w:val="22"/>
        </w:rPr>
      </w:pPr>
    </w:p>
    <w:p w14:paraId="50E9D62F" w14:textId="21F95B13" w:rsidR="003D76F4" w:rsidRPr="00CD5013" w:rsidRDefault="003D76F4" w:rsidP="003D76F4">
      <w:pPr>
        <w:spacing w:before="0" w:after="0"/>
        <w:rPr>
          <w:rFonts w:cs="Open Sans"/>
          <w:sz w:val="22"/>
          <w:szCs w:val="22"/>
        </w:rPr>
      </w:pPr>
      <w:r w:rsidRPr="00CD5013">
        <w:rPr>
          <w:rFonts w:cs="Open Sans"/>
          <w:sz w:val="22"/>
          <w:szCs w:val="22"/>
        </w:rPr>
        <w:t xml:space="preserve">As a result of this inquiry, I have found that the following act of the </w:t>
      </w:r>
      <w:r w:rsidR="005C2E91" w:rsidRPr="00CD5013">
        <w:rPr>
          <w:rFonts w:cs="Open Sans"/>
          <w:sz w:val="22"/>
          <w:szCs w:val="22"/>
        </w:rPr>
        <w:t>Commonwealth was</w:t>
      </w:r>
      <w:r w:rsidRPr="00CD5013">
        <w:rPr>
          <w:rFonts w:cs="Open Sans"/>
          <w:sz w:val="22"/>
          <w:szCs w:val="22"/>
        </w:rPr>
        <w:t xml:space="preserve"> inconsistent with or contrary to </w:t>
      </w:r>
      <w:r w:rsidR="00D13208" w:rsidRPr="00CD5013">
        <w:rPr>
          <w:rFonts w:cs="Open Sans"/>
          <w:sz w:val="22"/>
          <w:szCs w:val="22"/>
        </w:rPr>
        <w:t xml:space="preserve">Mr </w:t>
      </w:r>
      <w:proofErr w:type="spellStart"/>
      <w:r w:rsidR="00D13208" w:rsidRPr="00CD5013">
        <w:rPr>
          <w:rFonts w:cs="Open Sans"/>
          <w:sz w:val="22"/>
          <w:szCs w:val="22"/>
        </w:rPr>
        <w:t>Andrwas</w:t>
      </w:r>
      <w:proofErr w:type="spellEnd"/>
      <w:r w:rsidR="00D13208" w:rsidRPr="00CD5013">
        <w:rPr>
          <w:rFonts w:cs="Open Sans"/>
          <w:sz w:val="22"/>
          <w:szCs w:val="22"/>
        </w:rPr>
        <w:t xml:space="preserve">’ rights under </w:t>
      </w:r>
      <w:r w:rsidR="00B23A0D" w:rsidRPr="00CD5013">
        <w:rPr>
          <w:rFonts w:cs="Open Sans"/>
          <w:sz w:val="22"/>
          <w:szCs w:val="22"/>
        </w:rPr>
        <w:t xml:space="preserve">article 10(1) of the </w:t>
      </w:r>
      <w:r w:rsidR="00B23A0D" w:rsidRPr="00CD5013">
        <w:rPr>
          <w:rFonts w:cs="Open Sans"/>
          <w:i/>
          <w:iCs/>
          <w:sz w:val="22"/>
          <w:szCs w:val="22"/>
        </w:rPr>
        <w:t xml:space="preserve">International Covenant on Civil and Political Rights </w:t>
      </w:r>
      <w:r w:rsidR="00B23A0D" w:rsidRPr="00CD5013">
        <w:rPr>
          <w:rFonts w:cs="Open Sans"/>
          <w:sz w:val="22"/>
          <w:szCs w:val="22"/>
        </w:rPr>
        <w:t>(ICCPR</w:t>
      </w:r>
      <w:r w:rsidR="00A13061" w:rsidRPr="00CD5013">
        <w:rPr>
          <w:rFonts w:cs="Open Sans"/>
          <w:sz w:val="22"/>
          <w:szCs w:val="22"/>
        </w:rPr>
        <w:t>):</w:t>
      </w:r>
    </w:p>
    <w:p w14:paraId="3909C5FE" w14:textId="3AD0120A" w:rsidR="003D76F4" w:rsidRPr="00CD5013" w:rsidRDefault="002F703A" w:rsidP="000F7824">
      <w:pPr>
        <w:pStyle w:val="ListParagraph"/>
        <w:numPr>
          <w:ilvl w:val="0"/>
          <w:numId w:val="34"/>
        </w:numPr>
        <w:ind w:left="782" w:hanging="357"/>
        <w:rPr>
          <w:rFonts w:cs="Open Sans"/>
          <w:sz w:val="22"/>
          <w:szCs w:val="22"/>
        </w:rPr>
      </w:pPr>
      <w:r w:rsidRPr="00CD5013">
        <w:rPr>
          <w:sz w:val="22"/>
          <w:szCs w:val="22"/>
        </w:rPr>
        <w:t xml:space="preserve">the decision of the Department or Serco Australia Pty Ltd (Serco) to continue to detain Mr </w:t>
      </w:r>
      <w:proofErr w:type="spellStart"/>
      <w:r w:rsidRPr="00CD5013">
        <w:rPr>
          <w:sz w:val="22"/>
          <w:szCs w:val="22"/>
        </w:rPr>
        <w:t>Andrwas</w:t>
      </w:r>
      <w:proofErr w:type="spellEnd"/>
      <w:r w:rsidRPr="00CD5013">
        <w:rPr>
          <w:sz w:val="22"/>
          <w:szCs w:val="22"/>
        </w:rPr>
        <w:t xml:space="preserve"> in the Lachlan compound in Villawood following assaults on him on 11 November 2017 and 24 November 2017 by other detainees without undertaking a documented risk assessment process or other action to protect his safety.</w:t>
      </w:r>
    </w:p>
    <w:p w14:paraId="46FD7079" w14:textId="462F7310" w:rsidR="003D76F4" w:rsidRPr="00CD5013" w:rsidRDefault="003D76F4" w:rsidP="003D76F4">
      <w:pPr>
        <w:spacing w:before="0" w:after="0"/>
        <w:rPr>
          <w:rFonts w:cs="Open Sans"/>
          <w:sz w:val="22"/>
          <w:szCs w:val="22"/>
        </w:rPr>
      </w:pPr>
      <w:r w:rsidRPr="00CD5013">
        <w:rPr>
          <w:rFonts w:cs="Open Sans"/>
          <w:sz w:val="22"/>
          <w:szCs w:val="22"/>
        </w:rPr>
        <w:t>Pursuant to section 29(2)(b) of the AHRC Act, I have included</w:t>
      </w:r>
      <w:r w:rsidR="00382566" w:rsidRPr="00CD5013">
        <w:rPr>
          <w:rFonts w:cs="Open Sans"/>
          <w:sz w:val="22"/>
          <w:szCs w:val="22"/>
        </w:rPr>
        <w:t xml:space="preserve"> five</w:t>
      </w:r>
      <w:r w:rsidRPr="00CD5013">
        <w:rPr>
          <w:rFonts w:cs="Open Sans"/>
          <w:sz w:val="22"/>
          <w:szCs w:val="22"/>
        </w:rPr>
        <w:t xml:space="preserve"> recommendations to the Department in this report. </w:t>
      </w:r>
    </w:p>
    <w:p w14:paraId="03D0AB93" w14:textId="77777777" w:rsidR="003D76F4" w:rsidRPr="00CD5013" w:rsidRDefault="003D76F4" w:rsidP="003D76F4">
      <w:pPr>
        <w:spacing w:before="0" w:after="0"/>
        <w:rPr>
          <w:rFonts w:cs="Open Sans"/>
          <w:sz w:val="22"/>
          <w:szCs w:val="22"/>
        </w:rPr>
      </w:pPr>
    </w:p>
    <w:p w14:paraId="7752E32B" w14:textId="2F97B8DC" w:rsidR="003D76F4" w:rsidRPr="00CD5013" w:rsidRDefault="003D76F4" w:rsidP="003D76F4">
      <w:pPr>
        <w:spacing w:before="0" w:after="0"/>
        <w:rPr>
          <w:rFonts w:cs="Open Sans"/>
          <w:sz w:val="22"/>
          <w:szCs w:val="22"/>
        </w:rPr>
      </w:pPr>
      <w:r w:rsidRPr="00CD5013">
        <w:rPr>
          <w:rFonts w:cs="Open Sans"/>
          <w:sz w:val="22"/>
          <w:szCs w:val="22"/>
        </w:rPr>
        <w:t xml:space="preserve">On </w:t>
      </w:r>
      <w:r w:rsidR="00A61551" w:rsidRPr="00CD5013">
        <w:rPr>
          <w:rFonts w:cs="Open Sans"/>
          <w:sz w:val="22"/>
          <w:szCs w:val="22"/>
        </w:rPr>
        <w:t>12 October 2022</w:t>
      </w:r>
      <w:r w:rsidRPr="00CD5013">
        <w:rPr>
          <w:rFonts w:cs="Open Sans"/>
          <w:sz w:val="22"/>
          <w:szCs w:val="22"/>
        </w:rPr>
        <w:t xml:space="preserve">, I provided the Department with a notice issued under section 29(2) of the AHRC Act setting out my findings and recommendations in this matter. The Department provided its response to my findings and recommendations on </w:t>
      </w:r>
      <w:r w:rsidR="00DD0AF8" w:rsidRPr="00CD5013">
        <w:rPr>
          <w:rFonts w:cs="Open Sans"/>
          <w:sz w:val="22"/>
          <w:szCs w:val="22"/>
        </w:rPr>
        <w:t>20 December 2022</w:t>
      </w:r>
      <w:r w:rsidRPr="00CD5013">
        <w:rPr>
          <w:rFonts w:cs="Open Sans"/>
          <w:sz w:val="22"/>
          <w:szCs w:val="22"/>
        </w:rPr>
        <w:t xml:space="preserve">. That response can be found in Part </w:t>
      </w:r>
      <w:r w:rsidR="00BB6C85" w:rsidRPr="00CD5013">
        <w:rPr>
          <w:rFonts w:cs="Open Sans"/>
          <w:sz w:val="22"/>
          <w:szCs w:val="22"/>
        </w:rPr>
        <w:t>10</w:t>
      </w:r>
      <w:r w:rsidRPr="00CD5013">
        <w:rPr>
          <w:rFonts w:cs="Open Sans"/>
          <w:sz w:val="22"/>
          <w:szCs w:val="22"/>
        </w:rPr>
        <w:t xml:space="preserve"> of this report.</w:t>
      </w:r>
    </w:p>
    <w:p w14:paraId="41E1CE60" w14:textId="77777777" w:rsidR="003D76F4" w:rsidRPr="00CD5013" w:rsidRDefault="003D76F4" w:rsidP="003D76F4">
      <w:pPr>
        <w:rPr>
          <w:rFonts w:cs="Open Sans"/>
          <w:sz w:val="22"/>
          <w:szCs w:val="22"/>
        </w:rPr>
      </w:pPr>
      <w:r w:rsidRPr="00CD5013">
        <w:rPr>
          <w:rFonts w:cs="Open Sans"/>
          <w:sz w:val="22"/>
          <w:szCs w:val="22"/>
        </w:rPr>
        <w:t>I enclose a copy of my report.</w:t>
      </w:r>
    </w:p>
    <w:p w14:paraId="0EB70621" w14:textId="77777777" w:rsidR="003D76F4" w:rsidRPr="00CD5013" w:rsidRDefault="003D76F4" w:rsidP="003D76F4">
      <w:pPr>
        <w:rPr>
          <w:rFonts w:cs="Open Sans"/>
          <w:sz w:val="22"/>
          <w:szCs w:val="22"/>
        </w:rPr>
      </w:pPr>
      <w:r w:rsidRPr="00CD5013">
        <w:rPr>
          <w:rFonts w:cs="Open Sans"/>
          <w:sz w:val="22"/>
          <w:szCs w:val="22"/>
        </w:rPr>
        <w:t>Yours sincerely,</w:t>
      </w:r>
    </w:p>
    <w:p w14:paraId="1E72DDE2" w14:textId="6D52B952" w:rsidR="003D76F4" w:rsidRPr="00CD5013" w:rsidRDefault="00A77564" w:rsidP="003D76F4">
      <w:pPr>
        <w:rPr>
          <w:rFonts w:cs="Open Sans"/>
          <w:sz w:val="22"/>
          <w:szCs w:val="22"/>
        </w:rPr>
      </w:pPr>
      <w:r w:rsidRPr="00CD5013">
        <w:rPr>
          <w:rFonts w:cs="Open Sans"/>
          <w:noProof/>
          <w:sz w:val="22"/>
          <w:szCs w:val="22"/>
        </w:rPr>
        <w:drawing>
          <wp:inline distT="0" distB="0" distL="0" distR="0" wp14:anchorId="729993FF" wp14:editId="4F4BA949">
            <wp:extent cx="1828800" cy="681187"/>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55953" cy="691301"/>
                    </a:xfrm>
                    <a:prstGeom prst="rect">
                      <a:avLst/>
                    </a:prstGeom>
                    <a:noFill/>
                    <a:ln>
                      <a:noFill/>
                    </a:ln>
                  </pic:spPr>
                </pic:pic>
              </a:graphicData>
            </a:graphic>
          </wp:inline>
        </w:drawing>
      </w:r>
    </w:p>
    <w:p w14:paraId="37B6DBED" w14:textId="77777777" w:rsidR="003D76F4" w:rsidRPr="00CD5013" w:rsidRDefault="003D76F4" w:rsidP="003D76F4">
      <w:pPr>
        <w:rPr>
          <w:rFonts w:cs="Open Sans"/>
          <w:b/>
          <w:bCs/>
          <w:sz w:val="22"/>
          <w:szCs w:val="22"/>
        </w:rPr>
      </w:pPr>
      <w:r w:rsidRPr="00CD5013">
        <w:rPr>
          <w:rFonts w:cs="Open Sans"/>
          <w:sz w:val="22"/>
          <w:szCs w:val="22"/>
        </w:rPr>
        <w:t>Emeritus Professor Rosalind Croucher AM</w:t>
      </w:r>
      <w:r w:rsidRPr="00CD5013">
        <w:rPr>
          <w:rFonts w:cs="Open Sans"/>
          <w:sz w:val="22"/>
          <w:szCs w:val="22"/>
        </w:rPr>
        <w:br/>
      </w:r>
      <w:r w:rsidRPr="00CD5013">
        <w:rPr>
          <w:rFonts w:cs="Open Sans"/>
          <w:b/>
          <w:bCs/>
          <w:sz w:val="22"/>
          <w:szCs w:val="22"/>
        </w:rPr>
        <w:t xml:space="preserve">President </w:t>
      </w:r>
    </w:p>
    <w:p w14:paraId="79F3ADBF" w14:textId="22570D00" w:rsidR="003D76F4" w:rsidRDefault="003D76F4" w:rsidP="003D76F4">
      <w:pPr>
        <w:spacing w:before="0" w:after="0"/>
        <w:rPr>
          <w:b/>
          <w:noProof/>
        </w:rPr>
      </w:pPr>
      <w:r w:rsidRPr="00CD5013">
        <w:rPr>
          <w:rFonts w:cs="Open Sans"/>
          <w:sz w:val="22"/>
          <w:szCs w:val="22"/>
        </w:rPr>
        <w:t>Australian Human Rights Commission</w:t>
      </w:r>
      <w:r w:rsidRPr="00CD5013">
        <w:rPr>
          <w:rFonts w:cs="Open Sans"/>
          <w:sz w:val="22"/>
          <w:szCs w:val="22"/>
        </w:rPr>
        <w:br/>
      </w:r>
      <w:r w:rsidR="00A77564" w:rsidRPr="00CD5013">
        <w:rPr>
          <w:bCs/>
          <w:noProof/>
          <w:sz w:val="22"/>
          <w:szCs w:val="22"/>
        </w:rPr>
        <w:t>3 March 2023</w:t>
      </w:r>
      <w:r w:rsidRPr="00CD5013">
        <w:rPr>
          <w:b/>
          <w:noProof/>
          <w:sz w:val="22"/>
          <w:szCs w:val="22"/>
        </w:rPr>
        <w:br w:type="page"/>
      </w:r>
    </w:p>
    <w:p w14:paraId="60BCEC77" w14:textId="77777777" w:rsidR="00371F6C" w:rsidRDefault="00371F6C">
      <w:pPr>
        <w:spacing w:before="0" w:after="0"/>
        <w:rPr>
          <w:b/>
          <w:noProof/>
        </w:rPr>
      </w:pPr>
    </w:p>
    <w:sdt>
      <w:sdtPr>
        <w:rPr>
          <w:rFonts w:eastAsiaTheme="minorHAnsi" w:cs="Open Sans"/>
          <w:b w:val="0"/>
          <w:sz w:val="22"/>
          <w:szCs w:val="22"/>
          <w:lang w:val="en-AU" w:eastAsia="en-AU"/>
        </w:rPr>
        <w:id w:val="-512752674"/>
        <w:docPartObj>
          <w:docPartGallery w:val="Table of Contents"/>
          <w:docPartUnique/>
        </w:docPartObj>
      </w:sdtPr>
      <w:sdtEndPr>
        <w:rPr>
          <w:rFonts w:eastAsia="MS Mincho"/>
          <w:bCs/>
          <w:noProof/>
          <w:sz w:val="24"/>
          <w:szCs w:val="24"/>
        </w:rPr>
      </w:sdtEndPr>
      <w:sdtContent>
        <w:p w14:paraId="3DEB0ED1" w14:textId="6F0C7599" w:rsidR="00201C9D" w:rsidRPr="00FC10F9" w:rsidRDefault="00201C9D" w:rsidP="00702200">
          <w:pPr>
            <w:pStyle w:val="TOCHeading"/>
            <w:rPr>
              <w:rFonts w:eastAsiaTheme="minorHAnsi" w:cs="Open Sans"/>
              <w:b w:val="0"/>
              <w:lang w:val="en-AU"/>
            </w:rPr>
          </w:pPr>
          <w:r w:rsidRPr="00FC10F9">
            <w:rPr>
              <w:rFonts w:cs="Open Sans"/>
            </w:rPr>
            <w:t>Contents</w:t>
          </w:r>
        </w:p>
        <w:p w14:paraId="7D0C139E" w14:textId="5D0145ED" w:rsidR="00A61551" w:rsidRDefault="00201C9D">
          <w:pPr>
            <w:pStyle w:val="TOC1"/>
            <w:rPr>
              <w:rFonts w:asciiTheme="minorHAnsi" w:eastAsiaTheme="minorEastAsia" w:hAnsiTheme="minorHAnsi" w:cstheme="minorBidi"/>
              <w:b w:val="0"/>
              <w:sz w:val="22"/>
              <w:szCs w:val="22"/>
            </w:rPr>
          </w:pPr>
          <w:r w:rsidRPr="00937A33">
            <w:rPr>
              <w:rFonts w:eastAsia="Times New Roman" w:cs="Open Sans"/>
              <w:noProof w:val="0"/>
              <w:spacing w:val="-5"/>
              <w:sz w:val="22"/>
              <w:szCs w:val="22"/>
            </w:rPr>
            <w:fldChar w:fldCharType="begin"/>
          </w:r>
          <w:r w:rsidRPr="00937A33">
            <w:rPr>
              <w:rFonts w:cs="Open Sans"/>
              <w:sz w:val="22"/>
              <w:szCs w:val="22"/>
            </w:rPr>
            <w:instrText xml:space="preserve"> TOC \o "1-3" \h \z \u </w:instrText>
          </w:r>
          <w:r w:rsidRPr="00937A33">
            <w:rPr>
              <w:rFonts w:eastAsia="Times New Roman" w:cs="Open Sans"/>
              <w:noProof w:val="0"/>
              <w:spacing w:val="-5"/>
              <w:sz w:val="22"/>
              <w:szCs w:val="22"/>
            </w:rPr>
            <w:fldChar w:fldCharType="separate"/>
          </w:r>
          <w:hyperlink w:anchor="_Toc123828280" w:history="1">
            <w:r w:rsidR="00A61551" w:rsidRPr="00B24843">
              <w:rPr>
                <w:rStyle w:val="Hyperlink"/>
                <w:rFonts w:cs="Open Sans"/>
              </w:rPr>
              <w:t>1</w:t>
            </w:r>
            <w:r w:rsidR="00A61551">
              <w:rPr>
                <w:rFonts w:asciiTheme="minorHAnsi" w:eastAsiaTheme="minorEastAsia" w:hAnsiTheme="minorHAnsi" w:cstheme="minorBidi"/>
                <w:b w:val="0"/>
                <w:sz w:val="22"/>
                <w:szCs w:val="22"/>
              </w:rPr>
              <w:tab/>
            </w:r>
            <w:r w:rsidR="00A61551" w:rsidRPr="00B24843">
              <w:rPr>
                <w:rStyle w:val="Hyperlink"/>
                <w:rFonts w:cs="Open Sans"/>
              </w:rPr>
              <w:t>Introduction to this inquiry</w:t>
            </w:r>
            <w:r w:rsidR="00A61551">
              <w:rPr>
                <w:webHidden/>
              </w:rPr>
              <w:tab/>
            </w:r>
            <w:r w:rsidR="00A61551">
              <w:rPr>
                <w:webHidden/>
              </w:rPr>
              <w:fldChar w:fldCharType="begin"/>
            </w:r>
            <w:r w:rsidR="00A61551">
              <w:rPr>
                <w:webHidden/>
              </w:rPr>
              <w:instrText xml:space="preserve"> PAGEREF _Toc123828280 \h </w:instrText>
            </w:r>
            <w:r w:rsidR="00A61551">
              <w:rPr>
                <w:webHidden/>
              </w:rPr>
            </w:r>
            <w:r w:rsidR="00A61551">
              <w:rPr>
                <w:webHidden/>
              </w:rPr>
              <w:fldChar w:fldCharType="separate"/>
            </w:r>
            <w:r w:rsidR="00A61551">
              <w:rPr>
                <w:webHidden/>
              </w:rPr>
              <w:t>6</w:t>
            </w:r>
            <w:r w:rsidR="00A61551">
              <w:rPr>
                <w:webHidden/>
              </w:rPr>
              <w:fldChar w:fldCharType="end"/>
            </w:r>
          </w:hyperlink>
        </w:p>
        <w:p w14:paraId="5359840A" w14:textId="2AF2FC90" w:rsidR="00A61551" w:rsidRDefault="00000000">
          <w:pPr>
            <w:pStyle w:val="TOC1"/>
            <w:rPr>
              <w:rFonts w:asciiTheme="minorHAnsi" w:eastAsiaTheme="minorEastAsia" w:hAnsiTheme="minorHAnsi" w:cstheme="minorBidi"/>
              <w:b w:val="0"/>
              <w:sz w:val="22"/>
              <w:szCs w:val="22"/>
            </w:rPr>
          </w:pPr>
          <w:hyperlink w:anchor="_Toc123828281" w:history="1">
            <w:r w:rsidR="00A61551" w:rsidRPr="00B24843">
              <w:rPr>
                <w:rStyle w:val="Hyperlink"/>
                <w:rFonts w:cs="Open Sans"/>
              </w:rPr>
              <w:t>2</w:t>
            </w:r>
            <w:r w:rsidR="00A61551">
              <w:rPr>
                <w:rFonts w:asciiTheme="minorHAnsi" w:eastAsiaTheme="minorEastAsia" w:hAnsiTheme="minorHAnsi" w:cstheme="minorBidi"/>
                <w:b w:val="0"/>
                <w:sz w:val="22"/>
                <w:szCs w:val="22"/>
              </w:rPr>
              <w:tab/>
            </w:r>
            <w:r w:rsidR="00A61551" w:rsidRPr="00B24843">
              <w:rPr>
                <w:rStyle w:val="Hyperlink"/>
                <w:rFonts w:cs="Open Sans"/>
              </w:rPr>
              <w:t>Summary of findings and recommendations</w:t>
            </w:r>
            <w:r w:rsidR="00A61551">
              <w:rPr>
                <w:webHidden/>
              </w:rPr>
              <w:tab/>
            </w:r>
            <w:r w:rsidR="00A61551">
              <w:rPr>
                <w:webHidden/>
              </w:rPr>
              <w:fldChar w:fldCharType="begin"/>
            </w:r>
            <w:r w:rsidR="00A61551">
              <w:rPr>
                <w:webHidden/>
              </w:rPr>
              <w:instrText xml:space="preserve"> PAGEREF _Toc123828281 \h </w:instrText>
            </w:r>
            <w:r w:rsidR="00A61551">
              <w:rPr>
                <w:webHidden/>
              </w:rPr>
            </w:r>
            <w:r w:rsidR="00A61551">
              <w:rPr>
                <w:webHidden/>
              </w:rPr>
              <w:fldChar w:fldCharType="separate"/>
            </w:r>
            <w:r w:rsidR="00A61551">
              <w:rPr>
                <w:webHidden/>
              </w:rPr>
              <w:t>6</w:t>
            </w:r>
            <w:r w:rsidR="00A61551">
              <w:rPr>
                <w:webHidden/>
              </w:rPr>
              <w:fldChar w:fldCharType="end"/>
            </w:r>
          </w:hyperlink>
        </w:p>
        <w:p w14:paraId="2C2B6659" w14:textId="3A425DAF" w:rsidR="00A61551" w:rsidRDefault="00000000">
          <w:pPr>
            <w:pStyle w:val="TOC1"/>
            <w:rPr>
              <w:rFonts w:asciiTheme="minorHAnsi" w:eastAsiaTheme="minorEastAsia" w:hAnsiTheme="minorHAnsi" w:cstheme="minorBidi"/>
              <w:b w:val="0"/>
              <w:sz w:val="22"/>
              <w:szCs w:val="22"/>
            </w:rPr>
          </w:pPr>
          <w:hyperlink w:anchor="_Toc123828282" w:history="1">
            <w:r w:rsidR="00A61551" w:rsidRPr="00B24843">
              <w:rPr>
                <w:rStyle w:val="Hyperlink"/>
                <w:rFonts w:eastAsia="Times New Roman" w:cs="Open Sans"/>
              </w:rPr>
              <w:t>3</w:t>
            </w:r>
            <w:r w:rsidR="00A61551">
              <w:rPr>
                <w:rFonts w:asciiTheme="minorHAnsi" w:eastAsiaTheme="minorEastAsia" w:hAnsiTheme="minorHAnsi" w:cstheme="minorBidi"/>
                <w:b w:val="0"/>
                <w:sz w:val="22"/>
                <w:szCs w:val="22"/>
              </w:rPr>
              <w:tab/>
            </w:r>
            <w:r w:rsidR="00A61551" w:rsidRPr="00B24843">
              <w:rPr>
                <w:rStyle w:val="Hyperlink"/>
                <w:rFonts w:cs="Open Sans"/>
              </w:rPr>
              <w:t>Background</w:t>
            </w:r>
            <w:r w:rsidR="00A61551">
              <w:rPr>
                <w:webHidden/>
              </w:rPr>
              <w:tab/>
            </w:r>
            <w:r w:rsidR="00A61551">
              <w:rPr>
                <w:webHidden/>
              </w:rPr>
              <w:fldChar w:fldCharType="begin"/>
            </w:r>
            <w:r w:rsidR="00A61551">
              <w:rPr>
                <w:webHidden/>
              </w:rPr>
              <w:instrText xml:space="preserve"> PAGEREF _Toc123828282 \h </w:instrText>
            </w:r>
            <w:r w:rsidR="00A61551">
              <w:rPr>
                <w:webHidden/>
              </w:rPr>
            </w:r>
            <w:r w:rsidR="00A61551">
              <w:rPr>
                <w:webHidden/>
              </w:rPr>
              <w:fldChar w:fldCharType="separate"/>
            </w:r>
            <w:r w:rsidR="00A61551">
              <w:rPr>
                <w:webHidden/>
              </w:rPr>
              <w:t>7</w:t>
            </w:r>
            <w:r w:rsidR="00A61551">
              <w:rPr>
                <w:webHidden/>
              </w:rPr>
              <w:fldChar w:fldCharType="end"/>
            </w:r>
          </w:hyperlink>
        </w:p>
        <w:p w14:paraId="180241B2" w14:textId="5F53F310" w:rsidR="00A61551" w:rsidRDefault="00000000">
          <w:pPr>
            <w:pStyle w:val="TOC2"/>
            <w:rPr>
              <w:rFonts w:asciiTheme="minorHAnsi" w:eastAsiaTheme="minorEastAsia" w:hAnsiTheme="minorHAnsi" w:cstheme="minorBidi"/>
              <w:b w:val="0"/>
              <w:i w:val="0"/>
              <w:sz w:val="22"/>
              <w:szCs w:val="22"/>
            </w:rPr>
          </w:pPr>
          <w:hyperlink w:anchor="_Toc123828283" w:history="1">
            <w:r w:rsidR="00A61551" w:rsidRPr="00B24843">
              <w:rPr>
                <w:rStyle w:val="Hyperlink"/>
                <w:rFonts w:cs="Open Sans"/>
                <w:iCs/>
              </w:rPr>
              <w:t>3.1</w:t>
            </w:r>
            <w:r w:rsidR="00A61551">
              <w:rPr>
                <w:rFonts w:asciiTheme="minorHAnsi" w:eastAsiaTheme="minorEastAsia" w:hAnsiTheme="minorHAnsi" w:cstheme="minorBidi"/>
                <w:b w:val="0"/>
                <w:i w:val="0"/>
                <w:sz w:val="22"/>
                <w:szCs w:val="22"/>
              </w:rPr>
              <w:tab/>
            </w:r>
            <w:r w:rsidR="00A61551" w:rsidRPr="00B24843">
              <w:rPr>
                <w:rStyle w:val="Hyperlink"/>
                <w:rFonts w:cs="Open Sans"/>
              </w:rPr>
              <w:t>Migration and detention history</w:t>
            </w:r>
            <w:r w:rsidR="00A61551">
              <w:rPr>
                <w:webHidden/>
              </w:rPr>
              <w:tab/>
            </w:r>
            <w:r w:rsidR="00A61551">
              <w:rPr>
                <w:webHidden/>
              </w:rPr>
              <w:fldChar w:fldCharType="begin"/>
            </w:r>
            <w:r w:rsidR="00A61551">
              <w:rPr>
                <w:webHidden/>
              </w:rPr>
              <w:instrText xml:space="preserve"> PAGEREF _Toc123828283 \h </w:instrText>
            </w:r>
            <w:r w:rsidR="00A61551">
              <w:rPr>
                <w:webHidden/>
              </w:rPr>
            </w:r>
            <w:r w:rsidR="00A61551">
              <w:rPr>
                <w:webHidden/>
              </w:rPr>
              <w:fldChar w:fldCharType="separate"/>
            </w:r>
            <w:r w:rsidR="00A61551">
              <w:rPr>
                <w:webHidden/>
              </w:rPr>
              <w:t>7</w:t>
            </w:r>
            <w:r w:rsidR="00A61551">
              <w:rPr>
                <w:webHidden/>
              </w:rPr>
              <w:fldChar w:fldCharType="end"/>
            </w:r>
          </w:hyperlink>
        </w:p>
        <w:p w14:paraId="299F0994" w14:textId="0B206CD0" w:rsidR="00A61551" w:rsidRDefault="00000000">
          <w:pPr>
            <w:pStyle w:val="TOC2"/>
            <w:rPr>
              <w:rFonts w:asciiTheme="minorHAnsi" w:eastAsiaTheme="minorEastAsia" w:hAnsiTheme="minorHAnsi" w:cstheme="minorBidi"/>
              <w:b w:val="0"/>
              <w:i w:val="0"/>
              <w:sz w:val="22"/>
              <w:szCs w:val="22"/>
            </w:rPr>
          </w:pPr>
          <w:hyperlink w:anchor="_Toc123828284" w:history="1">
            <w:r w:rsidR="00A61551" w:rsidRPr="00B24843">
              <w:rPr>
                <w:rStyle w:val="Hyperlink"/>
                <w:rFonts w:cs="Open Sans"/>
                <w:iCs/>
              </w:rPr>
              <w:t>3.2</w:t>
            </w:r>
            <w:r w:rsidR="00A61551">
              <w:rPr>
                <w:rFonts w:asciiTheme="minorHAnsi" w:eastAsiaTheme="minorEastAsia" w:hAnsiTheme="minorHAnsi" w:cstheme="minorBidi"/>
                <w:b w:val="0"/>
                <w:i w:val="0"/>
                <w:sz w:val="22"/>
                <w:szCs w:val="22"/>
              </w:rPr>
              <w:tab/>
            </w:r>
            <w:r w:rsidR="00A61551" w:rsidRPr="00B24843">
              <w:rPr>
                <w:rStyle w:val="Hyperlink"/>
                <w:rFonts w:cs="Open Sans"/>
              </w:rPr>
              <w:t>Incidents in Villawood</w:t>
            </w:r>
            <w:r w:rsidR="00A61551">
              <w:rPr>
                <w:webHidden/>
              </w:rPr>
              <w:tab/>
            </w:r>
            <w:r w:rsidR="00A61551">
              <w:rPr>
                <w:webHidden/>
              </w:rPr>
              <w:fldChar w:fldCharType="begin"/>
            </w:r>
            <w:r w:rsidR="00A61551">
              <w:rPr>
                <w:webHidden/>
              </w:rPr>
              <w:instrText xml:space="preserve"> PAGEREF _Toc123828284 \h </w:instrText>
            </w:r>
            <w:r w:rsidR="00A61551">
              <w:rPr>
                <w:webHidden/>
              </w:rPr>
            </w:r>
            <w:r w:rsidR="00A61551">
              <w:rPr>
                <w:webHidden/>
              </w:rPr>
              <w:fldChar w:fldCharType="separate"/>
            </w:r>
            <w:r w:rsidR="00A61551">
              <w:rPr>
                <w:webHidden/>
              </w:rPr>
              <w:t>8</w:t>
            </w:r>
            <w:r w:rsidR="00A61551">
              <w:rPr>
                <w:webHidden/>
              </w:rPr>
              <w:fldChar w:fldCharType="end"/>
            </w:r>
          </w:hyperlink>
        </w:p>
        <w:p w14:paraId="553F4A48" w14:textId="5AB737D1" w:rsidR="00A61551" w:rsidRDefault="00000000">
          <w:pPr>
            <w:pStyle w:val="TOC1"/>
            <w:rPr>
              <w:rFonts w:asciiTheme="minorHAnsi" w:eastAsiaTheme="minorEastAsia" w:hAnsiTheme="minorHAnsi" w:cstheme="minorBidi"/>
              <w:b w:val="0"/>
              <w:sz w:val="22"/>
              <w:szCs w:val="22"/>
            </w:rPr>
          </w:pPr>
          <w:hyperlink w:anchor="_Toc123828285" w:history="1">
            <w:r w:rsidR="00A61551" w:rsidRPr="00B24843">
              <w:rPr>
                <w:rStyle w:val="Hyperlink"/>
                <w:rFonts w:cs="Open Sans"/>
              </w:rPr>
              <w:t>4</w:t>
            </w:r>
            <w:r w:rsidR="00A61551">
              <w:rPr>
                <w:rFonts w:asciiTheme="minorHAnsi" w:eastAsiaTheme="minorEastAsia" w:hAnsiTheme="minorHAnsi" w:cstheme="minorBidi"/>
                <w:b w:val="0"/>
                <w:sz w:val="22"/>
                <w:szCs w:val="22"/>
              </w:rPr>
              <w:tab/>
            </w:r>
            <w:r w:rsidR="00A61551" w:rsidRPr="00B24843">
              <w:rPr>
                <w:rStyle w:val="Hyperlink"/>
                <w:rFonts w:cs="Open Sans"/>
              </w:rPr>
              <w:t>Conciliation</w:t>
            </w:r>
            <w:r w:rsidR="00A61551">
              <w:rPr>
                <w:webHidden/>
              </w:rPr>
              <w:tab/>
            </w:r>
            <w:r w:rsidR="00A61551">
              <w:rPr>
                <w:webHidden/>
              </w:rPr>
              <w:fldChar w:fldCharType="begin"/>
            </w:r>
            <w:r w:rsidR="00A61551">
              <w:rPr>
                <w:webHidden/>
              </w:rPr>
              <w:instrText xml:space="preserve"> PAGEREF _Toc123828285 \h </w:instrText>
            </w:r>
            <w:r w:rsidR="00A61551">
              <w:rPr>
                <w:webHidden/>
              </w:rPr>
            </w:r>
            <w:r w:rsidR="00A61551">
              <w:rPr>
                <w:webHidden/>
              </w:rPr>
              <w:fldChar w:fldCharType="separate"/>
            </w:r>
            <w:r w:rsidR="00A61551">
              <w:rPr>
                <w:webHidden/>
              </w:rPr>
              <w:t>9</w:t>
            </w:r>
            <w:r w:rsidR="00A61551">
              <w:rPr>
                <w:webHidden/>
              </w:rPr>
              <w:fldChar w:fldCharType="end"/>
            </w:r>
          </w:hyperlink>
        </w:p>
        <w:p w14:paraId="78118BFD" w14:textId="74D4010F" w:rsidR="00A61551" w:rsidRDefault="00000000">
          <w:pPr>
            <w:pStyle w:val="TOC1"/>
            <w:rPr>
              <w:rFonts w:asciiTheme="minorHAnsi" w:eastAsiaTheme="minorEastAsia" w:hAnsiTheme="minorHAnsi" w:cstheme="minorBidi"/>
              <w:b w:val="0"/>
              <w:sz w:val="22"/>
              <w:szCs w:val="22"/>
            </w:rPr>
          </w:pPr>
          <w:hyperlink w:anchor="_Toc123828286" w:history="1">
            <w:r w:rsidR="00A61551" w:rsidRPr="00B24843">
              <w:rPr>
                <w:rStyle w:val="Hyperlink"/>
                <w:rFonts w:cs="Open Sans"/>
              </w:rPr>
              <w:t>5</w:t>
            </w:r>
            <w:r w:rsidR="00A61551">
              <w:rPr>
                <w:rFonts w:asciiTheme="minorHAnsi" w:eastAsiaTheme="minorEastAsia" w:hAnsiTheme="minorHAnsi" w:cstheme="minorBidi"/>
                <w:b w:val="0"/>
                <w:sz w:val="22"/>
                <w:szCs w:val="22"/>
              </w:rPr>
              <w:tab/>
            </w:r>
            <w:r w:rsidR="00A61551" w:rsidRPr="00B24843">
              <w:rPr>
                <w:rStyle w:val="Hyperlink"/>
                <w:rFonts w:cs="Open Sans"/>
              </w:rPr>
              <w:t>Procedural history of this inquiry</w:t>
            </w:r>
            <w:r w:rsidR="00A61551">
              <w:rPr>
                <w:webHidden/>
              </w:rPr>
              <w:tab/>
            </w:r>
            <w:r w:rsidR="00A61551">
              <w:rPr>
                <w:webHidden/>
              </w:rPr>
              <w:fldChar w:fldCharType="begin"/>
            </w:r>
            <w:r w:rsidR="00A61551">
              <w:rPr>
                <w:webHidden/>
              </w:rPr>
              <w:instrText xml:space="preserve"> PAGEREF _Toc123828286 \h </w:instrText>
            </w:r>
            <w:r w:rsidR="00A61551">
              <w:rPr>
                <w:webHidden/>
              </w:rPr>
            </w:r>
            <w:r w:rsidR="00A61551">
              <w:rPr>
                <w:webHidden/>
              </w:rPr>
              <w:fldChar w:fldCharType="separate"/>
            </w:r>
            <w:r w:rsidR="00A61551">
              <w:rPr>
                <w:webHidden/>
              </w:rPr>
              <w:t>9</w:t>
            </w:r>
            <w:r w:rsidR="00A61551">
              <w:rPr>
                <w:webHidden/>
              </w:rPr>
              <w:fldChar w:fldCharType="end"/>
            </w:r>
          </w:hyperlink>
        </w:p>
        <w:p w14:paraId="54344EF6" w14:textId="53D02B4B" w:rsidR="00A61551" w:rsidRDefault="00000000">
          <w:pPr>
            <w:pStyle w:val="TOC1"/>
            <w:rPr>
              <w:rFonts w:asciiTheme="minorHAnsi" w:eastAsiaTheme="minorEastAsia" w:hAnsiTheme="minorHAnsi" w:cstheme="minorBidi"/>
              <w:b w:val="0"/>
              <w:sz w:val="22"/>
              <w:szCs w:val="22"/>
            </w:rPr>
          </w:pPr>
          <w:hyperlink w:anchor="_Toc123828287" w:history="1">
            <w:r w:rsidR="00A61551" w:rsidRPr="00B24843">
              <w:rPr>
                <w:rStyle w:val="Hyperlink"/>
                <w:rFonts w:cs="Open Sans"/>
              </w:rPr>
              <w:t>6</w:t>
            </w:r>
            <w:r w:rsidR="00A61551">
              <w:rPr>
                <w:rFonts w:asciiTheme="minorHAnsi" w:eastAsiaTheme="minorEastAsia" w:hAnsiTheme="minorHAnsi" w:cstheme="minorBidi"/>
                <w:b w:val="0"/>
                <w:sz w:val="22"/>
                <w:szCs w:val="22"/>
              </w:rPr>
              <w:tab/>
            </w:r>
            <w:r w:rsidR="00A61551" w:rsidRPr="00B24843">
              <w:rPr>
                <w:rStyle w:val="Hyperlink"/>
                <w:rFonts w:cs="Open Sans"/>
              </w:rPr>
              <w:t>Relevant legal framework</w:t>
            </w:r>
            <w:r w:rsidR="00A61551">
              <w:rPr>
                <w:webHidden/>
              </w:rPr>
              <w:tab/>
            </w:r>
            <w:r w:rsidR="00A61551">
              <w:rPr>
                <w:webHidden/>
              </w:rPr>
              <w:fldChar w:fldCharType="begin"/>
            </w:r>
            <w:r w:rsidR="00A61551">
              <w:rPr>
                <w:webHidden/>
              </w:rPr>
              <w:instrText xml:space="preserve"> PAGEREF _Toc123828287 \h </w:instrText>
            </w:r>
            <w:r w:rsidR="00A61551">
              <w:rPr>
                <w:webHidden/>
              </w:rPr>
            </w:r>
            <w:r w:rsidR="00A61551">
              <w:rPr>
                <w:webHidden/>
              </w:rPr>
              <w:fldChar w:fldCharType="separate"/>
            </w:r>
            <w:r w:rsidR="00A61551">
              <w:rPr>
                <w:webHidden/>
              </w:rPr>
              <w:t>10</w:t>
            </w:r>
            <w:r w:rsidR="00A61551">
              <w:rPr>
                <w:webHidden/>
              </w:rPr>
              <w:fldChar w:fldCharType="end"/>
            </w:r>
          </w:hyperlink>
        </w:p>
        <w:p w14:paraId="75C61C7D" w14:textId="7503834D" w:rsidR="00A61551" w:rsidRDefault="00000000">
          <w:pPr>
            <w:pStyle w:val="TOC2"/>
            <w:rPr>
              <w:rFonts w:asciiTheme="minorHAnsi" w:eastAsiaTheme="minorEastAsia" w:hAnsiTheme="minorHAnsi" w:cstheme="minorBidi"/>
              <w:b w:val="0"/>
              <w:i w:val="0"/>
              <w:sz w:val="22"/>
              <w:szCs w:val="22"/>
            </w:rPr>
          </w:pPr>
          <w:hyperlink w:anchor="_Toc123828288" w:history="1">
            <w:r w:rsidR="00A61551" w:rsidRPr="00B24843">
              <w:rPr>
                <w:rStyle w:val="Hyperlink"/>
                <w:rFonts w:eastAsia="Times New Roman" w:cs="Open Sans"/>
                <w:iCs/>
              </w:rPr>
              <w:t>6.1</w:t>
            </w:r>
            <w:r w:rsidR="00A61551">
              <w:rPr>
                <w:rFonts w:asciiTheme="minorHAnsi" w:eastAsiaTheme="minorEastAsia" w:hAnsiTheme="minorHAnsi" w:cstheme="minorBidi"/>
                <w:b w:val="0"/>
                <w:i w:val="0"/>
                <w:sz w:val="22"/>
                <w:szCs w:val="22"/>
              </w:rPr>
              <w:tab/>
            </w:r>
            <w:r w:rsidR="00A61551" w:rsidRPr="00B24843">
              <w:rPr>
                <w:rStyle w:val="Hyperlink"/>
                <w:rFonts w:cs="Open Sans"/>
              </w:rPr>
              <w:t>Functions of the Commission</w:t>
            </w:r>
            <w:r w:rsidR="00A61551">
              <w:rPr>
                <w:webHidden/>
              </w:rPr>
              <w:tab/>
            </w:r>
            <w:r w:rsidR="00A61551">
              <w:rPr>
                <w:webHidden/>
              </w:rPr>
              <w:fldChar w:fldCharType="begin"/>
            </w:r>
            <w:r w:rsidR="00A61551">
              <w:rPr>
                <w:webHidden/>
              </w:rPr>
              <w:instrText xml:space="preserve"> PAGEREF _Toc123828288 \h </w:instrText>
            </w:r>
            <w:r w:rsidR="00A61551">
              <w:rPr>
                <w:webHidden/>
              </w:rPr>
            </w:r>
            <w:r w:rsidR="00A61551">
              <w:rPr>
                <w:webHidden/>
              </w:rPr>
              <w:fldChar w:fldCharType="separate"/>
            </w:r>
            <w:r w:rsidR="00A61551">
              <w:rPr>
                <w:webHidden/>
              </w:rPr>
              <w:t>10</w:t>
            </w:r>
            <w:r w:rsidR="00A61551">
              <w:rPr>
                <w:webHidden/>
              </w:rPr>
              <w:fldChar w:fldCharType="end"/>
            </w:r>
          </w:hyperlink>
        </w:p>
        <w:p w14:paraId="4C3FE18B" w14:textId="6E3E3AAE" w:rsidR="00A61551" w:rsidRDefault="00000000">
          <w:pPr>
            <w:pStyle w:val="TOC2"/>
            <w:rPr>
              <w:rFonts w:asciiTheme="minorHAnsi" w:eastAsiaTheme="minorEastAsia" w:hAnsiTheme="minorHAnsi" w:cstheme="minorBidi"/>
              <w:b w:val="0"/>
              <w:i w:val="0"/>
              <w:sz w:val="22"/>
              <w:szCs w:val="22"/>
            </w:rPr>
          </w:pPr>
          <w:hyperlink w:anchor="_Toc123828289" w:history="1">
            <w:r w:rsidR="00A61551" w:rsidRPr="00B24843">
              <w:rPr>
                <w:rStyle w:val="Hyperlink"/>
                <w:rFonts w:cs="Open Sans"/>
                <w:iCs/>
              </w:rPr>
              <w:t>6.2</w:t>
            </w:r>
            <w:r w:rsidR="00A61551">
              <w:rPr>
                <w:rFonts w:asciiTheme="minorHAnsi" w:eastAsiaTheme="minorEastAsia" w:hAnsiTheme="minorHAnsi" w:cstheme="minorBidi"/>
                <w:b w:val="0"/>
                <w:i w:val="0"/>
                <w:sz w:val="22"/>
                <w:szCs w:val="22"/>
              </w:rPr>
              <w:tab/>
            </w:r>
            <w:r w:rsidR="00A61551" w:rsidRPr="00B24843">
              <w:rPr>
                <w:rStyle w:val="Hyperlink"/>
                <w:rFonts w:cs="Open Sans"/>
              </w:rPr>
              <w:t>What is a human right</w:t>
            </w:r>
            <w:r w:rsidR="00A61551">
              <w:rPr>
                <w:webHidden/>
              </w:rPr>
              <w:tab/>
            </w:r>
            <w:r w:rsidR="00A61551">
              <w:rPr>
                <w:webHidden/>
              </w:rPr>
              <w:fldChar w:fldCharType="begin"/>
            </w:r>
            <w:r w:rsidR="00A61551">
              <w:rPr>
                <w:webHidden/>
              </w:rPr>
              <w:instrText xml:space="preserve"> PAGEREF _Toc123828289 \h </w:instrText>
            </w:r>
            <w:r w:rsidR="00A61551">
              <w:rPr>
                <w:webHidden/>
              </w:rPr>
            </w:r>
            <w:r w:rsidR="00A61551">
              <w:rPr>
                <w:webHidden/>
              </w:rPr>
              <w:fldChar w:fldCharType="separate"/>
            </w:r>
            <w:r w:rsidR="00A61551">
              <w:rPr>
                <w:webHidden/>
              </w:rPr>
              <w:t>10</w:t>
            </w:r>
            <w:r w:rsidR="00A61551">
              <w:rPr>
                <w:webHidden/>
              </w:rPr>
              <w:fldChar w:fldCharType="end"/>
            </w:r>
          </w:hyperlink>
        </w:p>
        <w:p w14:paraId="49BC6E55" w14:textId="2232BD9D" w:rsidR="00A61551" w:rsidRDefault="00000000">
          <w:pPr>
            <w:pStyle w:val="TOC2"/>
            <w:rPr>
              <w:rFonts w:asciiTheme="minorHAnsi" w:eastAsiaTheme="minorEastAsia" w:hAnsiTheme="minorHAnsi" w:cstheme="minorBidi"/>
              <w:b w:val="0"/>
              <w:i w:val="0"/>
              <w:sz w:val="22"/>
              <w:szCs w:val="22"/>
            </w:rPr>
          </w:pPr>
          <w:hyperlink w:anchor="_Toc123828290" w:history="1">
            <w:r w:rsidR="00A61551" w:rsidRPr="00B24843">
              <w:rPr>
                <w:rStyle w:val="Hyperlink"/>
                <w:rFonts w:cs="Open Sans"/>
                <w:iCs/>
              </w:rPr>
              <w:t>6.3</w:t>
            </w:r>
            <w:r w:rsidR="00A61551">
              <w:rPr>
                <w:rFonts w:asciiTheme="minorHAnsi" w:eastAsiaTheme="minorEastAsia" w:hAnsiTheme="minorHAnsi" w:cstheme="minorBidi"/>
                <w:b w:val="0"/>
                <w:i w:val="0"/>
                <w:sz w:val="22"/>
                <w:szCs w:val="22"/>
              </w:rPr>
              <w:tab/>
            </w:r>
            <w:r w:rsidR="00A61551" w:rsidRPr="00B24843">
              <w:rPr>
                <w:rStyle w:val="Hyperlink"/>
                <w:rFonts w:cs="Open Sans"/>
              </w:rPr>
              <w:t>What is an act or practice</w:t>
            </w:r>
            <w:r w:rsidR="00A61551">
              <w:rPr>
                <w:webHidden/>
              </w:rPr>
              <w:tab/>
            </w:r>
            <w:r w:rsidR="00A61551">
              <w:rPr>
                <w:webHidden/>
              </w:rPr>
              <w:fldChar w:fldCharType="begin"/>
            </w:r>
            <w:r w:rsidR="00A61551">
              <w:rPr>
                <w:webHidden/>
              </w:rPr>
              <w:instrText xml:space="preserve"> PAGEREF _Toc123828290 \h </w:instrText>
            </w:r>
            <w:r w:rsidR="00A61551">
              <w:rPr>
                <w:webHidden/>
              </w:rPr>
            </w:r>
            <w:r w:rsidR="00A61551">
              <w:rPr>
                <w:webHidden/>
              </w:rPr>
              <w:fldChar w:fldCharType="separate"/>
            </w:r>
            <w:r w:rsidR="00A61551">
              <w:rPr>
                <w:webHidden/>
              </w:rPr>
              <w:t>10</w:t>
            </w:r>
            <w:r w:rsidR="00A61551">
              <w:rPr>
                <w:webHidden/>
              </w:rPr>
              <w:fldChar w:fldCharType="end"/>
            </w:r>
          </w:hyperlink>
        </w:p>
        <w:p w14:paraId="5CE18EBD" w14:textId="7EE159FE" w:rsidR="00A61551" w:rsidRDefault="00000000">
          <w:pPr>
            <w:pStyle w:val="TOC2"/>
            <w:rPr>
              <w:rFonts w:asciiTheme="minorHAnsi" w:eastAsiaTheme="minorEastAsia" w:hAnsiTheme="minorHAnsi" w:cstheme="minorBidi"/>
              <w:b w:val="0"/>
              <w:i w:val="0"/>
              <w:sz w:val="22"/>
              <w:szCs w:val="22"/>
            </w:rPr>
          </w:pPr>
          <w:hyperlink w:anchor="_Toc123828291" w:history="1">
            <w:r w:rsidR="00A61551" w:rsidRPr="00B24843">
              <w:rPr>
                <w:rStyle w:val="Hyperlink"/>
                <w:rFonts w:cs="Open Sans"/>
                <w:iCs/>
              </w:rPr>
              <w:t>6.4</w:t>
            </w:r>
            <w:r w:rsidR="00A61551">
              <w:rPr>
                <w:rFonts w:asciiTheme="minorHAnsi" w:eastAsiaTheme="minorEastAsia" w:hAnsiTheme="minorHAnsi" w:cstheme="minorBidi"/>
                <w:b w:val="0"/>
                <w:i w:val="0"/>
                <w:sz w:val="22"/>
                <w:szCs w:val="22"/>
              </w:rPr>
              <w:tab/>
            </w:r>
            <w:r w:rsidR="00A61551" w:rsidRPr="00B24843">
              <w:rPr>
                <w:rStyle w:val="Hyperlink"/>
                <w:rFonts w:cs="Open Sans"/>
              </w:rPr>
              <w:t>Act or practice of the Commonwealth</w:t>
            </w:r>
            <w:r w:rsidR="00A61551">
              <w:rPr>
                <w:webHidden/>
              </w:rPr>
              <w:tab/>
            </w:r>
            <w:r w:rsidR="00A61551">
              <w:rPr>
                <w:webHidden/>
              </w:rPr>
              <w:fldChar w:fldCharType="begin"/>
            </w:r>
            <w:r w:rsidR="00A61551">
              <w:rPr>
                <w:webHidden/>
              </w:rPr>
              <w:instrText xml:space="preserve"> PAGEREF _Toc123828291 \h </w:instrText>
            </w:r>
            <w:r w:rsidR="00A61551">
              <w:rPr>
                <w:webHidden/>
              </w:rPr>
            </w:r>
            <w:r w:rsidR="00A61551">
              <w:rPr>
                <w:webHidden/>
              </w:rPr>
              <w:fldChar w:fldCharType="separate"/>
            </w:r>
            <w:r w:rsidR="00A61551">
              <w:rPr>
                <w:webHidden/>
              </w:rPr>
              <w:t>11</w:t>
            </w:r>
            <w:r w:rsidR="00A61551">
              <w:rPr>
                <w:webHidden/>
              </w:rPr>
              <w:fldChar w:fldCharType="end"/>
            </w:r>
          </w:hyperlink>
        </w:p>
        <w:p w14:paraId="542DDD06" w14:textId="023553DD" w:rsidR="00A61551" w:rsidRDefault="00000000">
          <w:pPr>
            <w:pStyle w:val="TOC1"/>
            <w:rPr>
              <w:rFonts w:asciiTheme="minorHAnsi" w:eastAsiaTheme="minorEastAsia" w:hAnsiTheme="minorHAnsi" w:cstheme="minorBidi"/>
              <w:b w:val="0"/>
              <w:sz w:val="22"/>
              <w:szCs w:val="22"/>
            </w:rPr>
          </w:pPr>
          <w:hyperlink w:anchor="_Toc123828292" w:history="1">
            <w:r w:rsidR="00A61551" w:rsidRPr="00B24843">
              <w:rPr>
                <w:rStyle w:val="Hyperlink"/>
                <w:rFonts w:cs="Open Sans"/>
              </w:rPr>
              <w:t>7</w:t>
            </w:r>
            <w:r w:rsidR="00A61551">
              <w:rPr>
                <w:rFonts w:asciiTheme="minorHAnsi" w:eastAsiaTheme="minorEastAsia" w:hAnsiTheme="minorHAnsi" w:cstheme="minorBidi"/>
                <w:b w:val="0"/>
                <w:sz w:val="22"/>
                <w:szCs w:val="22"/>
              </w:rPr>
              <w:tab/>
            </w:r>
            <w:r w:rsidR="00A61551" w:rsidRPr="00B24843">
              <w:rPr>
                <w:rStyle w:val="Hyperlink"/>
                <w:rFonts w:cs="Open Sans"/>
              </w:rPr>
              <w:t>Safe place of detention</w:t>
            </w:r>
            <w:r w:rsidR="00A61551">
              <w:rPr>
                <w:webHidden/>
              </w:rPr>
              <w:tab/>
            </w:r>
            <w:r w:rsidR="00A61551">
              <w:rPr>
                <w:webHidden/>
              </w:rPr>
              <w:fldChar w:fldCharType="begin"/>
            </w:r>
            <w:r w:rsidR="00A61551">
              <w:rPr>
                <w:webHidden/>
              </w:rPr>
              <w:instrText xml:space="preserve"> PAGEREF _Toc123828292 \h </w:instrText>
            </w:r>
            <w:r w:rsidR="00A61551">
              <w:rPr>
                <w:webHidden/>
              </w:rPr>
            </w:r>
            <w:r w:rsidR="00A61551">
              <w:rPr>
                <w:webHidden/>
              </w:rPr>
              <w:fldChar w:fldCharType="separate"/>
            </w:r>
            <w:r w:rsidR="00A61551">
              <w:rPr>
                <w:webHidden/>
              </w:rPr>
              <w:t>11</w:t>
            </w:r>
            <w:r w:rsidR="00A61551">
              <w:rPr>
                <w:webHidden/>
              </w:rPr>
              <w:fldChar w:fldCharType="end"/>
            </w:r>
          </w:hyperlink>
        </w:p>
        <w:p w14:paraId="7E850C63" w14:textId="656F5BBA" w:rsidR="00A61551" w:rsidRDefault="00000000">
          <w:pPr>
            <w:pStyle w:val="TOC2"/>
            <w:rPr>
              <w:rFonts w:asciiTheme="minorHAnsi" w:eastAsiaTheme="minorEastAsia" w:hAnsiTheme="minorHAnsi" w:cstheme="minorBidi"/>
              <w:b w:val="0"/>
              <w:i w:val="0"/>
              <w:sz w:val="22"/>
              <w:szCs w:val="22"/>
            </w:rPr>
          </w:pPr>
          <w:hyperlink w:anchor="_Toc123828293" w:history="1">
            <w:r w:rsidR="00A61551" w:rsidRPr="00B24843">
              <w:rPr>
                <w:rStyle w:val="Hyperlink"/>
                <w:rFonts w:cs="Open Sans"/>
                <w:iCs/>
              </w:rPr>
              <w:t>7.1</w:t>
            </w:r>
            <w:r w:rsidR="00A61551">
              <w:rPr>
                <w:rFonts w:asciiTheme="minorHAnsi" w:eastAsiaTheme="minorEastAsia" w:hAnsiTheme="minorHAnsi" w:cstheme="minorBidi"/>
                <w:b w:val="0"/>
                <w:i w:val="0"/>
                <w:sz w:val="22"/>
                <w:szCs w:val="22"/>
              </w:rPr>
              <w:tab/>
            </w:r>
            <w:r w:rsidR="00A61551" w:rsidRPr="00B24843">
              <w:rPr>
                <w:rStyle w:val="Hyperlink"/>
                <w:rFonts w:cs="Open Sans"/>
              </w:rPr>
              <w:t>Law on article 10 of the ICCPR</w:t>
            </w:r>
            <w:r w:rsidR="00A61551">
              <w:rPr>
                <w:webHidden/>
              </w:rPr>
              <w:tab/>
            </w:r>
            <w:r w:rsidR="00A61551">
              <w:rPr>
                <w:webHidden/>
              </w:rPr>
              <w:fldChar w:fldCharType="begin"/>
            </w:r>
            <w:r w:rsidR="00A61551">
              <w:rPr>
                <w:webHidden/>
              </w:rPr>
              <w:instrText xml:space="preserve"> PAGEREF _Toc123828293 \h </w:instrText>
            </w:r>
            <w:r w:rsidR="00A61551">
              <w:rPr>
                <w:webHidden/>
              </w:rPr>
            </w:r>
            <w:r w:rsidR="00A61551">
              <w:rPr>
                <w:webHidden/>
              </w:rPr>
              <w:fldChar w:fldCharType="separate"/>
            </w:r>
            <w:r w:rsidR="00A61551">
              <w:rPr>
                <w:webHidden/>
              </w:rPr>
              <w:t>11</w:t>
            </w:r>
            <w:r w:rsidR="00A61551">
              <w:rPr>
                <w:webHidden/>
              </w:rPr>
              <w:fldChar w:fldCharType="end"/>
            </w:r>
          </w:hyperlink>
        </w:p>
        <w:p w14:paraId="513930AB" w14:textId="27000168" w:rsidR="00A61551" w:rsidRDefault="00000000">
          <w:pPr>
            <w:pStyle w:val="TOC2"/>
            <w:rPr>
              <w:rFonts w:asciiTheme="minorHAnsi" w:eastAsiaTheme="minorEastAsia" w:hAnsiTheme="minorHAnsi" w:cstheme="minorBidi"/>
              <w:b w:val="0"/>
              <w:i w:val="0"/>
              <w:sz w:val="22"/>
              <w:szCs w:val="22"/>
            </w:rPr>
          </w:pPr>
          <w:hyperlink w:anchor="_Toc123828294" w:history="1">
            <w:r w:rsidR="00A61551" w:rsidRPr="00B24843">
              <w:rPr>
                <w:rStyle w:val="Hyperlink"/>
                <w:rFonts w:cs="Open Sans"/>
                <w:iCs/>
              </w:rPr>
              <w:t>7.2</w:t>
            </w:r>
            <w:r w:rsidR="00A61551">
              <w:rPr>
                <w:rFonts w:asciiTheme="minorHAnsi" w:eastAsiaTheme="minorEastAsia" w:hAnsiTheme="minorHAnsi" w:cstheme="minorBidi"/>
                <w:b w:val="0"/>
                <w:i w:val="0"/>
                <w:sz w:val="22"/>
                <w:szCs w:val="22"/>
              </w:rPr>
              <w:tab/>
            </w:r>
            <w:r w:rsidR="00A61551" w:rsidRPr="00B24843">
              <w:rPr>
                <w:rStyle w:val="Hyperlink"/>
                <w:rFonts w:cs="Open Sans"/>
              </w:rPr>
              <w:t>Contractual obligations of service provider</w:t>
            </w:r>
            <w:r w:rsidR="00A61551">
              <w:rPr>
                <w:webHidden/>
              </w:rPr>
              <w:tab/>
            </w:r>
            <w:r w:rsidR="00A61551">
              <w:rPr>
                <w:webHidden/>
              </w:rPr>
              <w:fldChar w:fldCharType="begin"/>
            </w:r>
            <w:r w:rsidR="00A61551">
              <w:rPr>
                <w:webHidden/>
              </w:rPr>
              <w:instrText xml:space="preserve"> PAGEREF _Toc123828294 \h </w:instrText>
            </w:r>
            <w:r w:rsidR="00A61551">
              <w:rPr>
                <w:webHidden/>
              </w:rPr>
            </w:r>
            <w:r w:rsidR="00A61551">
              <w:rPr>
                <w:webHidden/>
              </w:rPr>
              <w:fldChar w:fldCharType="separate"/>
            </w:r>
            <w:r w:rsidR="00A61551">
              <w:rPr>
                <w:webHidden/>
              </w:rPr>
              <w:t>14</w:t>
            </w:r>
            <w:r w:rsidR="00A61551">
              <w:rPr>
                <w:webHidden/>
              </w:rPr>
              <w:fldChar w:fldCharType="end"/>
            </w:r>
          </w:hyperlink>
        </w:p>
        <w:p w14:paraId="1A0CEFF5" w14:textId="332E8C00" w:rsidR="00A61551" w:rsidRDefault="00000000">
          <w:pPr>
            <w:pStyle w:val="TOC2"/>
            <w:rPr>
              <w:rFonts w:asciiTheme="minorHAnsi" w:eastAsiaTheme="minorEastAsia" w:hAnsiTheme="minorHAnsi" w:cstheme="minorBidi"/>
              <w:b w:val="0"/>
              <w:i w:val="0"/>
              <w:sz w:val="22"/>
              <w:szCs w:val="22"/>
            </w:rPr>
          </w:pPr>
          <w:hyperlink w:anchor="_Toc123828295" w:history="1">
            <w:r w:rsidR="00A61551" w:rsidRPr="00B24843">
              <w:rPr>
                <w:rStyle w:val="Hyperlink"/>
                <w:rFonts w:cs="Open Sans"/>
                <w:iCs/>
              </w:rPr>
              <w:t>7.3</w:t>
            </w:r>
            <w:r w:rsidR="00A61551">
              <w:rPr>
                <w:rFonts w:asciiTheme="minorHAnsi" w:eastAsiaTheme="minorEastAsia" w:hAnsiTheme="minorHAnsi" w:cstheme="minorBidi"/>
                <w:b w:val="0"/>
                <w:i w:val="0"/>
                <w:sz w:val="22"/>
                <w:szCs w:val="22"/>
              </w:rPr>
              <w:tab/>
            </w:r>
            <w:r w:rsidR="00A61551" w:rsidRPr="00B24843">
              <w:rPr>
                <w:rStyle w:val="Hyperlink"/>
                <w:rFonts w:cs="Open Sans"/>
              </w:rPr>
              <w:t>Departmental policies</w:t>
            </w:r>
            <w:r w:rsidR="00A61551" w:rsidRPr="00B24843">
              <w:rPr>
                <w:rStyle w:val="Hyperlink"/>
                <w:rFonts w:cs="Open Sans"/>
                <w:iCs/>
              </w:rPr>
              <w:t xml:space="preserve"> and processes</w:t>
            </w:r>
            <w:r w:rsidR="00A61551">
              <w:rPr>
                <w:webHidden/>
              </w:rPr>
              <w:tab/>
            </w:r>
            <w:r w:rsidR="00A61551">
              <w:rPr>
                <w:webHidden/>
              </w:rPr>
              <w:fldChar w:fldCharType="begin"/>
            </w:r>
            <w:r w:rsidR="00A61551">
              <w:rPr>
                <w:webHidden/>
              </w:rPr>
              <w:instrText xml:space="preserve"> PAGEREF _Toc123828295 \h </w:instrText>
            </w:r>
            <w:r w:rsidR="00A61551">
              <w:rPr>
                <w:webHidden/>
              </w:rPr>
            </w:r>
            <w:r w:rsidR="00A61551">
              <w:rPr>
                <w:webHidden/>
              </w:rPr>
              <w:fldChar w:fldCharType="separate"/>
            </w:r>
            <w:r w:rsidR="00A61551">
              <w:rPr>
                <w:webHidden/>
              </w:rPr>
              <w:t>15</w:t>
            </w:r>
            <w:r w:rsidR="00A61551">
              <w:rPr>
                <w:webHidden/>
              </w:rPr>
              <w:fldChar w:fldCharType="end"/>
            </w:r>
          </w:hyperlink>
        </w:p>
        <w:p w14:paraId="7D5E49B1" w14:textId="7A53091B" w:rsidR="00A61551" w:rsidRDefault="00000000">
          <w:pPr>
            <w:pStyle w:val="TOC1"/>
            <w:rPr>
              <w:rFonts w:asciiTheme="minorHAnsi" w:eastAsiaTheme="minorEastAsia" w:hAnsiTheme="minorHAnsi" w:cstheme="minorBidi"/>
              <w:b w:val="0"/>
              <w:sz w:val="22"/>
              <w:szCs w:val="22"/>
            </w:rPr>
          </w:pPr>
          <w:hyperlink w:anchor="_Toc123828296" w:history="1">
            <w:r w:rsidR="00A61551" w:rsidRPr="00B24843">
              <w:rPr>
                <w:rStyle w:val="Hyperlink"/>
                <w:rFonts w:eastAsia="Times New Roman" w:cs="Open Sans"/>
              </w:rPr>
              <w:t>8</w:t>
            </w:r>
            <w:r w:rsidR="00A61551">
              <w:rPr>
                <w:rFonts w:asciiTheme="minorHAnsi" w:eastAsiaTheme="minorEastAsia" w:hAnsiTheme="minorHAnsi" w:cstheme="minorBidi"/>
                <w:b w:val="0"/>
                <w:sz w:val="22"/>
                <w:szCs w:val="22"/>
              </w:rPr>
              <w:tab/>
            </w:r>
            <w:r w:rsidR="00A61551" w:rsidRPr="00B24843">
              <w:rPr>
                <w:rStyle w:val="Hyperlink"/>
                <w:rFonts w:eastAsia="Times New Roman" w:cs="Open Sans"/>
              </w:rPr>
              <w:t>Findings</w:t>
            </w:r>
            <w:r w:rsidR="00A61551">
              <w:rPr>
                <w:webHidden/>
              </w:rPr>
              <w:tab/>
            </w:r>
            <w:r w:rsidR="00A61551">
              <w:rPr>
                <w:webHidden/>
              </w:rPr>
              <w:fldChar w:fldCharType="begin"/>
            </w:r>
            <w:r w:rsidR="00A61551">
              <w:rPr>
                <w:webHidden/>
              </w:rPr>
              <w:instrText xml:space="preserve"> PAGEREF _Toc123828296 \h </w:instrText>
            </w:r>
            <w:r w:rsidR="00A61551">
              <w:rPr>
                <w:webHidden/>
              </w:rPr>
            </w:r>
            <w:r w:rsidR="00A61551">
              <w:rPr>
                <w:webHidden/>
              </w:rPr>
              <w:fldChar w:fldCharType="separate"/>
            </w:r>
            <w:r w:rsidR="00A61551">
              <w:rPr>
                <w:webHidden/>
              </w:rPr>
              <w:t>19</w:t>
            </w:r>
            <w:r w:rsidR="00A61551">
              <w:rPr>
                <w:webHidden/>
              </w:rPr>
              <w:fldChar w:fldCharType="end"/>
            </w:r>
          </w:hyperlink>
        </w:p>
        <w:p w14:paraId="253DF447" w14:textId="6B3C835C" w:rsidR="00A61551" w:rsidRDefault="00000000">
          <w:pPr>
            <w:pStyle w:val="TOC2"/>
            <w:rPr>
              <w:rFonts w:asciiTheme="minorHAnsi" w:eastAsiaTheme="minorEastAsia" w:hAnsiTheme="minorHAnsi" w:cstheme="minorBidi"/>
              <w:b w:val="0"/>
              <w:i w:val="0"/>
              <w:sz w:val="22"/>
              <w:szCs w:val="22"/>
            </w:rPr>
          </w:pPr>
          <w:hyperlink w:anchor="_Toc123828297" w:history="1">
            <w:r w:rsidR="00A61551" w:rsidRPr="00B24843">
              <w:rPr>
                <w:rStyle w:val="Hyperlink"/>
                <w:rFonts w:cs="Open Sans"/>
                <w:iCs/>
              </w:rPr>
              <w:t>8.1</w:t>
            </w:r>
            <w:r w:rsidR="00A61551">
              <w:rPr>
                <w:rFonts w:asciiTheme="minorHAnsi" w:eastAsiaTheme="minorEastAsia" w:hAnsiTheme="minorHAnsi" w:cstheme="minorBidi"/>
                <w:b w:val="0"/>
                <w:i w:val="0"/>
                <w:sz w:val="22"/>
                <w:szCs w:val="22"/>
              </w:rPr>
              <w:tab/>
            </w:r>
            <w:r w:rsidR="00A61551" w:rsidRPr="00B24843">
              <w:rPr>
                <w:rStyle w:val="Hyperlink"/>
                <w:rFonts w:cs="Open Sans"/>
                <w:iCs/>
              </w:rPr>
              <w:t>11 November Incident</w:t>
            </w:r>
            <w:r w:rsidR="00A61551">
              <w:rPr>
                <w:webHidden/>
              </w:rPr>
              <w:tab/>
            </w:r>
            <w:r w:rsidR="00A61551">
              <w:rPr>
                <w:webHidden/>
              </w:rPr>
              <w:fldChar w:fldCharType="begin"/>
            </w:r>
            <w:r w:rsidR="00A61551">
              <w:rPr>
                <w:webHidden/>
              </w:rPr>
              <w:instrText xml:space="preserve"> PAGEREF _Toc123828297 \h </w:instrText>
            </w:r>
            <w:r w:rsidR="00A61551">
              <w:rPr>
                <w:webHidden/>
              </w:rPr>
            </w:r>
            <w:r w:rsidR="00A61551">
              <w:rPr>
                <w:webHidden/>
              </w:rPr>
              <w:fldChar w:fldCharType="separate"/>
            </w:r>
            <w:r w:rsidR="00A61551">
              <w:rPr>
                <w:webHidden/>
              </w:rPr>
              <w:t>19</w:t>
            </w:r>
            <w:r w:rsidR="00A61551">
              <w:rPr>
                <w:webHidden/>
              </w:rPr>
              <w:fldChar w:fldCharType="end"/>
            </w:r>
          </w:hyperlink>
        </w:p>
        <w:p w14:paraId="54D10DB3" w14:textId="5CF69203" w:rsidR="00A61551" w:rsidRDefault="00000000">
          <w:pPr>
            <w:pStyle w:val="TOC2"/>
            <w:rPr>
              <w:rFonts w:asciiTheme="minorHAnsi" w:eastAsiaTheme="minorEastAsia" w:hAnsiTheme="minorHAnsi" w:cstheme="minorBidi"/>
              <w:b w:val="0"/>
              <w:i w:val="0"/>
              <w:sz w:val="22"/>
              <w:szCs w:val="22"/>
            </w:rPr>
          </w:pPr>
          <w:hyperlink w:anchor="_Toc123828298" w:history="1">
            <w:r w:rsidR="00A61551" w:rsidRPr="00B24843">
              <w:rPr>
                <w:rStyle w:val="Hyperlink"/>
                <w:rFonts w:eastAsia="Times New Roman" w:cs="Open Sans"/>
                <w:iCs/>
              </w:rPr>
              <w:t>8.2</w:t>
            </w:r>
            <w:r w:rsidR="00A61551">
              <w:rPr>
                <w:rFonts w:asciiTheme="minorHAnsi" w:eastAsiaTheme="minorEastAsia" w:hAnsiTheme="minorHAnsi" w:cstheme="minorBidi"/>
                <w:b w:val="0"/>
                <w:i w:val="0"/>
                <w:sz w:val="22"/>
                <w:szCs w:val="22"/>
              </w:rPr>
              <w:tab/>
            </w:r>
            <w:r w:rsidR="00A61551" w:rsidRPr="00B24843">
              <w:rPr>
                <w:rStyle w:val="Hyperlink"/>
                <w:rFonts w:eastAsia="Times New Roman" w:cs="Open Sans"/>
                <w:iCs/>
              </w:rPr>
              <w:t>Consideration</w:t>
            </w:r>
            <w:r w:rsidR="00A61551">
              <w:rPr>
                <w:webHidden/>
              </w:rPr>
              <w:tab/>
            </w:r>
            <w:r w:rsidR="00A61551">
              <w:rPr>
                <w:webHidden/>
              </w:rPr>
              <w:fldChar w:fldCharType="begin"/>
            </w:r>
            <w:r w:rsidR="00A61551">
              <w:rPr>
                <w:webHidden/>
              </w:rPr>
              <w:instrText xml:space="preserve"> PAGEREF _Toc123828298 \h </w:instrText>
            </w:r>
            <w:r w:rsidR="00A61551">
              <w:rPr>
                <w:webHidden/>
              </w:rPr>
            </w:r>
            <w:r w:rsidR="00A61551">
              <w:rPr>
                <w:webHidden/>
              </w:rPr>
              <w:fldChar w:fldCharType="separate"/>
            </w:r>
            <w:r w:rsidR="00A61551">
              <w:rPr>
                <w:webHidden/>
              </w:rPr>
              <w:t>24</w:t>
            </w:r>
            <w:r w:rsidR="00A61551">
              <w:rPr>
                <w:webHidden/>
              </w:rPr>
              <w:fldChar w:fldCharType="end"/>
            </w:r>
          </w:hyperlink>
        </w:p>
        <w:p w14:paraId="730777EC" w14:textId="52BA8D26" w:rsidR="00A61551" w:rsidRDefault="00000000">
          <w:pPr>
            <w:pStyle w:val="TOC2"/>
            <w:rPr>
              <w:rFonts w:asciiTheme="minorHAnsi" w:eastAsiaTheme="minorEastAsia" w:hAnsiTheme="minorHAnsi" w:cstheme="minorBidi"/>
              <w:b w:val="0"/>
              <w:i w:val="0"/>
              <w:sz w:val="22"/>
              <w:szCs w:val="22"/>
            </w:rPr>
          </w:pPr>
          <w:hyperlink w:anchor="_Toc123828299" w:history="1">
            <w:r w:rsidR="00A61551" w:rsidRPr="00B24843">
              <w:rPr>
                <w:rStyle w:val="Hyperlink"/>
                <w:rFonts w:eastAsia="Times New Roman" w:cs="Open Sans"/>
                <w:iCs/>
              </w:rPr>
              <w:t>8.3</w:t>
            </w:r>
            <w:r w:rsidR="00A61551">
              <w:rPr>
                <w:rFonts w:asciiTheme="minorHAnsi" w:eastAsiaTheme="minorEastAsia" w:hAnsiTheme="minorHAnsi" w:cstheme="minorBidi"/>
                <w:b w:val="0"/>
                <w:i w:val="0"/>
                <w:sz w:val="22"/>
                <w:szCs w:val="22"/>
              </w:rPr>
              <w:tab/>
            </w:r>
            <w:r w:rsidR="00A61551" w:rsidRPr="00B24843">
              <w:rPr>
                <w:rStyle w:val="Hyperlink"/>
                <w:rFonts w:eastAsia="Times New Roman" w:cs="Open Sans"/>
                <w:iCs/>
              </w:rPr>
              <w:t>First 24 November Incident</w:t>
            </w:r>
            <w:r w:rsidR="00A61551">
              <w:rPr>
                <w:webHidden/>
              </w:rPr>
              <w:tab/>
            </w:r>
            <w:r w:rsidR="00A61551">
              <w:rPr>
                <w:webHidden/>
              </w:rPr>
              <w:fldChar w:fldCharType="begin"/>
            </w:r>
            <w:r w:rsidR="00A61551">
              <w:rPr>
                <w:webHidden/>
              </w:rPr>
              <w:instrText xml:space="preserve"> PAGEREF _Toc123828299 \h </w:instrText>
            </w:r>
            <w:r w:rsidR="00A61551">
              <w:rPr>
                <w:webHidden/>
              </w:rPr>
            </w:r>
            <w:r w:rsidR="00A61551">
              <w:rPr>
                <w:webHidden/>
              </w:rPr>
              <w:fldChar w:fldCharType="separate"/>
            </w:r>
            <w:r w:rsidR="00A61551">
              <w:rPr>
                <w:webHidden/>
              </w:rPr>
              <w:t>27</w:t>
            </w:r>
            <w:r w:rsidR="00A61551">
              <w:rPr>
                <w:webHidden/>
              </w:rPr>
              <w:fldChar w:fldCharType="end"/>
            </w:r>
          </w:hyperlink>
        </w:p>
        <w:p w14:paraId="00908828" w14:textId="0352344A" w:rsidR="00A61551" w:rsidRDefault="00000000">
          <w:pPr>
            <w:pStyle w:val="TOC2"/>
            <w:rPr>
              <w:rFonts w:asciiTheme="minorHAnsi" w:eastAsiaTheme="minorEastAsia" w:hAnsiTheme="minorHAnsi" w:cstheme="minorBidi"/>
              <w:b w:val="0"/>
              <w:i w:val="0"/>
              <w:sz w:val="22"/>
              <w:szCs w:val="22"/>
            </w:rPr>
          </w:pPr>
          <w:hyperlink w:anchor="_Toc123828300" w:history="1">
            <w:r w:rsidR="00A61551" w:rsidRPr="00B24843">
              <w:rPr>
                <w:rStyle w:val="Hyperlink"/>
                <w:rFonts w:eastAsia="Times New Roman" w:cs="Open Sans"/>
                <w:iCs/>
              </w:rPr>
              <w:t>8.4</w:t>
            </w:r>
            <w:r w:rsidR="00A61551">
              <w:rPr>
                <w:rFonts w:asciiTheme="minorHAnsi" w:eastAsiaTheme="minorEastAsia" w:hAnsiTheme="minorHAnsi" w:cstheme="minorBidi"/>
                <w:b w:val="0"/>
                <w:i w:val="0"/>
                <w:sz w:val="22"/>
                <w:szCs w:val="22"/>
              </w:rPr>
              <w:tab/>
            </w:r>
            <w:r w:rsidR="00A61551" w:rsidRPr="00B24843">
              <w:rPr>
                <w:rStyle w:val="Hyperlink"/>
                <w:rFonts w:eastAsia="Times New Roman" w:cs="Open Sans"/>
                <w:iCs/>
              </w:rPr>
              <w:t>Consideration</w:t>
            </w:r>
            <w:r w:rsidR="00A61551">
              <w:rPr>
                <w:webHidden/>
              </w:rPr>
              <w:tab/>
            </w:r>
            <w:r w:rsidR="00A61551">
              <w:rPr>
                <w:webHidden/>
              </w:rPr>
              <w:fldChar w:fldCharType="begin"/>
            </w:r>
            <w:r w:rsidR="00A61551">
              <w:rPr>
                <w:webHidden/>
              </w:rPr>
              <w:instrText xml:space="preserve"> PAGEREF _Toc123828300 \h </w:instrText>
            </w:r>
            <w:r w:rsidR="00A61551">
              <w:rPr>
                <w:webHidden/>
              </w:rPr>
            </w:r>
            <w:r w:rsidR="00A61551">
              <w:rPr>
                <w:webHidden/>
              </w:rPr>
              <w:fldChar w:fldCharType="separate"/>
            </w:r>
            <w:r w:rsidR="00A61551">
              <w:rPr>
                <w:webHidden/>
              </w:rPr>
              <w:t>28</w:t>
            </w:r>
            <w:r w:rsidR="00A61551">
              <w:rPr>
                <w:webHidden/>
              </w:rPr>
              <w:fldChar w:fldCharType="end"/>
            </w:r>
          </w:hyperlink>
        </w:p>
        <w:p w14:paraId="43C41DE7" w14:textId="0DC88D5C" w:rsidR="00A61551" w:rsidRDefault="00000000">
          <w:pPr>
            <w:pStyle w:val="TOC2"/>
            <w:rPr>
              <w:rFonts w:asciiTheme="minorHAnsi" w:eastAsiaTheme="minorEastAsia" w:hAnsiTheme="minorHAnsi" w:cstheme="minorBidi"/>
              <w:b w:val="0"/>
              <w:i w:val="0"/>
              <w:sz w:val="22"/>
              <w:szCs w:val="22"/>
            </w:rPr>
          </w:pPr>
          <w:hyperlink w:anchor="_Toc123828301" w:history="1">
            <w:r w:rsidR="00A61551" w:rsidRPr="00B24843">
              <w:rPr>
                <w:rStyle w:val="Hyperlink"/>
                <w:rFonts w:eastAsia="Times New Roman" w:cs="Open Sans"/>
                <w:iCs/>
              </w:rPr>
              <w:t>8.5</w:t>
            </w:r>
            <w:r w:rsidR="00A61551">
              <w:rPr>
                <w:rFonts w:asciiTheme="minorHAnsi" w:eastAsiaTheme="minorEastAsia" w:hAnsiTheme="minorHAnsi" w:cstheme="minorBidi"/>
                <w:b w:val="0"/>
                <w:i w:val="0"/>
                <w:sz w:val="22"/>
                <w:szCs w:val="22"/>
              </w:rPr>
              <w:tab/>
            </w:r>
            <w:r w:rsidR="00A61551" w:rsidRPr="00B24843">
              <w:rPr>
                <w:rStyle w:val="Hyperlink"/>
                <w:rFonts w:eastAsia="Times New Roman" w:cs="Open Sans"/>
                <w:iCs/>
              </w:rPr>
              <w:t>Second 24 November Incident</w:t>
            </w:r>
            <w:r w:rsidR="00A61551">
              <w:rPr>
                <w:webHidden/>
              </w:rPr>
              <w:tab/>
            </w:r>
            <w:r w:rsidR="00A61551">
              <w:rPr>
                <w:webHidden/>
              </w:rPr>
              <w:fldChar w:fldCharType="begin"/>
            </w:r>
            <w:r w:rsidR="00A61551">
              <w:rPr>
                <w:webHidden/>
              </w:rPr>
              <w:instrText xml:space="preserve"> PAGEREF _Toc123828301 \h </w:instrText>
            </w:r>
            <w:r w:rsidR="00A61551">
              <w:rPr>
                <w:webHidden/>
              </w:rPr>
            </w:r>
            <w:r w:rsidR="00A61551">
              <w:rPr>
                <w:webHidden/>
              </w:rPr>
              <w:fldChar w:fldCharType="separate"/>
            </w:r>
            <w:r w:rsidR="00A61551">
              <w:rPr>
                <w:webHidden/>
              </w:rPr>
              <w:t>29</w:t>
            </w:r>
            <w:r w:rsidR="00A61551">
              <w:rPr>
                <w:webHidden/>
              </w:rPr>
              <w:fldChar w:fldCharType="end"/>
            </w:r>
          </w:hyperlink>
        </w:p>
        <w:p w14:paraId="55BC09AC" w14:textId="44A54A31" w:rsidR="00A61551" w:rsidRDefault="00000000">
          <w:pPr>
            <w:pStyle w:val="TOC2"/>
            <w:rPr>
              <w:rFonts w:asciiTheme="minorHAnsi" w:eastAsiaTheme="minorEastAsia" w:hAnsiTheme="minorHAnsi" w:cstheme="minorBidi"/>
              <w:b w:val="0"/>
              <w:i w:val="0"/>
              <w:sz w:val="22"/>
              <w:szCs w:val="22"/>
            </w:rPr>
          </w:pPr>
          <w:hyperlink w:anchor="_Toc123828302" w:history="1">
            <w:r w:rsidR="00A61551" w:rsidRPr="00B24843">
              <w:rPr>
                <w:rStyle w:val="Hyperlink"/>
                <w:rFonts w:eastAsia="Times New Roman" w:cs="Open Sans"/>
                <w:iCs/>
              </w:rPr>
              <w:t>8.6</w:t>
            </w:r>
            <w:r w:rsidR="00A61551">
              <w:rPr>
                <w:rFonts w:asciiTheme="minorHAnsi" w:eastAsiaTheme="minorEastAsia" w:hAnsiTheme="minorHAnsi" w:cstheme="minorBidi"/>
                <w:b w:val="0"/>
                <w:i w:val="0"/>
                <w:sz w:val="22"/>
                <w:szCs w:val="22"/>
              </w:rPr>
              <w:tab/>
            </w:r>
            <w:r w:rsidR="00A61551" w:rsidRPr="00B24843">
              <w:rPr>
                <w:rStyle w:val="Hyperlink"/>
                <w:rFonts w:eastAsia="Times New Roman" w:cs="Open Sans"/>
                <w:iCs/>
              </w:rPr>
              <w:t>Consideration</w:t>
            </w:r>
            <w:r w:rsidR="00A61551">
              <w:rPr>
                <w:webHidden/>
              </w:rPr>
              <w:tab/>
            </w:r>
            <w:r w:rsidR="00A61551">
              <w:rPr>
                <w:webHidden/>
              </w:rPr>
              <w:fldChar w:fldCharType="begin"/>
            </w:r>
            <w:r w:rsidR="00A61551">
              <w:rPr>
                <w:webHidden/>
              </w:rPr>
              <w:instrText xml:space="preserve"> PAGEREF _Toc123828302 \h </w:instrText>
            </w:r>
            <w:r w:rsidR="00A61551">
              <w:rPr>
                <w:webHidden/>
              </w:rPr>
            </w:r>
            <w:r w:rsidR="00A61551">
              <w:rPr>
                <w:webHidden/>
              </w:rPr>
              <w:fldChar w:fldCharType="separate"/>
            </w:r>
            <w:r w:rsidR="00A61551">
              <w:rPr>
                <w:webHidden/>
              </w:rPr>
              <w:t>36</w:t>
            </w:r>
            <w:r w:rsidR="00A61551">
              <w:rPr>
                <w:webHidden/>
              </w:rPr>
              <w:fldChar w:fldCharType="end"/>
            </w:r>
          </w:hyperlink>
        </w:p>
        <w:p w14:paraId="29CC0039" w14:textId="618577C1" w:rsidR="00A61551" w:rsidRDefault="00000000">
          <w:pPr>
            <w:pStyle w:val="TOC2"/>
            <w:rPr>
              <w:rFonts w:asciiTheme="minorHAnsi" w:eastAsiaTheme="minorEastAsia" w:hAnsiTheme="minorHAnsi" w:cstheme="minorBidi"/>
              <w:b w:val="0"/>
              <w:i w:val="0"/>
              <w:sz w:val="22"/>
              <w:szCs w:val="22"/>
            </w:rPr>
          </w:pPr>
          <w:hyperlink w:anchor="_Toc123828303" w:history="1">
            <w:r w:rsidR="00A61551" w:rsidRPr="00B24843">
              <w:rPr>
                <w:rStyle w:val="Hyperlink"/>
                <w:rFonts w:eastAsia="Times New Roman" w:cs="Open Sans"/>
                <w:iCs/>
              </w:rPr>
              <w:t>8.7</w:t>
            </w:r>
            <w:r w:rsidR="00A61551">
              <w:rPr>
                <w:rFonts w:asciiTheme="minorHAnsi" w:eastAsiaTheme="minorEastAsia" w:hAnsiTheme="minorHAnsi" w:cstheme="minorBidi"/>
                <w:b w:val="0"/>
                <w:i w:val="0"/>
                <w:sz w:val="22"/>
                <w:szCs w:val="22"/>
              </w:rPr>
              <w:tab/>
            </w:r>
            <w:r w:rsidR="00A61551" w:rsidRPr="00B24843">
              <w:rPr>
                <w:rStyle w:val="Hyperlink"/>
                <w:rFonts w:eastAsia="Times New Roman" w:cs="Open Sans"/>
                <w:iCs/>
              </w:rPr>
              <w:t>Conclusion</w:t>
            </w:r>
            <w:r w:rsidR="00A61551">
              <w:rPr>
                <w:webHidden/>
              </w:rPr>
              <w:tab/>
            </w:r>
            <w:r w:rsidR="00A61551">
              <w:rPr>
                <w:webHidden/>
              </w:rPr>
              <w:fldChar w:fldCharType="begin"/>
            </w:r>
            <w:r w:rsidR="00A61551">
              <w:rPr>
                <w:webHidden/>
              </w:rPr>
              <w:instrText xml:space="preserve"> PAGEREF _Toc123828303 \h </w:instrText>
            </w:r>
            <w:r w:rsidR="00A61551">
              <w:rPr>
                <w:webHidden/>
              </w:rPr>
            </w:r>
            <w:r w:rsidR="00A61551">
              <w:rPr>
                <w:webHidden/>
              </w:rPr>
              <w:fldChar w:fldCharType="separate"/>
            </w:r>
            <w:r w:rsidR="00A61551">
              <w:rPr>
                <w:webHidden/>
              </w:rPr>
              <w:t>39</w:t>
            </w:r>
            <w:r w:rsidR="00A61551">
              <w:rPr>
                <w:webHidden/>
              </w:rPr>
              <w:fldChar w:fldCharType="end"/>
            </w:r>
          </w:hyperlink>
        </w:p>
        <w:p w14:paraId="12316466" w14:textId="742DC308" w:rsidR="00A61551" w:rsidRDefault="00000000">
          <w:pPr>
            <w:pStyle w:val="TOC1"/>
            <w:rPr>
              <w:rFonts w:asciiTheme="minorHAnsi" w:eastAsiaTheme="minorEastAsia" w:hAnsiTheme="minorHAnsi" w:cstheme="minorBidi"/>
              <w:b w:val="0"/>
              <w:sz w:val="22"/>
              <w:szCs w:val="22"/>
            </w:rPr>
          </w:pPr>
          <w:hyperlink w:anchor="_Toc123828304" w:history="1">
            <w:r w:rsidR="00A61551" w:rsidRPr="00B24843">
              <w:rPr>
                <w:rStyle w:val="Hyperlink"/>
              </w:rPr>
              <w:t>9</w:t>
            </w:r>
            <w:r w:rsidR="00A61551">
              <w:rPr>
                <w:rFonts w:asciiTheme="minorHAnsi" w:eastAsiaTheme="minorEastAsia" w:hAnsiTheme="minorHAnsi" w:cstheme="minorBidi"/>
                <w:b w:val="0"/>
                <w:sz w:val="22"/>
                <w:szCs w:val="22"/>
              </w:rPr>
              <w:tab/>
            </w:r>
            <w:r w:rsidR="00A61551" w:rsidRPr="00B24843">
              <w:rPr>
                <w:rStyle w:val="Hyperlink"/>
                <w:rFonts w:eastAsia="Times New Roman" w:cs="Open Sans"/>
              </w:rPr>
              <w:t>Recommendations</w:t>
            </w:r>
            <w:r w:rsidR="00A61551">
              <w:rPr>
                <w:webHidden/>
              </w:rPr>
              <w:tab/>
            </w:r>
            <w:r w:rsidR="00A61551">
              <w:rPr>
                <w:webHidden/>
              </w:rPr>
              <w:fldChar w:fldCharType="begin"/>
            </w:r>
            <w:r w:rsidR="00A61551">
              <w:rPr>
                <w:webHidden/>
              </w:rPr>
              <w:instrText xml:space="preserve"> PAGEREF _Toc123828304 \h </w:instrText>
            </w:r>
            <w:r w:rsidR="00A61551">
              <w:rPr>
                <w:webHidden/>
              </w:rPr>
            </w:r>
            <w:r w:rsidR="00A61551">
              <w:rPr>
                <w:webHidden/>
              </w:rPr>
              <w:fldChar w:fldCharType="separate"/>
            </w:r>
            <w:r w:rsidR="00A61551">
              <w:rPr>
                <w:webHidden/>
              </w:rPr>
              <w:t>39</w:t>
            </w:r>
            <w:r w:rsidR="00A61551">
              <w:rPr>
                <w:webHidden/>
              </w:rPr>
              <w:fldChar w:fldCharType="end"/>
            </w:r>
          </w:hyperlink>
        </w:p>
        <w:p w14:paraId="0BE560CB" w14:textId="5A4DC093" w:rsidR="00A61551" w:rsidRDefault="00000000">
          <w:pPr>
            <w:pStyle w:val="TOC1"/>
            <w:rPr>
              <w:rFonts w:asciiTheme="minorHAnsi" w:eastAsiaTheme="minorEastAsia" w:hAnsiTheme="minorHAnsi" w:cstheme="minorBidi"/>
              <w:b w:val="0"/>
              <w:sz w:val="22"/>
              <w:szCs w:val="22"/>
            </w:rPr>
          </w:pPr>
          <w:hyperlink w:anchor="_Toc123828305" w:history="1">
            <w:r w:rsidR="00A61551" w:rsidRPr="00B24843">
              <w:rPr>
                <w:rStyle w:val="Hyperlink"/>
                <w:rFonts w:eastAsia="Times New Roman" w:cs="Open Sans"/>
              </w:rPr>
              <w:t>10</w:t>
            </w:r>
            <w:r w:rsidR="00A61551">
              <w:rPr>
                <w:rFonts w:asciiTheme="minorHAnsi" w:eastAsiaTheme="minorEastAsia" w:hAnsiTheme="minorHAnsi" w:cstheme="minorBidi"/>
                <w:b w:val="0"/>
                <w:sz w:val="22"/>
                <w:szCs w:val="22"/>
              </w:rPr>
              <w:tab/>
            </w:r>
            <w:r w:rsidR="00A61551" w:rsidRPr="00B24843">
              <w:rPr>
                <w:rStyle w:val="Hyperlink"/>
                <w:rFonts w:eastAsia="Times New Roman" w:cs="Open Sans"/>
              </w:rPr>
              <w:t>The Department’s response to my findings and recommendations</w:t>
            </w:r>
            <w:r w:rsidR="00A61551">
              <w:rPr>
                <w:webHidden/>
              </w:rPr>
              <w:tab/>
            </w:r>
            <w:r w:rsidR="00A61551">
              <w:rPr>
                <w:webHidden/>
              </w:rPr>
              <w:fldChar w:fldCharType="begin"/>
            </w:r>
            <w:r w:rsidR="00A61551">
              <w:rPr>
                <w:webHidden/>
              </w:rPr>
              <w:instrText xml:space="preserve"> PAGEREF _Toc123828305 \h </w:instrText>
            </w:r>
            <w:r w:rsidR="00A61551">
              <w:rPr>
                <w:webHidden/>
              </w:rPr>
            </w:r>
            <w:r w:rsidR="00A61551">
              <w:rPr>
                <w:webHidden/>
              </w:rPr>
              <w:fldChar w:fldCharType="separate"/>
            </w:r>
            <w:r w:rsidR="00A61551">
              <w:rPr>
                <w:webHidden/>
              </w:rPr>
              <w:t>42</w:t>
            </w:r>
            <w:r w:rsidR="00A61551">
              <w:rPr>
                <w:webHidden/>
              </w:rPr>
              <w:fldChar w:fldCharType="end"/>
            </w:r>
          </w:hyperlink>
        </w:p>
        <w:p w14:paraId="40E8044A" w14:textId="79BF0703" w:rsidR="00201C9D" w:rsidRPr="00937A33" w:rsidRDefault="00201C9D" w:rsidP="00201C9D">
          <w:pPr>
            <w:spacing w:after="60"/>
            <w:rPr>
              <w:rFonts w:cs="Open Sans"/>
              <w:bCs/>
              <w:noProof/>
            </w:rPr>
          </w:pPr>
          <w:r w:rsidRPr="00937A33">
            <w:rPr>
              <w:rFonts w:cs="Open Sans"/>
              <w:b/>
              <w:bCs/>
              <w:noProof/>
            </w:rPr>
            <w:fldChar w:fldCharType="end"/>
          </w:r>
        </w:p>
      </w:sdtContent>
    </w:sdt>
    <w:p w14:paraId="1FF974FC" w14:textId="77777777" w:rsidR="00201C9D" w:rsidRPr="00937A33" w:rsidRDefault="00201C9D" w:rsidP="00201C9D">
      <w:pPr>
        <w:rPr>
          <w:rFonts w:eastAsia="Times New Roman" w:cs="Open Sans"/>
          <w:bCs/>
          <w:kern w:val="32"/>
        </w:rPr>
      </w:pPr>
      <w:r w:rsidRPr="00937A33">
        <w:rPr>
          <w:rFonts w:eastAsia="Times New Roman" w:cs="Open Sans"/>
          <w:bCs/>
          <w:kern w:val="32"/>
        </w:rPr>
        <w:br w:type="page"/>
      </w:r>
    </w:p>
    <w:p w14:paraId="4CB7F967" w14:textId="5290E201" w:rsidR="00201C9D" w:rsidRPr="000E279B" w:rsidRDefault="00201C9D" w:rsidP="000F7824">
      <w:pPr>
        <w:pStyle w:val="Heading1"/>
        <w:numPr>
          <w:ilvl w:val="0"/>
          <w:numId w:val="24"/>
        </w:numPr>
        <w:tabs>
          <w:tab w:val="num" w:pos="1492"/>
        </w:tabs>
        <w:ind w:left="709" w:hanging="709"/>
        <w:rPr>
          <w:rFonts w:cs="Open Sans"/>
          <w:szCs w:val="36"/>
        </w:rPr>
      </w:pPr>
      <w:bookmarkStart w:id="0" w:name="_Toc452472689"/>
      <w:bookmarkStart w:id="1" w:name="_Toc487445596"/>
      <w:bookmarkStart w:id="2" w:name="_Toc487531381"/>
      <w:bookmarkStart w:id="3" w:name="_Toc487531400"/>
      <w:bookmarkStart w:id="4" w:name="_Toc487531470"/>
      <w:bookmarkStart w:id="5" w:name="_Toc487531590"/>
      <w:bookmarkStart w:id="6" w:name="_Toc83845011"/>
      <w:bookmarkStart w:id="7" w:name="_Toc123828280"/>
      <w:r w:rsidRPr="00937A33">
        <w:rPr>
          <w:rFonts w:cs="Open Sans"/>
          <w:szCs w:val="36"/>
        </w:rPr>
        <w:lastRenderedPageBreak/>
        <w:t>Introduction to this inquiry</w:t>
      </w:r>
      <w:bookmarkEnd w:id="0"/>
      <w:bookmarkEnd w:id="1"/>
      <w:bookmarkEnd w:id="2"/>
      <w:bookmarkEnd w:id="3"/>
      <w:bookmarkEnd w:id="4"/>
      <w:bookmarkEnd w:id="5"/>
      <w:bookmarkEnd w:id="6"/>
      <w:bookmarkEnd w:id="7"/>
    </w:p>
    <w:p w14:paraId="7C6C87CD" w14:textId="6D9C5E68" w:rsidR="00201C9D" w:rsidRPr="00BC664C" w:rsidRDefault="00201C9D" w:rsidP="000F7824">
      <w:pPr>
        <w:pStyle w:val="ListParagraph"/>
        <w:numPr>
          <w:ilvl w:val="0"/>
          <w:numId w:val="20"/>
        </w:numPr>
        <w:ind w:hanging="720"/>
        <w:rPr>
          <w:rFonts w:eastAsia="Times New Roman" w:cs="Open Sans"/>
          <w:spacing w:val="-5"/>
        </w:rPr>
      </w:pPr>
      <w:r>
        <w:rPr>
          <w:rFonts w:eastAsia="Times New Roman" w:cs="Open Sans"/>
          <w:spacing w:val="-5"/>
        </w:rPr>
        <w:t xml:space="preserve">This is a </w:t>
      </w:r>
      <w:r w:rsidR="00C62D64">
        <w:rPr>
          <w:rFonts w:eastAsia="Times New Roman" w:cs="Open Sans"/>
          <w:spacing w:val="-5"/>
        </w:rPr>
        <w:t>report</w:t>
      </w:r>
      <w:r>
        <w:rPr>
          <w:rFonts w:eastAsia="Times New Roman" w:cs="Open Sans"/>
          <w:spacing w:val="-5"/>
        </w:rPr>
        <w:t xml:space="preserve"> setting out the findings of the </w:t>
      </w:r>
      <w:r w:rsidRPr="00937A33">
        <w:rPr>
          <w:rFonts w:eastAsia="Times New Roman" w:cs="Open Sans"/>
          <w:spacing w:val="-5"/>
        </w:rPr>
        <w:t xml:space="preserve">Australian Human Rights Commission (Commission) </w:t>
      </w:r>
      <w:r>
        <w:rPr>
          <w:rFonts w:eastAsia="Times New Roman" w:cs="Open Sans"/>
          <w:spacing w:val="-5"/>
        </w:rPr>
        <w:t xml:space="preserve">following </w:t>
      </w:r>
      <w:r w:rsidRPr="00937A33">
        <w:rPr>
          <w:rFonts w:eastAsia="Times New Roman" w:cs="Open Sans"/>
          <w:spacing w:val="-5"/>
        </w:rPr>
        <w:t xml:space="preserve">an inquiry into a complaint made by Mr Issa </w:t>
      </w:r>
      <w:proofErr w:type="spellStart"/>
      <w:r w:rsidRPr="00937A33">
        <w:rPr>
          <w:rFonts w:eastAsia="Times New Roman" w:cs="Open Sans"/>
          <w:spacing w:val="-5"/>
        </w:rPr>
        <w:t>Andrwas</w:t>
      </w:r>
      <w:proofErr w:type="spellEnd"/>
      <w:r w:rsidRPr="00937A33">
        <w:rPr>
          <w:rFonts w:eastAsia="Times New Roman" w:cs="Open Sans"/>
          <w:spacing w:val="-5"/>
        </w:rPr>
        <w:t xml:space="preserve"> against the Commonwealth of Australia, specifically the Department of Home Affairs (Department). Mr </w:t>
      </w:r>
      <w:proofErr w:type="spellStart"/>
      <w:r w:rsidRPr="00937A33">
        <w:rPr>
          <w:rFonts w:eastAsia="Times New Roman" w:cs="Open Sans"/>
          <w:spacing w:val="-5"/>
        </w:rPr>
        <w:t>Andrwas</w:t>
      </w:r>
      <w:proofErr w:type="spellEnd"/>
      <w:r w:rsidRPr="00937A33">
        <w:rPr>
          <w:rFonts w:eastAsia="Times New Roman" w:cs="Open Sans"/>
          <w:spacing w:val="-5"/>
        </w:rPr>
        <w:t xml:space="preserve"> alleges that the Department breached his human rights by failing to provide him with a safe place of detention. </w:t>
      </w:r>
    </w:p>
    <w:p w14:paraId="01B80FE9" w14:textId="493466D0" w:rsidR="00201C9D" w:rsidRPr="00BC664C" w:rsidRDefault="00201C9D" w:rsidP="000F7824">
      <w:pPr>
        <w:pStyle w:val="ListParagraph"/>
        <w:numPr>
          <w:ilvl w:val="0"/>
          <w:numId w:val="20"/>
        </w:numPr>
        <w:ind w:hanging="720"/>
        <w:rPr>
          <w:rFonts w:eastAsia="Times New Roman" w:cs="Open Sans"/>
          <w:spacing w:val="-5"/>
        </w:rPr>
      </w:pPr>
      <w:r w:rsidRPr="00937A33">
        <w:rPr>
          <w:rFonts w:eastAsia="Times New Roman" w:cs="Open Sans"/>
          <w:spacing w:val="-5"/>
        </w:rPr>
        <w:t xml:space="preserve">Mr </w:t>
      </w:r>
      <w:proofErr w:type="spellStart"/>
      <w:r w:rsidRPr="00937A33">
        <w:rPr>
          <w:rFonts w:eastAsia="Times New Roman" w:cs="Open Sans"/>
          <w:spacing w:val="-5"/>
        </w:rPr>
        <w:t>Andrwas</w:t>
      </w:r>
      <w:proofErr w:type="spellEnd"/>
      <w:r w:rsidRPr="00937A33">
        <w:rPr>
          <w:rFonts w:eastAsia="Times New Roman" w:cs="Open Sans"/>
          <w:spacing w:val="-5"/>
        </w:rPr>
        <w:t>, a national of Jordan and a resident of Australia since 1997, was taken into immigration detention on 27 October 2017 following the cancellation of his visa. He was initially held at Villawood Immigration Detention Centre (Villawood) in Sydney.</w:t>
      </w:r>
    </w:p>
    <w:p w14:paraId="773568CA" w14:textId="67DB8963" w:rsidR="00201C9D" w:rsidRPr="00BC664C" w:rsidRDefault="00201C9D" w:rsidP="000F7824">
      <w:pPr>
        <w:pStyle w:val="ListParagraph"/>
        <w:numPr>
          <w:ilvl w:val="0"/>
          <w:numId w:val="20"/>
        </w:numPr>
        <w:ind w:hanging="720"/>
        <w:rPr>
          <w:rFonts w:eastAsia="Times New Roman" w:cs="Open Sans"/>
          <w:spacing w:val="-5"/>
        </w:rPr>
      </w:pPr>
      <w:r w:rsidRPr="00937A33">
        <w:rPr>
          <w:rFonts w:eastAsia="Times New Roman" w:cs="Open Sans"/>
          <w:spacing w:val="-5"/>
        </w:rPr>
        <w:t xml:space="preserve">Mr </w:t>
      </w:r>
      <w:proofErr w:type="spellStart"/>
      <w:r w:rsidRPr="00937A33">
        <w:rPr>
          <w:rFonts w:eastAsia="Times New Roman" w:cs="Open Sans"/>
          <w:spacing w:val="-5"/>
        </w:rPr>
        <w:t>Andrwas</w:t>
      </w:r>
      <w:proofErr w:type="spellEnd"/>
      <w:r w:rsidRPr="00937A33">
        <w:rPr>
          <w:rFonts w:eastAsia="Times New Roman" w:cs="Open Sans"/>
          <w:spacing w:val="-5"/>
        </w:rPr>
        <w:t xml:space="preserve"> alleges that he was assaulted on three occasions on 11 and 24 November 2017 while he was in Villawood. Mr </w:t>
      </w:r>
      <w:proofErr w:type="spellStart"/>
      <w:r w:rsidRPr="00937A33">
        <w:rPr>
          <w:rFonts w:eastAsia="Times New Roman" w:cs="Open Sans"/>
          <w:spacing w:val="-5"/>
        </w:rPr>
        <w:t>Andrwas</w:t>
      </w:r>
      <w:proofErr w:type="spellEnd"/>
      <w:r w:rsidRPr="00937A33">
        <w:rPr>
          <w:rFonts w:eastAsia="Times New Roman" w:cs="Open Sans"/>
          <w:spacing w:val="-5"/>
        </w:rPr>
        <w:t xml:space="preserve"> alleges that the assaults on 24 November left him with permanent damage to his face and right eye, two broken teeth and ongoing shoulder pain. </w:t>
      </w:r>
    </w:p>
    <w:p w14:paraId="05FA9BC8" w14:textId="18E158E3" w:rsidR="00201C9D" w:rsidRPr="00BC664C" w:rsidRDefault="00201C9D" w:rsidP="000F7824">
      <w:pPr>
        <w:pStyle w:val="ListParagraph"/>
        <w:numPr>
          <w:ilvl w:val="0"/>
          <w:numId w:val="20"/>
        </w:numPr>
        <w:ind w:hanging="720"/>
        <w:rPr>
          <w:rFonts w:eastAsia="Times New Roman" w:cs="Open Sans"/>
          <w:spacing w:val="-5"/>
        </w:rPr>
      </w:pPr>
      <w:r w:rsidRPr="00C70E50">
        <w:rPr>
          <w:rFonts w:eastAsia="Times New Roman" w:cs="Open Sans"/>
          <w:spacing w:val="-5"/>
        </w:rPr>
        <w:t xml:space="preserve">This inquiry is being undertaken pursuant to s 11(1)(f) of the AHRC Act. </w:t>
      </w:r>
    </w:p>
    <w:p w14:paraId="7A36F8F5" w14:textId="0F63A280" w:rsidR="00201C9D" w:rsidRPr="00937A33" w:rsidRDefault="00201C9D" w:rsidP="000F7824">
      <w:pPr>
        <w:pStyle w:val="ListParagraph"/>
        <w:numPr>
          <w:ilvl w:val="0"/>
          <w:numId w:val="20"/>
        </w:numPr>
        <w:ind w:hanging="720"/>
        <w:rPr>
          <w:rFonts w:eastAsia="Times New Roman" w:cs="Open Sans"/>
          <w:spacing w:val="-5"/>
        </w:rPr>
      </w:pPr>
      <w:r>
        <w:rPr>
          <w:rFonts w:eastAsia="Times New Roman" w:cs="Open Sans"/>
          <w:spacing w:val="-5"/>
        </w:rPr>
        <w:t>T</w:t>
      </w:r>
      <w:r w:rsidRPr="007D368B">
        <w:rPr>
          <w:rFonts w:eastAsia="Times New Roman" w:cs="Open Sans"/>
          <w:spacing w:val="-5"/>
        </w:rPr>
        <w:t xml:space="preserve">his </w:t>
      </w:r>
      <w:r w:rsidR="00C62D64">
        <w:rPr>
          <w:rFonts w:eastAsia="Times New Roman" w:cs="Open Sans"/>
          <w:spacing w:val="-5"/>
        </w:rPr>
        <w:t>report</w:t>
      </w:r>
      <w:r w:rsidRPr="007D368B">
        <w:rPr>
          <w:rFonts w:eastAsia="Times New Roman" w:cs="Open Sans"/>
          <w:spacing w:val="-5"/>
        </w:rPr>
        <w:t xml:space="preserve"> is issued pursuant to s 29(2) of the AHRC Act setting out the findings of the Commission in relation to Mr </w:t>
      </w:r>
      <w:proofErr w:type="spellStart"/>
      <w:r>
        <w:rPr>
          <w:rFonts w:eastAsia="Times New Roman" w:cs="Open Sans"/>
          <w:spacing w:val="-5"/>
        </w:rPr>
        <w:t>Andrwas</w:t>
      </w:r>
      <w:proofErr w:type="spellEnd"/>
      <w:r>
        <w:rPr>
          <w:rFonts w:eastAsia="Times New Roman" w:cs="Open Sans"/>
          <w:spacing w:val="-5"/>
        </w:rPr>
        <w:t xml:space="preserve">’ </w:t>
      </w:r>
      <w:r w:rsidRPr="007D368B">
        <w:rPr>
          <w:rFonts w:eastAsia="Times New Roman" w:cs="Open Sans"/>
          <w:spacing w:val="-5"/>
        </w:rPr>
        <w:t>complaint.</w:t>
      </w:r>
    </w:p>
    <w:p w14:paraId="6CCBD5D0" w14:textId="146D866A" w:rsidR="00201C9D" w:rsidRPr="00BC664C" w:rsidRDefault="00201C9D" w:rsidP="000F7824">
      <w:pPr>
        <w:pStyle w:val="Heading1"/>
        <w:numPr>
          <w:ilvl w:val="0"/>
          <w:numId w:val="24"/>
        </w:numPr>
        <w:tabs>
          <w:tab w:val="num" w:pos="1492"/>
        </w:tabs>
        <w:ind w:left="709" w:hanging="709"/>
        <w:rPr>
          <w:rFonts w:cs="Open Sans"/>
          <w:szCs w:val="36"/>
        </w:rPr>
      </w:pPr>
      <w:bookmarkStart w:id="8" w:name="_Toc45544855"/>
      <w:bookmarkStart w:id="9" w:name="_Toc123828281"/>
      <w:r w:rsidRPr="00DD6091">
        <w:rPr>
          <w:rFonts w:cs="Open Sans"/>
          <w:szCs w:val="36"/>
        </w:rPr>
        <w:t>Summary</w:t>
      </w:r>
      <w:r w:rsidRPr="00B81F04">
        <w:rPr>
          <w:rFonts w:cs="Open Sans"/>
          <w:szCs w:val="36"/>
        </w:rPr>
        <w:t xml:space="preserve"> of findings and recommendations</w:t>
      </w:r>
      <w:bookmarkEnd w:id="8"/>
      <w:bookmarkEnd w:id="9"/>
    </w:p>
    <w:p w14:paraId="599007A5" w14:textId="2790DE77" w:rsidR="00201C9D" w:rsidRDefault="00201C9D" w:rsidP="000F7824">
      <w:pPr>
        <w:pStyle w:val="ListParagraph"/>
        <w:numPr>
          <w:ilvl w:val="0"/>
          <w:numId w:val="20"/>
        </w:numPr>
        <w:spacing w:before="0" w:after="0"/>
        <w:ind w:hanging="720"/>
        <w:contextualSpacing/>
        <w:rPr>
          <w:rFonts w:eastAsia="Times New Roman" w:cs="Open Sans"/>
          <w:spacing w:val="-5"/>
        </w:rPr>
      </w:pPr>
      <w:r>
        <w:rPr>
          <w:rFonts w:eastAsia="Times New Roman" w:cs="Open Sans"/>
          <w:spacing w:val="-5"/>
        </w:rPr>
        <w:t xml:space="preserve">As a result of this inquiry, I find that </w:t>
      </w:r>
      <w:r w:rsidRPr="00937A33">
        <w:rPr>
          <w:rFonts w:eastAsia="Times New Roman" w:cs="Open Sans"/>
          <w:spacing w:val="-5"/>
        </w:rPr>
        <w:t xml:space="preserve">the following </w:t>
      </w:r>
      <w:r w:rsidRPr="00937A33">
        <w:rPr>
          <w:rFonts w:cs="Open Sans"/>
        </w:rPr>
        <w:t xml:space="preserve">act of the Commonwealth was </w:t>
      </w:r>
      <w:r w:rsidRPr="00937A33">
        <w:rPr>
          <w:rFonts w:eastAsia="Times New Roman" w:cs="Open Sans"/>
          <w:spacing w:val="-5"/>
        </w:rPr>
        <w:t xml:space="preserve">inconsistent with </w:t>
      </w:r>
      <w:r>
        <w:rPr>
          <w:rFonts w:eastAsia="Times New Roman" w:cs="Open Sans"/>
          <w:spacing w:val="-5"/>
        </w:rPr>
        <w:t xml:space="preserve">or contrary to </w:t>
      </w:r>
      <w:r w:rsidRPr="00937A33">
        <w:rPr>
          <w:rFonts w:eastAsia="Times New Roman" w:cs="Open Sans"/>
          <w:spacing w:val="-5"/>
        </w:rPr>
        <w:t xml:space="preserve">Mr </w:t>
      </w:r>
      <w:proofErr w:type="spellStart"/>
      <w:r w:rsidRPr="00937A33">
        <w:rPr>
          <w:rFonts w:eastAsia="Times New Roman" w:cs="Open Sans"/>
          <w:spacing w:val="-5"/>
        </w:rPr>
        <w:t>Andrwas</w:t>
      </w:r>
      <w:proofErr w:type="spellEnd"/>
      <w:r w:rsidRPr="00937A33">
        <w:rPr>
          <w:rFonts w:eastAsia="Times New Roman" w:cs="Open Sans"/>
          <w:spacing w:val="-5"/>
        </w:rPr>
        <w:t xml:space="preserve">’ rights </w:t>
      </w:r>
      <w:r>
        <w:rPr>
          <w:rFonts w:eastAsia="Times New Roman" w:cs="Open Sans"/>
          <w:spacing w:val="-5"/>
        </w:rPr>
        <w:t xml:space="preserve">under </w:t>
      </w:r>
      <w:r w:rsidRPr="00937A33">
        <w:rPr>
          <w:rFonts w:eastAsia="Times New Roman" w:cs="Open Sans"/>
          <w:spacing w:val="-5"/>
        </w:rPr>
        <w:t xml:space="preserve">article 10(1) of the </w:t>
      </w:r>
      <w:r w:rsidRPr="00937A33">
        <w:rPr>
          <w:rFonts w:eastAsia="Times New Roman" w:cs="Open Sans"/>
          <w:i/>
          <w:iCs/>
          <w:spacing w:val="-5"/>
        </w:rPr>
        <w:t xml:space="preserve">International Covenant on Civil and Political Rights </w:t>
      </w:r>
      <w:r w:rsidRPr="00937A33">
        <w:rPr>
          <w:rFonts w:eastAsia="Times New Roman" w:cs="Open Sans"/>
          <w:spacing w:val="-5"/>
        </w:rPr>
        <w:t xml:space="preserve">(ICCPR): </w:t>
      </w:r>
    </w:p>
    <w:p w14:paraId="284F56AC" w14:textId="77777777" w:rsidR="00092E15" w:rsidRPr="00092E15" w:rsidRDefault="00092E15" w:rsidP="00092E15">
      <w:pPr>
        <w:pStyle w:val="ListParagraph"/>
        <w:spacing w:before="0" w:after="0"/>
        <w:contextualSpacing/>
        <w:rPr>
          <w:rFonts w:eastAsia="Times New Roman" w:cs="Open Sans"/>
          <w:spacing w:val="-5"/>
        </w:rPr>
      </w:pPr>
    </w:p>
    <w:p w14:paraId="6D2E4174" w14:textId="30516863" w:rsidR="00201C9D" w:rsidRDefault="00201C9D" w:rsidP="000F7824">
      <w:pPr>
        <w:pStyle w:val="ListParagraph"/>
        <w:numPr>
          <w:ilvl w:val="1"/>
          <w:numId w:val="20"/>
        </w:numPr>
        <w:spacing w:before="0" w:after="0"/>
        <w:contextualSpacing/>
        <w:rPr>
          <w:rFonts w:eastAsia="Times New Roman" w:cs="Open Sans"/>
          <w:spacing w:val="-5"/>
        </w:rPr>
      </w:pPr>
      <w:r w:rsidRPr="00937A33">
        <w:rPr>
          <w:rFonts w:eastAsia="Times New Roman" w:cs="Open Sans"/>
          <w:spacing w:val="-5"/>
        </w:rPr>
        <w:t xml:space="preserve">the decision of the </w:t>
      </w:r>
      <w:r w:rsidRPr="00937A33">
        <w:rPr>
          <w:rFonts w:cs="Open Sans"/>
        </w:rPr>
        <w:t xml:space="preserve">Department or Serco </w:t>
      </w:r>
      <w:r>
        <w:rPr>
          <w:rFonts w:cs="Open Sans"/>
        </w:rPr>
        <w:t>Australia Pty Ltd (Serco)</w:t>
      </w:r>
      <w:r w:rsidRPr="00937A33">
        <w:rPr>
          <w:rFonts w:cs="Open Sans"/>
        </w:rPr>
        <w:t xml:space="preserve"> to continue to detain Mr </w:t>
      </w:r>
      <w:proofErr w:type="spellStart"/>
      <w:r w:rsidRPr="00937A33">
        <w:rPr>
          <w:rFonts w:cs="Open Sans"/>
        </w:rPr>
        <w:t>Andrwas</w:t>
      </w:r>
      <w:proofErr w:type="spellEnd"/>
      <w:r w:rsidRPr="00937A33">
        <w:rPr>
          <w:rFonts w:cs="Open Sans"/>
        </w:rPr>
        <w:t xml:space="preserve"> in the Lachlan compound in Villawood following assaults on him on 11 November 2017 and 24 November 2017 by other detainees without undertaking a documented risk assessment process or other action to protect his safety</w:t>
      </w:r>
      <w:r w:rsidRPr="00937A33">
        <w:rPr>
          <w:rFonts w:eastAsia="Times New Roman" w:cs="Open Sans"/>
          <w:spacing w:val="-5"/>
        </w:rPr>
        <w:t xml:space="preserve">. </w:t>
      </w:r>
    </w:p>
    <w:p w14:paraId="2F7FC72F" w14:textId="77777777" w:rsidR="000E279B" w:rsidRPr="000E279B" w:rsidRDefault="000E279B" w:rsidP="000E279B">
      <w:pPr>
        <w:pStyle w:val="ListParagraph"/>
        <w:spacing w:before="0" w:after="0"/>
        <w:ind w:left="1440"/>
        <w:contextualSpacing/>
        <w:rPr>
          <w:rFonts w:eastAsia="Times New Roman" w:cs="Open Sans"/>
          <w:spacing w:val="-5"/>
        </w:rPr>
      </w:pPr>
    </w:p>
    <w:p w14:paraId="53E41CD3" w14:textId="055F1970" w:rsidR="00201C9D" w:rsidRPr="000E279B" w:rsidRDefault="00201C9D" w:rsidP="000F7824">
      <w:pPr>
        <w:pStyle w:val="ListParagraph"/>
        <w:numPr>
          <w:ilvl w:val="0"/>
          <w:numId w:val="20"/>
        </w:numPr>
        <w:spacing w:before="0" w:after="0"/>
        <w:ind w:hanging="720"/>
        <w:contextualSpacing/>
        <w:rPr>
          <w:rFonts w:eastAsia="Times New Roman" w:cs="Open Sans"/>
          <w:spacing w:val="-5"/>
        </w:rPr>
      </w:pPr>
      <w:r>
        <w:rPr>
          <w:rFonts w:eastAsia="Times New Roman" w:cs="Open Sans"/>
          <w:spacing w:val="-5"/>
        </w:rPr>
        <w:t xml:space="preserve">I make the following recommendations: </w:t>
      </w:r>
    </w:p>
    <w:p w14:paraId="7132A769" w14:textId="77777777" w:rsidR="00201C9D" w:rsidRDefault="00201C9D" w:rsidP="00201C9D">
      <w:pPr>
        <w:keepNext/>
        <w:ind w:left="720"/>
        <w:rPr>
          <w:rFonts w:cs="Open Sans"/>
          <w:b/>
          <w:bCs/>
        </w:rPr>
      </w:pPr>
      <w:r>
        <w:rPr>
          <w:rFonts w:cs="Open Sans"/>
          <w:b/>
          <w:bCs/>
        </w:rPr>
        <w:t>Recommendation 1</w:t>
      </w:r>
    </w:p>
    <w:p w14:paraId="3F4D6267" w14:textId="77777777" w:rsidR="00201C9D" w:rsidRPr="0024673D" w:rsidRDefault="00201C9D" w:rsidP="00201C9D">
      <w:pPr>
        <w:ind w:left="720"/>
        <w:rPr>
          <w:rFonts w:cs="Open Sans"/>
        </w:rPr>
      </w:pPr>
      <w:r>
        <w:rPr>
          <w:rFonts w:cs="Open Sans"/>
        </w:rPr>
        <w:t xml:space="preserve">A documented risk assessment is undertaken for all detainees involved in an act of violence as part of the Department and Serco’s response to that act of violence. The assessment should include an assessment of the </w:t>
      </w:r>
      <w:r>
        <w:rPr>
          <w:rFonts w:cs="Open Sans"/>
        </w:rPr>
        <w:lastRenderedPageBreak/>
        <w:t>likelihood of the alleged perpetrator engaging in a further act of violence in the future, the risks posed to the detainee who was the victim of the violence, the steps necessary to mitigate those risks.</w:t>
      </w:r>
    </w:p>
    <w:p w14:paraId="16C4DB9E" w14:textId="77777777" w:rsidR="00201C9D" w:rsidRPr="00941E38" w:rsidRDefault="00201C9D" w:rsidP="00201C9D">
      <w:pPr>
        <w:keepNext/>
        <w:ind w:left="720"/>
        <w:rPr>
          <w:rFonts w:eastAsia="Times New Roman" w:cs="Open Sans"/>
          <w:b/>
          <w:bCs/>
          <w:spacing w:val="-5"/>
        </w:rPr>
      </w:pPr>
      <w:r w:rsidRPr="00941E38">
        <w:rPr>
          <w:rFonts w:eastAsia="Times New Roman" w:cs="Open Sans"/>
          <w:b/>
          <w:bCs/>
          <w:spacing w:val="-5"/>
        </w:rPr>
        <w:t xml:space="preserve">Recommendation </w:t>
      </w:r>
      <w:r>
        <w:rPr>
          <w:rFonts w:eastAsia="Times New Roman" w:cs="Open Sans"/>
          <w:b/>
          <w:bCs/>
          <w:spacing w:val="-5"/>
        </w:rPr>
        <w:t>2</w:t>
      </w:r>
    </w:p>
    <w:p w14:paraId="1929F9D8" w14:textId="77777777" w:rsidR="00201C9D" w:rsidRPr="0086275B" w:rsidRDefault="00201C9D" w:rsidP="00201C9D">
      <w:pPr>
        <w:pStyle w:val="ListParagraph"/>
        <w:rPr>
          <w:rFonts w:cs="Open Sans"/>
        </w:rPr>
      </w:pPr>
      <w:r>
        <w:rPr>
          <w:rFonts w:cs="Open Sans"/>
        </w:rPr>
        <w:t>T</w:t>
      </w:r>
      <w:r w:rsidRPr="0086275B">
        <w:rPr>
          <w:rFonts w:cs="Open Sans"/>
        </w:rPr>
        <w:t xml:space="preserve">he Department develop a mandatory protocol for responding to detainee-on-detainee violence, which includes the immediate separation of detainees following any such incident to accommodation where </w:t>
      </w:r>
      <w:r>
        <w:rPr>
          <w:rFonts w:cs="Open Sans"/>
        </w:rPr>
        <w:t xml:space="preserve">the alleged perpetrator </w:t>
      </w:r>
      <w:r w:rsidRPr="0086275B">
        <w:rPr>
          <w:rFonts w:cs="Open Sans"/>
        </w:rPr>
        <w:t xml:space="preserve">can no longer have access to </w:t>
      </w:r>
      <w:r>
        <w:rPr>
          <w:rFonts w:cs="Open Sans"/>
        </w:rPr>
        <w:t>the victim</w:t>
      </w:r>
      <w:r w:rsidRPr="0086275B">
        <w:rPr>
          <w:rFonts w:cs="Open Sans"/>
        </w:rPr>
        <w:t xml:space="preserve">. </w:t>
      </w:r>
    </w:p>
    <w:p w14:paraId="7A6284D8" w14:textId="77777777" w:rsidR="00201C9D" w:rsidRPr="0086275B" w:rsidRDefault="00201C9D" w:rsidP="00201C9D">
      <w:pPr>
        <w:keepNext/>
        <w:ind w:left="720"/>
        <w:rPr>
          <w:rFonts w:eastAsia="Times New Roman" w:cs="Open Sans"/>
          <w:b/>
          <w:bCs/>
          <w:spacing w:val="-5"/>
        </w:rPr>
      </w:pPr>
      <w:r w:rsidRPr="0086275B">
        <w:rPr>
          <w:rFonts w:eastAsia="Times New Roman" w:cs="Open Sans"/>
          <w:b/>
          <w:bCs/>
          <w:spacing w:val="-5"/>
        </w:rPr>
        <w:t xml:space="preserve">Recommendation </w:t>
      </w:r>
      <w:r>
        <w:rPr>
          <w:rFonts w:eastAsia="Times New Roman" w:cs="Open Sans"/>
          <w:b/>
          <w:bCs/>
          <w:spacing w:val="-5"/>
        </w:rPr>
        <w:t>3</w:t>
      </w:r>
    </w:p>
    <w:p w14:paraId="308F4735" w14:textId="77777777" w:rsidR="00201C9D" w:rsidRPr="0086275B" w:rsidRDefault="00201C9D" w:rsidP="00201C9D">
      <w:pPr>
        <w:ind w:left="720"/>
        <w:rPr>
          <w:rFonts w:eastAsia="Times New Roman" w:cs="Open Sans"/>
          <w:spacing w:val="-5"/>
        </w:rPr>
      </w:pPr>
      <w:r>
        <w:rPr>
          <w:rFonts w:eastAsia="Times New Roman" w:cs="Open Sans"/>
          <w:spacing w:val="-5"/>
        </w:rPr>
        <w:t>T</w:t>
      </w:r>
      <w:r w:rsidRPr="0086275B">
        <w:rPr>
          <w:rFonts w:eastAsia="Times New Roman" w:cs="Open Sans"/>
          <w:spacing w:val="-5"/>
        </w:rPr>
        <w:t xml:space="preserve">he Department </w:t>
      </w:r>
      <w:r>
        <w:rPr>
          <w:rFonts w:eastAsia="Times New Roman" w:cs="Open Sans"/>
          <w:spacing w:val="-5"/>
        </w:rPr>
        <w:t xml:space="preserve">ask Serco to </w:t>
      </w:r>
      <w:r w:rsidRPr="0086275B">
        <w:rPr>
          <w:rFonts w:eastAsia="Times New Roman" w:cs="Open Sans"/>
          <w:spacing w:val="-5"/>
        </w:rPr>
        <w:t xml:space="preserve">review </w:t>
      </w:r>
      <w:r>
        <w:rPr>
          <w:rFonts w:eastAsia="Times New Roman" w:cs="Open Sans"/>
          <w:spacing w:val="-5"/>
        </w:rPr>
        <w:t>the S</w:t>
      </w:r>
      <w:r w:rsidRPr="0086275B">
        <w:rPr>
          <w:rFonts w:eastAsia="Times New Roman" w:cs="Open Sans"/>
          <w:spacing w:val="-5"/>
        </w:rPr>
        <w:t xml:space="preserve">ecurity </w:t>
      </w:r>
      <w:r>
        <w:rPr>
          <w:rFonts w:eastAsia="Times New Roman" w:cs="Open Sans"/>
          <w:spacing w:val="-5"/>
        </w:rPr>
        <w:t>R</w:t>
      </w:r>
      <w:r w:rsidRPr="0086275B">
        <w:rPr>
          <w:rFonts w:eastAsia="Times New Roman" w:cs="Open Sans"/>
          <w:spacing w:val="-5"/>
        </w:rPr>
        <w:t xml:space="preserve">isk </w:t>
      </w:r>
      <w:r>
        <w:rPr>
          <w:rFonts w:eastAsia="Times New Roman" w:cs="Open Sans"/>
          <w:spacing w:val="-5"/>
        </w:rPr>
        <w:t>A</w:t>
      </w:r>
      <w:r w:rsidRPr="0086275B">
        <w:rPr>
          <w:rFonts w:eastAsia="Times New Roman" w:cs="Open Sans"/>
          <w:spacing w:val="-5"/>
        </w:rPr>
        <w:t xml:space="preserve">ssessment </w:t>
      </w:r>
      <w:r>
        <w:rPr>
          <w:rFonts w:eastAsia="Times New Roman" w:cs="Open Sans"/>
          <w:spacing w:val="-5"/>
        </w:rPr>
        <w:t xml:space="preserve">Tool </w:t>
      </w:r>
      <w:r w:rsidRPr="0086275B">
        <w:rPr>
          <w:rFonts w:eastAsia="Times New Roman" w:cs="Open Sans"/>
          <w:spacing w:val="-5"/>
        </w:rPr>
        <w:t xml:space="preserve">to ensure that it clearly </w:t>
      </w:r>
      <w:r>
        <w:rPr>
          <w:rFonts w:eastAsia="Times New Roman" w:cs="Open Sans"/>
          <w:spacing w:val="-5"/>
        </w:rPr>
        <w:t xml:space="preserve">identifies detainees who are vulnerable to harm from other detainees, and detainees </w:t>
      </w:r>
      <w:r w:rsidRPr="0086275B">
        <w:rPr>
          <w:rFonts w:eastAsia="Times New Roman" w:cs="Open Sans"/>
          <w:spacing w:val="-5"/>
        </w:rPr>
        <w:t xml:space="preserve">who present a risk to the safety of </w:t>
      </w:r>
      <w:r>
        <w:rPr>
          <w:rFonts w:eastAsia="Times New Roman" w:cs="Open Sans"/>
          <w:spacing w:val="-5"/>
        </w:rPr>
        <w:t>other detainees</w:t>
      </w:r>
      <w:r w:rsidRPr="0086275B">
        <w:rPr>
          <w:rFonts w:eastAsia="Times New Roman" w:cs="Open Sans"/>
          <w:spacing w:val="-5"/>
        </w:rPr>
        <w:t xml:space="preserve">. </w:t>
      </w:r>
    </w:p>
    <w:p w14:paraId="03AB9619" w14:textId="77777777" w:rsidR="00201C9D" w:rsidRPr="0086275B" w:rsidRDefault="00201C9D" w:rsidP="00201C9D">
      <w:pPr>
        <w:keepNext/>
        <w:ind w:firstLine="720"/>
        <w:rPr>
          <w:rFonts w:eastAsia="Times New Roman" w:cs="Open Sans"/>
          <w:b/>
          <w:bCs/>
          <w:spacing w:val="-5"/>
        </w:rPr>
      </w:pPr>
      <w:r w:rsidRPr="0086275B">
        <w:rPr>
          <w:rFonts w:eastAsia="Times New Roman" w:cs="Open Sans"/>
          <w:b/>
          <w:bCs/>
          <w:spacing w:val="-5"/>
        </w:rPr>
        <w:t xml:space="preserve">Recommendation </w:t>
      </w:r>
      <w:r>
        <w:rPr>
          <w:rFonts w:eastAsia="Times New Roman" w:cs="Open Sans"/>
          <w:b/>
          <w:bCs/>
          <w:spacing w:val="-5"/>
        </w:rPr>
        <w:t>4</w:t>
      </w:r>
    </w:p>
    <w:p w14:paraId="68A9E863" w14:textId="77777777" w:rsidR="00201C9D" w:rsidRDefault="00201C9D" w:rsidP="00201C9D">
      <w:pPr>
        <w:widowControl w:val="0"/>
        <w:ind w:left="720"/>
        <w:rPr>
          <w:rFonts w:eastAsia="Times New Roman" w:cs="Open Sans"/>
          <w:spacing w:val="-5"/>
        </w:rPr>
      </w:pPr>
      <w:r>
        <w:rPr>
          <w:rFonts w:eastAsia="Times New Roman" w:cs="Open Sans"/>
          <w:spacing w:val="-5"/>
        </w:rPr>
        <w:t>T</w:t>
      </w:r>
      <w:r w:rsidRPr="0086275B">
        <w:rPr>
          <w:rFonts w:eastAsia="Times New Roman" w:cs="Open Sans"/>
          <w:spacing w:val="-5"/>
        </w:rPr>
        <w:t xml:space="preserve">he Department should immediately implement measures to protect people at risk of violence at </w:t>
      </w:r>
      <w:r>
        <w:rPr>
          <w:rFonts w:eastAsia="Times New Roman" w:cs="Open Sans"/>
          <w:spacing w:val="-5"/>
        </w:rPr>
        <w:t>Villawood</w:t>
      </w:r>
      <w:r w:rsidRPr="0086275B">
        <w:rPr>
          <w:rFonts w:eastAsia="Times New Roman" w:cs="Open Sans"/>
          <w:spacing w:val="-5"/>
        </w:rPr>
        <w:t>, including by exploring alternative detention arrangements</w:t>
      </w:r>
      <w:r>
        <w:rPr>
          <w:rFonts w:eastAsia="Times New Roman" w:cs="Open Sans"/>
          <w:spacing w:val="-5"/>
        </w:rPr>
        <w:t>, including community detention or grants of bridging visas,</w:t>
      </w:r>
      <w:r w:rsidRPr="0086275B">
        <w:rPr>
          <w:rFonts w:eastAsia="Times New Roman" w:cs="Open Sans"/>
          <w:spacing w:val="-5"/>
        </w:rPr>
        <w:t xml:space="preserve"> that would allow for victims of violence to be separated from the alleged perpetrators. </w:t>
      </w:r>
    </w:p>
    <w:p w14:paraId="59451DB7" w14:textId="77777777" w:rsidR="00201C9D" w:rsidRPr="0086275B" w:rsidRDefault="00201C9D" w:rsidP="00201C9D">
      <w:pPr>
        <w:keepNext/>
        <w:ind w:firstLine="720"/>
        <w:rPr>
          <w:rFonts w:eastAsia="Times New Roman" w:cs="Open Sans"/>
          <w:b/>
          <w:bCs/>
          <w:spacing w:val="-5"/>
        </w:rPr>
      </w:pPr>
      <w:r w:rsidRPr="0086275B">
        <w:rPr>
          <w:rFonts w:eastAsia="Times New Roman" w:cs="Open Sans"/>
          <w:b/>
          <w:bCs/>
          <w:spacing w:val="-5"/>
        </w:rPr>
        <w:t xml:space="preserve">Recommendation </w:t>
      </w:r>
      <w:r>
        <w:rPr>
          <w:rFonts w:eastAsia="Times New Roman" w:cs="Open Sans"/>
          <w:b/>
          <w:bCs/>
          <w:spacing w:val="-5"/>
        </w:rPr>
        <w:t>5</w:t>
      </w:r>
    </w:p>
    <w:p w14:paraId="4B91EA12" w14:textId="77777777" w:rsidR="00201C9D" w:rsidRPr="0086275B" w:rsidRDefault="00201C9D" w:rsidP="00201C9D">
      <w:pPr>
        <w:ind w:left="720"/>
        <w:rPr>
          <w:color w:val="FFFFFF" w:themeColor="background1"/>
        </w:rPr>
      </w:pPr>
      <w:r>
        <w:rPr>
          <w:rFonts w:eastAsia="Times New Roman" w:cs="Open Sans"/>
          <w:spacing w:val="-5"/>
        </w:rPr>
        <w:t>T</w:t>
      </w:r>
      <w:r w:rsidRPr="0086275B">
        <w:rPr>
          <w:rFonts w:eastAsia="Times New Roman" w:cs="Open Sans"/>
          <w:spacing w:val="-5"/>
        </w:rPr>
        <w:t xml:space="preserve">he Department establish an independent review of threatened and actual violence at </w:t>
      </w:r>
      <w:r>
        <w:rPr>
          <w:rFonts w:eastAsia="Times New Roman" w:cs="Open Sans"/>
          <w:spacing w:val="-5"/>
        </w:rPr>
        <w:t>Villawood</w:t>
      </w:r>
      <w:r w:rsidRPr="0086275B">
        <w:rPr>
          <w:rFonts w:eastAsia="Times New Roman" w:cs="Open Sans"/>
          <w:spacing w:val="-5"/>
        </w:rPr>
        <w:t>, with a view to identifying measures to prevent violence and protect those at risk of harm.</w:t>
      </w:r>
      <w:r w:rsidRPr="0086275B">
        <w:rPr>
          <w:rFonts w:eastAsia="Times New Roman" w:cs="Open Sans"/>
          <w:spacing w:val="-5"/>
        </w:rPr>
        <w:tab/>
      </w:r>
    </w:p>
    <w:p w14:paraId="37CD804B" w14:textId="77777777" w:rsidR="00201C9D" w:rsidRPr="00937A33" w:rsidRDefault="00201C9D" w:rsidP="000F7824">
      <w:pPr>
        <w:pStyle w:val="Heading1"/>
        <w:numPr>
          <w:ilvl w:val="0"/>
          <w:numId w:val="24"/>
        </w:numPr>
        <w:tabs>
          <w:tab w:val="num" w:pos="1492"/>
        </w:tabs>
        <w:ind w:left="709" w:hanging="709"/>
        <w:rPr>
          <w:rFonts w:eastAsia="Times New Roman" w:cs="Open Sans"/>
        </w:rPr>
      </w:pPr>
      <w:bookmarkStart w:id="10" w:name="_Toc123828282"/>
      <w:r w:rsidRPr="00937A33">
        <w:rPr>
          <w:rFonts w:cs="Open Sans"/>
          <w:szCs w:val="36"/>
        </w:rPr>
        <w:t>Background</w:t>
      </w:r>
      <w:bookmarkEnd w:id="10"/>
    </w:p>
    <w:p w14:paraId="61BF8939" w14:textId="77777777" w:rsidR="00201C9D" w:rsidRPr="00ED3488" w:rsidRDefault="00201C9D" w:rsidP="000F7824">
      <w:pPr>
        <w:pStyle w:val="Heading2"/>
        <w:numPr>
          <w:ilvl w:val="1"/>
          <w:numId w:val="28"/>
        </w:numPr>
        <w:tabs>
          <w:tab w:val="num" w:pos="720"/>
        </w:tabs>
        <w:rPr>
          <w:rFonts w:cs="Open Sans"/>
          <w:i/>
        </w:rPr>
      </w:pPr>
      <w:bookmarkStart w:id="11" w:name="_Toc123828283"/>
      <w:r w:rsidRPr="00ED3488">
        <w:rPr>
          <w:rFonts w:cs="Open Sans"/>
        </w:rPr>
        <w:t>Migration and detention history</w:t>
      </w:r>
      <w:bookmarkEnd w:id="11"/>
    </w:p>
    <w:p w14:paraId="0C003098" w14:textId="77777777" w:rsidR="00201C9D" w:rsidRPr="00937A33" w:rsidRDefault="00201C9D" w:rsidP="000F7824">
      <w:pPr>
        <w:numPr>
          <w:ilvl w:val="0"/>
          <w:numId w:val="33"/>
        </w:numPr>
        <w:spacing w:after="0"/>
        <w:ind w:hanging="720"/>
        <w:rPr>
          <w:rFonts w:eastAsia="Times New Roman" w:cs="Open Sans"/>
          <w:spacing w:val="-5"/>
        </w:rPr>
      </w:pPr>
      <w:r w:rsidRPr="00937A33">
        <w:rPr>
          <w:rFonts w:eastAsia="Times New Roman" w:cs="Open Sans"/>
          <w:spacing w:val="-5"/>
        </w:rPr>
        <w:t xml:space="preserve">Mr </w:t>
      </w:r>
      <w:proofErr w:type="spellStart"/>
      <w:r w:rsidRPr="00937A33">
        <w:rPr>
          <w:rFonts w:eastAsia="Times New Roman" w:cs="Open Sans"/>
          <w:spacing w:val="-5"/>
        </w:rPr>
        <w:t>Andrwas</w:t>
      </w:r>
      <w:proofErr w:type="spellEnd"/>
      <w:r w:rsidRPr="00937A33">
        <w:rPr>
          <w:rFonts w:eastAsia="Times New Roman" w:cs="Open Sans"/>
          <w:spacing w:val="-5"/>
        </w:rPr>
        <w:t xml:space="preserve"> arrived in Australia on a temporary partner visa in 1997. He was granted permanent residency in 1999. He sought to become a citizen in 2008, but his application was refused on the basis that there were proceedings pending for alleged offences at that time.</w:t>
      </w:r>
    </w:p>
    <w:p w14:paraId="7E54E55F" w14:textId="77777777" w:rsidR="00201C9D" w:rsidRPr="00937A33" w:rsidRDefault="00201C9D" w:rsidP="000F7824">
      <w:pPr>
        <w:numPr>
          <w:ilvl w:val="0"/>
          <w:numId w:val="33"/>
        </w:numPr>
        <w:spacing w:after="0"/>
        <w:ind w:hanging="720"/>
        <w:rPr>
          <w:rFonts w:eastAsia="Times New Roman" w:cs="Open Sans"/>
          <w:spacing w:val="-5"/>
        </w:rPr>
      </w:pPr>
      <w:r w:rsidRPr="00937A33">
        <w:rPr>
          <w:rFonts w:eastAsia="Times New Roman" w:cs="Open Sans"/>
          <w:spacing w:val="-5"/>
        </w:rPr>
        <w:t xml:space="preserve">In 2009, Mr </w:t>
      </w:r>
      <w:proofErr w:type="spellStart"/>
      <w:r w:rsidRPr="00937A33">
        <w:rPr>
          <w:rFonts w:eastAsia="Times New Roman" w:cs="Open Sans"/>
          <w:spacing w:val="-5"/>
        </w:rPr>
        <w:t>Andrwas</w:t>
      </w:r>
      <w:proofErr w:type="spellEnd"/>
      <w:r w:rsidRPr="00937A33">
        <w:rPr>
          <w:rFonts w:eastAsia="Times New Roman" w:cs="Open Sans"/>
          <w:spacing w:val="-5"/>
        </w:rPr>
        <w:t xml:space="preserve"> received a notice informing him that his visa was being considered for cancellation. The visa was not cancelled at that time and Mr </w:t>
      </w:r>
      <w:proofErr w:type="spellStart"/>
      <w:r w:rsidRPr="00937A33">
        <w:rPr>
          <w:rFonts w:eastAsia="Times New Roman" w:cs="Open Sans"/>
          <w:spacing w:val="-5"/>
        </w:rPr>
        <w:t>Andrwas</w:t>
      </w:r>
      <w:proofErr w:type="spellEnd"/>
      <w:r w:rsidRPr="00937A33">
        <w:rPr>
          <w:rFonts w:eastAsia="Times New Roman" w:cs="Open Sans"/>
          <w:spacing w:val="-5"/>
        </w:rPr>
        <w:t xml:space="preserve"> received a warning letter.</w:t>
      </w:r>
    </w:p>
    <w:p w14:paraId="19F06985" w14:textId="77777777" w:rsidR="00201C9D" w:rsidRPr="00937A33" w:rsidRDefault="00201C9D" w:rsidP="000F7824">
      <w:pPr>
        <w:numPr>
          <w:ilvl w:val="0"/>
          <w:numId w:val="33"/>
        </w:numPr>
        <w:spacing w:after="0"/>
        <w:ind w:hanging="720"/>
        <w:rPr>
          <w:rFonts w:eastAsia="Times New Roman" w:cs="Open Sans"/>
          <w:spacing w:val="-5"/>
        </w:rPr>
      </w:pPr>
      <w:r w:rsidRPr="00937A33">
        <w:rPr>
          <w:rFonts w:eastAsia="Times New Roman" w:cs="Open Sans"/>
          <w:spacing w:val="-5"/>
        </w:rPr>
        <w:lastRenderedPageBreak/>
        <w:t xml:space="preserve">In December 2014, his visa was cancelled under section 501 of the </w:t>
      </w:r>
      <w:r w:rsidRPr="00937A33">
        <w:rPr>
          <w:rFonts w:eastAsia="Times New Roman" w:cs="Open Sans"/>
          <w:i/>
          <w:iCs/>
          <w:spacing w:val="-5"/>
        </w:rPr>
        <w:t>Migration Act 1958</w:t>
      </w:r>
      <w:r w:rsidRPr="00937A33">
        <w:rPr>
          <w:rFonts w:eastAsia="Times New Roman" w:cs="Open Sans"/>
          <w:spacing w:val="-5"/>
        </w:rPr>
        <w:t xml:space="preserve"> (</w:t>
      </w:r>
      <w:proofErr w:type="spellStart"/>
      <w:r w:rsidRPr="00937A33">
        <w:rPr>
          <w:rFonts w:eastAsia="Times New Roman" w:cs="Open Sans"/>
          <w:spacing w:val="-5"/>
        </w:rPr>
        <w:t>Cth</w:t>
      </w:r>
      <w:proofErr w:type="spellEnd"/>
      <w:r w:rsidRPr="00937A33">
        <w:rPr>
          <w:rFonts w:eastAsia="Times New Roman" w:cs="Open Sans"/>
          <w:spacing w:val="-5"/>
        </w:rPr>
        <w:t xml:space="preserve">) (Migration Act). Mr </w:t>
      </w:r>
      <w:proofErr w:type="spellStart"/>
      <w:r w:rsidRPr="00937A33">
        <w:rPr>
          <w:rFonts w:eastAsia="Times New Roman" w:cs="Open Sans"/>
          <w:spacing w:val="-5"/>
        </w:rPr>
        <w:t>Andrwas</w:t>
      </w:r>
      <w:proofErr w:type="spellEnd"/>
      <w:r w:rsidRPr="00937A33">
        <w:rPr>
          <w:rFonts w:eastAsia="Times New Roman" w:cs="Open Sans"/>
          <w:spacing w:val="-5"/>
        </w:rPr>
        <w:t xml:space="preserve"> was detained at Villawood. In February 2015, the cancellation was revoked, his visa was reinstated and he was released from detention.</w:t>
      </w:r>
    </w:p>
    <w:p w14:paraId="370CDE78" w14:textId="77777777" w:rsidR="00201C9D" w:rsidRPr="00937A33" w:rsidRDefault="00201C9D" w:rsidP="000F7824">
      <w:pPr>
        <w:numPr>
          <w:ilvl w:val="0"/>
          <w:numId w:val="33"/>
        </w:numPr>
        <w:spacing w:after="0"/>
        <w:ind w:hanging="720"/>
        <w:rPr>
          <w:rFonts w:eastAsia="Times New Roman" w:cs="Open Sans"/>
          <w:spacing w:val="-5"/>
        </w:rPr>
      </w:pPr>
      <w:r w:rsidRPr="00937A33">
        <w:rPr>
          <w:rFonts w:eastAsia="Times New Roman" w:cs="Open Sans"/>
          <w:spacing w:val="-5"/>
        </w:rPr>
        <w:t xml:space="preserve">On 9 January 2017, Mr </w:t>
      </w:r>
      <w:proofErr w:type="spellStart"/>
      <w:r w:rsidRPr="00937A33">
        <w:rPr>
          <w:rFonts w:eastAsia="Times New Roman" w:cs="Open Sans"/>
          <w:spacing w:val="-5"/>
        </w:rPr>
        <w:t>Andrwas</w:t>
      </w:r>
      <w:proofErr w:type="spellEnd"/>
      <w:r w:rsidRPr="00937A33">
        <w:rPr>
          <w:rFonts w:eastAsia="Times New Roman" w:cs="Open Sans"/>
          <w:spacing w:val="-5"/>
        </w:rPr>
        <w:t xml:space="preserve">’ visa was cancelled under section 501(3A) of the Migration Act while he was serving a sentence of imprisonment. Mr </w:t>
      </w:r>
      <w:proofErr w:type="spellStart"/>
      <w:r w:rsidRPr="00937A33">
        <w:rPr>
          <w:rFonts w:eastAsia="Times New Roman" w:cs="Open Sans"/>
          <w:spacing w:val="-5"/>
        </w:rPr>
        <w:t>Andrwas</w:t>
      </w:r>
      <w:proofErr w:type="spellEnd"/>
      <w:r w:rsidRPr="00937A33">
        <w:rPr>
          <w:rFonts w:eastAsia="Times New Roman" w:cs="Open Sans"/>
          <w:spacing w:val="-5"/>
        </w:rPr>
        <w:t xml:space="preserve"> made an application seeking revocation of the decision to cancel his visa. Upon release from Bathurst Correctional Centre on 27 October 2017, Mr </w:t>
      </w:r>
      <w:proofErr w:type="spellStart"/>
      <w:r w:rsidRPr="00937A33">
        <w:rPr>
          <w:rFonts w:eastAsia="Times New Roman" w:cs="Open Sans"/>
          <w:spacing w:val="-5"/>
        </w:rPr>
        <w:t>Andrwas</w:t>
      </w:r>
      <w:proofErr w:type="spellEnd"/>
      <w:r w:rsidRPr="00937A33">
        <w:rPr>
          <w:rFonts w:eastAsia="Times New Roman" w:cs="Open Sans"/>
          <w:spacing w:val="-5"/>
        </w:rPr>
        <w:t xml:space="preserve"> was taken into immigration detention at Villawood.</w:t>
      </w:r>
    </w:p>
    <w:p w14:paraId="03BF828E" w14:textId="77777777" w:rsidR="00201C9D" w:rsidRPr="00937A33" w:rsidRDefault="00201C9D" w:rsidP="000F7824">
      <w:pPr>
        <w:numPr>
          <w:ilvl w:val="0"/>
          <w:numId w:val="33"/>
        </w:numPr>
        <w:spacing w:after="0"/>
        <w:ind w:hanging="720"/>
        <w:rPr>
          <w:rFonts w:eastAsia="Times New Roman" w:cs="Open Sans"/>
          <w:spacing w:val="-5"/>
        </w:rPr>
      </w:pPr>
      <w:r w:rsidRPr="00937A33">
        <w:rPr>
          <w:rFonts w:eastAsia="Times New Roman" w:cs="Open Sans"/>
          <w:spacing w:val="-5"/>
        </w:rPr>
        <w:t xml:space="preserve">On 9 April 2018, the Minister’s delegate decided not </w:t>
      </w:r>
      <w:r>
        <w:rPr>
          <w:rFonts w:eastAsia="Times New Roman" w:cs="Open Sans"/>
          <w:spacing w:val="-5"/>
        </w:rPr>
        <w:t xml:space="preserve">to </w:t>
      </w:r>
      <w:r w:rsidRPr="00937A33">
        <w:rPr>
          <w:rFonts w:eastAsia="Times New Roman" w:cs="Open Sans"/>
          <w:spacing w:val="-5"/>
        </w:rPr>
        <w:t xml:space="preserve">revoke the cancellation of his visa. Mr </w:t>
      </w:r>
      <w:proofErr w:type="spellStart"/>
      <w:r w:rsidRPr="00937A33">
        <w:rPr>
          <w:rFonts w:eastAsia="Times New Roman" w:cs="Open Sans"/>
          <w:spacing w:val="-5"/>
        </w:rPr>
        <w:t>Andrwas</w:t>
      </w:r>
      <w:proofErr w:type="spellEnd"/>
      <w:r w:rsidRPr="00937A33">
        <w:rPr>
          <w:rFonts w:eastAsia="Times New Roman" w:cs="Open Sans"/>
          <w:spacing w:val="-5"/>
        </w:rPr>
        <w:t xml:space="preserve"> sought review of that decision from the Administrative Appeals Tribunal (AAT). The AAT affirmed the decision not to revoke the cancellation of his visa. Mr </w:t>
      </w:r>
      <w:proofErr w:type="spellStart"/>
      <w:r w:rsidRPr="00937A33">
        <w:rPr>
          <w:rFonts w:eastAsia="Times New Roman" w:cs="Open Sans"/>
          <w:spacing w:val="-5"/>
        </w:rPr>
        <w:t>Andrwas</w:t>
      </w:r>
      <w:proofErr w:type="spellEnd"/>
      <w:r w:rsidRPr="00937A33">
        <w:rPr>
          <w:rFonts w:eastAsia="Times New Roman" w:cs="Open Sans"/>
          <w:spacing w:val="-5"/>
        </w:rPr>
        <w:t xml:space="preserve"> then sought judicial review of the AAT’s decision but was unsuccessful.</w:t>
      </w:r>
    </w:p>
    <w:p w14:paraId="650036B5" w14:textId="77777777" w:rsidR="00201C9D" w:rsidRPr="00937A33" w:rsidRDefault="00201C9D" w:rsidP="000F7824">
      <w:pPr>
        <w:numPr>
          <w:ilvl w:val="0"/>
          <w:numId w:val="33"/>
        </w:numPr>
        <w:spacing w:after="0"/>
        <w:ind w:hanging="720"/>
        <w:rPr>
          <w:rFonts w:eastAsia="Times New Roman" w:cs="Open Sans"/>
          <w:spacing w:val="-5"/>
        </w:rPr>
      </w:pPr>
      <w:r w:rsidRPr="00937A33">
        <w:rPr>
          <w:rFonts w:eastAsia="Times New Roman" w:cs="Open Sans"/>
          <w:spacing w:val="-5"/>
        </w:rPr>
        <w:t xml:space="preserve">On 7 June 2019, Mr </w:t>
      </w:r>
      <w:proofErr w:type="spellStart"/>
      <w:r w:rsidRPr="00937A33">
        <w:rPr>
          <w:rFonts w:eastAsia="Times New Roman" w:cs="Open Sans"/>
          <w:spacing w:val="-5"/>
        </w:rPr>
        <w:t>Andrwas</w:t>
      </w:r>
      <w:proofErr w:type="spellEnd"/>
      <w:r w:rsidRPr="00937A33">
        <w:rPr>
          <w:rFonts w:eastAsia="Times New Roman" w:cs="Open Sans"/>
          <w:spacing w:val="-5"/>
        </w:rPr>
        <w:t xml:space="preserve"> lodged a protection visa application, which was refused on 18 July 2019. This decision was affirmed on 11 November 2019 by the AAT. Mr </w:t>
      </w:r>
      <w:proofErr w:type="spellStart"/>
      <w:r w:rsidRPr="00937A33">
        <w:rPr>
          <w:rFonts w:eastAsia="Times New Roman" w:cs="Open Sans"/>
          <w:spacing w:val="-5"/>
        </w:rPr>
        <w:t>Andrwas</w:t>
      </w:r>
      <w:proofErr w:type="spellEnd"/>
      <w:r w:rsidRPr="00937A33">
        <w:rPr>
          <w:rFonts w:eastAsia="Times New Roman" w:cs="Open Sans"/>
          <w:spacing w:val="-5"/>
        </w:rPr>
        <w:t xml:space="preserve"> sought judicial review of that decision, which was ultimately successful and the decision was remitted to the AAT for redetermination. On 3 August 2021, the Department advised that the review is proceeding before the AAT. </w:t>
      </w:r>
    </w:p>
    <w:p w14:paraId="543FB5A3" w14:textId="77777777" w:rsidR="00201C9D" w:rsidRPr="00937A33" w:rsidRDefault="00201C9D" w:rsidP="000F7824">
      <w:pPr>
        <w:numPr>
          <w:ilvl w:val="0"/>
          <w:numId w:val="33"/>
        </w:numPr>
        <w:spacing w:after="160"/>
        <w:ind w:hanging="720"/>
        <w:rPr>
          <w:rFonts w:cs="Open Sans"/>
        </w:rPr>
      </w:pPr>
      <w:r w:rsidRPr="00937A33">
        <w:rPr>
          <w:rFonts w:cs="Open Sans"/>
        </w:rPr>
        <w:t xml:space="preserve">Mr </w:t>
      </w:r>
      <w:proofErr w:type="spellStart"/>
      <w:r w:rsidRPr="00937A33">
        <w:rPr>
          <w:rFonts w:cs="Open Sans"/>
        </w:rPr>
        <w:t>Andrwas</w:t>
      </w:r>
      <w:proofErr w:type="spellEnd"/>
      <w:r w:rsidRPr="00937A33">
        <w:rPr>
          <w:rFonts w:cs="Open Sans"/>
        </w:rPr>
        <w:t xml:space="preserve"> remains subject to ongoing detention. </w:t>
      </w:r>
    </w:p>
    <w:p w14:paraId="2B282008" w14:textId="77777777" w:rsidR="00201C9D" w:rsidRPr="0017379C" w:rsidRDefault="00201C9D" w:rsidP="000F7824">
      <w:pPr>
        <w:pStyle w:val="Heading2"/>
        <w:numPr>
          <w:ilvl w:val="1"/>
          <w:numId w:val="28"/>
        </w:numPr>
        <w:tabs>
          <w:tab w:val="num" w:pos="720"/>
        </w:tabs>
        <w:rPr>
          <w:rFonts w:cs="Open Sans"/>
          <w:i/>
        </w:rPr>
      </w:pPr>
      <w:bookmarkStart w:id="12" w:name="_Toc123828284"/>
      <w:r w:rsidRPr="0017379C">
        <w:rPr>
          <w:rFonts w:cs="Open Sans"/>
        </w:rPr>
        <w:t>Incidents in Villawood</w:t>
      </w:r>
      <w:bookmarkEnd w:id="12"/>
    </w:p>
    <w:p w14:paraId="3D61A960" w14:textId="77777777" w:rsidR="00201C9D" w:rsidRPr="00937A33" w:rsidRDefault="00201C9D" w:rsidP="000F7824">
      <w:pPr>
        <w:numPr>
          <w:ilvl w:val="0"/>
          <w:numId w:val="33"/>
        </w:numPr>
        <w:spacing w:after="160"/>
        <w:ind w:hanging="720"/>
        <w:rPr>
          <w:rFonts w:cs="Open Sans"/>
        </w:rPr>
      </w:pPr>
      <w:r w:rsidRPr="00937A33">
        <w:rPr>
          <w:rFonts w:cs="Open Sans"/>
        </w:rPr>
        <w:t xml:space="preserve">Prior to his detention in Villawood in October 2017, Mr </w:t>
      </w:r>
      <w:proofErr w:type="spellStart"/>
      <w:r w:rsidRPr="00937A33">
        <w:rPr>
          <w:rFonts w:cs="Open Sans"/>
        </w:rPr>
        <w:t>Andrwas</w:t>
      </w:r>
      <w:proofErr w:type="spellEnd"/>
      <w:r w:rsidRPr="00937A33">
        <w:rPr>
          <w:rFonts w:cs="Open Sans"/>
        </w:rPr>
        <w:t xml:space="preserve"> was in a relationship with a woman from around December 2012 to July 2016. </w:t>
      </w:r>
    </w:p>
    <w:p w14:paraId="66AB92E0" w14:textId="77777777" w:rsidR="00201C9D" w:rsidRPr="00937A33" w:rsidRDefault="00201C9D" w:rsidP="000F7824">
      <w:pPr>
        <w:numPr>
          <w:ilvl w:val="0"/>
          <w:numId w:val="33"/>
        </w:numPr>
        <w:spacing w:after="160"/>
        <w:ind w:hanging="720"/>
        <w:rPr>
          <w:rFonts w:cs="Open Sans"/>
        </w:rPr>
      </w:pPr>
      <w:r w:rsidRPr="00937A33">
        <w:rPr>
          <w:rFonts w:cs="Open Sans"/>
        </w:rPr>
        <w:t xml:space="preserve">Mr </w:t>
      </w:r>
      <w:proofErr w:type="spellStart"/>
      <w:r w:rsidRPr="00937A33">
        <w:rPr>
          <w:rFonts w:cs="Open Sans"/>
        </w:rPr>
        <w:t>Andrwas</w:t>
      </w:r>
      <w:proofErr w:type="spellEnd"/>
      <w:r w:rsidRPr="00937A33">
        <w:rPr>
          <w:rFonts w:cs="Open Sans"/>
        </w:rPr>
        <w:t xml:space="preserve"> reported this woman to the Department and the NSW Police for breaching her visa conditions. Subsequently, in early November 2017, this woman was also detained at Villawood. I will </w:t>
      </w:r>
      <w:r>
        <w:rPr>
          <w:rFonts w:cs="Open Sans"/>
        </w:rPr>
        <w:t xml:space="preserve">subsequently </w:t>
      </w:r>
      <w:r w:rsidRPr="00937A33">
        <w:rPr>
          <w:rFonts w:cs="Open Sans"/>
        </w:rPr>
        <w:t xml:space="preserve">refer to her as the </w:t>
      </w:r>
      <w:r>
        <w:rPr>
          <w:rFonts w:cs="Open Sans"/>
        </w:rPr>
        <w:t>‘</w:t>
      </w:r>
      <w:r w:rsidRPr="00937A33">
        <w:rPr>
          <w:rFonts w:cs="Open Sans"/>
        </w:rPr>
        <w:t>female detainee</w:t>
      </w:r>
      <w:r>
        <w:rPr>
          <w:rFonts w:cs="Open Sans"/>
        </w:rPr>
        <w:t>’</w:t>
      </w:r>
      <w:r w:rsidRPr="00937A33">
        <w:rPr>
          <w:rFonts w:cs="Open Sans"/>
        </w:rPr>
        <w:t xml:space="preserve">. The female detainee was aware that Mr </w:t>
      </w:r>
      <w:proofErr w:type="spellStart"/>
      <w:r w:rsidRPr="00937A33">
        <w:rPr>
          <w:rFonts w:cs="Open Sans"/>
        </w:rPr>
        <w:t>Andrwas</w:t>
      </w:r>
      <w:proofErr w:type="spellEnd"/>
      <w:r w:rsidRPr="00937A33">
        <w:rPr>
          <w:rFonts w:cs="Open Sans"/>
        </w:rPr>
        <w:t xml:space="preserve"> had reported her to the police.</w:t>
      </w:r>
    </w:p>
    <w:p w14:paraId="5F2E94C2" w14:textId="77777777" w:rsidR="00201C9D" w:rsidRPr="00937A33" w:rsidRDefault="00201C9D" w:rsidP="000F7824">
      <w:pPr>
        <w:numPr>
          <w:ilvl w:val="0"/>
          <w:numId w:val="33"/>
        </w:numPr>
        <w:spacing w:after="160"/>
        <w:ind w:hanging="720"/>
        <w:rPr>
          <w:rFonts w:cs="Open Sans"/>
        </w:rPr>
      </w:pPr>
      <w:r w:rsidRPr="00937A33">
        <w:rPr>
          <w:rFonts w:cs="Open Sans"/>
        </w:rPr>
        <w:t xml:space="preserve">In his complaint, Mr </w:t>
      </w:r>
      <w:proofErr w:type="spellStart"/>
      <w:r w:rsidRPr="00937A33">
        <w:rPr>
          <w:rFonts w:cs="Open Sans"/>
        </w:rPr>
        <w:t>Andrwas</w:t>
      </w:r>
      <w:proofErr w:type="spellEnd"/>
      <w:r w:rsidRPr="00937A33">
        <w:rPr>
          <w:rFonts w:cs="Open Sans"/>
        </w:rPr>
        <w:t xml:space="preserve"> alleges that the female detainee wanted </w:t>
      </w:r>
      <w:r w:rsidRPr="00747347">
        <w:rPr>
          <w:rFonts w:cs="Open Sans"/>
        </w:rPr>
        <w:t>‘</w:t>
      </w:r>
      <w:r w:rsidRPr="00937A33">
        <w:rPr>
          <w:rFonts w:cs="Open Sans"/>
        </w:rPr>
        <w:t xml:space="preserve">revenge on me due to my report. As soon as she arrived, she started making trouble for me.’ </w:t>
      </w:r>
    </w:p>
    <w:p w14:paraId="190DBA35" w14:textId="77777777" w:rsidR="00201C9D" w:rsidRPr="00937A33" w:rsidRDefault="00201C9D" w:rsidP="000F7824">
      <w:pPr>
        <w:numPr>
          <w:ilvl w:val="0"/>
          <w:numId w:val="33"/>
        </w:numPr>
        <w:spacing w:after="160"/>
        <w:ind w:hanging="720"/>
        <w:rPr>
          <w:rFonts w:cs="Open Sans"/>
        </w:rPr>
      </w:pPr>
      <w:r w:rsidRPr="00937A33">
        <w:rPr>
          <w:rFonts w:cs="Open Sans"/>
        </w:rPr>
        <w:t xml:space="preserve">In Villawood, Mr </w:t>
      </w:r>
      <w:proofErr w:type="spellStart"/>
      <w:r w:rsidRPr="00937A33">
        <w:rPr>
          <w:rFonts w:cs="Open Sans"/>
        </w:rPr>
        <w:t>Andrwas</w:t>
      </w:r>
      <w:proofErr w:type="spellEnd"/>
      <w:r w:rsidRPr="00937A33">
        <w:rPr>
          <w:rFonts w:cs="Open Sans"/>
        </w:rPr>
        <w:t xml:space="preserve"> was housed in </w:t>
      </w:r>
      <w:r>
        <w:rPr>
          <w:rFonts w:cs="Open Sans"/>
        </w:rPr>
        <w:t xml:space="preserve">the </w:t>
      </w:r>
      <w:r w:rsidRPr="00937A33">
        <w:rPr>
          <w:rFonts w:cs="Open Sans"/>
        </w:rPr>
        <w:t>Lachlan</w:t>
      </w:r>
      <w:r>
        <w:rPr>
          <w:rFonts w:cs="Open Sans"/>
        </w:rPr>
        <w:t xml:space="preserve"> compound</w:t>
      </w:r>
      <w:r w:rsidRPr="00937A33">
        <w:rPr>
          <w:rFonts w:cs="Open Sans"/>
        </w:rPr>
        <w:t xml:space="preserve">, which is a lower-security compound that accommodates single adult men. The female detainee was housed nearby in </w:t>
      </w:r>
      <w:r>
        <w:rPr>
          <w:rFonts w:cs="Open Sans"/>
        </w:rPr>
        <w:t xml:space="preserve">the </w:t>
      </w:r>
      <w:r w:rsidRPr="00937A33">
        <w:rPr>
          <w:rFonts w:cs="Open Sans"/>
        </w:rPr>
        <w:t>Lima</w:t>
      </w:r>
      <w:r>
        <w:rPr>
          <w:rFonts w:cs="Open Sans"/>
        </w:rPr>
        <w:t xml:space="preserve"> compound</w:t>
      </w:r>
      <w:r w:rsidRPr="00937A33">
        <w:rPr>
          <w:rFonts w:cs="Open Sans"/>
        </w:rPr>
        <w:t xml:space="preserve">, which is a </w:t>
      </w:r>
      <w:r w:rsidRPr="00937A33">
        <w:rPr>
          <w:rFonts w:cs="Open Sans"/>
        </w:rPr>
        <w:lastRenderedPageBreak/>
        <w:t xml:space="preserve">lower-security compound that accommodates single adult women and couples. These compounds are separate but </w:t>
      </w:r>
      <w:r w:rsidRPr="00541716">
        <w:rPr>
          <w:rFonts w:cs="Open Sans"/>
        </w:rPr>
        <w:t>have access to a large central common area (also known as the community area).</w:t>
      </w:r>
      <w:r w:rsidRPr="00541716">
        <w:rPr>
          <w:rStyle w:val="EndnoteReference"/>
          <w:rFonts w:cs="Open Sans"/>
        </w:rPr>
        <w:endnoteReference w:id="1"/>
      </w:r>
      <w:r w:rsidRPr="00937A33">
        <w:rPr>
          <w:rFonts w:cs="Open Sans"/>
        </w:rPr>
        <w:t xml:space="preserve"> </w:t>
      </w:r>
    </w:p>
    <w:p w14:paraId="3EAD5407" w14:textId="77777777" w:rsidR="00201C9D" w:rsidRPr="00937A33" w:rsidRDefault="00201C9D" w:rsidP="000F7824">
      <w:pPr>
        <w:numPr>
          <w:ilvl w:val="0"/>
          <w:numId w:val="33"/>
        </w:numPr>
        <w:spacing w:after="0"/>
        <w:ind w:hanging="720"/>
        <w:rPr>
          <w:rFonts w:eastAsia="Times New Roman" w:cs="Open Sans"/>
          <w:spacing w:val="-5"/>
        </w:rPr>
      </w:pPr>
      <w:bookmarkStart w:id="13" w:name="_Ref86164000"/>
      <w:r w:rsidRPr="00937A33">
        <w:rPr>
          <w:rFonts w:eastAsia="Times New Roman" w:cs="Open Sans"/>
          <w:spacing w:val="-5"/>
        </w:rPr>
        <w:t xml:space="preserve">On 11 November 2017, Mr </w:t>
      </w:r>
      <w:proofErr w:type="spellStart"/>
      <w:r w:rsidRPr="00937A33">
        <w:rPr>
          <w:rFonts w:eastAsia="Times New Roman" w:cs="Open Sans"/>
          <w:spacing w:val="-5"/>
        </w:rPr>
        <w:t>Andrwas</w:t>
      </w:r>
      <w:proofErr w:type="spellEnd"/>
      <w:r w:rsidRPr="00937A33">
        <w:rPr>
          <w:rFonts w:eastAsia="Times New Roman" w:cs="Open Sans"/>
          <w:spacing w:val="-5"/>
        </w:rPr>
        <w:t xml:space="preserve"> alleges that he was hit in the chest four times by the female detainee in the common area outside the Lima compound (11 November Incident).</w:t>
      </w:r>
      <w:bookmarkEnd w:id="13"/>
      <w:r w:rsidRPr="00937A33">
        <w:rPr>
          <w:rFonts w:eastAsia="Times New Roman" w:cs="Open Sans"/>
          <w:spacing w:val="-5"/>
        </w:rPr>
        <w:t xml:space="preserve"> </w:t>
      </w:r>
    </w:p>
    <w:p w14:paraId="1A7D630B" w14:textId="77777777" w:rsidR="00201C9D" w:rsidRPr="00937A33" w:rsidRDefault="00201C9D" w:rsidP="000F7824">
      <w:pPr>
        <w:numPr>
          <w:ilvl w:val="0"/>
          <w:numId w:val="33"/>
        </w:numPr>
        <w:spacing w:after="160"/>
        <w:ind w:hanging="720"/>
        <w:rPr>
          <w:rFonts w:eastAsia="Times New Roman" w:cs="Open Sans"/>
          <w:spacing w:val="-5"/>
        </w:rPr>
      </w:pPr>
      <w:bookmarkStart w:id="14" w:name="_Ref86164004"/>
      <w:r w:rsidRPr="00937A33">
        <w:rPr>
          <w:rFonts w:eastAsia="Times New Roman" w:cs="Open Sans"/>
          <w:spacing w:val="-5"/>
        </w:rPr>
        <w:t xml:space="preserve">On 24 November 2017, Mr </w:t>
      </w:r>
      <w:proofErr w:type="spellStart"/>
      <w:r w:rsidRPr="00937A33">
        <w:rPr>
          <w:rFonts w:eastAsia="Times New Roman" w:cs="Open Sans"/>
          <w:spacing w:val="-5"/>
        </w:rPr>
        <w:t>Andrwas</w:t>
      </w:r>
      <w:proofErr w:type="spellEnd"/>
      <w:r w:rsidRPr="00937A33">
        <w:rPr>
          <w:rFonts w:eastAsia="Times New Roman" w:cs="Open Sans"/>
          <w:spacing w:val="-5"/>
        </w:rPr>
        <w:t xml:space="preserve"> alleges that he was assaulted by four male detainees acting on behalf of the female detainee in two separate incidents. I will refer to these men as the first, second, third and fourth male detainees. Mr </w:t>
      </w:r>
      <w:proofErr w:type="spellStart"/>
      <w:r w:rsidRPr="00937A33">
        <w:rPr>
          <w:rFonts w:eastAsia="Times New Roman" w:cs="Open Sans"/>
          <w:spacing w:val="-5"/>
        </w:rPr>
        <w:t>Andrwas</w:t>
      </w:r>
      <w:proofErr w:type="spellEnd"/>
      <w:r w:rsidRPr="00937A33">
        <w:rPr>
          <w:rFonts w:eastAsia="Times New Roman" w:cs="Open Sans"/>
          <w:spacing w:val="-5"/>
        </w:rPr>
        <w:t xml:space="preserve"> alleges that he was punched in the face by the first male detainee and punched in the back of the head by the second and third male detainees </w:t>
      </w:r>
      <w:r w:rsidRPr="00937A33">
        <w:rPr>
          <w:rFonts w:cs="Open Sans"/>
        </w:rPr>
        <w:t>outside the Lachlan compound</w:t>
      </w:r>
      <w:r w:rsidRPr="00937A33">
        <w:rPr>
          <w:rFonts w:eastAsia="Times New Roman" w:cs="Open Sans"/>
          <w:spacing w:val="-5"/>
        </w:rPr>
        <w:t xml:space="preserve"> (First 24 November Incident). He then sought medical attention before returning to the Lachlan compound, where he was punched in the right eye by the fourth male detainee (Second 24 November Incident).</w:t>
      </w:r>
      <w:bookmarkEnd w:id="14"/>
      <w:r w:rsidRPr="00937A33">
        <w:rPr>
          <w:rFonts w:eastAsia="Times New Roman" w:cs="Open Sans"/>
          <w:spacing w:val="-5"/>
        </w:rPr>
        <w:t xml:space="preserve"> </w:t>
      </w:r>
    </w:p>
    <w:p w14:paraId="574D4FF2" w14:textId="77777777" w:rsidR="00201C9D" w:rsidRPr="00937A33" w:rsidRDefault="00201C9D" w:rsidP="000F7824">
      <w:pPr>
        <w:numPr>
          <w:ilvl w:val="0"/>
          <w:numId w:val="33"/>
        </w:numPr>
        <w:spacing w:after="160"/>
        <w:ind w:hanging="720"/>
        <w:rPr>
          <w:rFonts w:cs="Open Sans"/>
        </w:rPr>
      </w:pPr>
      <w:r w:rsidRPr="00937A33">
        <w:rPr>
          <w:rFonts w:cs="Open Sans"/>
        </w:rPr>
        <w:t xml:space="preserve">In his complaint, Mr </w:t>
      </w:r>
      <w:proofErr w:type="spellStart"/>
      <w:r w:rsidRPr="00937A33">
        <w:rPr>
          <w:rFonts w:cs="Open Sans"/>
        </w:rPr>
        <w:t>Andrwas</w:t>
      </w:r>
      <w:proofErr w:type="spellEnd"/>
      <w:r w:rsidRPr="00937A33">
        <w:rPr>
          <w:rFonts w:cs="Open Sans"/>
        </w:rPr>
        <w:t xml:space="preserve"> states that:</w:t>
      </w:r>
    </w:p>
    <w:p w14:paraId="4C00E489" w14:textId="77777777" w:rsidR="00201C9D" w:rsidRPr="00937A33" w:rsidRDefault="00201C9D" w:rsidP="00201C9D">
      <w:pPr>
        <w:tabs>
          <w:tab w:val="num" w:pos="960"/>
        </w:tabs>
        <w:ind w:left="1440"/>
        <w:rPr>
          <w:rFonts w:cs="Open Sans"/>
        </w:rPr>
      </w:pPr>
      <w:r w:rsidRPr="00937A33">
        <w:rPr>
          <w:rFonts w:cs="Open Sans"/>
        </w:rPr>
        <w:t>Serco officers could have done more from the beginning, including separating [the female detainee] and myself, so as to prevent this from happening to me in the first place. I believe that Serco has continually failed to look after my safety.</w:t>
      </w:r>
    </w:p>
    <w:p w14:paraId="594C2BA4" w14:textId="77777777" w:rsidR="00201C9D" w:rsidRPr="00937A33" w:rsidRDefault="00201C9D" w:rsidP="000F7824">
      <w:pPr>
        <w:numPr>
          <w:ilvl w:val="0"/>
          <w:numId w:val="33"/>
        </w:numPr>
        <w:spacing w:after="160"/>
        <w:ind w:hanging="720"/>
        <w:rPr>
          <w:rFonts w:cs="Open Sans"/>
        </w:rPr>
      </w:pPr>
      <w:r w:rsidRPr="00937A33">
        <w:rPr>
          <w:rFonts w:cs="Open Sans"/>
        </w:rPr>
        <w:t xml:space="preserve">Mr </w:t>
      </w:r>
      <w:proofErr w:type="spellStart"/>
      <w:r w:rsidRPr="00937A33">
        <w:rPr>
          <w:rFonts w:cs="Open Sans"/>
        </w:rPr>
        <w:t>Andrwas</w:t>
      </w:r>
      <w:proofErr w:type="spellEnd"/>
      <w:r w:rsidRPr="00937A33">
        <w:rPr>
          <w:rFonts w:cs="Open Sans"/>
        </w:rPr>
        <w:t xml:space="preserve"> </w:t>
      </w:r>
      <w:r>
        <w:rPr>
          <w:rFonts w:cs="Open Sans"/>
        </w:rPr>
        <w:t>does not believe that</w:t>
      </w:r>
      <w:r w:rsidRPr="00937A33">
        <w:rPr>
          <w:rFonts w:cs="Open Sans"/>
        </w:rPr>
        <w:t xml:space="preserve"> appropriate action was</w:t>
      </w:r>
      <w:r>
        <w:rPr>
          <w:rFonts w:cs="Open Sans"/>
        </w:rPr>
        <w:t xml:space="preserve"> </w:t>
      </w:r>
      <w:r w:rsidRPr="00937A33">
        <w:rPr>
          <w:rFonts w:cs="Open Sans"/>
        </w:rPr>
        <w:t xml:space="preserve">taken in response to the assaults. Mr </w:t>
      </w:r>
      <w:proofErr w:type="spellStart"/>
      <w:r w:rsidRPr="00937A33">
        <w:rPr>
          <w:rFonts w:cs="Open Sans"/>
        </w:rPr>
        <w:t>Andrwas</w:t>
      </w:r>
      <w:proofErr w:type="spellEnd"/>
      <w:r w:rsidRPr="00937A33">
        <w:rPr>
          <w:rFonts w:cs="Open Sans"/>
        </w:rPr>
        <w:t xml:space="preserve"> says that ‘the officers wrote a report on the assault for management. As far as I know there have been no consequences for the four men or [the female detainee].’ </w:t>
      </w:r>
    </w:p>
    <w:p w14:paraId="5A33248B" w14:textId="77777777" w:rsidR="00201C9D" w:rsidRPr="00937A33" w:rsidRDefault="00201C9D" w:rsidP="000F7824">
      <w:pPr>
        <w:numPr>
          <w:ilvl w:val="0"/>
          <w:numId w:val="33"/>
        </w:numPr>
        <w:spacing w:after="0"/>
        <w:ind w:hanging="720"/>
        <w:rPr>
          <w:rFonts w:eastAsia="Times New Roman" w:cs="Open Sans"/>
          <w:spacing w:val="-5"/>
        </w:rPr>
      </w:pPr>
      <w:r w:rsidRPr="00937A33">
        <w:rPr>
          <w:rFonts w:eastAsia="Times New Roman" w:cs="Open Sans"/>
          <w:spacing w:val="-5"/>
        </w:rPr>
        <w:t xml:space="preserve">On 3 December 2018, Mr </w:t>
      </w:r>
      <w:proofErr w:type="spellStart"/>
      <w:r w:rsidRPr="00937A33">
        <w:rPr>
          <w:rFonts w:eastAsia="Times New Roman" w:cs="Open Sans"/>
          <w:spacing w:val="-5"/>
        </w:rPr>
        <w:t>Andrwas</w:t>
      </w:r>
      <w:proofErr w:type="spellEnd"/>
      <w:r w:rsidRPr="00937A33">
        <w:rPr>
          <w:rFonts w:eastAsia="Times New Roman" w:cs="Open Sans"/>
          <w:spacing w:val="-5"/>
        </w:rPr>
        <w:t xml:space="preserve"> made a complaint to the Commission regarding, among</w:t>
      </w:r>
      <w:r>
        <w:rPr>
          <w:rFonts w:eastAsia="Times New Roman" w:cs="Open Sans"/>
          <w:spacing w:val="-5"/>
        </w:rPr>
        <w:t>st</w:t>
      </w:r>
      <w:r w:rsidRPr="00937A33">
        <w:rPr>
          <w:rFonts w:eastAsia="Times New Roman" w:cs="Open Sans"/>
          <w:spacing w:val="-5"/>
        </w:rPr>
        <w:t xml:space="preserve"> other things, the 11 November Incident and First and Second 24 November Incidents. </w:t>
      </w:r>
    </w:p>
    <w:p w14:paraId="770DCCE6" w14:textId="77777777" w:rsidR="00201C9D" w:rsidRPr="00657A66" w:rsidRDefault="00201C9D" w:rsidP="000F7824">
      <w:pPr>
        <w:pStyle w:val="Heading1"/>
        <w:numPr>
          <w:ilvl w:val="0"/>
          <w:numId w:val="28"/>
        </w:numPr>
        <w:tabs>
          <w:tab w:val="num" w:pos="709"/>
        </w:tabs>
        <w:ind w:left="709" w:hanging="709"/>
        <w:rPr>
          <w:rFonts w:cs="Open Sans"/>
          <w:szCs w:val="36"/>
        </w:rPr>
      </w:pPr>
      <w:bookmarkStart w:id="15" w:name="_Toc12522083"/>
      <w:bookmarkStart w:id="16" w:name="_Toc45544857"/>
      <w:bookmarkStart w:id="17" w:name="_Toc123828285"/>
      <w:bookmarkStart w:id="18" w:name="_Toc12522084"/>
      <w:r w:rsidRPr="00657A66">
        <w:rPr>
          <w:rFonts w:cs="Open Sans"/>
          <w:szCs w:val="36"/>
        </w:rPr>
        <w:t>Conciliation</w:t>
      </w:r>
      <w:bookmarkEnd w:id="15"/>
      <w:bookmarkEnd w:id="16"/>
      <w:bookmarkEnd w:id="17"/>
    </w:p>
    <w:p w14:paraId="677A7CAD" w14:textId="77777777" w:rsidR="00201C9D" w:rsidRDefault="00201C9D" w:rsidP="000F7824">
      <w:pPr>
        <w:numPr>
          <w:ilvl w:val="0"/>
          <w:numId w:val="33"/>
        </w:numPr>
        <w:spacing w:after="0"/>
        <w:ind w:hanging="720"/>
        <w:rPr>
          <w:rFonts w:eastAsia="Times New Roman" w:cs="Open Sans"/>
          <w:spacing w:val="-5"/>
        </w:rPr>
      </w:pPr>
      <w:r w:rsidRPr="00937A33">
        <w:rPr>
          <w:rFonts w:eastAsia="Times New Roman" w:cs="Open Sans"/>
          <w:spacing w:val="-5"/>
        </w:rPr>
        <w:t xml:space="preserve">The Department indicated that it </w:t>
      </w:r>
      <w:r>
        <w:rPr>
          <w:rFonts w:eastAsia="Times New Roman" w:cs="Open Sans"/>
          <w:spacing w:val="-5"/>
        </w:rPr>
        <w:t xml:space="preserve">did not want to </w:t>
      </w:r>
      <w:r w:rsidRPr="00937A33">
        <w:rPr>
          <w:rFonts w:eastAsia="Times New Roman" w:cs="Open Sans"/>
          <w:spacing w:val="-5"/>
        </w:rPr>
        <w:t>participate in conciliation</w:t>
      </w:r>
      <w:r>
        <w:rPr>
          <w:rFonts w:eastAsia="Times New Roman" w:cs="Open Sans"/>
          <w:spacing w:val="-5"/>
        </w:rPr>
        <w:t xml:space="preserve"> of the matter</w:t>
      </w:r>
      <w:r w:rsidRPr="00937A33">
        <w:rPr>
          <w:rFonts w:eastAsia="Times New Roman" w:cs="Open Sans"/>
          <w:spacing w:val="-5"/>
        </w:rPr>
        <w:t xml:space="preserve">. </w:t>
      </w:r>
    </w:p>
    <w:p w14:paraId="610DF30E" w14:textId="77777777" w:rsidR="00201C9D" w:rsidRPr="00657A66" w:rsidRDefault="00201C9D" w:rsidP="000F7824">
      <w:pPr>
        <w:pStyle w:val="Heading1"/>
        <w:numPr>
          <w:ilvl w:val="0"/>
          <w:numId w:val="28"/>
        </w:numPr>
        <w:tabs>
          <w:tab w:val="num" w:pos="709"/>
        </w:tabs>
        <w:ind w:left="709" w:hanging="709"/>
        <w:rPr>
          <w:rFonts w:cs="Open Sans"/>
          <w:szCs w:val="36"/>
        </w:rPr>
      </w:pPr>
      <w:bookmarkStart w:id="19" w:name="_Toc45544858"/>
      <w:bookmarkStart w:id="20" w:name="_Toc123828286"/>
      <w:r w:rsidRPr="00657A66">
        <w:rPr>
          <w:rFonts w:cs="Open Sans"/>
          <w:szCs w:val="36"/>
        </w:rPr>
        <w:t>Procedural history of this inquiry</w:t>
      </w:r>
      <w:bookmarkEnd w:id="18"/>
      <w:bookmarkEnd w:id="19"/>
      <w:bookmarkEnd w:id="20"/>
    </w:p>
    <w:p w14:paraId="6F3243BD" w14:textId="77777777" w:rsidR="00201C9D" w:rsidRPr="00E95FE0" w:rsidRDefault="00201C9D" w:rsidP="000F7824">
      <w:pPr>
        <w:pStyle w:val="SubmissionNormal"/>
        <w:numPr>
          <w:ilvl w:val="0"/>
          <w:numId w:val="26"/>
        </w:numPr>
        <w:rPr>
          <w:rFonts w:cs="Open Sans"/>
        </w:rPr>
      </w:pPr>
      <w:r w:rsidRPr="00E95FE0">
        <w:rPr>
          <w:rFonts w:cs="Open Sans"/>
        </w:rPr>
        <w:t xml:space="preserve">On </w:t>
      </w:r>
      <w:r>
        <w:rPr>
          <w:rFonts w:cs="Open Sans"/>
        </w:rPr>
        <w:t xml:space="preserve">11 November </w:t>
      </w:r>
      <w:r w:rsidRPr="00E95FE0">
        <w:rPr>
          <w:rFonts w:cs="Open Sans"/>
        </w:rPr>
        <w:t>20</w:t>
      </w:r>
      <w:r>
        <w:rPr>
          <w:rFonts w:cs="Open Sans"/>
        </w:rPr>
        <w:t>21</w:t>
      </w:r>
      <w:r w:rsidRPr="00E95FE0">
        <w:rPr>
          <w:rFonts w:cs="Open Sans"/>
        </w:rPr>
        <w:t xml:space="preserve">, I issued a preliminary view in this matter and gave </w:t>
      </w:r>
      <w:r>
        <w:rPr>
          <w:rFonts w:cs="Open Sans"/>
        </w:rPr>
        <w:t xml:space="preserve">Mr </w:t>
      </w:r>
      <w:proofErr w:type="spellStart"/>
      <w:r>
        <w:rPr>
          <w:rFonts w:cs="Open Sans"/>
        </w:rPr>
        <w:t>Andrwas</w:t>
      </w:r>
      <w:proofErr w:type="spellEnd"/>
      <w:r>
        <w:rPr>
          <w:rFonts w:cs="Open Sans"/>
        </w:rPr>
        <w:t xml:space="preserve">, and </w:t>
      </w:r>
      <w:r w:rsidRPr="00E95FE0">
        <w:rPr>
          <w:rFonts w:cs="Open Sans"/>
        </w:rPr>
        <w:t>the Department</w:t>
      </w:r>
      <w:r>
        <w:rPr>
          <w:rFonts w:cs="Open Sans"/>
        </w:rPr>
        <w:t xml:space="preserve"> </w:t>
      </w:r>
      <w:r w:rsidRPr="00E95FE0">
        <w:rPr>
          <w:rFonts w:cs="Open Sans"/>
        </w:rPr>
        <w:t xml:space="preserve">the opportunity to respond to my preliminary findings. </w:t>
      </w:r>
    </w:p>
    <w:p w14:paraId="765D99D3" w14:textId="77777777" w:rsidR="00201C9D" w:rsidRDefault="00201C9D" w:rsidP="000F7824">
      <w:pPr>
        <w:pStyle w:val="SubmissionNormal"/>
        <w:numPr>
          <w:ilvl w:val="0"/>
          <w:numId w:val="26"/>
        </w:numPr>
        <w:rPr>
          <w:rFonts w:cs="Open Sans"/>
        </w:rPr>
      </w:pPr>
      <w:r w:rsidRPr="00E95FE0">
        <w:rPr>
          <w:rFonts w:cs="Open Sans"/>
        </w:rPr>
        <w:lastRenderedPageBreak/>
        <w:t xml:space="preserve">On </w:t>
      </w:r>
      <w:r>
        <w:rPr>
          <w:rFonts w:cs="Open Sans"/>
        </w:rPr>
        <w:t xml:space="preserve">16 June </w:t>
      </w:r>
      <w:r w:rsidRPr="00E95FE0">
        <w:rPr>
          <w:rFonts w:cs="Open Sans"/>
        </w:rPr>
        <w:t>20</w:t>
      </w:r>
      <w:r>
        <w:rPr>
          <w:rFonts w:cs="Open Sans"/>
        </w:rPr>
        <w:t>22</w:t>
      </w:r>
      <w:r w:rsidRPr="00E95FE0">
        <w:rPr>
          <w:rFonts w:cs="Open Sans"/>
        </w:rPr>
        <w:t>, the Department responded to my preliminary view</w:t>
      </w:r>
      <w:r>
        <w:rPr>
          <w:rFonts w:cs="Open Sans"/>
        </w:rPr>
        <w:t>.</w:t>
      </w:r>
      <w:r w:rsidRPr="00E95FE0">
        <w:rPr>
          <w:rFonts w:cs="Open Sans"/>
        </w:rPr>
        <w:t xml:space="preserve"> </w:t>
      </w:r>
    </w:p>
    <w:p w14:paraId="7FE330B4" w14:textId="77777777" w:rsidR="00201C9D" w:rsidRPr="00937A33" w:rsidRDefault="00201C9D" w:rsidP="000F7824">
      <w:pPr>
        <w:pStyle w:val="Heading1"/>
        <w:numPr>
          <w:ilvl w:val="0"/>
          <w:numId w:val="28"/>
        </w:numPr>
        <w:tabs>
          <w:tab w:val="num" w:pos="709"/>
        </w:tabs>
        <w:ind w:left="709" w:hanging="709"/>
        <w:rPr>
          <w:rFonts w:cs="Open Sans"/>
          <w:szCs w:val="36"/>
        </w:rPr>
      </w:pPr>
      <w:bookmarkStart w:id="21" w:name="_Toc123828287"/>
      <w:r w:rsidRPr="00937A33">
        <w:rPr>
          <w:rFonts w:cs="Open Sans"/>
          <w:szCs w:val="36"/>
        </w:rPr>
        <w:t>Relevant legal framework</w:t>
      </w:r>
      <w:bookmarkEnd w:id="21"/>
    </w:p>
    <w:p w14:paraId="49D06FBD" w14:textId="77777777" w:rsidR="00201C9D" w:rsidRPr="00F37F71" w:rsidRDefault="00201C9D" w:rsidP="000F7824">
      <w:pPr>
        <w:pStyle w:val="Heading2"/>
        <w:numPr>
          <w:ilvl w:val="1"/>
          <w:numId w:val="28"/>
        </w:numPr>
        <w:tabs>
          <w:tab w:val="num" w:pos="720"/>
        </w:tabs>
        <w:rPr>
          <w:rFonts w:eastAsia="Times New Roman" w:cs="Open Sans"/>
          <w:i/>
        </w:rPr>
      </w:pPr>
      <w:bookmarkStart w:id="22" w:name="_Toc123828288"/>
      <w:r w:rsidRPr="0017379C">
        <w:rPr>
          <w:rFonts w:cs="Open Sans"/>
        </w:rPr>
        <w:t>Functions of the Commission</w:t>
      </w:r>
      <w:bookmarkEnd w:id="22"/>
    </w:p>
    <w:p w14:paraId="5C5B735C" w14:textId="77777777" w:rsidR="00201C9D" w:rsidRPr="00937A33" w:rsidRDefault="00201C9D" w:rsidP="000F7824">
      <w:pPr>
        <w:pStyle w:val="ListParagraph"/>
        <w:numPr>
          <w:ilvl w:val="0"/>
          <w:numId w:val="27"/>
        </w:numPr>
        <w:spacing w:after="0"/>
        <w:ind w:hanging="720"/>
        <w:contextualSpacing/>
        <w:rPr>
          <w:rFonts w:eastAsia="Times New Roman" w:cs="Open Sans"/>
          <w:spacing w:val="-5"/>
        </w:rPr>
      </w:pPr>
      <w:r w:rsidRPr="00937A33">
        <w:rPr>
          <w:rFonts w:eastAsia="Times New Roman" w:cs="Open Sans"/>
          <w:spacing w:val="-5"/>
        </w:rPr>
        <w:t>Section</w:t>
      </w:r>
      <w:r w:rsidRPr="00937A33">
        <w:rPr>
          <w:rFonts w:cs="Open Sans"/>
          <w:szCs w:val="28"/>
        </w:rPr>
        <w:t xml:space="preserve"> 11(1)(f) of the AHRC Act provides that the Commission has the function to inquire into any act or practice that may be inconsistent with or contrary to any human right. </w:t>
      </w:r>
    </w:p>
    <w:p w14:paraId="3B657820" w14:textId="77777777" w:rsidR="00201C9D" w:rsidRPr="00937A33" w:rsidRDefault="00201C9D" w:rsidP="000F7824">
      <w:pPr>
        <w:numPr>
          <w:ilvl w:val="0"/>
          <w:numId w:val="27"/>
        </w:numPr>
        <w:tabs>
          <w:tab w:val="num" w:pos="960"/>
        </w:tabs>
        <w:spacing w:after="0"/>
        <w:ind w:hanging="720"/>
        <w:rPr>
          <w:rFonts w:eastAsia="Times New Roman" w:cs="Open Sans"/>
          <w:spacing w:val="-5"/>
        </w:rPr>
      </w:pPr>
      <w:r w:rsidRPr="00937A33">
        <w:rPr>
          <w:rFonts w:cs="Open Sans"/>
        </w:rPr>
        <w:t>Section 20(1)(b) of the AHRC Act requires the Commission to perform this function when a complaint is made to it in writing alleging that an ‘act’ or ‘practice’ is inconsistent with, or contrary to, any human right.</w:t>
      </w:r>
    </w:p>
    <w:p w14:paraId="3EBE2616" w14:textId="77777777" w:rsidR="00201C9D" w:rsidRPr="00937A33" w:rsidRDefault="00201C9D" w:rsidP="000F7824">
      <w:pPr>
        <w:numPr>
          <w:ilvl w:val="0"/>
          <w:numId w:val="27"/>
        </w:numPr>
        <w:tabs>
          <w:tab w:val="num" w:pos="960"/>
        </w:tabs>
        <w:spacing w:after="160"/>
        <w:ind w:hanging="720"/>
        <w:rPr>
          <w:rFonts w:eastAsia="Times New Roman" w:cs="Open Sans"/>
          <w:spacing w:val="-5"/>
        </w:rPr>
      </w:pPr>
      <w:r w:rsidRPr="00937A33">
        <w:rPr>
          <w:rFonts w:cs="Open Sans"/>
        </w:rPr>
        <w:t>Section 8(6) of the AHRC Act requires the functions of the Commission under s 11(1)(f) to be performed by the President.</w:t>
      </w:r>
    </w:p>
    <w:p w14:paraId="1FC7F841" w14:textId="77777777" w:rsidR="00201C9D" w:rsidRPr="0017379C" w:rsidRDefault="00201C9D" w:rsidP="000F7824">
      <w:pPr>
        <w:pStyle w:val="Heading2"/>
        <w:numPr>
          <w:ilvl w:val="1"/>
          <w:numId w:val="28"/>
        </w:numPr>
        <w:tabs>
          <w:tab w:val="num" w:pos="720"/>
        </w:tabs>
        <w:rPr>
          <w:rFonts w:cs="Open Sans"/>
          <w:i/>
        </w:rPr>
      </w:pPr>
      <w:bookmarkStart w:id="23" w:name="_Toc123828289"/>
      <w:r w:rsidRPr="0017379C">
        <w:rPr>
          <w:rFonts w:cs="Open Sans"/>
        </w:rPr>
        <w:t>What is a human right</w:t>
      </w:r>
      <w:bookmarkEnd w:id="23"/>
    </w:p>
    <w:p w14:paraId="558B9C6B" w14:textId="77777777" w:rsidR="00201C9D" w:rsidRPr="00937A33" w:rsidRDefault="00201C9D" w:rsidP="000F7824">
      <w:pPr>
        <w:numPr>
          <w:ilvl w:val="0"/>
          <w:numId w:val="27"/>
        </w:numPr>
        <w:tabs>
          <w:tab w:val="num" w:pos="960"/>
        </w:tabs>
        <w:spacing w:after="0"/>
        <w:ind w:hanging="720"/>
        <w:rPr>
          <w:rFonts w:eastAsia="Times New Roman" w:cs="Open Sans"/>
          <w:spacing w:val="-5"/>
        </w:rPr>
      </w:pPr>
      <w:r w:rsidRPr="00937A33">
        <w:rPr>
          <w:rFonts w:eastAsia="Times New Roman" w:cs="Open Sans"/>
          <w:spacing w:val="-5"/>
        </w:rPr>
        <w:t xml:space="preserve">The AHRC Act defines human rights to include the rights and freedoms recognised in the ICCPR. </w:t>
      </w:r>
    </w:p>
    <w:p w14:paraId="67FCA7A9" w14:textId="77777777" w:rsidR="00201C9D" w:rsidRPr="00937A33" w:rsidRDefault="00201C9D" w:rsidP="000F7824">
      <w:pPr>
        <w:numPr>
          <w:ilvl w:val="0"/>
          <w:numId w:val="27"/>
        </w:numPr>
        <w:tabs>
          <w:tab w:val="num" w:pos="960"/>
        </w:tabs>
        <w:spacing w:after="0"/>
        <w:ind w:hanging="720"/>
        <w:rPr>
          <w:rFonts w:eastAsia="Times New Roman" w:cs="Open Sans"/>
          <w:spacing w:val="-5"/>
        </w:rPr>
      </w:pPr>
      <w:r w:rsidRPr="00937A33">
        <w:rPr>
          <w:rFonts w:eastAsia="Times New Roman" w:cs="Open Sans"/>
          <w:spacing w:val="-5"/>
        </w:rPr>
        <w:t xml:space="preserve">Relevantly, article 10(1) of the ICCPR provides: </w:t>
      </w:r>
    </w:p>
    <w:p w14:paraId="62B8E2B9" w14:textId="77777777" w:rsidR="00201C9D" w:rsidRPr="00937A33" w:rsidRDefault="00201C9D" w:rsidP="00201C9D">
      <w:pPr>
        <w:ind w:left="1169"/>
        <w:rPr>
          <w:rFonts w:eastAsia="Times New Roman" w:cs="Open Sans"/>
          <w:spacing w:val="-5"/>
        </w:rPr>
      </w:pPr>
      <w:r w:rsidRPr="00937A33">
        <w:rPr>
          <w:rFonts w:cs="Open Sans"/>
          <w:iCs/>
        </w:rPr>
        <w:t xml:space="preserve">All persons deprived of their liberty shall be treated with humanity and with respect for the inherent dignity of the </w:t>
      </w:r>
      <w:r w:rsidRPr="00937A33">
        <w:rPr>
          <w:rFonts w:cs="Open Sans"/>
        </w:rPr>
        <w:t>human</w:t>
      </w:r>
      <w:r w:rsidRPr="00937A33">
        <w:rPr>
          <w:rFonts w:cs="Open Sans"/>
          <w:iCs/>
        </w:rPr>
        <w:t xml:space="preserve"> person.</w:t>
      </w:r>
    </w:p>
    <w:p w14:paraId="69DEB55C" w14:textId="77777777" w:rsidR="00201C9D" w:rsidRPr="0017379C" w:rsidRDefault="00201C9D" w:rsidP="000F7824">
      <w:pPr>
        <w:pStyle w:val="Heading2"/>
        <w:numPr>
          <w:ilvl w:val="1"/>
          <w:numId w:val="28"/>
        </w:numPr>
        <w:tabs>
          <w:tab w:val="num" w:pos="720"/>
        </w:tabs>
        <w:rPr>
          <w:rFonts w:cs="Open Sans"/>
          <w:i/>
        </w:rPr>
      </w:pPr>
      <w:bookmarkStart w:id="24" w:name="_Toc123828290"/>
      <w:r w:rsidRPr="0017379C">
        <w:rPr>
          <w:rFonts w:cs="Open Sans"/>
        </w:rPr>
        <w:t>What is an act or practice</w:t>
      </w:r>
      <w:bookmarkEnd w:id="24"/>
    </w:p>
    <w:p w14:paraId="1FE088AE" w14:textId="77777777" w:rsidR="00201C9D" w:rsidRPr="00937A33" w:rsidRDefault="00201C9D" w:rsidP="000F7824">
      <w:pPr>
        <w:numPr>
          <w:ilvl w:val="0"/>
          <w:numId w:val="27"/>
        </w:numPr>
        <w:tabs>
          <w:tab w:val="num" w:pos="960"/>
        </w:tabs>
        <w:spacing w:after="0"/>
        <w:ind w:hanging="720"/>
        <w:rPr>
          <w:rFonts w:eastAsia="Times New Roman" w:cs="Open Sans"/>
          <w:spacing w:val="-5"/>
        </w:rPr>
      </w:pPr>
      <w:r w:rsidRPr="00937A33">
        <w:rPr>
          <w:rFonts w:cs="Open Sans"/>
        </w:rPr>
        <w:t>The terms ‘act’ and ‘practice’ are defined in s 3(1) of the AHRC Act to include an act done or a practice engaged in by or on behalf of the Commonwealth or an authority of the Commonwealth or under an enactment.</w:t>
      </w:r>
    </w:p>
    <w:p w14:paraId="03E8312A" w14:textId="77777777" w:rsidR="00201C9D" w:rsidRPr="00937A33" w:rsidRDefault="00201C9D" w:rsidP="000F7824">
      <w:pPr>
        <w:numPr>
          <w:ilvl w:val="0"/>
          <w:numId w:val="27"/>
        </w:numPr>
        <w:tabs>
          <w:tab w:val="num" w:pos="960"/>
        </w:tabs>
        <w:spacing w:after="0"/>
        <w:ind w:hanging="720"/>
        <w:rPr>
          <w:rFonts w:eastAsia="Times New Roman" w:cs="Open Sans"/>
          <w:spacing w:val="-5"/>
        </w:rPr>
      </w:pPr>
      <w:r w:rsidRPr="00937A33">
        <w:rPr>
          <w:rFonts w:cs="Open Sans"/>
        </w:rPr>
        <w:t>Section 3(3) of the AHRC Act provides that the reference to, or to the doing of, an ‘act’ includes a reference to a refusal or failure to do an act.</w:t>
      </w:r>
    </w:p>
    <w:p w14:paraId="7DB2C357" w14:textId="77777777" w:rsidR="00201C9D" w:rsidRPr="00937A33" w:rsidRDefault="00201C9D" w:rsidP="000F7824">
      <w:pPr>
        <w:numPr>
          <w:ilvl w:val="0"/>
          <w:numId w:val="27"/>
        </w:numPr>
        <w:tabs>
          <w:tab w:val="num" w:pos="960"/>
        </w:tabs>
        <w:spacing w:after="160"/>
        <w:ind w:hanging="720"/>
        <w:rPr>
          <w:rFonts w:cs="Open Sans"/>
        </w:rPr>
      </w:pPr>
      <w:r w:rsidRPr="00937A33">
        <w:rPr>
          <w:rFonts w:cs="Open Sans"/>
        </w:rPr>
        <w:t>The functions of the Commission identified in s 11(1)(f) of the AHRC Act are only engaged where the act complained of is not one required by law to be taken;</w:t>
      </w:r>
      <w:r w:rsidRPr="00937A33">
        <w:rPr>
          <w:rFonts w:cs="Open Sans"/>
          <w:vertAlign w:val="superscript"/>
        </w:rPr>
        <w:endnoteReference w:id="2"/>
      </w:r>
      <w:r w:rsidRPr="00937A33">
        <w:rPr>
          <w:rFonts w:cs="Open Sans"/>
        </w:rPr>
        <w:t xml:space="preserve"> that is, where the relevant act or practice is within the discretion of the Commonwealth, its officers or agents. </w:t>
      </w:r>
    </w:p>
    <w:p w14:paraId="4DFCCB74" w14:textId="77777777" w:rsidR="00201C9D" w:rsidRPr="0017379C" w:rsidRDefault="00201C9D" w:rsidP="000F7824">
      <w:pPr>
        <w:pStyle w:val="Heading2"/>
        <w:numPr>
          <w:ilvl w:val="1"/>
          <w:numId w:val="28"/>
        </w:numPr>
        <w:tabs>
          <w:tab w:val="num" w:pos="720"/>
        </w:tabs>
        <w:rPr>
          <w:rFonts w:cs="Open Sans"/>
          <w:i/>
        </w:rPr>
      </w:pPr>
      <w:bookmarkStart w:id="25" w:name="_Toc123828291"/>
      <w:r w:rsidRPr="0017379C">
        <w:rPr>
          <w:rFonts w:cs="Open Sans"/>
        </w:rPr>
        <w:lastRenderedPageBreak/>
        <w:t>Act or practice of the Commonwealth</w:t>
      </w:r>
      <w:bookmarkEnd w:id="25"/>
    </w:p>
    <w:p w14:paraId="1C4D5F19" w14:textId="7C9B96E6" w:rsidR="00823488" w:rsidRPr="00823488" w:rsidRDefault="00201C9D" w:rsidP="000F7824">
      <w:pPr>
        <w:numPr>
          <w:ilvl w:val="0"/>
          <w:numId w:val="27"/>
        </w:numPr>
        <w:tabs>
          <w:tab w:val="num" w:pos="960"/>
        </w:tabs>
        <w:ind w:hanging="720"/>
        <w:contextualSpacing/>
        <w:rPr>
          <w:rFonts w:eastAsia="Times New Roman" w:cs="Open Sans"/>
          <w:spacing w:val="-5"/>
        </w:rPr>
      </w:pPr>
      <w:r w:rsidRPr="00937A33">
        <w:rPr>
          <w:rFonts w:eastAsia="Times New Roman" w:cs="Open Sans"/>
          <w:spacing w:val="-5"/>
        </w:rPr>
        <w:t xml:space="preserve">It is my view that the following is an act </w:t>
      </w:r>
      <w:r w:rsidRPr="00937A33">
        <w:rPr>
          <w:rFonts w:cs="Open Sans"/>
        </w:rPr>
        <w:t>for the purposes of section 3 of the AHRC Act</w:t>
      </w:r>
      <w:r w:rsidRPr="00937A33">
        <w:rPr>
          <w:rFonts w:eastAsia="Times New Roman" w:cs="Open Sans"/>
          <w:spacing w:val="-5"/>
        </w:rPr>
        <w:t xml:space="preserve">: </w:t>
      </w:r>
    </w:p>
    <w:p w14:paraId="1AF3E1CA" w14:textId="77777777" w:rsidR="00201C9D" w:rsidRPr="00937A33" w:rsidRDefault="00201C9D" w:rsidP="000F7824">
      <w:pPr>
        <w:pStyle w:val="ListParagraph"/>
        <w:numPr>
          <w:ilvl w:val="1"/>
          <w:numId w:val="27"/>
        </w:numPr>
        <w:contextualSpacing/>
        <w:rPr>
          <w:rFonts w:eastAsia="Times New Roman" w:cs="Open Sans"/>
          <w:spacing w:val="-5"/>
        </w:rPr>
      </w:pPr>
      <w:r w:rsidRPr="00937A33">
        <w:rPr>
          <w:rFonts w:eastAsia="Times New Roman" w:cs="Open Sans"/>
          <w:spacing w:val="-5"/>
        </w:rPr>
        <w:t xml:space="preserve">the decision of the </w:t>
      </w:r>
      <w:r w:rsidRPr="00937A33">
        <w:rPr>
          <w:rFonts w:cs="Open Sans"/>
        </w:rPr>
        <w:t xml:space="preserve">Department or Serco to continue to detain Mr </w:t>
      </w:r>
      <w:proofErr w:type="spellStart"/>
      <w:r w:rsidRPr="00937A33">
        <w:rPr>
          <w:rFonts w:cs="Open Sans"/>
        </w:rPr>
        <w:t>Andrwas</w:t>
      </w:r>
      <w:proofErr w:type="spellEnd"/>
      <w:r w:rsidRPr="00937A33">
        <w:rPr>
          <w:rFonts w:cs="Open Sans"/>
        </w:rPr>
        <w:t xml:space="preserve"> in the Lachlan compound within Villawood following assaults on him on 11 November 2017 and 24 November 2017 by other detainees without undertaking a documented risk assessment process or other action to protect his safety</w:t>
      </w:r>
      <w:r w:rsidRPr="00937A33">
        <w:rPr>
          <w:rFonts w:eastAsia="Times New Roman" w:cs="Open Sans"/>
          <w:spacing w:val="-5"/>
        </w:rPr>
        <w:t xml:space="preserve">. </w:t>
      </w:r>
    </w:p>
    <w:p w14:paraId="1929BCAE" w14:textId="77777777" w:rsidR="00201C9D" w:rsidRPr="00937A33" w:rsidRDefault="00201C9D" w:rsidP="000F7824">
      <w:pPr>
        <w:pStyle w:val="Heading1"/>
        <w:numPr>
          <w:ilvl w:val="0"/>
          <w:numId w:val="28"/>
        </w:numPr>
        <w:tabs>
          <w:tab w:val="num" w:pos="709"/>
        </w:tabs>
        <w:ind w:left="709" w:hanging="709"/>
        <w:rPr>
          <w:rFonts w:cs="Open Sans"/>
          <w:szCs w:val="36"/>
        </w:rPr>
      </w:pPr>
      <w:bookmarkStart w:id="26" w:name="_Toc123828292"/>
      <w:r w:rsidRPr="00937A33">
        <w:rPr>
          <w:rFonts w:cs="Open Sans"/>
          <w:szCs w:val="36"/>
        </w:rPr>
        <w:t>Safe place of detention</w:t>
      </w:r>
      <w:bookmarkEnd w:id="26"/>
    </w:p>
    <w:p w14:paraId="71381ED3" w14:textId="77777777" w:rsidR="00201C9D" w:rsidRPr="00937A33" w:rsidRDefault="00201C9D" w:rsidP="000F7824">
      <w:pPr>
        <w:numPr>
          <w:ilvl w:val="0"/>
          <w:numId w:val="27"/>
        </w:numPr>
        <w:tabs>
          <w:tab w:val="num" w:pos="960"/>
        </w:tabs>
        <w:spacing w:after="160"/>
        <w:ind w:hanging="720"/>
        <w:rPr>
          <w:rFonts w:cs="Open Sans"/>
        </w:rPr>
      </w:pPr>
      <w:r w:rsidRPr="00937A33">
        <w:rPr>
          <w:rFonts w:cs="Open Sans"/>
        </w:rPr>
        <w:t xml:space="preserve">Mr </w:t>
      </w:r>
      <w:proofErr w:type="spellStart"/>
      <w:r w:rsidRPr="00937A33">
        <w:rPr>
          <w:rFonts w:cs="Open Sans"/>
        </w:rPr>
        <w:t>Andrwas</w:t>
      </w:r>
      <w:proofErr w:type="spellEnd"/>
      <w:r w:rsidRPr="00937A33">
        <w:rPr>
          <w:rFonts w:cs="Open Sans"/>
        </w:rPr>
        <w:t xml:space="preserve"> complains that he has not been provided with a safe place of detention </w:t>
      </w:r>
      <w:r w:rsidRPr="00937A33">
        <w:rPr>
          <w:rFonts w:eastAsia="Times New Roman" w:cs="Open Sans"/>
          <w:spacing w:val="-5"/>
        </w:rPr>
        <w:t>at</w:t>
      </w:r>
      <w:r w:rsidRPr="00937A33">
        <w:rPr>
          <w:rFonts w:cs="Open Sans"/>
        </w:rPr>
        <w:t xml:space="preserve"> Villawood, in contravention of article 10(1) of the</w:t>
      </w:r>
      <w:r w:rsidRPr="00937A33">
        <w:rPr>
          <w:rFonts w:cs="Open Sans"/>
          <w:i/>
        </w:rPr>
        <w:t xml:space="preserve"> </w:t>
      </w:r>
      <w:r w:rsidRPr="00937A33">
        <w:rPr>
          <w:rFonts w:cs="Open Sans"/>
        </w:rPr>
        <w:t xml:space="preserve">ICCPR. </w:t>
      </w:r>
    </w:p>
    <w:p w14:paraId="110366A9" w14:textId="77777777" w:rsidR="00201C9D" w:rsidRPr="0017379C" w:rsidRDefault="00201C9D" w:rsidP="000F7824">
      <w:pPr>
        <w:pStyle w:val="Heading2"/>
        <w:numPr>
          <w:ilvl w:val="1"/>
          <w:numId w:val="28"/>
        </w:numPr>
        <w:tabs>
          <w:tab w:val="num" w:pos="720"/>
        </w:tabs>
        <w:rPr>
          <w:rFonts w:cs="Open Sans"/>
          <w:i/>
        </w:rPr>
      </w:pPr>
      <w:bookmarkStart w:id="27" w:name="_Toc73451601"/>
      <w:bookmarkStart w:id="28" w:name="_Toc123828293"/>
      <w:r w:rsidRPr="0017379C">
        <w:rPr>
          <w:rFonts w:cs="Open Sans"/>
        </w:rPr>
        <w:t>Law on article 10 of the ICCPR</w:t>
      </w:r>
      <w:bookmarkEnd w:id="27"/>
      <w:bookmarkEnd w:id="28"/>
    </w:p>
    <w:p w14:paraId="4A862B59" w14:textId="77777777" w:rsidR="00201C9D" w:rsidRPr="00937A33" w:rsidRDefault="00201C9D" w:rsidP="000F7824">
      <w:pPr>
        <w:numPr>
          <w:ilvl w:val="0"/>
          <w:numId w:val="27"/>
        </w:numPr>
        <w:tabs>
          <w:tab w:val="num" w:pos="960"/>
        </w:tabs>
        <w:spacing w:after="160"/>
        <w:ind w:hanging="720"/>
        <w:rPr>
          <w:rFonts w:cs="Open Sans"/>
        </w:rPr>
      </w:pPr>
      <w:r w:rsidRPr="00937A33">
        <w:rPr>
          <w:rFonts w:cs="Open Sans"/>
        </w:rPr>
        <w:t>Article 10(1) of the ICCPR imposes a positive obligation on States to ensure that detainees are treated with humanity and respect for their dignity.</w:t>
      </w:r>
      <w:r w:rsidRPr="00937A33">
        <w:rPr>
          <w:rStyle w:val="EndnoteReference"/>
          <w:rFonts w:cs="Open Sans"/>
        </w:rPr>
        <w:endnoteReference w:id="3"/>
      </w:r>
      <w:r w:rsidRPr="00937A33">
        <w:rPr>
          <w:rFonts w:cs="Open Sans"/>
        </w:rPr>
        <w:t xml:space="preserve"> This is in recognition of the fact that detained persons are particularly vulnerable because they are wholly reliant on a relevant authority to provide for their basic needs.</w:t>
      </w:r>
      <w:r w:rsidRPr="00937A33">
        <w:rPr>
          <w:rStyle w:val="EndnoteReference"/>
          <w:rFonts w:cs="Open Sans"/>
        </w:rPr>
        <w:endnoteReference w:id="4"/>
      </w:r>
      <w:r w:rsidRPr="00937A33">
        <w:rPr>
          <w:rFonts w:cs="Open Sans"/>
        </w:rPr>
        <w:t xml:space="preserve"> In this case, the relevant authority is the Commonwealth of Australia through the Department and its service providers.</w:t>
      </w:r>
    </w:p>
    <w:p w14:paraId="1839D9E3" w14:textId="77777777" w:rsidR="00201C9D" w:rsidRPr="00937A33" w:rsidRDefault="00201C9D" w:rsidP="000F7824">
      <w:pPr>
        <w:numPr>
          <w:ilvl w:val="0"/>
          <w:numId w:val="27"/>
        </w:numPr>
        <w:tabs>
          <w:tab w:val="num" w:pos="960"/>
        </w:tabs>
        <w:spacing w:after="160"/>
        <w:ind w:hanging="720"/>
        <w:rPr>
          <w:rFonts w:cs="Open Sans"/>
        </w:rPr>
      </w:pPr>
      <w:r w:rsidRPr="00937A33">
        <w:rPr>
          <w:rFonts w:cs="Open Sans"/>
        </w:rPr>
        <w:t xml:space="preserve">These international law commitments require Australia to ensure that people in immigration detention are treated fairly and reasonably, and in a manner that upholds their dignity. </w:t>
      </w:r>
    </w:p>
    <w:p w14:paraId="7E68AA29" w14:textId="77777777" w:rsidR="00201C9D" w:rsidRPr="00937A33" w:rsidRDefault="00201C9D" w:rsidP="000F7824">
      <w:pPr>
        <w:numPr>
          <w:ilvl w:val="0"/>
          <w:numId w:val="27"/>
        </w:numPr>
        <w:tabs>
          <w:tab w:val="num" w:pos="960"/>
        </w:tabs>
        <w:spacing w:after="160"/>
        <w:ind w:hanging="720"/>
        <w:rPr>
          <w:rFonts w:cs="Open Sans"/>
        </w:rPr>
      </w:pPr>
      <w:r w:rsidRPr="00937A33">
        <w:rPr>
          <w:rFonts w:cs="Open Sans"/>
        </w:rPr>
        <w:t>Similar obligations are also recognised in the common law of Australia and through the legal ‘duty of care’ that the Department and its service providers owe to people in immigration detention.</w:t>
      </w:r>
    </w:p>
    <w:p w14:paraId="1054D8CA" w14:textId="77777777" w:rsidR="00201C9D" w:rsidRPr="00937A33" w:rsidRDefault="00201C9D" w:rsidP="000F7824">
      <w:pPr>
        <w:numPr>
          <w:ilvl w:val="0"/>
          <w:numId w:val="27"/>
        </w:numPr>
        <w:tabs>
          <w:tab w:val="num" w:pos="960"/>
        </w:tabs>
        <w:spacing w:after="160"/>
        <w:ind w:hanging="720"/>
        <w:rPr>
          <w:rFonts w:cs="Open Sans"/>
        </w:rPr>
      </w:pPr>
      <w:r w:rsidRPr="00937A33">
        <w:rPr>
          <w:rFonts w:cs="Open Sans"/>
        </w:rPr>
        <w:t xml:space="preserve">The United Nations Human Right Committee (UN HR Committee) General Comment No 21 states that: </w:t>
      </w:r>
    </w:p>
    <w:p w14:paraId="220D7475" w14:textId="77777777" w:rsidR="00201C9D" w:rsidRPr="00937A33" w:rsidRDefault="00201C9D" w:rsidP="00201C9D">
      <w:pPr>
        <w:ind w:left="1440"/>
        <w:rPr>
          <w:rFonts w:cs="Open Sans"/>
          <w:iCs/>
        </w:rPr>
      </w:pPr>
      <w:r w:rsidRPr="00937A33">
        <w:rPr>
          <w:rFonts w:cs="Open Sans"/>
          <w:iCs/>
        </w:rPr>
        <w:t xml:space="preserve">Article 10, paragraph 1, imposes on State parties a positive obligation towards persons who are particularly vulnerable because of their status as persons deprived of their liberty, and complements for them the ban on torture or other cruel, inhuman or degrading treatment or punishment contained in article 7 of the Covenant. Thus, not only may persons deprived of their liberty not be subjected to treatment which is contrary to article 7 … but neither may they be subjected to any hardship or constraint other </w:t>
      </w:r>
      <w:r w:rsidRPr="00937A33">
        <w:rPr>
          <w:rFonts w:cs="Open Sans"/>
          <w:iCs/>
        </w:rPr>
        <w:lastRenderedPageBreak/>
        <w:t>than that resulting from the deprivation of liberty; respect for the dignity of such persons must be guaranteed under the same conditions as that of free persons.</w:t>
      </w:r>
      <w:r w:rsidRPr="00937A33">
        <w:rPr>
          <w:rStyle w:val="EndnoteReference"/>
          <w:rFonts w:cs="Open Sans"/>
          <w:iCs/>
        </w:rPr>
        <w:endnoteReference w:id="5"/>
      </w:r>
    </w:p>
    <w:p w14:paraId="79397362" w14:textId="77777777" w:rsidR="00201C9D" w:rsidRPr="00937A33" w:rsidRDefault="00201C9D" w:rsidP="000F7824">
      <w:pPr>
        <w:numPr>
          <w:ilvl w:val="0"/>
          <w:numId w:val="27"/>
        </w:numPr>
        <w:tabs>
          <w:tab w:val="num" w:pos="960"/>
        </w:tabs>
        <w:spacing w:after="160"/>
        <w:ind w:hanging="720"/>
        <w:rPr>
          <w:rFonts w:cs="Open Sans"/>
        </w:rPr>
      </w:pPr>
      <w:r w:rsidRPr="00937A33">
        <w:rPr>
          <w:rFonts w:cs="Open Sans"/>
        </w:rPr>
        <w:t>Professor Manfred Nowak has commented on the threshold for establishing a breach of article 10(1), when compared to the related prohibition against ‘</w:t>
      </w:r>
      <w:r w:rsidRPr="005635D7">
        <w:rPr>
          <w:rFonts w:cs="Open Sans"/>
        </w:rPr>
        <w:t>cruel, inhuman or degrading treatment</w:t>
      </w:r>
      <w:r w:rsidRPr="00937A33">
        <w:rPr>
          <w:rFonts w:cs="Open Sans"/>
        </w:rPr>
        <w:t>’ in article 7 of the ICCPR, as follows:</w:t>
      </w:r>
    </w:p>
    <w:p w14:paraId="2C0C705D" w14:textId="77777777" w:rsidR="00201C9D" w:rsidRPr="00937A33" w:rsidRDefault="00201C9D" w:rsidP="00201C9D">
      <w:pPr>
        <w:ind w:left="1440"/>
        <w:rPr>
          <w:rFonts w:cs="Open Sans"/>
        </w:rPr>
      </w:pPr>
      <w:r w:rsidRPr="00937A33">
        <w:rPr>
          <w:rFonts w:cs="Open Sans"/>
        </w:rPr>
        <w:t>In contrast to article 7, article 10 relates only to the treatment of persons who have been deprived of their liberty. Whereas article 7 primarily is directed at specific, usually violent attacks on personal integrity, article 10 relates more to the general state of a detention facility or some other closed institution and to the specific conditions of detention. As a result, article 7 principally accords a claim that State organs refrain from certain action (prohibition of mistreatment), while article 10 also covers positive State duties to ensure certain conduct: Regardless of economic difficulties, the State must establish a minimum standard for humane conditions of detention (requirement of human treatment).</w:t>
      </w:r>
    </w:p>
    <w:p w14:paraId="743F59B4" w14:textId="77777777" w:rsidR="00201C9D" w:rsidRPr="00937A33" w:rsidRDefault="00201C9D" w:rsidP="00201C9D">
      <w:pPr>
        <w:ind w:left="1440"/>
        <w:rPr>
          <w:rFonts w:cs="Open Sans"/>
        </w:rPr>
      </w:pPr>
      <w:r w:rsidRPr="00937A33">
        <w:rPr>
          <w:rFonts w:cs="Open Sans"/>
        </w:rPr>
        <w:t>In other words, it must provide detainees and prisoners with a minimum of services to satisfy their basic needs (food, clothing, medical care, sanitary facilities, communication, light, opportunity to move about, privacy, etc). Finally it is stressed that the requirement of humane treatment pursuant to article 10 goes beyond the mere prohibition of inhuman treatment under article 7 with regard to the extent of the necessary ‘respect for the inherent dignity of the human person’.</w:t>
      </w:r>
      <w:r w:rsidRPr="005635D7">
        <w:rPr>
          <w:rStyle w:val="EndnoteReference"/>
          <w:rFonts w:cs="Open Sans"/>
        </w:rPr>
        <w:endnoteReference w:id="6"/>
      </w:r>
    </w:p>
    <w:p w14:paraId="3D6137E4" w14:textId="77777777" w:rsidR="00201C9D" w:rsidRPr="00937A33" w:rsidRDefault="00201C9D" w:rsidP="000F7824">
      <w:pPr>
        <w:numPr>
          <w:ilvl w:val="0"/>
          <w:numId w:val="27"/>
        </w:numPr>
        <w:tabs>
          <w:tab w:val="num" w:pos="960"/>
        </w:tabs>
        <w:spacing w:after="160"/>
        <w:ind w:hanging="720"/>
        <w:rPr>
          <w:rFonts w:cs="Open Sans"/>
        </w:rPr>
      </w:pPr>
      <w:r w:rsidRPr="00937A33">
        <w:rPr>
          <w:rFonts w:cs="Open Sans"/>
        </w:rPr>
        <w:t>These conclusions are also evident in the jurisprudence of the UN HR Committee, which discusses the positive obligation on relevant authorities to treat detainees with humanity and respect for their dignity.</w:t>
      </w:r>
      <w:r w:rsidRPr="00937A33">
        <w:rPr>
          <w:rFonts w:cs="Open Sans"/>
          <w:vertAlign w:val="superscript"/>
        </w:rPr>
        <w:endnoteReference w:id="7"/>
      </w:r>
      <w:r w:rsidRPr="00937A33">
        <w:rPr>
          <w:rFonts w:cs="Open Sans"/>
        </w:rPr>
        <w:t xml:space="preserve"> </w:t>
      </w:r>
    </w:p>
    <w:p w14:paraId="55A9F613" w14:textId="77777777" w:rsidR="00201C9D" w:rsidRPr="00937A33" w:rsidRDefault="00201C9D" w:rsidP="000F7824">
      <w:pPr>
        <w:numPr>
          <w:ilvl w:val="0"/>
          <w:numId w:val="27"/>
        </w:numPr>
        <w:tabs>
          <w:tab w:val="num" w:pos="960"/>
        </w:tabs>
        <w:spacing w:after="160"/>
        <w:ind w:hanging="720"/>
        <w:rPr>
          <w:rFonts w:cs="Open Sans"/>
        </w:rPr>
      </w:pPr>
      <w:r w:rsidRPr="00937A33">
        <w:rPr>
          <w:rFonts w:cs="Open Sans"/>
        </w:rPr>
        <w:t>Commentators suggest that article 10(1) obliges States to provide protection for detainees from other detainees,</w:t>
      </w:r>
      <w:r w:rsidRPr="005635D7">
        <w:rPr>
          <w:rStyle w:val="EndnoteReference"/>
          <w:rFonts w:cs="Open Sans"/>
        </w:rPr>
        <w:endnoteReference w:id="8"/>
      </w:r>
      <w:r w:rsidRPr="00937A33">
        <w:rPr>
          <w:rFonts w:cs="Open Sans"/>
        </w:rPr>
        <w:t xml:space="preserve"> drawing from the UN HR Committee’s report, </w:t>
      </w:r>
      <w:r w:rsidRPr="00937A33">
        <w:rPr>
          <w:rFonts w:cs="Open Sans"/>
          <w:i/>
          <w:iCs/>
        </w:rPr>
        <w:t>Concluding Observations on Croatia</w:t>
      </w:r>
      <w:r w:rsidRPr="00937A33">
        <w:rPr>
          <w:rFonts w:cs="Open Sans"/>
        </w:rPr>
        <w:t>, in which it was stated</w:t>
      </w:r>
      <w:r>
        <w:rPr>
          <w:rFonts w:cs="Open Sans"/>
        </w:rPr>
        <w:t>:</w:t>
      </w:r>
      <w:r w:rsidRPr="00937A33">
        <w:rPr>
          <w:rFonts w:cs="Open Sans"/>
        </w:rPr>
        <w:t xml:space="preserve"> </w:t>
      </w:r>
    </w:p>
    <w:p w14:paraId="74522558" w14:textId="77777777" w:rsidR="00201C9D" w:rsidRPr="00937A33" w:rsidRDefault="00201C9D" w:rsidP="00201C9D">
      <w:pPr>
        <w:ind w:left="1440"/>
        <w:rPr>
          <w:rFonts w:cs="Open Sans"/>
        </w:rPr>
      </w:pPr>
      <w:r>
        <w:rPr>
          <w:rFonts w:cs="Open Sans"/>
        </w:rPr>
        <w:t xml:space="preserve">The </w:t>
      </w:r>
      <w:r w:rsidRPr="00937A33">
        <w:rPr>
          <w:rFonts w:cs="Open Sans"/>
        </w:rPr>
        <w:t>Committee is concerned at reports about abuse of prisoners by fellow prisoners and regrets that it was not provided with information by the State party on these reports and on the steps taken by the State party to ensure full compliance with article 10 of the [ICCPR].</w:t>
      </w:r>
      <w:r w:rsidRPr="005635D7">
        <w:rPr>
          <w:rStyle w:val="EndnoteReference"/>
          <w:rFonts w:cs="Open Sans"/>
        </w:rPr>
        <w:endnoteReference w:id="9"/>
      </w:r>
    </w:p>
    <w:p w14:paraId="0E6F9722" w14:textId="77777777" w:rsidR="00201C9D" w:rsidRPr="00937A33" w:rsidRDefault="00201C9D" w:rsidP="000F7824">
      <w:pPr>
        <w:numPr>
          <w:ilvl w:val="0"/>
          <w:numId w:val="27"/>
        </w:numPr>
        <w:tabs>
          <w:tab w:val="num" w:pos="960"/>
        </w:tabs>
        <w:spacing w:after="160"/>
        <w:ind w:hanging="720"/>
        <w:rPr>
          <w:rFonts w:cs="Open Sans"/>
        </w:rPr>
      </w:pPr>
      <w:r w:rsidRPr="00937A33">
        <w:rPr>
          <w:rFonts w:cs="Open Sans"/>
        </w:rPr>
        <w:lastRenderedPageBreak/>
        <w:t>The content of article 10(1) has also been developed through a number of UN instruments that articulate minimum international standards in relation to people deprived of their liberty, including:</w:t>
      </w:r>
    </w:p>
    <w:p w14:paraId="6A05B80F" w14:textId="77777777" w:rsidR="00201C9D" w:rsidRPr="00937A33" w:rsidRDefault="00201C9D" w:rsidP="000F7824">
      <w:pPr>
        <w:pStyle w:val="SubmissionNormal"/>
        <w:numPr>
          <w:ilvl w:val="1"/>
          <w:numId w:val="21"/>
        </w:numPr>
        <w:tabs>
          <w:tab w:val="left" w:pos="567"/>
        </w:tabs>
        <w:rPr>
          <w:rFonts w:cs="Open Sans"/>
        </w:rPr>
      </w:pPr>
      <w:r w:rsidRPr="00937A33">
        <w:rPr>
          <w:rFonts w:cs="Open Sans"/>
        </w:rPr>
        <w:t xml:space="preserve">the </w:t>
      </w:r>
      <w:r w:rsidRPr="00937A33">
        <w:rPr>
          <w:rFonts w:cs="Open Sans"/>
          <w:i/>
        </w:rPr>
        <w:t xml:space="preserve">Standard Minimum Rules for the Treatment of Prisoners, </w:t>
      </w:r>
      <w:r w:rsidRPr="00937A33">
        <w:rPr>
          <w:rFonts w:cs="Open Sans"/>
          <w:iCs/>
        </w:rPr>
        <w:t xml:space="preserve">now known as the </w:t>
      </w:r>
      <w:r w:rsidRPr="009A2C59">
        <w:rPr>
          <w:rFonts w:cs="Open Sans"/>
        </w:rPr>
        <w:t>Nelson Mandela Rules</w:t>
      </w:r>
      <w:r w:rsidRPr="00937A33">
        <w:rPr>
          <w:rStyle w:val="EndnoteReference"/>
          <w:rFonts w:eastAsia="MS Mincho" w:cs="Open Sans"/>
        </w:rPr>
        <w:endnoteReference w:id="10"/>
      </w:r>
    </w:p>
    <w:p w14:paraId="787306F0" w14:textId="77777777" w:rsidR="00201C9D" w:rsidRPr="00937A33" w:rsidRDefault="00201C9D" w:rsidP="000F7824">
      <w:pPr>
        <w:pStyle w:val="SubmissionNormal"/>
        <w:numPr>
          <w:ilvl w:val="1"/>
          <w:numId w:val="21"/>
        </w:numPr>
        <w:tabs>
          <w:tab w:val="left" w:pos="567"/>
        </w:tabs>
        <w:rPr>
          <w:rFonts w:cs="Open Sans"/>
        </w:rPr>
      </w:pPr>
      <w:r w:rsidRPr="00937A33">
        <w:rPr>
          <w:rFonts w:cs="Open Sans"/>
        </w:rPr>
        <w:t xml:space="preserve">the </w:t>
      </w:r>
      <w:r w:rsidRPr="00937A33">
        <w:rPr>
          <w:rFonts w:cs="Open Sans"/>
          <w:i/>
        </w:rPr>
        <w:t>Body of Principles for the Protection of all Persons under Any Form of Detention</w:t>
      </w:r>
      <w:r w:rsidRPr="00937A33">
        <w:rPr>
          <w:rFonts w:cs="Open Sans"/>
        </w:rPr>
        <w:t xml:space="preserve"> (Body of Principles).</w:t>
      </w:r>
      <w:r w:rsidRPr="00937A33">
        <w:rPr>
          <w:rStyle w:val="EndnoteReference"/>
          <w:rFonts w:eastAsia="MS Mincho" w:cs="Open Sans"/>
        </w:rPr>
        <w:endnoteReference w:id="11"/>
      </w:r>
    </w:p>
    <w:p w14:paraId="6FDE302D" w14:textId="77777777" w:rsidR="00201C9D" w:rsidRPr="00937A33" w:rsidRDefault="00201C9D" w:rsidP="000F7824">
      <w:pPr>
        <w:numPr>
          <w:ilvl w:val="0"/>
          <w:numId w:val="27"/>
        </w:numPr>
        <w:tabs>
          <w:tab w:val="num" w:pos="960"/>
        </w:tabs>
        <w:spacing w:after="160"/>
        <w:ind w:hanging="720"/>
        <w:rPr>
          <w:rFonts w:cs="Open Sans"/>
        </w:rPr>
      </w:pPr>
      <w:r w:rsidRPr="00937A33">
        <w:rPr>
          <w:rFonts w:cs="Open Sans"/>
        </w:rPr>
        <w:t>Several of the Nelson Mandela Rules are relevant to the safety of detainees in respect of the behaviour of other detainees, and the general security and good order of detention facilities, including the following:</w:t>
      </w:r>
    </w:p>
    <w:p w14:paraId="39EB2C74" w14:textId="77777777" w:rsidR="00201C9D" w:rsidRPr="00937A33" w:rsidRDefault="00201C9D" w:rsidP="00201C9D">
      <w:pPr>
        <w:keepNext/>
        <w:ind w:left="2552" w:hanging="1134"/>
        <w:rPr>
          <w:rFonts w:cs="Open Sans"/>
          <w:iCs/>
        </w:rPr>
      </w:pPr>
      <w:r w:rsidRPr="00937A33">
        <w:rPr>
          <w:rFonts w:cs="Open Sans"/>
          <w:i/>
        </w:rPr>
        <w:t xml:space="preserve">Rule 1: </w:t>
      </w:r>
      <w:r w:rsidRPr="00937A33">
        <w:rPr>
          <w:rFonts w:cs="Open Sans"/>
          <w:i/>
        </w:rPr>
        <w:tab/>
      </w:r>
      <w:r w:rsidRPr="00937A33">
        <w:rPr>
          <w:rFonts w:cs="Open Sans"/>
          <w:iCs/>
        </w:rPr>
        <w:t>All prisoners shall be treated with the respect due to their inherent dignity and value as human beings … The safety and security of prisoners, staff, service providers and visitors shall be ensured at all times.</w:t>
      </w:r>
    </w:p>
    <w:p w14:paraId="0E152C98" w14:textId="77777777" w:rsidR="00201C9D" w:rsidRPr="00937A33" w:rsidRDefault="00201C9D" w:rsidP="00201C9D">
      <w:pPr>
        <w:keepNext/>
        <w:ind w:left="2552" w:hanging="1134"/>
        <w:rPr>
          <w:rFonts w:cs="Open Sans"/>
          <w:iCs/>
        </w:rPr>
      </w:pPr>
      <w:r w:rsidRPr="00937A33">
        <w:rPr>
          <w:rFonts w:cs="Open Sans"/>
          <w:i/>
        </w:rPr>
        <w:t>Rule 12:</w:t>
      </w:r>
      <w:r w:rsidRPr="00937A33">
        <w:rPr>
          <w:rFonts w:cs="Open Sans"/>
          <w:i/>
        </w:rPr>
        <w:tab/>
      </w:r>
      <w:r w:rsidRPr="00937A33">
        <w:rPr>
          <w:rFonts w:cs="Open Sans"/>
          <w:iCs/>
        </w:rPr>
        <w:t xml:space="preserve"> … Where dormitories are used, they shall be occupied by prisoners carefully selected as being suitable to associate with one another in those conditions. There shall be regular supervision by night, in keeping with the nature of the prison.</w:t>
      </w:r>
    </w:p>
    <w:p w14:paraId="5D5C7D83" w14:textId="77777777" w:rsidR="00201C9D" w:rsidRPr="00937A33" w:rsidRDefault="00201C9D" w:rsidP="00201C9D">
      <w:pPr>
        <w:keepNext/>
        <w:ind w:left="2552" w:hanging="1134"/>
        <w:rPr>
          <w:rFonts w:cs="Open Sans"/>
          <w:iCs/>
        </w:rPr>
      </w:pPr>
      <w:r w:rsidRPr="00937A33">
        <w:rPr>
          <w:rFonts w:cs="Open Sans"/>
          <w:i/>
        </w:rPr>
        <w:t>Rule 36:</w:t>
      </w:r>
      <w:r w:rsidRPr="00937A33">
        <w:rPr>
          <w:rFonts w:cs="Open Sans"/>
          <w:iCs/>
        </w:rPr>
        <w:t xml:space="preserve"> </w:t>
      </w:r>
      <w:r w:rsidRPr="00937A33">
        <w:rPr>
          <w:rFonts w:cs="Open Sans"/>
          <w:iCs/>
        </w:rPr>
        <w:tab/>
        <w:t>Discipline and order shall be maintained with no more restriction than is necessary to ensure safe custody, the secure operation of the prison and a well ordered community life.</w:t>
      </w:r>
    </w:p>
    <w:p w14:paraId="4047F091" w14:textId="77777777" w:rsidR="00201C9D" w:rsidRPr="00937A33" w:rsidRDefault="00201C9D" w:rsidP="000F7824">
      <w:pPr>
        <w:numPr>
          <w:ilvl w:val="0"/>
          <w:numId w:val="27"/>
        </w:numPr>
        <w:tabs>
          <w:tab w:val="num" w:pos="960"/>
        </w:tabs>
        <w:spacing w:after="160"/>
        <w:ind w:hanging="720"/>
        <w:rPr>
          <w:rFonts w:cs="Open Sans"/>
        </w:rPr>
      </w:pPr>
      <w:r w:rsidRPr="00937A33">
        <w:rPr>
          <w:rFonts w:cs="Open Sans"/>
        </w:rPr>
        <w:t>The above jurisprudence supports the conclusions that:</w:t>
      </w:r>
    </w:p>
    <w:p w14:paraId="22E4CCAF" w14:textId="77777777" w:rsidR="00201C9D" w:rsidRPr="00937A33" w:rsidRDefault="00201C9D" w:rsidP="000F7824">
      <w:pPr>
        <w:numPr>
          <w:ilvl w:val="1"/>
          <w:numId w:val="25"/>
        </w:numPr>
        <w:rPr>
          <w:rFonts w:cs="Open Sans"/>
        </w:rPr>
      </w:pPr>
      <w:r w:rsidRPr="00937A33">
        <w:rPr>
          <w:rFonts w:cs="Open Sans"/>
        </w:rPr>
        <w:t>article 10(1) imposes a positive</w:t>
      </w:r>
      <w:r w:rsidRPr="00937A33">
        <w:rPr>
          <w:rFonts w:cs="Open Sans"/>
          <w:i/>
          <w:iCs/>
        </w:rPr>
        <w:t xml:space="preserve"> </w:t>
      </w:r>
      <w:r w:rsidRPr="00937A33">
        <w:rPr>
          <w:rFonts w:cs="Open Sans"/>
        </w:rPr>
        <w:t>obligation on State parties to take action to ensure that detained persons are treated with humanity and dignity</w:t>
      </w:r>
    </w:p>
    <w:p w14:paraId="3E8D1F87" w14:textId="77777777" w:rsidR="00201C9D" w:rsidRPr="00937A33" w:rsidRDefault="00201C9D" w:rsidP="000F7824">
      <w:pPr>
        <w:pStyle w:val="ListParagraph"/>
        <w:numPr>
          <w:ilvl w:val="1"/>
          <w:numId w:val="25"/>
        </w:numPr>
        <w:spacing w:before="0" w:after="0"/>
        <w:contextualSpacing/>
        <w:rPr>
          <w:rFonts w:cs="Open Sans"/>
        </w:rPr>
      </w:pPr>
      <w:r w:rsidRPr="00937A33">
        <w:rPr>
          <w:rFonts w:cs="Open Sans"/>
        </w:rPr>
        <w:t>minimum standards of humane treatment must be observed in the conditions of detention</w:t>
      </w:r>
    </w:p>
    <w:p w14:paraId="46FF6299" w14:textId="77777777" w:rsidR="00201C9D" w:rsidRPr="00937A33" w:rsidRDefault="00201C9D" w:rsidP="000F7824">
      <w:pPr>
        <w:numPr>
          <w:ilvl w:val="1"/>
          <w:numId w:val="25"/>
        </w:numPr>
        <w:rPr>
          <w:rFonts w:cs="Open Sans"/>
        </w:rPr>
      </w:pPr>
      <w:r w:rsidRPr="00937A33">
        <w:rPr>
          <w:rFonts w:cs="Open Sans"/>
        </w:rPr>
        <w:t>the threshold for establishing a breach of article 10(1) is lower than the threshold for establishing ‘</w:t>
      </w:r>
      <w:r w:rsidRPr="005635D7">
        <w:rPr>
          <w:rFonts w:cs="Open Sans"/>
        </w:rPr>
        <w:t>cruel, inhuman or degrading treatment’</w:t>
      </w:r>
      <w:r w:rsidRPr="00937A33">
        <w:rPr>
          <w:rFonts w:cs="Open Sans"/>
        </w:rPr>
        <w:t xml:space="preserve"> within the meaning of article 7 of the ICCPR, which is a negative obligation to refrain from such treatment</w:t>
      </w:r>
    </w:p>
    <w:p w14:paraId="4E765847" w14:textId="77777777" w:rsidR="00201C9D" w:rsidRPr="00937A33" w:rsidRDefault="00201C9D" w:rsidP="000F7824">
      <w:pPr>
        <w:numPr>
          <w:ilvl w:val="1"/>
          <w:numId w:val="25"/>
        </w:numPr>
        <w:rPr>
          <w:rFonts w:cs="Open Sans"/>
        </w:rPr>
      </w:pPr>
      <w:r w:rsidRPr="00937A33">
        <w:rPr>
          <w:rFonts w:cs="Open Sans"/>
        </w:rPr>
        <w:t>article 10(1) may be breached if a detainee’s rights under other articles of the ICCPR are breached, unless that breach is necessitated by the deprivation of liberty</w:t>
      </w:r>
    </w:p>
    <w:p w14:paraId="2D258DAF" w14:textId="77777777" w:rsidR="00201C9D" w:rsidRPr="00937A33" w:rsidRDefault="00201C9D" w:rsidP="000F7824">
      <w:pPr>
        <w:numPr>
          <w:ilvl w:val="1"/>
          <w:numId w:val="25"/>
        </w:numPr>
        <w:rPr>
          <w:rFonts w:cs="Open Sans"/>
        </w:rPr>
      </w:pPr>
      <w:r w:rsidRPr="00937A33">
        <w:rPr>
          <w:rFonts w:cs="Open Sans"/>
        </w:rPr>
        <w:lastRenderedPageBreak/>
        <w:t>article 10(1) requires that detainees and prisoners be provided with a minimum of services to satisfy their basic needs.</w:t>
      </w:r>
    </w:p>
    <w:p w14:paraId="14B95003" w14:textId="77777777" w:rsidR="00201C9D" w:rsidRPr="00937A33" w:rsidRDefault="00201C9D" w:rsidP="000F7824">
      <w:pPr>
        <w:numPr>
          <w:ilvl w:val="0"/>
          <w:numId w:val="27"/>
        </w:numPr>
        <w:tabs>
          <w:tab w:val="num" w:pos="960"/>
        </w:tabs>
        <w:spacing w:after="160"/>
        <w:ind w:hanging="720"/>
        <w:rPr>
          <w:rFonts w:cs="Open Sans"/>
        </w:rPr>
      </w:pPr>
      <w:r w:rsidRPr="00937A33">
        <w:rPr>
          <w:rFonts w:cs="Open Sans"/>
        </w:rPr>
        <w:t>In my view, and consistent with the findings of a past Commission inquiry,</w:t>
      </w:r>
      <w:r w:rsidRPr="00937A33">
        <w:rPr>
          <w:rStyle w:val="EndnoteReference"/>
          <w:rFonts w:cs="Open Sans"/>
        </w:rPr>
        <w:endnoteReference w:id="12"/>
      </w:r>
      <w:r w:rsidRPr="00937A33">
        <w:rPr>
          <w:rFonts w:cs="Open Sans"/>
        </w:rPr>
        <w:t xml:space="preserve"> a basic need of detainees is that their safety and security whil</w:t>
      </w:r>
      <w:r>
        <w:rPr>
          <w:rFonts w:cs="Open Sans"/>
        </w:rPr>
        <w:t>e</w:t>
      </w:r>
      <w:r w:rsidRPr="00937A33">
        <w:rPr>
          <w:rFonts w:cs="Open Sans"/>
        </w:rPr>
        <w:t xml:space="preserve"> in detention is protected. Ensuring this is necessary for State </w:t>
      </w:r>
      <w:r>
        <w:rPr>
          <w:rFonts w:cs="Open Sans"/>
        </w:rPr>
        <w:t>p</w:t>
      </w:r>
      <w:r w:rsidRPr="00937A33">
        <w:rPr>
          <w:rFonts w:cs="Open Sans"/>
        </w:rPr>
        <w:t>arties to fulfil their obligation under article 10(1) to treat detainees with humanity and respect for the inherent dignity of the human person.</w:t>
      </w:r>
    </w:p>
    <w:p w14:paraId="243F49F9" w14:textId="77777777" w:rsidR="00201C9D" w:rsidRPr="00CB0846" w:rsidRDefault="00201C9D" w:rsidP="000F7824">
      <w:pPr>
        <w:pStyle w:val="Heading2"/>
        <w:numPr>
          <w:ilvl w:val="1"/>
          <w:numId w:val="28"/>
        </w:numPr>
        <w:tabs>
          <w:tab w:val="num" w:pos="720"/>
        </w:tabs>
        <w:rPr>
          <w:rFonts w:cs="Open Sans"/>
          <w:i/>
        </w:rPr>
      </w:pPr>
      <w:bookmarkStart w:id="29" w:name="_Toc73451602"/>
      <w:bookmarkStart w:id="30" w:name="_Toc123828294"/>
      <w:r w:rsidRPr="00CB0846">
        <w:rPr>
          <w:rFonts w:cs="Open Sans"/>
        </w:rPr>
        <w:t>Contractual obligations of service provider</w:t>
      </w:r>
      <w:bookmarkEnd w:id="29"/>
      <w:bookmarkEnd w:id="30"/>
    </w:p>
    <w:p w14:paraId="2B05A8DB" w14:textId="77777777" w:rsidR="00201C9D" w:rsidRPr="00937A33" w:rsidRDefault="00201C9D" w:rsidP="000F7824">
      <w:pPr>
        <w:numPr>
          <w:ilvl w:val="0"/>
          <w:numId w:val="27"/>
        </w:numPr>
        <w:tabs>
          <w:tab w:val="num" w:pos="960"/>
        </w:tabs>
        <w:spacing w:after="160"/>
        <w:ind w:hanging="720"/>
        <w:rPr>
          <w:rFonts w:cs="Open Sans"/>
        </w:rPr>
      </w:pPr>
      <w:r w:rsidRPr="00937A33">
        <w:rPr>
          <w:rFonts w:cs="Open Sans"/>
        </w:rPr>
        <w:t xml:space="preserve">The Department’s Immigration Detention Facilities and Detainee Services Contract with </w:t>
      </w:r>
      <w:r>
        <w:rPr>
          <w:rFonts w:cs="Open Sans"/>
        </w:rPr>
        <w:t xml:space="preserve">the Facility and Detainee Services Provider (FDSP), </w:t>
      </w:r>
      <w:r w:rsidRPr="00937A33">
        <w:rPr>
          <w:rFonts w:cs="Open Sans"/>
        </w:rPr>
        <w:t xml:space="preserve">Serco (Contract) in effect during Mr </w:t>
      </w:r>
      <w:proofErr w:type="spellStart"/>
      <w:r w:rsidRPr="00937A33">
        <w:rPr>
          <w:rFonts w:cs="Open Sans"/>
        </w:rPr>
        <w:t>Andrwas</w:t>
      </w:r>
      <w:proofErr w:type="spellEnd"/>
      <w:r w:rsidRPr="00937A33">
        <w:rPr>
          <w:rFonts w:cs="Open Sans"/>
        </w:rPr>
        <w:t>’ detention recognises the duty of care owed to detainees and requires that Serco complies with a Code of Conduct.</w:t>
      </w:r>
      <w:r w:rsidRPr="005635D7">
        <w:rPr>
          <w:rStyle w:val="EndnoteReference"/>
          <w:rFonts w:cs="Open Sans"/>
          <w:szCs w:val="20"/>
        </w:rPr>
        <w:endnoteReference w:id="13"/>
      </w:r>
      <w:r w:rsidRPr="00937A33">
        <w:rPr>
          <w:rFonts w:cs="Open Sans"/>
        </w:rPr>
        <w:t xml:space="preserve"> The Code of Conduct requires Serco to carry out its duties with care and diligence, maintain a safe working environment and ‘</w:t>
      </w:r>
      <w:r w:rsidRPr="005635D7">
        <w:rPr>
          <w:rFonts w:cs="Open Sans"/>
        </w:rPr>
        <w:t>be alert for Detainees who are or appear to be, traumatised and/or vulnerable to self-harm and by the actions of others, and manage and report on these’</w:t>
      </w:r>
      <w:r w:rsidRPr="00937A33">
        <w:rPr>
          <w:rFonts w:cs="Open Sans"/>
          <w:i/>
          <w:iCs/>
        </w:rPr>
        <w:t>.</w:t>
      </w:r>
      <w:r w:rsidRPr="005635D7">
        <w:rPr>
          <w:rStyle w:val="EndnoteReference"/>
          <w:rFonts w:cs="Open Sans"/>
          <w:szCs w:val="20"/>
        </w:rPr>
        <w:endnoteReference w:id="14"/>
      </w:r>
      <w:r w:rsidRPr="00937A33">
        <w:rPr>
          <w:rFonts w:cs="Open Sans"/>
        </w:rPr>
        <w:t xml:space="preserve"> </w:t>
      </w:r>
    </w:p>
    <w:p w14:paraId="132B9368" w14:textId="77777777" w:rsidR="00201C9D" w:rsidRPr="00937A33" w:rsidRDefault="00201C9D" w:rsidP="000F7824">
      <w:pPr>
        <w:numPr>
          <w:ilvl w:val="0"/>
          <w:numId w:val="27"/>
        </w:numPr>
        <w:tabs>
          <w:tab w:val="num" w:pos="960"/>
        </w:tabs>
        <w:spacing w:after="160"/>
        <w:ind w:hanging="720"/>
        <w:rPr>
          <w:rFonts w:cs="Open Sans"/>
        </w:rPr>
      </w:pPr>
      <w:r w:rsidRPr="00937A33">
        <w:rPr>
          <w:rFonts w:cs="Open Sans"/>
        </w:rPr>
        <w:t xml:space="preserve">The Contract enumerates several obligations on Serco which are relevant to ensuring the safety of detainees. Under the Contract, Serco is required to: </w:t>
      </w:r>
    </w:p>
    <w:p w14:paraId="09C2B8F4" w14:textId="77777777" w:rsidR="00201C9D" w:rsidRPr="00937A33" w:rsidRDefault="00201C9D" w:rsidP="000F7824">
      <w:pPr>
        <w:pStyle w:val="SubmissionNormal"/>
        <w:numPr>
          <w:ilvl w:val="1"/>
          <w:numId w:val="21"/>
        </w:numPr>
        <w:rPr>
          <w:rFonts w:cs="Open Sans"/>
        </w:rPr>
      </w:pPr>
      <w:r w:rsidRPr="00937A33">
        <w:rPr>
          <w:rFonts w:cs="Open Sans"/>
        </w:rPr>
        <w:t>provide and maintain a safe and secure environment for detainees,</w:t>
      </w:r>
      <w:r w:rsidRPr="00937A33">
        <w:rPr>
          <w:rStyle w:val="EndnoteReference"/>
          <w:rFonts w:cs="Open Sans"/>
        </w:rPr>
        <w:endnoteReference w:id="15"/>
      </w:r>
      <w:r w:rsidRPr="00937A33">
        <w:rPr>
          <w:rFonts w:cs="Open Sans"/>
        </w:rPr>
        <w:t xml:space="preserve"> which also supports their individual health and safety needs</w:t>
      </w:r>
      <w:r w:rsidRPr="00937A33">
        <w:rPr>
          <w:rStyle w:val="EndnoteReference"/>
          <w:rFonts w:cs="Open Sans"/>
        </w:rPr>
        <w:endnoteReference w:id="16"/>
      </w:r>
    </w:p>
    <w:p w14:paraId="0E3E16A6" w14:textId="77777777" w:rsidR="00201C9D" w:rsidRPr="00937A33" w:rsidRDefault="00201C9D" w:rsidP="000F7824">
      <w:pPr>
        <w:pStyle w:val="SubmissionNormal"/>
        <w:numPr>
          <w:ilvl w:val="1"/>
          <w:numId w:val="21"/>
        </w:numPr>
        <w:rPr>
          <w:rFonts w:cs="Open Sans"/>
        </w:rPr>
      </w:pPr>
      <w:r w:rsidRPr="00937A33">
        <w:rPr>
          <w:rFonts w:cs="Open Sans"/>
        </w:rPr>
        <w:t>in exercising its responsibility to allocate accommodation:</w:t>
      </w:r>
    </w:p>
    <w:p w14:paraId="7EF7A602" w14:textId="77777777" w:rsidR="00201C9D" w:rsidRPr="00937A33" w:rsidRDefault="00201C9D" w:rsidP="000F7824">
      <w:pPr>
        <w:numPr>
          <w:ilvl w:val="2"/>
          <w:numId w:val="22"/>
        </w:numPr>
        <w:tabs>
          <w:tab w:val="num" w:pos="1701"/>
        </w:tabs>
        <w:ind w:left="1701" w:hanging="283"/>
        <w:rPr>
          <w:rFonts w:cs="Open Sans"/>
        </w:rPr>
      </w:pPr>
      <w:r w:rsidRPr="00937A33">
        <w:rPr>
          <w:rFonts w:cs="Open Sans"/>
        </w:rPr>
        <w:t>take into consideration the individual welfare, cultural, family and security related needs and circumstances of the detainee and requests of the detainee</w:t>
      </w:r>
      <w:r w:rsidRPr="005635D7">
        <w:rPr>
          <w:rFonts w:cs="Open Sans"/>
          <w:vertAlign w:val="superscript"/>
        </w:rPr>
        <w:endnoteReference w:id="17"/>
      </w:r>
    </w:p>
    <w:p w14:paraId="7DA89468" w14:textId="77777777" w:rsidR="00201C9D" w:rsidRPr="00937A33" w:rsidRDefault="00201C9D" w:rsidP="000F7824">
      <w:pPr>
        <w:numPr>
          <w:ilvl w:val="2"/>
          <w:numId w:val="22"/>
        </w:numPr>
        <w:tabs>
          <w:tab w:val="num" w:pos="1701"/>
        </w:tabs>
        <w:ind w:left="1701" w:hanging="283"/>
        <w:rPr>
          <w:rFonts w:cs="Open Sans"/>
        </w:rPr>
      </w:pPr>
      <w:r w:rsidRPr="00937A33">
        <w:rPr>
          <w:rFonts w:cs="Open Sans"/>
        </w:rPr>
        <w:t>participate in reviews and notify the Department where it believes that an existing placement is inappropriate for a detainee, including where it believes the Detainee should be moved within the existing Facility or should be transferred to another Facility</w:t>
      </w:r>
      <w:r w:rsidRPr="005635D7">
        <w:rPr>
          <w:rFonts w:cs="Open Sans"/>
          <w:vertAlign w:val="superscript"/>
        </w:rPr>
        <w:endnoteReference w:id="18"/>
      </w:r>
      <w:r w:rsidRPr="005635D7">
        <w:rPr>
          <w:rFonts w:cs="Open Sans"/>
          <w:vertAlign w:val="superscript"/>
        </w:rPr>
        <w:t xml:space="preserve"> </w:t>
      </w:r>
    </w:p>
    <w:p w14:paraId="47525962" w14:textId="77777777" w:rsidR="00201C9D" w:rsidRPr="00937A33" w:rsidRDefault="00201C9D" w:rsidP="000F7824">
      <w:pPr>
        <w:pStyle w:val="SubmissionNormal"/>
        <w:numPr>
          <w:ilvl w:val="1"/>
          <w:numId w:val="21"/>
        </w:numPr>
        <w:rPr>
          <w:rFonts w:cs="Open Sans"/>
        </w:rPr>
      </w:pPr>
      <w:r w:rsidRPr="00937A33">
        <w:rPr>
          <w:rFonts w:cs="Open Sans"/>
        </w:rPr>
        <w:t>‘</w:t>
      </w:r>
      <w:r w:rsidRPr="005635D7">
        <w:rPr>
          <w:rFonts w:cs="Open Sans"/>
        </w:rPr>
        <w:t>immediately report to the Department any concerns that it may have regarding a Detainee’s safety and security’</w:t>
      </w:r>
      <w:r w:rsidRPr="00937A33">
        <w:rPr>
          <w:rStyle w:val="EndnoteReference"/>
          <w:rFonts w:cs="Open Sans"/>
        </w:rPr>
        <w:endnoteReference w:id="19"/>
      </w:r>
    </w:p>
    <w:p w14:paraId="3D3BEB54" w14:textId="77777777" w:rsidR="00201C9D" w:rsidRPr="00937A33" w:rsidRDefault="00201C9D" w:rsidP="000F7824">
      <w:pPr>
        <w:pStyle w:val="SubmissionNormal"/>
        <w:numPr>
          <w:ilvl w:val="1"/>
          <w:numId w:val="21"/>
        </w:numPr>
        <w:rPr>
          <w:rFonts w:cs="Open Sans"/>
        </w:rPr>
      </w:pPr>
      <w:r w:rsidRPr="00937A33">
        <w:rPr>
          <w:rFonts w:cs="Open Sans"/>
        </w:rPr>
        <w:t>establish processes to:</w:t>
      </w:r>
    </w:p>
    <w:p w14:paraId="3EBFD07B" w14:textId="77777777" w:rsidR="00201C9D" w:rsidRPr="00937A33" w:rsidRDefault="00201C9D" w:rsidP="000F7824">
      <w:pPr>
        <w:numPr>
          <w:ilvl w:val="2"/>
          <w:numId w:val="22"/>
        </w:numPr>
        <w:tabs>
          <w:tab w:val="num" w:pos="1701"/>
        </w:tabs>
        <w:ind w:left="1701" w:hanging="283"/>
        <w:rPr>
          <w:rFonts w:cs="Open Sans"/>
        </w:rPr>
      </w:pPr>
      <w:r w:rsidRPr="00937A33">
        <w:rPr>
          <w:rFonts w:cs="Open Sans"/>
        </w:rPr>
        <w:lastRenderedPageBreak/>
        <w:t>promote the welfare of Detainees and create a safe and secure environment at each Facility</w:t>
      </w:r>
      <w:r w:rsidRPr="005635D7">
        <w:rPr>
          <w:rFonts w:cs="Open Sans"/>
          <w:vertAlign w:val="superscript"/>
        </w:rPr>
        <w:endnoteReference w:id="20"/>
      </w:r>
    </w:p>
    <w:p w14:paraId="5FADC5CA" w14:textId="77777777" w:rsidR="00201C9D" w:rsidRPr="00937A33" w:rsidRDefault="00201C9D" w:rsidP="000F7824">
      <w:pPr>
        <w:numPr>
          <w:ilvl w:val="2"/>
          <w:numId w:val="22"/>
        </w:numPr>
        <w:tabs>
          <w:tab w:val="num" w:pos="1701"/>
        </w:tabs>
        <w:ind w:left="1701" w:hanging="283"/>
        <w:rPr>
          <w:rFonts w:cs="Open Sans"/>
        </w:rPr>
      </w:pPr>
      <w:r w:rsidRPr="00937A33">
        <w:rPr>
          <w:rFonts w:cs="Open Sans"/>
        </w:rPr>
        <w:t>prevent detainees being subjected to illegal, anti-social or disruptive behaviour by detecting and managing those behaviours in other detainees</w:t>
      </w:r>
      <w:r w:rsidRPr="005635D7">
        <w:rPr>
          <w:rFonts w:cs="Open Sans"/>
          <w:vertAlign w:val="superscript"/>
        </w:rPr>
        <w:endnoteReference w:id="21"/>
      </w:r>
    </w:p>
    <w:p w14:paraId="2889BEAF" w14:textId="77777777" w:rsidR="00201C9D" w:rsidRPr="00937A33" w:rsidRDefault="00201C9D" w:rsidP="000F7824">
      <w:pPr>
        <w:numPr>
          <w:ilvl w:val="2"/>
          <w:numId w:val="22"/>
        </w:numPr>
        <w:tabs>
          <w:tab w:val="num" w:pos="1701"/>
        </w:tabs>
        <w:ind w:left="1701" w:hanging="283"/>
        <w:rPr>
          <w:rFonts w:cs="Open Sans"/>
        </w:rPr>
      </w:pPr>
      <w:r w:rsidRPr="00937A33">
        <w:rPr>
          <w:rFonts w:cs="Open Sans"/>
        </w:rPr>
        <w:t>manage and defuse tensions and conflicts before they become serious or violent</w:t>
      </w:r>
      <w:r w:rsidRPr="005635D7">
        <w:rPr>
          <w:rFonts w:cs="Open Sans"/>
          <w:vertAlign w:val="superscript"/>
        </w:rPr>
        <w:endnoteReference w:id="22"/>
      </w:r>
    </w:p>
    <w:p w14:paraId="4765136B" w14:textId="77777777" w:rsidR="00201C9D" w:rsidRPr="00937A33" w:rsidRDefault="00201C9D" w:rsidP="000F7824">
      <w:pPr>
        <w:numPr>
          <w:ilvl w:val="2"/>
          <w:numId w:val="22"/>
        </w:numPr>
        <w:tabs>
          <w:tab w:val="num" w:pos="1701"/>
        </w:tabs>
        <w:ind w:left="1701" w:hanging="283"/>
        <w:rPr>
          <w:rFonts w:cs="Open Sans"/>
        </w:rPr>
      </w:pPr>
      <w:r w:rsidRPr="00937A33">
        <w:rPr>
          <w:rFonts w:cs="Open Sans"/>
        </w:rPr>
        <w:t>identify if a detainee is emotionally distressed or at risk of self-harm or harm to others, ensuring the system accounts for advice from the Detention Health Services Provider and includes risk identification and mitigation strategies</w:t>
      </w:r>
      <w:r w:rsidRPr="005635D7">
        <w:rPr>
          <w:rFonts w:cs="Open Sans"/>
          <w:vertAlign w:val="superscript"/>
        </w:rPr>
        <w:endnoteReference w:id="23"/>
      </w:r>
    </w:p>
    <w:p w14:paraId="0BA6D387" w14:textId="77777777" w:rsidR="00201C9D" w:rsidRPr="00937A33" w:rsidRDefault="00201C9D" w:rsidP="000F7824">
      <w:pPr>
        <w:pStyle w:val="SubmissionNormal"/>
        <w:numPr>
          <w:ilvl w:val="1"/>
          <w:numId w:val="21"/>
        </w:numPr>
        <w:rPr>
          <w:rFonts w:cs="Open Sans"/>
        </w:rPr>
      </w:pPr>
      <w:r w:rsidRPr="00937A33">
        <w:rPr>
          <w:rFonts w:cs="Open Sans"/>
        </w:rPr>
        <w:t xml:space="preserve">in responding to incidents, </w:t>
      </w:r>
    </w:p>
    <w:p w14:paraId="1A0DABDA" w14:textId="77777777" w:rsidR="00201C9D" w:rsidRPr="00937A33" w:rsidRDefault="00201C9D" w:rsidP="000F7824">
      <w:pPr>
        <w:numPr>
          <w:ilvl w:val="2"/>
          <w:numId w:val="22"/>
        </w:numPr>
        <w:tabs>
          <w:tab w:val="num" w:pos="1701"/>
        </w:tabs>
        <w:ind w:left="1701" w:hanging="283"/>
        <w:rPr>
          <w:rFonts w:cs="Open Sans"/>
        </w:rPr>
      </w:pPr>
      <w:r w:rsidRPr="00937A33">
        <w:rPr>
          <w:rFonts w:cs="Open Sans"/>
        </w:rPr>
        <w:t>ensure the safety and welfare of detainees and others at the facility</w:t>
      </w:r>
      <w:r w:rsidRPr="005635D7">
        <w:rPr>
          <w:rFonts w:cs="Open Sans"/>
          <w:vertAlign w:val="superscript"/>
        </w:rPr>
        <w:endnoteReference w:id="24"/>
      </w:r>
    </w:p>
    <w:p w14:paraId="19867A74" w14:textId="77777777" w:rsidR="00201C9D" w:rsidRPr="00937A33" w:rsidRDefault="00201C9D" w:rsidP="000F7824">
      <w:pPr>
        <w:numPr>
          <w:ilvl w:val="2"/>
          <w:numId w:val="22"/>
        </w:numPr>
        <w:tabs>
          <w:tab w:val="num" w:pos="1701"/>
        </w:tabs>
        <w:ind w:left="1701" w:hanging="283"/>
        <w:rPr>
          <w:rFonts w:cs="Open Sans"/>
        </w:rPr>
      </w:pPr>
      <w:r w:rsidRPr="00937A33">
        <w:rPr>
          <w:rFonts w:cs="Open Sans"/>
        </w:rPr>
        <w:t>‘</w:t>
      </w:r>
      <w:r w:rsidRPr="005635D7">
        <w:rPr>
          <w:rFonts w:cs="Open Sans"/>
        </w:rPr>
        <w:t>immediately inform the Department of any Incidents it believes may have a significant adverse impact on the welfare of any person, or the security and safety of the Facility’</w:t>
      </w:r>
      <w:r w:rsidRPr="005635D7">
        <w:rPr>
          <w:rFonts w:cs="Open Sans"/>
          <w:vertAlign w:val="superscript"/>
        </w:rPr>
        <w:endnoteReference w:id="25"/>
      </w:r>
    </w:p>
    <w:p w14:paraId="571466B7" w14:textId="77777777" w:rsidR="00201C9D" w:rsidRPr="00937A33" w:rsidRDefault="00201C9D" w:rsidP="000F7824">
      <w:pPr>
        <w:pStyle w:val="SubmissionNormal"/>
        <w:numPr>
          <w:ilvl w:val="1"/>
          <w:numId w:val="21"/>
        </w:numPr>
        <w:rPr>
          <w:rFonts w:cs="Open Sans"/>
        </w:rPr>
      </w:pPr>
      <w:r w:rsidRPr="00937A33">
        <w:rPr>
          <w:rFonts w:cs="Open Sans"/>
        </w:rPr>
        <w:t>upon identification or suspicion of a detainee having engaged in behaviour that is illegal, breaches detainee rights or is anti-social, including bullying, harassment, and assault, immediately notify the Department with recommendations for dealing with the perpetrator and preventing any recurrence</w:t>
      </w:r>
      <w:r w:rsidRPr="00937A33">
        <w:rPr>
          <w:rStyle w:val="EndnoteReference"/>
          <w:rFonts w:cs="Open Sans"/>
        </w:rPr>
        <w:endnoteReference w:id="26"/>
      </w:r>
      <w:r w:rsidRPr="00937A33">
        <w:rPr>
          <w:rFonts w:cs="Open Sans"/>
        </w:rPr>
        <w:t xml:space="preserve"> </w:t>
      </w:r>
    </w:p>
    <w:p w14:paraId="44B56B9F" w14:textId="77777777" w:rsidR="00201C9D" w:rsidRPr="00937A33" w:rsidRDefault="00201C9D" w:rsidP="000F7824">
      <w:pPr>
        <w:pStyle w:val="SubmissionNormal"/>
        <w:numPr>
          <w:ilvl w:val="1"/>
          <w:numId w:val="21"/>
        </w:numPr>
        <w:rPr>
          <w:rFonts w:cs="Open Sans"/>
        </w:rPr>
      </w:pPr>
      <w:r w:rsidRPr="00937A33">
        <w:rPr>
          <w:rFonts w:cs="Open Sans"/>
        </w:rPr>
        <w:t>‘</w:t>
      </w:r>
      <w:r w:rsidRPr="005635D7">
        <w:rPr>
          <w:rFonts w:cs="Open Sans"/>
        </w:rPr>
        <w:t>ensure that Detainees identified as victims of anti-social behaviour are supported by Service Provider Personnel’</w:t>
      </w:r>
      <w:r w:rsidRPr="00937A33">
        <w:rPr>
          <w:rFonts w:cs="Open Sans"/>
          <w:i/>
          <w:iCs/>
        </w:rPr>
        <w:t>.</w:t>
      </w:r>
      <w:r w:rsidRPr="00937A33">
        <w:rPr>
          <w:rStyle w:val="EndnoteReference"/>
          <w:rFonts w:cs="Open Sans"/>
        </w:rPr>
        <w:endnoteReference w:id="27"/>
      </w:r>
    </w:p>
    <w:p w14:paraId="7EEE973D" w14:textId="77777777" w:rsidR="00201C9D" w:rsidRPr="00CB0846" w:rsidRDefault="00201C9D" w:rsidP="000F7824">
      <w:pPr>
        <w:pStyle w:val="Heading2"/>
        <w:numPr>
          <w:ilvl w:val="1"/>
          <w:numId w:val="28"/>
        </w:numPr>
        <w:tabs>
          <w:tab w:val="num" w:pos="720"/>
        </w:tabs>
        <w:rPr>
          <w:rFonts w:cs="Open Sans"/>
          <w:i/>
        </w:rPr>
      </w:pPr>
      <w:bookmarkStart w:id="31" w:name="_Toc123828295"/>
      <w:r w:rsidRPr="00CB0846">
        <w:rPr>
          <w:rFonts w:cs="Open Sans"/>
        </w:rPr>
        <w:t>Departmental policies</w:t>
      </w:r>
      <w:r>
        <w:rPr>
          <w:rFonts w:cs="Open Sans"/>
          <w:iCs/>
        </w:rPr>
        <w:t xml:space="preserve"> and processes</w:t>
      </w:r>
      <w:bookmarkEnd w:id="31"/>
    </w:p>
    <w:p w14:paraId="222CEF41" w14:textId="77777777" w:rsidR="00201C9D" w:rsidRPr="00937A33" w:rsidRDefault="00201C9D" w:rsidP="000F7824">
      <w:pPr>
        <w:numPr>
          <w:ilvl w:val="0"/>
          <w:numId w:val="27"/>
        </w:numPr>
        <w:tabs>
          <w:tab w:val="num" w:pos="960"/>
        </w:tabs>
        <w:spacing w:after="160"/>
        <w:ind w:hanging="720"/>
        <w:rPr>
          <w:rFonts w:cs="Open Sans"/>
        </w:rPr>
      </w:pPr>
      <w:r w:rsidRPr="00937A33">
        <w:rPr>
          <w:rFonts w:cs="Open Sans"/>
        </w:rPr>
        <w:t xml:space="preserve">In September 2016, the Department issued a revised suite of detention standard operating procedures, including in relation to incident management in immigration detention facilities and the management of detainee behaviour. These procedures were in effect at the time of the </w:t>
      </w:r>
      <w:r>
        <w:rPr>
          <w:rFonts w:cs="Open Sans"/>
        </w:rPr>
        <w:t xml:space="preserve">three alleged </w:t>
      </w:r>
      <w:r w:rsidRPr="00937A33">
        <w:rPr>
          <w:rFonts w:cs="Open Sans"/>
        </w:rPr>
        <w:t xml:space="preserve">assaults on Mr </w:t>
      </w:r>
      <w:proofErr w:type="spellStart"/>
      <w:r w:rsidRPr="00937A33">
        <w:rPr>
          <w:rFonts w:cs="Open Sans"/>
        </w:rPr>
        <w:t>Andrwas</w:t>
      </w:r>
      <w:proofErr w:type="spellEnd"/>
      <w:r w:rsidRPr="00937A33">
        <w:rPr>
          <w:rFonts w:cs="Open Sans"/>
        </w:rPr>
        <w:t>.</w:t>
      </w:r>
    </w:p>
    <w:p w14:paraId="30E36043" w14:textId="77777777" w:rsidR="00201C9D" w:rsidRPr="00937A33" w:rsidRDefault="00201C9D" w:rsidP="000F7824">
      <w:pPr>
        <w:numPr>
          <w:ilvl w:val="0"/>
          <w:numId w:val="27"/>
        </w:numPr>
        <w:tabs>
          <w:tab w:val="num" w:pos="960"/>
        </w:tabs>
        <w:spacing w:after="160"/>
        <w:ind w:hanging="720"/>
        <w:rPr>
          <w:rFonts w:cs="Open Sans"/>
        </w:rPr>
      </w:pPr>
      <w:r w:rsidRPr="00937A33">
        <w:rPr>
          <w:rFonts w:cs="Open Sans"/>
        </w:rPr>
        <w:t>The ‘Incident Response and Management: Detention Standard Operating Procedure’ issued on 2 September 2016 (SOP) sets out the actions required to manage an incident within an Immigration Detention Facility, including:</w:t>
      </w:r>
    </w:p>
    <w:p w14:paraId="1DF0C767" w14:textId="77777777" w:rsidR="00201C9D" w:rsidRPr="00937A33" w:rsidRDefault="00201C9D" w:rsidP="000F7824">
      <w:pPr>
        <w:pStyle w:val="SubmissionNormal"/>
        <w:numPr>
          <w:ilvl w:val="0"/>
          <w:numId w:val="23"/>
        </w:numPr>
        <w:tabs>
          <w:tab w:val="left" w:pos="720"/>
        </w:tabs>
        <w:rPr>
          <w:rFonts w:cs="Open Sans"/>
          <w:spacing w:val="-5"/>
          <w:sz w:val="22"/>
          <w:szCs w:val="22"/>
        </w:rPr>
      </w:pPr>
      <w:r w:rsidRPr="00937A33">
        <w:rPr>
          <w:rFonts w:cs="Open Sans"/>
          <w:spacing w:val="-5"/>
          <w:sz w:val="22"/>
          <w:szCs w:val="22"/>
        </w:rPr>
        <w:lastRenderedPageBreak/>
        <w:t xml:space="preserve">responding to incidents — including minor incidents, major incidents and critical incidents </w:t>
      </w:r>
    </w:p>
    <w:p w14:paraId="391E84D3" w14:textId="77777777" w:rsidR="00201C9D" w:rsidRPr="00937A33" w:rsidRDefault="00201C9D" w:rsidP="000F7824">
      <w:pPr>
        <w:pStyle w:val="SubmissionNormal"/>
        <w:numPr>
          <w:ilvl w:val="0"/>
          <w:numId w:val="23"/>
        </w:numPr>
        <w:tabs>
          <w:tab w:val="left" w:pos="720"/>
        </w:tabs>
        <w:rPr>
          <w:rFonts w:cs="Open Sans"/>
          <w:spacing w:val="-5"/>
          <w:sz w:val="22"/>
          <w:szCs w:val="22"/>
        </w:rPr>
      </w:pPr>
      <w:r w:rsidRPr="00937A33">
        <w:rPr>
          <w:rFonts w:cs="Open Sans"/>
          <w:spacing w:val="-5"/>
          <w:sz w:val="22"/>
          <w:szCs w:val="22"/>
        </w:rPr>
        <w:t xml:space="preserve">reporting on incidents </w:t>
      </w:r>
    </w:p>
    <w:p w14:paraId="62DA544A" w14:textId="77777777" w:rsidR="00201C9D" w:rsidRPr="00937A33" w:rsidRDefault="00201C9D" w:rsidP="000F7824">
      <w:pPr>
        <w:pStyle w:val="SubmissionNormal"/>
        <w:numPr>
          <w:ilvl w:val="0"/>
          <w:numId w:val="23"/>
        </w:numPr>
        <w:tabs>
          <w:tab w:val="left" w:pos="720"/>
        </w:tabs>
        <w:rPr>
          <w:rFonts w:cs="Open Sans"/>
          <w:spacing w:val="-5"/>
          <w:sz w:val="22"/>
          <w:szCs w:val="22"/>
        </w:rPr>
      </w:pPr>
      <w:r w:rsidRPr="00937A33">
        <w:rPr>
          <w:rFonts w:cs="Open Sans"/>
          <w:spacing w:val="-5"/>
          <w:sz w:val="22"/>
          <w:szCs w:val="22"/>
        </w:rPr>
        <w:t xml:space="preserve">deploying emergency response teams </w:t>
      </w:r>
    </w:p>
    <w:p w14:paraId="6CE07937" w14:textId="77777777" w:rsidR="00201C9D" w:rsidRPr="00937A33" w:rsidRDefault="00201C9D" w:rsidP="000F7824">
      <w:pPr>
        <w:pStyle w:val="SubmissionNormal"/>
        <w:numPr>
          <w:ilvl w:val="0"/>
          <w:numId w:val="23"/>
        </w:numPr>
        <w:tabs>
          <w:tab w:val="left" w:pos="720"/>
        </w:tabs>
        <w:rPr>
          <w:rFonts w:cs="Open Sans"/>
          <w:spacing w:val="-5"/>
          <w:sz w:val="22"/>
          <w:szCs w:val="22"/>
        </w:rPr>
      </w:pPr>
      <w:r w:rsidRPr="00937A33">
        <w:rPr>
          <w:rFonts w:cs="Open Sans"/>
          <w:spacing w:val="-5"/>
          <w:sz w:val="22"/>
          <w:szCs w:val="22"/>
        </w:rPr>
        <w:t xml:space="preserve">engaging with law enforcement agencies </w:t>
      </w:r>
    </w:p>
    <w:p w14:paraId="7A97271E" w14:textId="77777777" w:rsidR="00201C9D" w:rsidRPr="00937A33" w:rsidRDefault="00201C9D" w:rsidP="000F7824">
      <w:pPr>
        <w:pStyle w:val="SubmissionNormal"/>
        <w:numPr>
          <w:ilvl w:val="0"/>
          <w:numId w:val="23"/>
        </w:numPr>
        <w:tabs>
          <w:tab w:val="left" w:pos="720"/>
        </w:tabs>
        <w:rPr>
          <w:rFonts w:cs="Open Sans"/>
          <w:spacing w:val="-5"/>
          <w:sz w:val="22"/>
          <w:szCs w:val="22"/>
        </w:rPr>
      </w:pPr>
      <w:r w:rsidRPr="00937A33">
        <w:rPr>
          <w:rFonts w:cs="Open Sans"/>
          <w:spacing w:val="-5"/>
          <w:sz w:val="22"/>
          <w:szCs w:val="22"/>
        </w:rPr>
        <w:t xml:space="preserve">post incident review and reporting. </w:t>
      </w:r>
    </w:p>
    <w:p w14:paraId="13C498B8" w14:textId="77777777" w:rsidR="00201C9D" w:rsidRPr="00937A33" w:rsidRDefault="00201C9D" w:rsidP="000F7824">
      <w:pPr>
        <w:numPr>
          <w:ilvl w:val="0"/>
          <w:numId w:val="27"/>
        </w:numPr>
        <w:tabs>
          <w:tab w:val="num" w:pos="960"/>
        </w:tabs>
        <w:spacing w:after="160"/>
        <w:ind w:hanging="720"/>
        <w:rPr>
          <w:rFonts w:cs="Open Sans"/>
        </w:rPr>
      </w:pPr>
      <w:r w:rsidRPr="00937A33">
        <w:rPr>
          <w:rFonts w:cs="Open Sans"/>
        </w:rPr>
        <w:t>The SOP states that the Department is committed to ‘</w:t>
      </w:r>
      <w:r w:rsidRPr="005635D7">
        <w:rPr>
          <w:rFonts w:cs="Open Sans"/>
        </w:rPr>
        <w:t>providing a safe environment for staff, detainees and visitors</w:t>
      </w:r>
      <w:r w:rsidRPr="00937A33">
        <w:rPr>
          <w:rFonts w:cs="Open Sans"/>
        </w:rPr>
        <w:t>’ and identifies the first management priority of staff to be ‘</w:t>
      </w:r>
      <w:r w:rsidRPr="005635D7">
        <w:rPr>
          <w:rFonts w:cs="Open Sans"/>
        </w:rPr>
        <w:t>the safety of all persons in the facility</w:t>
      </w:r>
      <w:r w:rsidRPr="00937A33">
        <w:rPr>
          <w:rFonts w:cs="Open Sans"/>
        </w:rPr>
        <w:t>’.</w:t>
      </w:r>
      <w:r w:rsidRPr="005635D7">
        <w:rPr>
          <w:rStyle w:val="EndnoteReference"/>
          <w:rFonts w:cs="Open Sans"/>
          <w:szCs w:val="20"/>
        </w:rPr>
        <w:endnoteReference w:id="28"/>
      </w:r>
      <w:r w:rsidRPr="00937A33">
        <w:rPr>
          <w:rFonts w:cs="Open Sans"/>
        </w:rPr>
        <w:t xml:space="preserve"> </w:t>
      </w:r>
    </w:p>
    <w:p w14:paraId="78239731" w14:textId="77777777" w:rsidR="00201C9D" w:rsidRPr="00937A33" w:rsidRDefault="00201C9D" w:rsidP="000F7824">
      <w:pPr>
        <w:numPr>
          <w:ilvl w:val="0"/>
          <w:numId w:val="27"/>
        </w:numPr>
        <w:tabs>
          <w:tab w:val="num" w:pos="960"/>
        </w:tabs>
        <w:spacing w:after="160"/>
        <w:ind w:hanging="720"/>
        <w:rPr>
          <w:rFonts w:cs="Open Sans"/>
        </w:rPr>
      </w:pPr>
      <w:r w:rsidRPr="00937A33">
        <w:rPr>
          <w:rFonts w:cs="Open Sans"/>
        </w:rPr>
        <w:t>With the exception of the actions listed for an ongoing incident, the SOP does not appear to address the Department’s and Serco’s obligation to ensure the safety of detainees. In the event of an ongoing incident, the SOP requires staff to consider ‘</w:t>
      </w:r>
      <w:r w:rsidRPr="005635D7">
        <w:rPr>
          <w:rFonts w:cs="Open Sans"/>
        </w:rPr>
        <w:t>the general welfare and safety of detainees and need for containment throughout the facility’</w:t>
      </w:r>
      <w:r w:rsidRPr="00937A33">
        <w:rPr>
          <w:rFonts w:cs="Open Sans"/>
        </w:rPr>
        <w:t>.</w:t>
      </w:r>
      <w:r w:rsidRPr="005635D7">
        <w:rPr>
          <w:rStyle w:val="EndnoteReference"/>
          <w:rFonts w:cs="Open Sans"/>
          <w:szCs w:val="20"/>
        </w:rPr>
        <w:endnoteReference w:id="29"/>
      </w:r>
    </w:p>
    <w:p w14:paraId="086C3687" w14:textId="77777777" w:rsidR="00201C9D" w:rsidRPr="00937A33" w:rsidRDefault="00201C9D" w:rsidP="000F7824">
      <w:pPr>
        <w:numPr>
          <w:ilvl w:val="0"/>
          <w:numId w:val="27"/>
        </w:numPr>
        <w:tabs>
          <w:tab w:val="num" w:pos="960"/>
        </w:tabs>
        <w:spacing w:after="160"/>
        <w:ind w:hanging="720"/>
        <w:rPr>
          <w:rFonts w:cs="Open Sans"/>
        </w:rPr>
      </w:pPr>
      <w:r w:rsidRPr="00937A33">
        <w:rPr>
          <w:rFonts w:cs="Open Sans"/>
        </w:rPr>
        <w:t>Notably, the procedures in the SOP for the resumption of routine operations after the resolution of an incident includes ‘</w:t>
      </w:r>
      <w:r w:rsidRPr="005635D7">
        <w:rPr>
          <w:rFonts w:cs="Open Sans"/>
        </w:rPr>
        <w:t>resolution of detainee needs</w:t>
      </w:r>
      <w:r w:rsidRPr="00937A33">
        <w:rPr>
          <w:rFonts w:cs="Open Sans"/>
        </w:rPr>
        <w:t>’ and lists ‘[a]</w:t>
      </w:r>
      <w:proofErr w:type="spellStart"/>
      <w:r w:rsidRPr="005635D7">
        <w:rPr>
          <w:rFonts w:cs="Open Sans"/>
        </w:rPr>
        <w:t>rrange</w:t>
      </w:r>
      <w:proofErr w:type="spellEnd"/>
      <w:r w:rsidRPr="005635D7">
        <w:rPr>
          <w:rFonts w:cs="Open Sans"/>
        </w:rPr>
        <w:t xml:space="preserve"> for the transfer of detainees to or from alternate accommodation if required</w:t>
      </w:r>
      <w:r w:rsidRPr="00937A33">
        <w:rPr>
          <w:rFonts w:cs="Open Sans"/>
        </w:rPr>
        <w:t>’ as an action immediately on resolution of an incident.</w:t>
      </w:r>
      <w:r w:rsidRPr="005635D7">
        <w:rPr>
          <w:rStyle w:val="EndnoteReference"/>
          <w:rFonts w:cs="Open Sans"/>
          <w:szCs w:val="20"/>
        </w:rPr>
        <w:endnoteReference w:id="30"/>
      </w:r>
      <w:r w:rsidRPr="00937A33">
        <w:rPr>
          <w:rFonts w:cs="Open Sans"/>
        </w:rPr>
        <w:t xml:space="preserve"> </w:t>
      </w:r>
    </w:p>
    <w:p w14:paraId="3A74991B" w14:textId="77777777" w:rsidR="00201C9D" w:rsidRPr="000D38FD" w:rsidRDefault="00201C9D" w:rsidP="00201C9D">
      <w:pPr>
        <w:ind w:left="720"/>
        <w:rPr>
          <w:rFonts w:cs="Open Sans"/>
          <w:b/>
          <w:bCs/>
        </w:rPr>
      </w:pPr>
      <w:r w:rsidRPr="000D38FD">
        <w:rPr>
          <w:rFonts w:cs="Open Sans"/>
          <w:b/>
          <w:bCs/>
        </w:rPr>
        <w:t>Risk assessment processes</w:t>
      </w:r>
    </w:p>
    <w:p w14:paraId="26228643" w14:textId="77777777" w:rsidR="00201C9D" w:rsidRDefault="00201C9D" w:rsidP="000F7824">
      <w:pPr>
        <w:numPr>
          <w:ilvl w:val="0"/>
          <w:numId w:val="27"/>
        </w:numPr>
        <w:tabs>
          <w:tab w:val="num" w:pos="960"/>
        </w:tabs>
        <w:spacing w:after="160"/>
        <w:ind w:hanging="720"/>
        <w:rPr>
          <w:rFonts w:cs="Open Sans"/>
        </w:rPr>
      </w:pPr>
      <w:bookmarkStart w:id="32" w:name="_Ref113873913"/>
      <w:r>
        <w:rPr>
          <w:rFonts w:cs="Open Sans"/>
        </w:rPr>
        <w:t>The Department considers that the following risk assessment processes are in place to monitor the appropriate placement of detainees:</w:t>
      </w:r>
      <w:bookmarkEnd w:id="32"/>
    </w:p>
    <w:p w14:paraId="15858FEF" w14:textId="77777777" w:rsidR="00201C9D" w:rsidRPr="00B054B4" w:rsidRDefault="00201C9D" w:rsidP="000F7824">
      <w:pPr>
        <w:pStyle w:val="SubmissionNormal"/>
        <w:numPr>
          <w:ilvl w:val="0"/>
          <w:numId w:val="30"/>
        </w:numPr>
        <w:tabs>
          <w:tab w:val="left" w:pos="720"/>
        </w:tabs>
        <w:rPr>
          <w:rFonts w:cs="Open Sans"/>
          <w:spacing w:val="-5"/>
          <w:sz w:val="22"/>
          <w:szCs w:val="22"/>
        </w:rPr>
      </w:pPr>
      <w:r w:rsidRPr="005D66AF">
        <w:rPr>
          <w:rFonts w:cs="Open Sans"/>
          <w:b/>
          <w:bCs/>
          <w:spacing w:val="-5"/>
          <w:sz w:val="22"/>
          <w:szCs w:val="22"/>
        </w:rPr>
        <w:t>Support services</w:t>
      </w:r>
      <w:r w:rsidRPr="00B054B4">
        <w:rPr>
          <w:rFonts w:cs="Open Sans"/>
          <w:spacing w:val="-5"/>
          <w:sz w:val="22"/>
          <w:szCs w:val="22"/>
        </w:rPr>
        <w:t xml:space="preserve"> are in place in the form of Personal Officers, Welfare Officers and Health Services for detainees to utilise while in immigration detention to raise any issues or concerns, and provide physical and mental health support.</w:t>
      </w:r>
    </w:p>
    <w:p w14:paraId="3FEF8443" w14:textId="77777777" w:rsidR="00201C9D" w:rsidRPr="00B054B4" w:rsidRDefault="00201C9D" w:rsidP="000F7824">
      <w:pPr>
        <w:pStyle w:val="SubmissionNormal"/>
        <w:numPr>
          <w:ilvl w:val="0"/>
          <w:numId w:val="30"/>
        </w:numPr>
        <w:tabs>
          <w:tab w:val="left" w:pos="720"/>
        </w:tabs>
        <w:rPr>
          <w:rFonts w:cs="Open Sans"/>
          <w:spacing w:val="-5"/>
          <w:sz w:val="22"/>
          <w:szCs w:val="22"/>
        </w:rPr>
      </w:pPr>
      <w:r w:rsidRPr="005D66AF">
        <w:rPr>
          <w:rFonts w:cs="Open Sans"/>
          <w:b/>
          <w:bCs/>
          <w:spacing w:val="-5"/>
          <w:sz w:val="22"/>
          <w:szCs w:val="22"/>
        </w:rPr>
        <w:t>CCTV and other monitoring systems</w:t>
      </w:r>
      <w:r w:rsidRPr="00B054B4">
        <w:rPr>
          <w:rFonts w:cs="Open Sans"/>
          <w:spacing w:val="-5"/>
          <w:sz w:val="22"/>
          <w:szCs w:val="22"/>
        </w:rPr>
        <w:t xml:space="preserve">: The FDSP is responsible for the safety and good order of IDFs </w:t>
      </w:r>
      <w:r>
        <w:rPr>
          <w:rFonts w:cs="Open Sans"/>
          <w:spacing w:val="-5"/>
          <w:sz w:val="22"/>
          <w:szCs w:val="22"/>
        </w:rPr>
        <w:t xml:space="preserve">[Immigration Detention Facilities] </w:t>
      </w:r>
      <w:r w:rsidRPr="00B054B4">
        <w:rPr>
          <w:rFonts w:cs="Open Sans"/>
          <w:spacing w:val="-5"/>
          <w:sz w:val="22"/>
          <w:szCs w:val="22"/>
        </w:rPr>
        <w:t>by using FDSP personnel in common areas, both in fixed stations and roving patrols. Closed Circuit Television (CCTV) coverage of common areas is also in place.</w:t>
      </w:r>
    </w:p>
    <w:p w14:paraId="62B1E045" w14:textId="77777777" w:rsidR="00201C9D" w:rsidRPr="00B054B4" w:rsidRDefault="00201C9D" w:rsidP="000F7824">
      <w:pPr>
        <w:pStyle w:val="SubmissionNormal"/>
        <w:numPr>
          <w:ilvl w:val="0"/>
          <w:numId w:val="30"/>
        </w:numPr>
        <w:tabs>
          <w:tab w:val="left" w:pos="720"/>
        </w:tabs>
        <w:rPr>
          <w:rFonts w:cs="Open Sans"/>
          <w:spacing w:val="-5"/>
          <w:sz w:val="22"/>
          <w:szCs w:val="22"/>
        </w:rPr>
      </w:pPr>
      <w:r w:rsidRPr="005D66AF">
        <w:rPr>
          <w:rFonts w:cs="Open Sans"/>
          <w:b/>
          <w:bCs/>
          <w:spacing w:val="-5"/>
          <w:sz w:val="22"/>
          <w:szCs w:val="22"/>
        </w:rPr>
        <w:t>The Security Risk Assessment Tool (SRAT)</w:t>
      </w:r>
      <w:r w:rsidRPr="00B054B4">
        <w:rPr>
          <w:rFonts w:cs="Open Sans"/>
          <w:spacing w:val="-5"/>
          <w:sz w:val="22"/>
          <w:szCs w:val="22"/>
        </w:rPr>
        <w:t xml:space="preserve">: The ABF and FDSP rely on the Security Risk Assessment Tool (SRAT) to inform risk and vulnerabilities when making decisions relating to detainees. These are </w:t>
      </w:r>
      <w:r w:rsidRPr="00B054B4">
        <w:rPr>
          <w:rFonts w:cs="Open Sans"/>
          <w:spacing w:val="-5"/>
          <w:sz w:val="22"/>
          <w:szCs w:val="22"/>
        </w:rPr>
        <w:lastRenderedPageBreak/>
        <w:t>reviewed monthly for all detainees. When a detainee is involved in an incident of violence/harm or when there is information to suggest a detainee present</w:t>
      </w:r>
      <w:r>
        <w:rPr>
          <w:rFonts w:cs="Open Sans"/>
          <w:spacing w:val="-5"/>
          <w:sz w:val="22"/>
          <w:szCs w:val="22"/>
        </w:rPr>
        <w:t>s</w:t>
      </w:r>
      <w:r w:rsidRPr="00B054B4">
        <w:rPr>
          <w:rFonts w:cs="Open Sans"/>
          <w:spacing w:val="-5"/>
          <w:sz w:val="22"/>
          <w:szCs w:val="22"/>
        </w:rPr>
        <w:t xml:space="preserve"> a risk to others, or a detainee is vulnerable to harm; consideration is made to update a detainee’s IMP </w:t>
      </w:r>
      <w:r w:rsidRPr="000F59AF">
        <w:rPr>
          <w:rFonts w:cs="Open Sans"/>
          <w:spacing w:val="-5"/>
          <w:sz w:val="22"/>
          <w:szCs w:val="22"/>
        </w:rPr>
        <w:t>[Individual Management Plan]</w:t>
      </w:r>
      <w:r w:rsidRPr="005D66AF">
        <w:rPr>
          <w:rFonts w:cs="Open Sans"/>
          <w:b/>
          <w:bCs/>
          <w:spacing w:val="-5"/>
          <w:sz w:val="22"/>
          <w:szCs w:val="22"/>
        </w:rPr>
        <w:t xml:space="preserve"> </w:t>
      </w:r>
      <w:r w:rsidRPr="00B054B4">
        <w:rPr>
          <w:rFonts w:cs="Open Sans"/>
          <w:spacing w:val="-5"/>
          <w:sz w:val="22"/>
          <w:szCs w:val="22"/>
        </w:rPr>
        <w:t>and/or create/update a BMP</w:t>
      </w:r>
      <w:r>
        <w:rPr>
          <w:rFonts w:cs="Open Sans"/>
          <w:spacing w:val="-5"/>
          <w:sz w:val="22"/>
          <w:szCs w:val="22"/>
        </w:rPr>
        <w:t xml:space="preserve"> [Behaviour Management Plan]</w:t>
      </w:r>
      <w:r w:rsidRPr="00B054B4">
        <w:rPr>
          <w:rFonts w:cs="Open Sans"/>
          <w:spacing w:val="-5"/>
          <w:sz w:val="22"/>
          <w:szCs w:val="22"/>
        </w:rPr>
        <w:t>. The SRAT is one source of information that is considered when completing a Detention Placement Assessment to identify any documented risks when making a placement consideration at an IDF</w:t>
      </w:r>
      <w:r>
        <w:rPr>
          <w:rFonts w:cs="Open Sans"/>
          <w:spacing w:val="-5"/>
          <w:sz w:val="22"/>
          <w:szCs w:val="22"/>
        </w:rPr>
        <w:t xml:space="preserve"> [Immigration Detention Facility]</w:t>
      </w:r>
      <w:r w:rsidRPr="00B054B4">
        <w:rPr>
          <w:rFonts w:cs="Open Sans"/>
          <w:spacing w:val="-5"/>
          <w:sz w:val="22"/>
          <w:szCs w:val="22"/>
        </w:rPr>
        <w:t>. This includes, but is not limited to associations of the detainee and any vulnerabilities</w:t>
      </w:r>
    </w:p>
    <w:p w14:paraId="5CF5A06A" w14:textId="77777777" w:rsidR="00201C9D" w:rsidRPr="00B054B4" w:rsidRDefault="00201C9D" w:rsidP="000F7824">
      <w:pPr>
        <w:pStyle w:val="SubmissionNormal"/>
        <w:numPr>
          <w:ilvl w:val="0"/>
          <w:numId w:val="30"/>
        </w:numPr>
        <w:tabs>
          <w:tab w:val="left" w:pos="720"/>
        </w:tabs>
        <w:rPr>
          <w:rFonts w:cs="Open Sans"/>
          <w:spacing w:val="-5"/>
          <w:sz w:val="22"/>
          <w:szCs w:val="22"/>
        </w:rPr>
      </w:pPr>
      <w:r>
        <w:rPr>
          <w:rFonts w:cs="Open Sans"/>
          <w:b/>
          <w:bCs/>
          <w:spacing w:val="-5"/>
          <w:sz w:val="22"/>
          <w:szCs w:val="22"/>
        </w:rPr>
        <w:t xml:space="preserve">IMP </w:t>
      </w:r>
      <w:r w:rsidRPr="000F59AF">
        <w:rPr>
          <w:rFonts w:cs="Open Sans"/>
          <w:spacing w:val="-5"/>
          <w:sz w:val="22"/>
          <w:szCs w:val="22"/>
        </w:rPr>
        <w:t>[Individual Management Plan]</w:t>
      </w:r>
      <w:r w:rsidRPr="005D66AF">
        <w:rPr>
          <w:rFonts w:cs="Open Sans"/>
          <w:b/>
          <w:bCs/>
          <w:spacing w:val="-5"/>
          <w:sz w:val="22"/>
          <w:szCs w:val="22"/>
        </w:rPr>
        <w:t xml:space="preserve"> Reviews</w:t>
      </w:r>
      <w:r w:rsidRPr="00B054B4">
        <w:rPr>
          <w:rFonts w:cs="Open Sans"/>
          <w:spacing w:val="-5"/>
          <w:sz w:val="22"/>
          <w:szCs w:val="22"/>
        </w:rPr>
        <w:t xml:space="preserve">: Detainees are able to raise any concerns they might have for their safety directly with FDSP </w:t>
      </w:r>
      <w:r>
        <w:rPr>
          <w:rFonts w:cs="Open Sans"/>
          <w:spacing w:val="-5"/>
          <w:sz w:val="22"/>
          <w:szCs w:val="22"/>
        </w:rPr>
        <w:t xml:space="preserve">[Serco] </w:t>
      </w:r>
      <w:r w:rsidRPr="00B054B4">
        <w:rPr>
          <w:rFonts w:cs="Open Sans"/>
          <w:spacing w:val="-5"/>
          <w:sz w:val="22"/>
          <w:szCs w:val="22"/>
        </w:rPr>
        <w:t>during IMP Reviews or at any other time.</w:t>
      </w:r>
    </w:p>
    <w:p w14:paraId="5617EB2E" w14:textId="77777777" w:rsidR="00201C9D" w:rsidRPr="00B054B4" w:rsidRDefault="00201C9D" w:rsidP="000F7824">
      <w:pPr>
        <w:pStyle w:val="SubmissionNormal"/>
        <w:numPr>
          <w:ilvl w:val="0"/>
          <w:numId w:val="30"/>
        </w:numPr>
        <w:tabs>
          <w:tab w:val="left" w:pos="720"/>
        </w:tabs>
        <w:rPr>
          <w:rFonts w:cs="Open Sans"/>
          <w:spacing w:val="-5"/>
          <w:sz w:val="22"/>
          <w:szCs w:val="22"/>
        </w:rPr>
      </w:pPr>
      <w:r w:rsidRPr="005D66AF">
        <w:rPr>
          <w:rFonts w:cs="Open Sans"/>
          <w:b/>
          <w:bCs/>
          <w:spacing w:val="-5"/>
          <w:sz w:val="22"/>
          <w:szCs w:val="22"/>
        </w:rPr>
        <w:t>Induction</w:t>
      </w:r>
      <w:r w:rsidRPr="00B054B4">
        <w:rPr>
          <w:rFonts w:cs="Open Sans"/>
          <w:spacing w:val="-5"/>
          <w:sz w:val="22"/>
          <w:szCs w:val="22"/>
        </w:rPr>
        <w:t>: Detainees receive an induction package upon arriving into</w:t>
      </w:r>
      <w:r>
        <w:rPr>
          <w:rFonts w:cs="Open Sans"/>
          <w:spacing w:val="-5"/>
          <w:sz w:val="22"/>
          <w:szCs w:val="22"/>
        </w:rPr>
        <w:t xml:space="preserve"> </w:t>
      </w:r>
      <w:r w:rsidRPr="00B054B4">
        <w:rPr>
          <w:rFonts w:cs="Open Sans"/>
          <w:spacing w:val="-5"/>
          <w:sz w:val="22"/>
          <w:szCs w:val="22"/>
        </w:rPr>
        <w:t>immigration detention along with detailed information on their rights and responsibilities.</w:t>
      </w:r>
    </w:p>
    <w:p w14:paraId="6EA63A65" w14:textId="77777777" w:rsidR="00201C9D" w:rsidRPr="00B054B4" w:rsidRDefault="00201C9D" w:rsidP="000F7824">
      <w:pPr>
        <w:pStyle w:val="SubmissionNormal"/>
        <w:numPr>
          <w:ilvl w:val="0"/>
          <w:numId w:val="30"/>
        </w:numPr>
        <w:tabs>
          <w:tab w:val="left" w:pos="720"/>
        </w:tabs>
        <w:rPr>
          <w:rFonts w:cs="Open Sans"/>
          <w:spacing w:val="-5"/>
          <w:sz w:val="22"/>
          <w:szCs w:val="22"/>
        </w:rPr>
      </w:pPr>
      <w:r w:rsidRPr="005D66AF">
        <w:rPr>
          <w:rFonts w:cs="Open Sans"/>
          <w:b/>
          <w:bCs/>
          <w:spacing w:val="-5"/>
          <w:sz w:val="22"/>
          <w:szCs w:val="22"/>
        </w:rPr>
        <w:t>Health and medical support</w:t>
      </w:r>
      <w:r w:rsidRPr="00B054B4">
        <w:rPr>
          <w:rFonts w:cs="Open Sans"/>
          <w:spacing w:val="-5"/>
          <w:sz w:val="22"/>
          <w:szCs w:val="22"/>
        </w:rPr>
        <w:t>: Detainees are aware they can request to see the Detention Health Service Provider at any time, for medical treatment or mental health support.</w:t>
      </w:r>
    </w:p>
    <w:p w14:paraId="7A1B2A1A" w14:textId="77777777" w:rsidR="00201C9D" w:rsidRDefault="00201C9D" w:rsidP="000F7824">
      <w:pPr>
        <w:pStyle w:val="SubmissionNormal"/>
        <w:numPr>
          <w:ilvl w:val="0"/>
          <w:numId w:val="30"/>
        </w:numPr>
        <w:tabs>
          <w:tab w:val="left" w:pos="720"/>
        </w:tabs>
        <w:rPr>
          <w:rFonts w:cs="Open Sans"/>
          <w:spacing w:val="-5"/>
          <w:sz w:val="22"/>
          <w:szCs w:val="22"/>
        </w:rPr>
      </w:pPr>
      <w:r w:rsidRPr="005D66AF">
        <w:rPr>
          <w:rFonts w:cs="Open Sans"/>
          <w:b/>
          <w:bCs/>
          <w:spacing w:val="-5"/>
          <w:sz w:val="22"/>
          <w:szCs w:val="22"/>
        </w:rPr>
        <w:t>Governance Forums</w:t>
      </w:r>
      <w:r w:rsidRPr="00B054B4">
        <w:rPr>
          <w:rFonts w:cs="Open Sans"/>
          <w:spacing w:val="-5"/>
          <w:sz w:val="22"/>
          <w:szCs w:val="22"/>
        </w:rPr>
        <w:t xml:space="preserve">: including the weekday morning stakeholder meeting and IMPRC </w:t>
      </w:r>
      <w:r>
        <w:rPr>
          <w:rFonts w:cs="Open Sans"/>
          <w:spacing w:val="-5"/>
          <w:sz w:val="22"/>
          <w:szCs w:val="22"/>
        </w:rPr>
        <w:t>[</w:t>
      </w:r>
      <w:r w:rsidRPr="00B862EA">
        <w:rPr>
          <w:rFonts w:cs="Open Sans"/>
          <w:spacing w:val="-5"/>
          <w:sz w:val="22"/>
          <w:szCs w:val="22"/>
        </w:rPr>
        <w:t>Individual Management and Placement Review Committee</w:t>
      </w:r>
      <w:r>
        <w:rPr>
          <w:rFonts w:cs="Open Sans"/>
          <w:spacing w:val="-5"/>
          <w:sz w:val="22"/>
          <w:szCs w:val="22"/>
        </w:rPr>
        <w:t xml:space="preserve">] </w:t>
      </w:r>
      <w:r w:rsidRPr="00B054B4">
        <w:rPr>
          <w:rFonts w:cs="Open Sans"/>
          <w:spacing w:val="-5"/>
          <w:sz w:val="22"/>
          <w:szCs w:val="22"/>
        </w:rPr>
        <w:t>meetings.</w:t>
      </w:r>
    </w:p>
    <w:p w14:paraId="7F2B198F" w14:textId="77777777" w:rsidR="00201C9D" w:rsidRDefault="00201C9D" w:rsidP="00201C9D">
      <w:pPr>
        <w:ind w:left="1440"/>
        <w:rPr>
          <w:rFonts w:cs="Open Sans"/>
          <w:spacing w:val="-5"/>
        </w:rPr>
      </w:pPr>
      <w:r w:rsidRPr="00A14062">
        <w:rPr>
          <w:rFonts w:cs="Open Sans"/>
          <w:spacing w:val="-5"/>
        </w:rPr>
        <w:t>Detainees are aware they can ask to speak to an ABF officer, verbally or in writing, so that concerns can be addressed appropriately.</w:t>
      </w:r>
    </w:p>
    <w:p w14:paraId="3380755E" w14:textId="77777777" w:rsidR="00201C9D" w:rsidRPr="00A14062" w:rsidRDefault="00201C9D" w:rsidP="00201C9D">
      <w:pPr>
        <w:ind w:left="1440"/>
        <w:rPr>
          <w:rFonts w:cs="Open Sans"/>
          <w:b/>
          <w:bCs/>
          <w:spacing w:val="-5"/>
          <w:u w:val="single"/>
        </w:rPr>
      </w:pPr>
      <w:r w:rsidRPr="00A14062">
        <w:rPr>
          <w:rFonts w:cs="Open Sans"/>
          <w:b/>
          <w:bCs/>
          <w:spacing w:val="-5"/>
          <w:u w:val="single"/>
        </w:rPr>
        <w:t>Current processes</w:t>
      </w:r>
    </w:p>
    <w:p w14:paraId="622358B5" w14:textId="77777777" w:rsidR="00201C9D" w:rsidRPr="006160EA" w:rsidRDefault="00201C9D" w:rsidP="00201C9D">
      <w:pPr>
        <w:ind w:left="1440"/>
        <w:rPr>
          <w:rFonts w:cs="Open Sans"/>
          <w:spacing w:val="-5"/>
        </w:rPr>
      </w:pPr>
      <w:r w:rsidRPr="006160EA">
        <w:rPr>
          <w:rFonts w:cs="Open Sans"/>
          <w:spacing w:val="-5"/>
        </w:rPr>
        <w:t>An overall risk assessment is undertaken for all detainees involved in any act of violence. A detainee’s security risk assessment captures each incident a detainee is involved in regardless of whether they were an alleged victim, an alleged offender or involved in any other capacity. This assessment uses quantitative and qualitative methods to assess and calculate risk based on known criteria for each detainee.</w:t>
      </w:r>
    </w:p>
    <w:p w14:paraId="010F157D" w14:textId="77777777" w:rsidR="00201C9D" w:rsidRPr="006160EA" w:rsidRDefault="00201C9D" w:rsidP="00201C9D">
      <w:pPr>
        <w:ind w:left="1440"/>
        <w:rPr>
          <w:rFonts w:cs="Open Sans"/>
          <w:spacing w:val="-5"/>
        </w:rPr>
      </w:pPr>
      <w:r w:rsidRPr="006160EA">
        <w:rPr>
          <w:rFonts w:cs="Open Sans"/>
          <w:spacing w:val="-5"/>
        </w:rPr>
        <w:t>The FDSP</w:t>
      </w:r>
      <w:r>
        <w:rPr>
          <w:rFonts w:cs="Open Sans"/>
          <w:spacing w:val="-5"/>
        </w:rPr>
        <w:t xml:space="preserve"> [Serco]</w:t>
      </w:r>
      <w:r w:rsidRPr="006160EA">
        <w:rPr>
          <w:rFonts w:cs="Open Sans"/>
          <w:spacing w:val="-5"/>
        </w:rPr>
        <w:t xml:space="preserve"> monitors detainee interactions and has mitigation strategies in place to maintain detainee safety and security. The FDSP maintains internal placement strategies and makes recommendations to the ABF, on appropriate intra-facility placements.</w:t>
      </w:r>
    </w:p>
    <w:p w14:paraId="3AB807F2" w14:textId="77777777" w:rsidR="00201C9D" w:rsidRPr="006160EA" w:rsidRDefault="00201C9D" w:rsidP="00201C9D">
      <w:pPr>
        <w:ind w:left="1440"/>
        <w:rPr>
          <w:rFonts w:cs="Open Sans"/>
          <w:spacing w:val="-5"/>
        </w:rPr>
      </w:pPr>
      <w:r w:rsidRPr="006160EA">
        <w:rPr>
          <w:rFonts w:cs="Open Sans"/>
          <w:spacing w:val="-5"/>
        </w:rPr>
        <w:t xml:space="preserve">In the event of an incident of detainee-on-detainee violence within the Immigration Detention Network (IDN), it is current practice that the involved persons would be immediately separated once the FDSP is </w:t>
      </w:r>
      <w:r w:rsidRPr="006160EA">
        <w:rPr>
          <w:rFonts w:cs="Open Sans"/>
          <w:spacing w:val="-5"/>
        </w:rPr>
        <w:lastRenderedPageBreak/>
        <w:t>aware, and medical assistance offered where required. Depending on ABF approval, the alleged offender may be placed in High Care Accommodation (HCA) for closer supervision. If there is a perceived risk to the alleged victim, temporary placement in the HCA may be sought or offered on a voluntary basis. Any placement in the HCA is at the discretion of the ABF, based on security and health advice from service providers. Placement of detainees involved in the incident must be reviewed within 24 to 48 hours. The review must consider accommodation available and any known intelligence of the parties involved.</w:t>
      </w:r>
    </w:p>
    <w:p w14:paraId="411596D9" w14:textId="77777777" w:rsidR="00201C9D" w:rsidRPr="006160EA" w:rsidRDefault="00201C9D" w:rsidP="00201C9D">
      <w:pPr>
        <w:ind w:left="1440"/>
        <w:rPr>
          <w:rFonts w:cs="Open Sans"/>
          <w:spacing w:val="-5"/>
        </w:rPr>
      </w:pPr>
      <w:r w:rsidRPr="006160EA">
        <w:rPr>
          <w:rFonts w:cs="Open Sans"/>
          <w:spacing w:val="-5"/>
        </w:rPr>
        <w:t>The FDSP may implement enhanced monitoring of the detainees as a means of ensuring safety.</w:t>
      </w:r>
    </w:p>
    <w:p w14:paraId="7448D028" w14:textId="77777777" w:rsidR="00201C9D" w:rsidRPr="006160EA" w:rsidRDefault="00201C9D" w:rsidP="00201C9D">
      <w:pPr>
        <w:ind w:left="1440"/>
        <w:rPr>
          <w:rFonts w:cs="Open Sans"/>
          <w:spacing w:val="-5"/>
        </w:rPr>
      </w:pPr>
      <w:r w:rsidRPr="006160EA">
        <w:rPr>
          <w:rFonts w:cs="Open Sans"/>
          <w:spacing w:val="-5"/>
        </w:rPr>
        <w:t>In addition, assessment on the likelihood of an alleged perpetrator engaging in a further act of violence in the future, and the risks posed to the detainee who was the victim, is managed within the following two site based governance framework meetings. These site-based meetings capture the records of violence and enable relevant stakeholders to implement mitigation strategies.</w:t>
      </w:r>
    </w:p>
    <w:p w14:paraId="286679C1" w14:textId="77777777" w:rsidR="00201C9D" w:rsidRPr="00A14062" w:rsidRDefault="00201C9D" w:rsidP="00201C9D">
      <w:pPr>
        <w:ind w:left="1440"/>
        <w:rPr>
          <w:rFonts w:cs="Open Sans"/>
          <w:b/>
          <w:bCs/>
          <w:spacing w:val="-5"/>
          <w:u w:val="single"/>
        </w:rPr>
      </w:pPr>
      <w:r w:rsidRPr="00A14062">
        <w:rPr>
          <w:rFonts w:cs="Open Sans"/>
          <w:b/>
          <w:bCs/>
          <w:spacing w:val="-5"/>
          <w:u w:val="single"/>
        </w:rPr>
        <w:t>Morning stakeholder meeting</w:t>
      </w:r>
    </w:p>
    <w:p w14:paraId="7E59B840" w14:textId="77777777" w:rsidR="00201C9D" w:rsidRPr="006160EA" w:rsidRDefault="00201C9D" w:rsidP="00201C9D">
      <w:pPr>
        <w:ind w:left="1440"/>
        <w:rPr>
          <w:rFonts w:cs="Open Sans"/>
          <w:spacing w:val="-5"/>
        </w:rPr>
      </w:pPr>
      <w:r w:rsidRPr="006160EA">
        <w:rPr>
          <w:rFonts w:cs="Open Sans"/>
          <w:spacing w:val="-5"/>
        </w:rPr>
        <w:t>The morning stakeholder meetings are held every weekday with representatives from the ABF, the FDSP and DHSP. The meetings are chaired by the ABF, and discuss the following:</w:t>
      </w:r>
    </w:p>
    <w:p w14:paraId="52FE78F8" w14:textId="77777777" w:rsidR="00201C9D" w:rsidRPr="00437A8C" w:rsidRDefault="00201C9D" w:rsidP="000F7824">
      <w:pPr>
        <w:pStyle w:val="ListParagraph"/>
        <w:numPr>
          <w:ilvl w:val="0"/>
          <w:numId w:val="31"/>
        </w:numPr>
        <w:spacing w:after="160"/>
        <w:contextualSpacing/>
        <w:rPr>
          <w:rFonts w:cs="Open Sans"/>
          <w:spacing w:val="-5"/>
        </w:rPr>
      </w:pPr>
      <w:r w:rsidRPr="00437A8C">
        <w:rPr>
          <w:rFonts w:cs="Open Sans"/>
          <w:spacing w:val="-5"/>
        </w:rPr>
        <w:t xml:space="preserve">Incidents that have occurred within the past 24 hours including detainees involved and local management strategies that were used in response to those incidents, such as </w:t>
      </w:r>
      <w:proofErr w:type="spellStart"/>
      <w:r w:rsidRPr="00437A8C">
        <w:rPr>
          <w:rFonts w:cs="Open Sans"/>
          <w:spacing w:val="-5"/>
        </w:rPr>
        <w:t>Keepsafe</w:t>
      </w:r>
      <w:proofErr w:type="spellEnd"/>
      <w:r w:rsidRPr="00437A8C">
        <w:rPr>
          <w:rFonts w:cs="Open Sans"/>
          <w:spacing w:val="-5"/>
        </w:rPr>
        <w:t>, enhanced monitoring and HCA placements;</w:t>
      </w:r>
    </w:p>
    <w:p w14:paraId="0773968B" w14:textId="77777777" w:rsidR="00201C9D" w:rsidRDefault="00201C9D" w:rsidP="000F7824">
      <w:pPr>
        <w:pStyle w:val="ListParagraph"/>
        <w:numPr>
          <w:ilvl w:val="0"/>
          <w:numId w:val="31"/>
        </w:numPr>
        <w:spacing w:after="160"/>
        <w:contextualSpacing/>
        <w:rPr>
          <w:rFonts w:cs="Open Sans"/>
          <w:spacing w:val="-5"/>
        </w:rPr>
      </w:pPr>
      <w:r w:rsidRPr="00A14062">
        <w:rPr>
          <w:rFonts w:cs="Open Sans"/>
          <w:spacing w:val="-5"/>
        </w:rPr>
        <w:t>Updates regarding the FDSP intelligence holdings</w:t>
      </w:r>
    </w:p>
    <w:p w14:paraId="7862FACE" w14:textId="77777777" w:rsidR="00201C9D" w:rsidRDefault="00201C9D" w:rsidP="000F7824">
      <w:pPr>
        <w:pStyle w:val="ListParagraph"/>
        <w:numPr>
          <w:ilvl w:val="0"/>
          <w:numId w:val="31"/>
        </w:numPr>
        <w:spacing w:after="160"/>
        <w:contextualSpacing/>
        <w:rPr>
          <w:rFonts w:cs="Open Sans"/>
          <w:spacing w:val="-5"/>
        </w:rPr>
      </w:pPr>
      <w:r w:rsidRPr="00437A8C">
        <w:rPr>
          <w:rFonts w:cs="Open Sans"/>
          <w:spacing w:val="-5"/>
        </w:rPr>
        <w:t>DHSP updates regarding detainees on the Psychological Support Program (PSP) and health related incidents in the last 24 hours;</w:t>
      </w:r>
    </w:p>
    <w:p w14:paraId="083CA667" w14:textId="77777777" w:rsidR="00201C9D" w:rsidRDefault="00201C9D" w:rsidP="000F7824">
      <w:pPr>
        <w:pStyle w:val="ListParagraph"/>
        <w:numPr>
          <w:ilvl w:val="0"/>
          <w:numId w:val="31"/>
        </w:numPr>
        <w:spacing w:after="160"/>
        <w:contextualSpacing/>
        <w:rPr>
          <w:rFonts w:cs="Open Sans"/>
          <w:spacing w:val="-5"/>
        </w:rPr>
      </w:pPr>
      <w:r w:rsidRPr="00437A8C">
        <w:rPr>
          <w:rFonts w:cs="Open Sans"/>
          <w:spacing w:val="-5"/>
        </w:rPr>
        <w:t>ABF overview and update; and</w:t>
      </w:r>
    </w:p>
    <w:p w14:paraId="19C870BF" w14:textId="77777777" w:rsidR="00201C9D" w:rsidRPr="00437A8C" w:rsidRDefault="00201C9D" w:rsidP="000F7824">
      <w:pPr>
        <w:pStyle w:val="ListParagraph"/>
        <w:numPr>
          <w:ilvl w:val="0"/>
          <w:numId w:val="31"/>
        </w:numPr>
        <w:spacing w:after="160"/>
        <w:contextualSpacing/>
        <w:rPr>
          <w:rFonts w:cs="Open Sans"/>
          <w:spacing w:val="-5"/>
        </w:rPr>
      </w:pPr>
      <w:r w:rsidRPr="00437A8C">
        <w:rPr>
          <w:rFonts w:cs="Open Sans"/>
          <w:spacing w:val="-5"/>
        </w:rPr>
        <w:t xml:space="preserve">FDSP operational update on </w:t>
      </w:r>
      <w:proofErr w:type="spellStart"/>
      <w:r w:rsidRPr="00437A8C">
        <w:rPr>
          <w:rFonts w:cs="Open Sans"/>
          <w:spacing w:val="-5"/>
        </w:rPr>
        <w:t>Keepsafe</w:t>
      </w:r>
      <w:proofErr w:type="spellEnd"/>
      <w:r w:rsidRPr="00437A8C">
        <w:rPr>
          <w:rFonts w:cs="Open Sans"/>
          <w:spacing w:val="-5"/>
        </w:rPr>
        <w:t>, enhanced monitoring, behaviour management plans and scheduling for upcoming external escorts.</w:t>
      </w:r>
    </w:p>
    <w:p w14:paraId="313982D4" w14:textId="77777777" w:rsidR="00392F59" w:rsidRDefault="00392F59" w:rsidP="00201C9D">
      <w:pPr>
        <w:ind w:left="1440"/>
        <w:rPr>
          <w:rFonts w:cs="Open Sans"/>
          <w:b/>
          <w:bCs/>
          <w:spacing w:val="-5"/>
          <w:u w:val="single"/>
        </w:rPr>
      </w:pPr>
    </w:p>
    <w:p w14:paraId="31518E3E" w14:textId="55151184" w:rsidR="00392F59" w:rsidRDefault="00392F59" w:rsidP="00201C9D">
      <w:pPr>
        <w:ind w:left="1440"/>
        <w:rPr>
          <w:rFonts w:cs="Open Sans"/>
          <w:b/>
          <w:bCs/>
          <w:spacing w:val="-5"/>
          <w:u w:val="single"/>
        </w:rPr>
      </w:pPr>
    </w:p>
    <w:p w14:paraId="244DC8E0" w14:textId="77777777" w:rsidR="00FC10F9" w:rsidRDefault="00FC10F9" w:rsidP="00201C9D">
      <w:pPr>
        <w:ind w:left="1440"/>
        <w:rPr>
          <w:rFonts w:cs="Open Sans"/>
          <w:b/>
          <w:bCs/>
          <w:spacing w:val="-5"/>
          <w:u w:val="single"/>
        </w:rPr>
      </w:pPr>
    </w:p>
    <w:p w14:paraId="399A131F" w14:textId="065CCDD8" w:rsidR="00201C9D" w:rsidRPr="00437A8C" w:rsidRDefault="00201C9D" w:rsidP="00201C9D">
      <w:pPr>
        <w:ind w:left="1440"/>
        <w:rPr>
          <w:rFonts w:cs="Open Sans"/>
          <w:b/>
          <w:bCs/>
          <w:spacing w:val="-5"/>
          <w:u w:val="single"/>
        </w:rPr>
      </w:pPr>
      <w:r w:rsidRPr="00437A8C">
        <w:rPr>
          <w:rFonts w:cs="Open Sans"/>
          <w:b/>
          <w:bCs/>
          <w:spacing w:val="-5"/>
          <w:u w:val="single"/>
        </w:rPr>
        <w:lastRenderedPageBreak/>
        <w:t>Individual Management and Placement Review Committee (IMPRC) Meeting</w:t>
      </w:r>
    </w:p>
    <w:p w14:paraId="66DC6DE4" w14:textId="77777777" w:rsidR="00201C9D" w:rsidRPr="006160EA" w:rsidRDefault="00201C9D" w:rsidP="00201C9D">
      <w:pPr>
        <w:ind w:left="1440"/>
        <w:rPr>
          <w:rFonts w:cs="Open Sans"/>
          <w:spacing w:val="-5"/>
        </w:rPr>
      </w:pPr>
      <w:r w:rsidRPr="006160EA">
        <w:rPr>
          <w:rFonts w:cs="Open Sans"/>
          <w:spacing w:val="-5"/>
        </w:rPr>
        <w:t>The IMPRC meetings are held monthly and are chaired by the FDSP</w:t>
      </w:r>
      <w:r>
        <w:rPr>
          <w:rFonts w:cs="Open Sans"/>
          <w:spacing w:val="-5"/>
        </w:rPr>
        <w:t xml:space="preserve"> [Serco]</w:t>
      </w:r>
      <w:r w:rsidRPr="006160EA">
        <w:rPr>
          <w:rFonts w:cs="Open Sans"/>
          <w:spacing w:val="-5"/>
        </w:rPr>
        <w:t>. The IMPRC is attended by all stakeholders, including the ABF, DHSP and FDSP, and provides a regular consultative forum for stakeholders to review ‘at risk’ or ‘vulnerable’ detainees, taking advice and recommendations that reflect the broad range of views and experience of the stakeholders in attendance. Actions include:</w:t>
      </w:r>
    </w:p>
    <w:p w14:paraId="3170B7AB" w14:textId="77777777" w:rsidR="00201C9D" w:rsidRPr="006160EA" w:rsidRDefault="00201C9D" w:rsidP="000F7824">
      <w:pPr>
        <w:pStyle w:val="ListParagraph"/>
        <w:numPr>
          <w:ilvl w:val="0"/>
          <w:numId w:val="31"/>
        </w:numPr>
        <w:spacing w:after="160"/>
        <w:contextualSpacing/>
        <w:rPr>
          <w:rFonts w:cs="Open Sans"/>
          <w:spacing w:val="-5"/>
        </w:rPr>
      </w:pPr>
      <w:r w:rsidRPr="006160EA">
        <w:rPr>
          <w:rFonts w:cs="Open Sans"/>
          <w:spacing w:val="-5"/>
        </w:rPr>
        <w:t>Review, update and action Individual Management Plans (IMPs).</w:t>
      </w:r>
    </w:p>
    <w:p w14:paraId="4C42EDEB" w14:textId="77777777" w:rsidR="00201C9D" w:rsidRPr="006160EA" w:rsidRDefault="00201C9D" w:rsidP="000F7824">
      <w:pPr>
        <w:pStyle w:val="ListParagraph"/>
        <w:numPr>
          <w:ilvl w:val="0"/>
          <w:numId w:val="31"/>
        </w:numPr>
        <w:spacing w:after="160"/>
        <w:contextualSpacing/>
        <w:rPr>
          <w:rFonts w:cs="Open Sans"/>
          <w:spacing w:val="-5"/>
        </w:rPr>
      </w:pPr>
      <w:r w:rsidRPr="006160EA">
        <w:rPr>
          <w:rFonts w:cs="Open Sans"/>
          <w:spacing w:val="-5"/>
        </w:rPr>
        <w:t>Develop and implement prevention strategies for detainees at risk.</w:t>
      </w:r>
    </w:p>
    <w:p w14:paraId="3EAE1F32" w14:textId="77777777" w:rsidR="00201C9D" w:rsidRPr="006160EA" w:rsidRDefault="00201C9D" w:rsidP="000F7824">
      <w:pPr>
        <w:pStyle w:val="ListParagraph"/>
        <w:numPr>
          <w:ilvl w:val="0"/>
          <w:numId w:val="31"/>
        </w:numPr>
        <w:spacing w:after="160"/>
        <w:contextualSpacing/>
        <w:rPr>
          <w:rFonts w:cs="Open Sans"/>
          <w:spacing w:val="-5"/>
        </w:rPr>
      </w:pPr>
      <w:r w:rsidRPr="006160EA">
        <w:rPr>
          <w:rFonts w:cs="Open Sans"/>
          <w:spacing w:val="-5"/>
        </w:rPr>
        <w:t>Review detainee placement options for those at risk.</w:t>
      </w:r>
    </w:p>
    <w:p w14:paraId="38EF9E4D" w14:textId="77777777" w:rsidR="00201C9D" w:rsidRPr="006160EA" w:rsidRDefault="00201C9D" w:rsidP="000F7824">
      <w:pPr>
        <w:pStyle w:val="ListParagraph"/>
        <w:numPr>
          <w:ilvl w:val="0"/>
          <w:numId w:val="31"/>
        </w:numPr>
        <w:spacing w:after="160"/>
        <w:contextualSpacing/>
        <w:rPr>
          <w:rFonts w:cs="Open Sans"/>
          <w:spacing w:val="-5"/>
        </w:rPr>
      </w:pPr>
      <w:r w:rsidRPr="006160EA">
        <w:rPr>
          <w:rFonts w:cs="Open Sans"/>
          <w:spacing w:val="-5"/>
        </w:rPr>
        <w:t xml:space="preserve">Review, update and action Behaviour Management Plans (BMPs) for detainees conducting </w:t>
      </w:r>
      <w:r>
        <w:rPr>
          <w:rFonts w:cs="Open Sans"/>
          <w:spacing w:val="-5"/>
        </w:rPr>
        <w:t xml:space="preserve">[themselves] </w:t>
      </w:r>
      <w:r w:rsidRPr="006160EA">
        <w:rPr>
          <w:rFonts w:cs="Open Sans"/>
          <w:spacing w:val="-5"/>
        </w:rPr>
        <w:t>in inappropriate behaviours and actions</w:t>
      </w:r>
    </w:p>
    <w:p w14:paraId="5B98C158" w14:textId="77777777" w:rsidR="00201C9D" w:rsidRPr="006160EA" w:rsidRDefault="00201C9D" w:rsidP="00201C9D">
      <w:pPr>
        <w:ind w:left="1440"/>
        <w:rPr>
          <w:rFonts w:cs="Open Sans"/>
          <w:spacing w:val="-5"/>
        </w:rPr>
      </w:pPr>
      <w:r w:rsidRPr="006160EA">
        <w:rPr>
          <w:rFonts w:cs="Open Sans"/>
          <w:spacing w:val="-5"/>
        </w:rPr>
        <w:t>In summary, the FDSP employs a risk assessment that involves the Security Risk Assessment Tool (SRAT), the morning stakeholder meeting and ongoing monthly reviews via the IMPRC. These risk assessments capture acts of violence and assist in preventing further violence from occurring and they entail ongoing and continuing review and monitoring of detainees. It is current practice that all incidents are documented and reported according to the FDSP and ABF’s policies and procedures.</w:t>
      </w:r>
    </w:p>
    <w:p w14:paraId="0E3E30DA" w14:textId="77777777" w:rsidR="00201C9D" w:rsidRPr="00937A33" w:rsidRDefault="00201C9D" w:rsidP="000F7824">
      <w:pPr>
        <w:pStyle w:val="Heading1"/>
        <w:numPr>
          <w:ilvl w:val="0"/>
          <w:numId w:val="28"/>
        </w:numPr>
        <w:tabs>
          <w:tab w:val="num" w:pos="709"/>
        </w:tabs>
        <w:ind w:left="709" w:hanging="709"/>
        <w:rPr>
          <w:rFonts w:eastAsia="Times New Roman" w:cs="Open Sans"/>
          <w:szCs w:val="36"/>
        </w:rPr>
      </w:pPr>
      <w:bookmarkStart w:id="33" w:name="_Toc123828296"/>
      <w:r w:rsidRPr="00AF7ABB">
        <w:rPr>
          <w:rFonts w:cs="Open Sans"/>
          <w:szCs w:val="36"/>
        </w:rPr>
        <w:t>Findings</w:t>
      </w:r>
      <w:bookmarkEnd w:id="33"/>
    </w:p>
    <w:p w14:paraId="02E4D38C" w14:textId="77777777" w:rsidR="00201C9D" w:rsidRPr="00937A33" w:rsidRDefault="00201C9D" w:rsidP="000F7824">
      <w:pPr>
        <w:numPr>
          <w:ilvl w:val="0"/>
          <w:numId w:val="27"/>
        </w:numPr>
        <w:tabs>
          <w:tab w:val="num" w:pos="960"/>
        </w:tabs>
        <w:spacing w:after="160"/>
        <w:ind w:hanging="720"/>
        <w:rPr>
          <w:rFonts w:cs="Open Sans"/>
        </w:rPr>
      </w:pPr>
      <w:r w:rsidRPr="00937A33">
        <w:rPr>
          <w:rFonts w:cs="Open Sans"/>
        </w:rPr>
        <w:t xml:space="preserve">Mr </w:t>
      </w:r>
      <w:proofErr w:type="spellStart"/>
      <w:r w:rsidRPr="00937A33">
        <w:rPr>
          <w:rFonts w:cs="Open Sans"/>
        </w:rPr>
        <w:t>Andrwas</w:t>
      </w:r>
      <w:proofErr w:type="spellEnd"/>
      <w:r w:rsidRPr="00937A33">
        <w:rPr>
          <w:rFonts w:cs="Open Sans"/>
        </w:rPr>
        <w:t xml:space="preserve"> alleges that he was assaulted on three occasions whil</w:t>
      </w:r>
      <w:r>
        <w:rPr>
          <w:rFonts w:cs="Open Sans"/>
        </w:rPr>
        <w:t>e</w:t>
      </w:r>
      <w:r w:rsidRPr="00937A33">
        <w:rPr>
          <w:rFonts w:cs="Open Sans"/>
        </w:rPr>
        <w:t xml:space="preserve"> in Villawood, being the 11 November Incident, the First 24 November Incident and the Second 24 November Incident (defined above in paragraphs </w:t>
      </w:r>
      <w:r w:rsidRPr="00CD7120">
        <w:rPr>
          <w:rFonts w:cs="Open Sans"/>
        </w:rPr>
        <w:fldChar w:fldCharType="begin"/>
      </w:r>
      <w:r w:rsidRPr="00CD7120">
        <w:rPr>
          <w:rFonts w:cs="Open Sans"/>
        </w:rPr>
        <w:instrText xml:space="preserve"> REF _Ref86164000 \r \h  \* MERGEFORMAT </w:instrText>
      </w:r>
      <w:r w:rsidRPr="00CD7120">
        <w:rPr>
          <w:rFonts w:cs="Open Sans"/>
        </w:rPr>
      </w:r>
      <w:r w:rsidRPr="00CD7120">
        <w:rPr>
          <w:rFonts w:cs="Open Sans"/>
        </w:rPr>
        <w:fldChar w:fldCharType="separate"/>
      </w:r>
      <w:r w:rsidRPr="00CD7120">
        <w:rPr>
          <w:rFonts w:cs="Open Sans"/>
        </w:rPr>
        <w:t>13</w:t>
      </w:r>
      <w:r w:rsidRPr="00CD7120">
        <w:rPr>
          <w:rFonts w:cs="Open Sans"/>
        </w:rPr>
        <w:fldChar w:fldCharType="end"/>
      </w:r>
      <w:r w:rsidRPr="00CD7120">
        <w:rPr>
          <w:rFonts w:cs="Open Sans"/>
        </w:rPr>
        <w:t>-</w:t>
      </w:r>
      <w:r w:rsidRPr="00CD7120">
        <w:rPr>
          <w:rFonts w:cs="Open Sans"/>
        </w:rPr>
        <w:fldChar w:fldCharType="begin"/>
      </w:r>
      <w:r w:rsidRPr="00CD7120">
        <w:rPr>
          <w:rFonts w:cs="Open Sans"/>
        </w:rPr>
        <w:instrText xml:space="preserve"> REF _Ref86164004 \r \h  \* MERGEFORMAT </w:instrText>
      </w:r>
      <w:r w:rsidRPr="00CD7120">
        <w:rPr>
          <w:rFonts w:cs="Open Sans"/>
        </w:rPr>
      </w:r>
      <w:r w:rsidRPr="00CD7120">
        <w:rPr>
          <w:rFonts w:cs="Open Sans"/>
        </w:rPr>
        <w:fldChar w:fldCharType="separate"/>
      </w:r>
      <w:r w:rsidRPr="00CD7120">
        <w:rPr>
          <w:rFonts w:cs="Open Sans"/>
        </w:rPr>
        <w:t>14</w:t>
      </w:r>
      <w:r w:rsidRPr="00CD7120">
        <w:rPr>
          <w:rFonts w:cs="Open Sans"/>
        </w:rPr>
        <w:fldChar w:fldCharType="end"/>
      </w:r>
      <w:r w:rsidRPr="00937A33">
        <w:rPr>
          <w:rFonts w:cs="Open Sans"/>
        </w:rPr>
        <w:t xml:space="preserve">). I consider each of these incidents below. </w:t>
      </w:r>
    </w:p>
    <w:p w14:paraId="1F9445C1" w14:textId="77777777" w:rsidR="00201C9D" w:rsidRPr="00427A31" w:rsidRDefault="00201C9D" w:rsidP="000F7824">
      <w:pPr>
        <w:pStyle w:val="Heading2"/>
        <w:numPr>
          <w:ilvl w:val="1"/>
          <w:numId w:val="28"/>
        </w:numPr>
        <w:tabs>
          <w:tab w:val="num" w:pos="720"/>
        </w:tabs>
        <w:rPr>
          <w:rFonts w:cs="Open Sans"/>
          <w:i/>
          <w:iCs/>
        </w:rPr>
      </w:pPr>
      <w:bookmarkStart w:id="34" w:name="_Toc123828297"/>
      <w:r w:rsidRPr="00427A31">
        <w:rPr>
          <w:rFonts w:cs="Open Sans"/>
          <w:i/>
          <w:iCs/>
        </w:rPr>
        <w:t>11 November Incident</w:t>
      </w:r>
      <w:bookmarkEnd w:id="34"/>
    </w:p>
    <w:p w14:paraId="1644B0D2" w14:textId="77777777" w:rsidR="00201C9D" w:rsidRPr="00937A33" w:rsidRDefault="00201C9D" w:rsidP="000F7824">
      <w:pPr>
        <w:numPr>
          <w:ilvl w:val="0"/>
          <w:numId w:val="27"/>
        </w:numPr>
        <w:tabs>
          <w:tab w:val="num" w:pos="960"/>
        </w:tabs>
        <w:spacing w:after="160"/>
        <w:ind w:hanging="720"/>
        <w:rPr>
          <w:rFonts w:cs="Open Sans"/>
        </w:rPr>
      </w:pPr>
      <w:r w:rsidRPr="00937A33">
        <w:rPr>
          <w:rFonts w:cs="Open Sans"/>
        </w:rPr>
        <w:t xml:space="preserve">Mr </w:t>
      </w:r>
      <w:proofErr w:type="spellStart"/>
      <w:r w:rsidRPr="00937A33">
        <w:rPr>
          <w:rFonts w:cs="Open Sans"/>
        </w:rPr>
        <w:t>Andrwas</w:t>
      </w:r>
      <w:proofErr w:type="spellEnd"/>
      <w:r w:rsidRPr="00937A33">
        <w:rPr>
          <w:rFonts w:cs="Open Sans"/>
        </w:rPr>
        <w:t xml:space="preserve"> alleges that on 11 November 2017, the female detainee approached him outside the Lima compound, saying that she wanted to speak to him. Mr </w:t>
      </w:r>
      <w:proofErr w:type="spellStart"/>
      <w:r w:rsidRPr="00937A33">
        <w:rPr>
          <w:rFonts w:cs="Open Sans"/>
        </w:rPr>
        <w:t>Andrwas</w:t>
      </w:r>
      <w:proofErr w:type="spellEnd"/>
      <w:r w:rsidRPr="00937A33">
        <w:rPr>
          <w:rFonts w:cs="Open Sans"/>
        </w:rPr>
        <w:t xml:space="preserve"> told her he did not want to talk to her. She then ran in front of him blocking his path and hit him on the chest four times saying, ‘Why did you did </w:t>
      </w:r>
      <w:r>
        <w:rPr>
          <w:rFonts w:cs="Open Sans"/>
        </w:rPr>
        <w:t xml:space="preserve">[sic] </w:t>
      </w:r>
      <w:r w:rsidRPr="00937A33">
        <w:rPr>
          <w:rFonts w:cs="Open Sans"/>
        </w:rPr>
        <w:t xml:space="preserve">this to me?’. In response, Mr </w:t>
      </w:r>
      <w:proofErr w:type="spellStart"/>
      <w:r w:rsidRPr="00937A33">
        <w:rPr>
          <w:rFonts w:cs="Open Sans"/>
        </w:rPr>
        <w:t>Andrwas</w:t>
      </w:r>
      <w:proofErr w:type="spellEnd"/>
      <w:r w:rsidRPr="00937A33">
        <w:rPr>
          <w:rFonts w:cs="Open Sans"/>
        </w:rPr>
        <w:t xml:space="preserve"> said he was going to have her charged with assault and she said that, ‘If you do that, I will do something to you’. Mr </w:t>
      </w:r>
      <w:proofErr w:type="spellStart"/>
      <w:r w:rsidRPr="00937A33">
        <w:rPr>
          <w:rFonts w:cs="Open Sans"/>
        </w:rPr>
        <w:t>Andrwas</w:t>
      </w:r>
      <w:proofErr w:type="spellEnd"/>
      <w:r w:rsidRPr="00937A33">
        <w:rPr>
          <w:rFonts w:cs="Open Sans"/>
        </w:rPr>
        <w:t xml:space="preserve"> says that he immediately reported the incident to Serco, asking for her to be charged with assault. </w:t>
      </w:r>
    </w:p>
    <w:p w14:paraId="64401924" w14:textId="77777777" w:rsidR="00201C9D" w:rsidRPr="00937A33" w:rsidRDefault="00201C9D" w:rsidP="000F7824">
      <w:pPr>
        <w:numPr>
          <w:ilvl w:val="0"/>
          <w:numId w:val="27"/>
        </w:numPr>
        <w:tabs>
          <w:tab w:val="num" w:pos="960"/>
        </w:tabs>
        <w:spacing w:after="160"/>
        <w:ind w:hanging="720"/>
        <w:rPr>
          <w:rFonts w:cs="Open Sans"/>
        </w:rPr>
      </w:pPr>
      <w:r w:rsidRPr="00937A33">
        <w:rPr>
          <w:rFonts w:cs="Open Sans"/>
        </w:rPr>
        <w:lastRenderedPageBreak/>
        <w:t xml:space="preserve">Mr </w:t>
      </w:r>
      <w:proofErr w:type="spellStart"/>
      <w:r w:rsidRPr="00937A33">
        <w:rPr>
          <w:rFonts w:cs="Open Sans"/>
        </w:rPr>
        <w:t>Andrwas</w:t>
      </w:r>
      <w:proofErr w:type="spellEnd"/>
      <w:r w:rsidRPr="00937A33">
        <w:rPr>
          <w:rFonts w:cs="Open Sans"/>
        </w:rPr>
        <w:t xml:space="preserve"> believes that the female detainee assaulted him because he had reported her to the Department and the NSW Police. </w:t>
      </w:r>
    </w:p>
    <w:p w14:paraId="0A116468" w14:textId="77777777" w:rsidR="00201C9D" w:rsidRDefault="00201C9D" w:rsidP="000F7824">
      <w:pPr>
        <w:numPr>
          <w:ilvl w:val="0"/>
          <w:numId w:val="27"/>
        </w:numPr>
        <w:tabs>
          <w:tab w:val="num" w:pos="960"/>
        </w:tabs>
        <w:spacing w:after="160"/>
        <w:ind w:hanging="720"/>
        <w:rPr>
          <w:rFonts w:cs="Open Sans"/>
        </w:rPr>
      </w:pPr>
      <w:bookmarkStart w:id="35" w:name="_Ref86249416"/>
      <w:r>
        <w:rPr>
          <w:rFonts w:cs="Open Sans"/>
        </w:rPr>
        <w:t xml:space="preserve">On 12 November 2017, Mr </w:t>
      </w:r>
      <w:proofErr w:type="spellStart"/>
      <w:r>
        <w:rPr>
          <w:rFonts w:cs="Open Sans"/>
        </w:rPr>
        <w:t>Andwras</w:t>
      </w:r>
      <w:proofErr w:type="spellEnd"/>
      <w:r>
        <w:rPr>
          <w:rFonts w:cs="Open Sans"/>
        </w:rPr>
        <w:t xml:space="preserve"> reported the assault to the Facilities and Detainee Service Provider (FDSP). The FDSP Incident Detail Report states:</w:t>
      </w:r>
    </w:p>
    <w:p w14:paraId="58459397" w14:textId="77777777" w:rsidR="00201C9D" w:rsidRPr="005B1118" w:rsidRDefault="00201C9D" w:rsidP="00201C9D">
      <w:pPr>
        <w:ind w:left="1440"/>
        <w:rPr>
          <w:rFonts w:cs="Open Sans"/>
        </w:rPr>
      </w:pPr>
      <w:r w:rsidRPr="005B1118">
        <w:rPr>
          <w:rFonts w:cs="Open Sans"/>
        </w:rPr>
        <w:t xml:space="preserve">…detainee ANDRWAS was walking back to his accommodation Lachlan Compound and </w:t>
      </w:r>
      <w:r>
        <w:rPr>
          <w:rFonts w:cs="Open Sans"/>
        </w:rPr>
        <w:t xml:space="preserve">[the female detainee] </w:t>
      </w:r>
      <w:r w:rsidRPr="005B1118">
        <w:rPr>
          <w:rFonts w:cs="Open Sans"/>
        </w:rPr>
        <w:t>approached him at village green area and started to</w:t>
      </w:r>
      <w:r>
        <w:rPr>
          <w:rFonts w:cs="Open Sans"/>
        </w:rPr>
        <w:t xml:space="preserve"> [sic]</w:t>
      </w:r>
      <w:r w:rsidRPr="005B1118">
        <w:rPr>
          <w:rFonts w:cs="Open Sans"/>
        </w:rPr>
        <w:t xml:space="preserve"> talking to detainee ANDRWAS. Detainee ANDRWAS informed </w:t>
      </w:r>
      <w:r>
        <w:rPr>
          <w:rFonts w:cs="Open Sans"/>
        </w:rPr>
        <w:t xml:space="preserve">[the female detainee] </w:t>
      </w:r>
      <w:r w:rsidRPr="005B1118">
        <w:rPr>
          <w:rFonts w:cs="Open Sans"/>
        </w:rPr>
        <w:t xml:space="preserve">he doesn't want to talk to her. Then detainee ANDRWAS alleged </w:t>
      </w:r>
      <w:r>
        <w:rPr>
          <w:rFonts w:cs="Open Sans"/>
        </w:rPr>
        <w:t xml:space="preserve">[the female detainee] </w:t>
      </w:r>
      <w:r w:rsidRPr="005B1118">
        <w:rPr>
          <w:rFonts w:cs="Open Sans"/>
        </w:rPr>
        <w:t>punched him 4 times on his chest. This incident was not witnessed by any [FDSP] Staff member.</w:t>
      </w:r>
      <w:r>
        <w:rPr>
          <w:rFonts w:cs="Open Sans"/>
        </w:rPr>
        <w:t xml:space="preserve"> </w:t>
      </w:r>
      <w:r w:rsidRPr="003D36DB">
        <w:rPr>
          <w:rFonts w:cs="Open Sans"/>
        </w:rPr>
        <w:t>Medical assistance was offered to detainee ANDRWAS but</w:t>
      </w:r>
      <w:r>
        <w:rPr>
          <w:rFonts w:cs="Open Sans"/>
        </w:rPr>
        <w:t xml:space="preserve"> </w:t>
      </w:r>
      <w:r w:rsidRPr="003D36DB">
        <w:rPr>
          <w:rFonts w:cs="Open Sans"/>
        </w:rPr>
        <w:t>refused.</w:t>
      </w:r>
      <w:r>
        <w:rPr>
          <w:rFonts w:cs="Open Sans"/>
        </w:rPr>
        <w:t xml:space="preserve"> </w:t>
      </w:r>
      <w:r w:rsidRPr="003D36DB">
        <w:rPr>
          <w:rFonts w:cs="Open Sans"/>
        </w:rPr>
        <w:t>Serco Security department will be notified for further investigation.</w:t>
      </w:r>
    </w:p>
    <w:p w14:paraId="003BEF56" w14:textId="77777777" w:rsidR="00201C9D" w:rsidRDefault="00201C9D" w:rsidP="000F7824">
      <w:pPr>
        <w:numPr>
          <w:ilvl w:val="0"/>
          <w:numId w:val="27"/>
        </w:numPr>
        <w:tabs>
          <w:tab w:val="num" w:pos="960"/>
        </w:tabs>
        <w:spacing w:after="160"/>
        <w:ind w:hanging="720"/>
        <w:rPr>
          <w:rFonts w:cs="Open Sans"/>
        </w:rPr>
      </w:pPr>
      <w:r w:rsidRPr="00C06D47">
        <w:rPr>
          <w:rFonts w:cs="Open Sans"/>
        </w:rPr>
        <w:t xml:space="preserve">The Incident Detail Report </w:t>
      </w:r>
      <w:r>
        <w:rPr>
          <w:rFonts w:cs="Open Sans"/>
        </w:rPr>
        <w:t xml:space="preserve">does not record that Mr </w:t>
      </w:r>
      <w:proofErr w:type="spellStart"/>
      <w:r>
        <w:rPr>
          <w:rFonts w:cs="Open Sans"/>
        </w:rPr>
        <w:t>Andrwas</w:t>
      </w:r>
      <w:proofErr w:type="spellEnd"/>
      <w:r>
        <w:rPr>
          <w:rFonts w:cs="Open Sans"/>
        </w:rPr>
        <w:t xml:space="preserve"> reported the threat allegedly made by the female detainee when he said he was going to have her charged</w:t>
      </w:r>
      <w:r w:rsidRPr="00C06D47">
        <w:rPr>
          <w:rFonts w:cs="Open Sans"/>
        </w:rPr>
        <w:t xml:space="preserve">. </w:t>
      </w:r>
      <w:r>
        <w:rPr>
          <w:rFonts w:cs="Open Sans"/>
        </w:rPr>
        <w:t xml:space="preserve">The Department has advised that no further detail regarding the assault were provided by Mr </w:t>
      </w:r>
      <w:proofErr w:type="spellStart"/>
      <w:r>
        <w:rPr>
          <w:rFonts w:cs="Open Sans"/>
        </w:rPr>
        <w:t>Andrwas</w:t>
      </w:r>
      <w:proofErr w:type="spellEnd"/>
      <w:r>
        <w:rPr>
          <w:rFonts w:cs="Open Sans"/>
        </w:rPr>
        <w:t xml:space="preserve"> to ABF or the FDSP.</w:t>
      </w:r>
    </w:p>
    <w:bookmarkEnd w:id="35"/>
    <w:p w14:paraId="165963CD" w14:textId="77777777" w:rsidR="00201C9D" w:rsidRDefault="00201C9D" w:rsidP="000F7824">
      <w:pPr>
        <w:numPr>
          <w:ilvl w:val="0"/>
          <w:numId w:val="27"/>
        </w:numPr>
        <w:tabs>
          <w:tab w:val="num" w:pos="960"/>
        </w:tabs>
        <w:spacing w:after="0"/>
        <w:ind w:hanging="720"/>
        <w:rPr>
          <w:rFonts w:eastAsia="Times New Roman" w:cs="Open Sans"/>
          <w:spacing w:val="-5"/>
        </w:rPr>
      </w:pPr>
      <w:r>
        <w:rPr>
          <w:rFonts w:eastAsia="Times New Roman" w:cs="Open Sans"/>
          <w:spacing w:val="-5"/>
        </w:rPr>
        <w:t xml:space="preserve">The Department has advised that it has no evidence that confirms an assault as described by Mr </w:t>
      </w:r>
      <w:proofErr w:type="spellStart"/>
      <w:r>
        <w:rPr>
          <w:rFonts w:eastAsia="Times New Roman" w:cs="Open Sans"/>
          <w:spacing w:val="-5"/>
        </w:rPr>
        <w:t>Andrwas</w:t>
      </w:r>
      <w:proofErr w:type="spellEnd"/>
      <w:r>
        <w:rPr>
          <w:rFonts w:eastAsia="Times New Roman" w:cs="Open Sans"/>
          <w:spacing w:val="-5"/>
        </w:rPr>
        <w:t xml:space="preserve"> occurred on 11 November 2017. It also advised that there is no information or CCTV footage to verify the claims made by Mr </w:t>
      </w:r>
      <w:proofErr w:type="spellStart"/>
      <w:r>
        <w:rPr>
          <w:rFonts w:eastAsia="Times New Roman" w:cs="Open Sans"/>
          <w:spacing w:val="-5"/>
        </w:rPr>
        <w:t>Andrwas</w:t>
      </w:r>
      <w:proofErr w:type="spellEnd"/>
      <w:r>
        <w:rPr>
          <w:rFonts w:eastAsia="Times New Roman" w:cs="Open Sans"/>
          <w:spacing w:val="-5"/>
        </w:rPr>
        <w:t>.</w:t>
      </w:r>
    </w:p>
    <w:p w14:paraId="7E5673BB" w14:textId="77777777" w:rsidR="00201C9D" w:rsidRPr="00937A33" w:rsidRDefault="00201C9D" w:rsidP="000F7824">
      <w:pPr>
        <w:numPr>
          <w:ilvl w:val="0"/>
          <w:numId w:val="27"/>
        </w:numPr>
        <w:tabs>
          <w:tab w:val="num" w:pos="960"/>
        </w:tabs>
        <w:spacing w:after="0"/>
        <w:ind w:hanging="720"/>
        <w:rPr>
          <w:rFonts w:eastAsia="Times New Roman" w:cs="Open Sans"/>
          <w:spacing w:val="-5"/>
        </w:rPr>
      </w:pPr>
      <w:r w:rsidRPr="00937A33">
        <w:rPr>
          <w:rFonts w:eastAsia="Times New Roman" w:cs="Open Sans"/>
          <w:spacing w:val="-5"/>
        </w:rPr>
        <w:t xml:space="preserve">On 12 November 2017, Mr </w:t>
      </w:r>
      <w:proofErr w:type="spellStart"/>
      <w:r w:rsidRPr="00937A33">
        <w:rPr>
          <w:rFonts w:eastAsia="Times New Roman" w:cs="Open Sans"/>
          <w:spacing w:val="-5"/>
        </w:rPr>
        <w:t>Andrwas</w:t>
      </w:r>
      <w:proofErr w:type="spellEnd"/>
      <w:r w:rsidRPr="00937A33">
        <w:rPr>
          <w:rFonts w:eastAsia="Times New Roman" w:cs="Open Sans"/>
          <w:spacing w:val="-5"/>
        </w:rPr>
        <w:t xml:space="preserve"> signed a Notification for Police Investigation form requesting the matter be referred to an Investigation Authority. The Incident Detail Report for this incident refers to this Australian Federal Police (AFP) referral form and states that: ‘This incident is considered closed’. </w:t>
      </w:r>
    </w:p>
    <w:p w14:paraId="55A2C759" w14:textId="77777777" w:rsidR="00201C9D" w:rsidRPr="006B2E0B" w:rsidRDefault="00201C9D" w:rsidP="000F7824">
      <w:pPr>
        <w:numPr>
          <w:ilvl w:val="0"/>
          <w:numId w:val="27"/>
        </w:numPr>
        <w:tabs>
          <w:tab w:val="num" w:pos="960"/>
        </w:tabs>
        <w:spacing w:after="0"/>
        <w:ind w:hanging="720"/>
        <w:rPr>
          <w:rFonts w:eastAsia="Times New Roman" w:cs="Open Sans"/>
          <w:spacing w:val="-5"/>
        </w:rPr>
      </w:pPr>
      <w:r w:rsidRPr="006B2E0B">
        <w:rPr>
          <w:rFonts w:eastAsia="Times New Roman" w:cs="Open Sans"/>
          <w:spacing w:val="-5"/>
        </w:rPr>
        <w:t xml:space="preserve">On 26 September 2018, ABF referred the incident to the AFP. The Department has advised that the delay </w:t>
      </w:r>
      <w:r>
        <w:rPr>
          <w:rFonts w:eastAsia="Times New Roman" w:cs="Open Sans"/>
          <w:spacing w:val="-5"/>
        </w:rPr>
        <w:t xml:space="preserve">in referring the incident </w:t>
      </w:r>
      <w:r w:rsidRPr="006B2E0B">
        <w:rPr>
          <w:rFonts w:eastAsia="Times New Roman" w:cs="Open Sans"/>
          <w:spacing w:val="-5"/>
        </w:rPr>
        <w:t xml:space="preserve">was due to </w:t>
      </w:r>
      <w:r w:rsidRPr="00256145">
        <w:rPr>
          <w:rFonts w:eastAsia="Times New Roman" w:cs="Open Sans"/>
          <w:spacing w:val="-5"/>
        </w:rPr>
        <w:t>human error</w:t>
      </w:r>
      <w:r>
        <w:rPr>
          <w:rFonts w:eastAsia="Times New Roman" w:cs="Open Sans"/>
          <w:spacing w:val="-5"/>
        </w:rPr>
        <w:t xml:space="preserve">, which </w:t>
      </w:r>
      <w:r w:rsidRPr="006B2E0B">
        <w:rPr>
          <w:rFonts w:eastAsia="Times New Roman" w:cs="Open Sans"/>
          <w:spacing w:val="-5"/>
        </w:rPr>
        <w:t xml:space="preserve">resulted in ABF not receiving </w:t>
      </w:r>
      <w:r>
        <w:rPr>
          <w:rFonts w:eastAsia="Times New Roman" w:cs="Open Sans"/>
          <w:spacing w:val="-5"/>
        </w:rPr>
        <w:t>the</w:t>
      </w:r>
      <w:r w:rsidRPr="006B2E0B">
        <w:rPr>
          <w:rFonts w:eastAsia="Times New Roman" w:cs="Open Sans"/>
          <w:spacing w:val="-5"/>
        </w:rPr>
        <w:t xml:space="preserve"> referral form until 15 August 2018. The</w:t>
      </w:r>
      <w:r>
        <w:rPr>
          <w:rFonts w:eastAsia="Times New Roman" w:cs="Open Sans"/>
          <w:spacing w:val="-5"/>
        </w:rPr>
        <w:t xml:space="preserve"> Department further </w:t>
      </w:r>
      <w:r w:rsidRPr="006B2E0B">
        <w:rPr>
          <w:rFonts w:eastAsia="Times New Roman" w:cs="Open Sans"/>
          <w:spacing w:val="-5"/>
        </w:rPr>
        <w:t xml:space="preserve">advised that steps have been taken to address the error and ensure that all police referrals are actioned in an appropriate timeframe. </w:t>
      </w:r>
    </w:p>
    <w:p w14:paraId="60C67B78" w14:textId="77777777" w:rsidR="00201C9D" w:rsidRPr="00937A33" w:rsidRDefault="00201C9D" w:rsidP="000F7824">
      <w:pPr>
        <w:numPr>
          <w:ilvl w:val="0"/>
          <w:numId w:val="27"/>
        </w:numPr>
        <w:tabs>
          <w:tab w:val="num" w:pos="960"/>
        </w:tabs>
        <w:spacing w:after="0"/>
        <w:ind w:hanging="720"/>
        <w:rPr>
          <w:rFonts w:eastAsia="Times New Roman" w:cs="Open Sans"/>
          <w:spacing w:val="-5"/>
        </w:rPr>
      </w:pPr>
      <w:r>
        <w:rPr>
          <w:rFonts w:eastAsia="Times New Roman" w:cs="Open Sans"/>
          <w:spacing w:val="-5"/>
        </w:rPr>
        <w:t>O</w:t>
      </w:r>
      <w:r w:rsidRPr="00937A33">
        <w:rPr>
          <w:rFonts w:eastAsia="Times New Roman" w:cs="Open Sans"/>
          <w:spacing w:val="-5"/>
        </w:rPr>
        <w:t xml:space="preserve">n 2 October 2018, the referral was </w:t>
      </w:r>
      <w:r>
        <w:rPr>
          <w:rFonts w:eastAsia="Times New Roman" w:cs="Open Sans"/>
          <w:spacing w:val="-5"/>
        </w:rPr>
        <w:t xml:space="preserve">considered, and </w:t>
      </w:r>
      <w:r w:rsidRPr="00937A33">
        <w:rPr>
          <w:rFonts w:eastAsia="Times New Roman" w:cs="Open Sans"/>
          <w:spacing w:val="-5"/>
        </w:rPr>
        <w:t>rejected by the AFP Sydney Regional Operations Capacity and Capability Committee</w:t>
      </w:r>
      <w:r>
        <w:rPr>
          <w:rFonts w:eastAsia="Times New Roman" w:cs="Open Sans"/>
          <w:spacing w:val="-5"/>
        </w:rPr>
        <w:t xml:space="preserve">. It was rejected as there was no witnesses or CCTV for the incident, and in consideration of the availability of AFP resources at the time. </w:t>
      </w:r>
      <w:r w:rsidRPr="00937A33">
        <w:rPr>
          <w:rFonts w:eastAsia="Times New Roman" w:cs="Open Sans"/>
          <w:spacing w:val="-5"/>
        </w:rPr>
        <w:t xml:space="preserve"> </w:t>
      </w:r>
    </w:p>
    <w:p w14:paraId="397B9824" w14:textId="77777777" w:rsidR="00201C9D" w:rsidRDefault="00201C9D" w:rsidP="000F7824">
      <w:pPr>
        <w:numPr>
          <w:ilvl w:val="0"/>
          <w:numId w:val="27"/>
        </w:numPr>
        <w:tabs>
          <w:tab w:val="num" w:pos="960"/>
        </w:tabs>
        <w:spacing w:after="160"/>
        <w:ind w:hanging="720"/>
        <w:rPr>
          <w:rFonts w:cs="Open Sans"/>
        </w:rPr>
      </w:pPr>
      <w:r>
        <w:rPr>
          <w:rFonts w:cs="Open Sans"/>
        </w:rPr>
        <w:lastRenderedPageBreak/>
        <w:t xml:space="preserve">In relation to the placement of Mr </w:t>
      </w:r>
      <w:proofErr w:type="spellStart"/>
      <w:r>
        <w:rPr>
          <w:rFonts w:cs="Open Sans"/>
        </w:rPr>
        <w:t>Andrwas</w:t>
      </w:r>
      <w:proofErr w:type="spellEnd"/>
      <w:r>
        <w:rPr>
          <w:rFonts w:cs="Open Sans"/>
        </w:rPr>
        <w:t xml:space="preserve"> and the female detainee, the Department has advised that:</w:t>
      </w:r>
    </w:p>
    <w:p w14:paraId="558865FB" w14:textId="77777777" w:rsidR="00201C9D" w:rsidRDefault="00201C9D" w:rsidP="00201C9D">
      <w:pPr>
        <w:ind w:left="1440"/>
        <w:rPr>
          <w:rFonts w:cs="Open Sans"/>
        </w:rPr>
      </w:pPr>
      <w:r w:rsidRPr="00A56EA8">
        <w:rPr>
          <w:rFonts w:cs="Open Sans"/>
        </w:rPr>
        <w:t>Movements of detainees within each compound are managed by FDSP</w:t>
      </w:r>
      <w:r>
        <w:rPr>
          <w:rFonts w:cs="Open Sans"/>
        </w:rPr>
        <w:t xml:space="preserve"> [Serco]</w:t>
      </w:r>
      <w:r w:rsidRPr="00A56EA8">
        <w:rPr>
          <w:rFonts w:cs="Open Sans"/>
        </w:rPr>
        <w:t>. This includes the movements of detainees between dormitories</w:t>
      </w:r>
      <w:r>
        <w:rPr>
          <w:rFonts w:cs="Open Sans"/>
        </w:rPr>
        <w:t>…</w:t>
      </w:r>
      <w:r w:rsidRPr="00A56EA8">
        <w:rPr>
          <w:rFonts w:cs="Open Sans"/>
        </w:rPr>
        <w:t>In addition to any intelligence holdings on individual detainees, the FDSP is required to take all available information into consideration as part of its decision making.</w:t>
      </w:r>
    </w:p>
    <w:p w14:paraId="6CBD4445" w14:textId="77777777" w:rsidR="00201C9D" w:rsidRDefault="00201C9D" w:rsidP="00201C9D">
      <w:pPr>
        <w:ind w:left="1440"/>
        <w:rPr>
          <w:rFonts w:cs="Open Sans"/>
        </w:rPr>
      </w:pPr>
      <w:r w:rsidRPr="006A4755">
        <w:rPr>
          <w:rFonts w:cs="Open Sans"/>
        </w:rPr>
        <w:t>This includes the:</w:t>
      </w:r>
    </w:p>
    <w:p w14:paraId="33F0EF19" w14:textId="77777777" w:rsidR="00201C9D" w:rsidRPr="006A4755" w:rsidRDefault="00201C9D" w:rsidP="000F7824">
      <w:pPr>
        <w:pStyle w:val="ListParagraph"/>
        <w:numPr>
          <w:ilvl w:val="0"/>
          <w:numId w:val="29"/>
        </w:numPr>
        <w:spacing w:after="160"/>
        <w:contextualSpacing/>
        <w:rPr>
          <w:rFonts w:cs="Open Sans"/>
        </w:rPr>
      </w:pPr>
      <w:r w:rsidRPr="006A4755">
        <w:rPr>
          <w:rFonts w:cs="Open Sans"/>
        </w:rPr>
        <w:t>Nature of any incidents,</w:t>
      </w:r>
    </w:p>
    <w:p w14:paraId="3D115871" w14:textId="77777777" w:rsidR="00201C9D" w:rsidRPr="006A4755" w:rsidRDefault="00201C9D" w:rsidP="000F7824">
      <w:pPr>
        <w:pStyle w:val="ListParagraph"/>
        <w:numPr>
          <w:ilvl w:val="0"/>
          <w:numId w:val="29"/>
        </w:numPr>
        <w:spacing w:after="160"/>
        <w:contextualSpacing/>
        <w:rPr>
          <w:rFonts w:cs="Open Sans"/>
        </w:rPr>
      </w:pPr>
      <w:r w:rsidRPr="006A4755">
        <w:rPr>
          <w:rFonts w:cs="Open Sans"/>
        </w:rPr>
        <w:t>The dorm and incident location,</w:t>
      </w:r>
    </w:p>
    <w:p w14:paraId="5D7AB008" w14:textId="77777777" w:rsidR="00201C9D" w:rsidRPr="006A4755" w:rsidRDefault="00201C9D" w:rsidP="000F7824">
      <w:pPr>
        <w:pStyle w:val="ListParagraph"/>
        <w:numPr>
          <w:ilvl w:val="0"/>
          <w:numId w:val="29"/>
        </w:numPr>
        <w:spacing w:after="160"/>
        <w:contextualSpacing/>
        <w:rPr>
          <w:rFonts w:cs="Open Sans"/>
        </w:rPr>
      </w:pPr>
      <w:r w:rsidRPr="006A4755">
        <w:rPr>
          <w:rFonts w:cs="Open Sans"/>
        </w:rPr>
        <w:t>Ability to move the offender or the victim,</w:t>
      </w:r>
    </w:p>
    <w:p w14:paraId="46BFF999" w14:textId="77777777" w:rsidR="00201C9D" w:rsidRPr="006A4755" w:rsidRDefault="00201C9D" w:rsidP="000F7824">
      <w:pPr>
        <w:pStyle w:val="ListParagraph"/>
        <w:numPr>
          <w:ilvl w:val="0"/>
          <w:numId w:val="29"/>
        </w:numPr>
        <w:spacing w:after="160"/>
        <w:contextualSpacing/>
        <w:rPr>
          <w:rFonts w:cs="Open Sans"/>
        </w:rPr>
      </w:pPr>
      <w:r w:rsidRPr="006A4755">
        <w:rPr>
          <w:rFonts w:cs="Open Sans"/>
        </w:rPr>
        <w:t>Any results of actions taken as part of detainee behaviour management, and /or</w:t>
      </w:r>
    </w:p>
    <w:p w14:paraId="4DD7427D" w14:textId="77777777" w:rsidR="00201C9D" w:rsidRPr="006A4755" w:rsidRDefault="00201C9D" w:rsidP="000F7824">
      <w:pPr>
        <w:pStyle w:val="ListParagraph"/>
        <w:numPr>
          <w:ilvl w:val="0"/>
          <w:numId w:val="29"/>
        </w:numPr>
        <w:spacing w:after="160"/>
        <w:contextualSpacing/>
        <w:rPr>
          <w:rFonts w:cs="Open Sans"/>
        </w:rPr>
      </w:pPr>
      <w:r w:rsidRPr="006A4755">
        <w:rPr>
          <w:rFonts w:cs="Open Sans"/>
        </w:rPr>
        <w:t>Conversations with the offenders and the victim as part of the incident response.</w:t>
      </w:r>
    </w:p>
    <w:p w14:paraId="561EA26E" w14:textId="77777777" w:rsidR="00201C9D" w:rsidRDefault="00201C9D" w:rsidP="000F7824">
      <w:pPr>
        <w:numPr>
          <w:ilvl w:val="0"/>
          <w:numId w:val="27"/>
        </w:numPr>
        <w:tabs>
          <w:tab w:val="num" w:pos="960"/>
        </w:tabs>
        <w:spacing w:after="160"/>
        <w:ind w:hanging="720"/>
        <w:rPr>
          <w:rFonts w:cs="Open Sans"/>
        </w:rPr>
      </w:pPr>
      <w:r w:rsidRPr="007878F8">
        <w:rPr>
          <w:rFonts w:cs="Open Sans"/>
        </w:rPr>
        <w:t>On 13 November 2017,</w:t>
      </w:r>
      <w:r>
        <w:rPr>
          <w:rFonts w:cs="Open Sans"/>
        </w:rPr>
        <w:t xml:space="preserve"> Serco and ABF officers exchanged emails regarding a request to move Mr </w:t>
      </w:r>
      <w:proofErr w:type="spellStart"/>
      <w:r>
        <w:rPr>
          <w:rFonts w:cs="Open Sans"/>
        </w:rPr>
        <w:t>Andrwas</w:t>
      </w:r>
      <w:proofErr w:type="spellEnd"/>
      <w:r>
        <w:rPr>
          <w:rFonts w:cs="Open Sans"/>
        </w:rPr>
        <w:t xml:space="preserve"> from Lachlan to Mitchell due to allegations that he was asking other detainees to assault the female detainee and intimidate her family. The emails are primarily focused on various allegations raised by the female detainee against Mr </w:t>
      </w:r>
      <w:proofErr w:type="spellStart"/>
      <w:r>
        <w:rPr>
          <w:rFonts w:cs="Open Sans"/>
        </w:rPr>
        <w:t>Andrwas</w:t>
      </w:r>
      <w:proofErr w:type="spellEnd"/>
      <w:r>
        <w:rPr>
          <w:rFonts w:cs="Open Sans"/>
        </w:rPr>
        <w:t xml:space="preserve">. However, one email from the Serco officer states that, in response to the female detainee’s allegations, Mr </w:t>
      </w:r>
      <w:proofErr w:type="spellStart"/>
      <w:r>
        <w:rPr>
          <w:rFonts w:cs="Open Sans"/>
        </w:rPr>
        <w:t>Andrwas</w:t>
      </w:r>
      <w:proofErr w:type="spellEnd"/>
      <w:r>
        <w:rPr>
          <w:rFonts w:cs="Open Sans"/>
        </w:rPr>
        <w:t xml:space="preserve"> said that the female detainee had assaulted him in the community grass area, and that Serco are waiting on footage to verify this. </w:t>
      </w:r>
    </w:p>
    <w:p w14:paraId="704A3AD0" w14:textId="77777777" w:rsidR="00201C9D" w:rsidRDefault="00201C9D" w:rsidP="000F7824">
      <w:pPr>
        <w:numPr>
          <w:ilvl w:val="0"/>
          <w:numId w:val="27"/>
        </w:numPr>
        <w:tabs>
          <w:tab w:val="num" w:pos="960"/>
        </w:tabs>
        <w:spacing w:after="160"/>
        <w:ind w:hanging="720"/>
        <w:rPr>
          <w:rFonts w:cs="Open Sans"/>
        </w:rPr>
      </w:pPr>
      <w:r>
        <w:rPr>
          <w:rFonts w:cs="Open Sans"/>
        </w:rPr>
        <w:t xml:space="preserve">Ultimately, the ABF officer’s view was that there </w:t>
      </w:r>
      <w:r w:rsidRPr="007878F8">
        <w:rPr>
          <w:rFonts w:cs="Open Sans"/>
        </w:rPr>
        <w:t xml:space="preserve">was not enough evidence </w:t>
      </w:r>
      <w:r>
        <w:rPr>
          <w:rFonts w:cs="Open Sans"/>
        </w:rPr>
        <w:t xml:space="preserve">to require </w:t>
      </w:r>
      <w:r w:rsidRPr="007878F8">
        <w:rPr>
          <w:rFonts w:cs="Open Sans"/>
        </w:rPr>
        <w:t xml:space="preserve">Mr </w:t>
      </w:r>
      <w:proofErr w:type="spellStart"/>
      <w:r w:rsidRPr="007878F8">
        <w:rPr>
          <w:rFonts w:cs="Open Sans"/>
        </w:rPr>
        <w:t>Andrwas</w:t>
      </w:r>
      <w:proofErr w:type="spellEnd"/>
      <w:r w:rsidRPr="007878F8">
        <w:rPr>
          <w:rFonts w:cs="Open Sans"/>
        </w:rPr>
        <w:t xml:space="preserve"> to be moved to a more restrictive compound, noting the decision could be revisited if further evidence became available.</w:t>
      </w:r>
      <w:r>
        <w:rPr>
          <w:rFonts w:cs="Open Sans"/>
        </w:rPr>
        <w:t xml:space="preserve"> The ABF officer also indicated that they ‘can discuss placement at DPPC – or earlier if a critical threat to safety is established’. </w:t>
      </w:r>
    </w:p>
    <w:p w14:paraId="6ABF2A22" w14:textId="77777777" w:rsidR="00201C9D" w:rsidRPr="00937A33" w:rsidRDefault="00201C9D" w:rsidP="000F7824">
      <w:pPr>
        <w:numPr>
          <w:ilvl w:val="0"/>
          <w:numId w:val="27"/>
        </w:numPr>
        <w:tabs>
          <w:tab w:val="num" w:pos="960"/>
        </w:tabs>
        <w:spacing w:after="160"/>
        <w:ind w:hanging="720"/>
        <w:rPr>
          <w:rFonts w:cs="Open Sans"/>
        </w:rPr>
      </w:pPr>
      <w:r>
        <w:rPr>
          <w:rFonts w:cs="Open Sans"/>
        </w:rPr>
        <w:t xml:space="preserve">On 15 November 2017 at 11:30am, there was a Detainee Placement Preventative Committee (DPPC) meeting with representatives from ABF, the Department, Serco, and </w:t>
      </w:r>
      <w:r w:rsidRPr="00937A33">
        <w:rPr>
          <w:rFonts w:cs="Open Sans"/>
        </w:rPr>
        <w:t>International Health and Medical Services (IHMS)</w:t>
      </w:r>
      <w:r>
        <w:rPr>
          <w:rFonts w:cs="Open Sans"/>
        </w:rPr>
        <w:t xml:space="preserve">. Amongst other things, the placement of Mr </w:t>
      </w:r>
      <w:proofErr w:type="spellStart"/>
      <w:r>
        <w:rPr>
          <w:rFonts w:cs="Open Sans"/>
        </w:rPr>
        <w:t>Andrwas</w:t>
      </w:r>
      <w:proofErr w:type="spellEnd"/>
      <w:r>
        <w:rPr>
          <w:rFonts w:cs="Open Sans"/>
        </w:rPr>
        <w:t xml:space="preserve"> in the Lachlan compound was discussed. The DPPC meeting minutes state that ‘ABF advised behaviour expectations to be reflected in both IMPs. Stakeholders discussion regarding the detainees and all agreed at this time Placements Remain’. It is unclear what was discussed regarding the detainees and whether this included </w:t>
      </w:r>
      <w:r w:rsidRPr="00937A33">
        <w:rPr>
          <w:rFonts w:cs="Open Sans"/>
        </w:rPr>
        <w:t xml:space="preserve">any discussion of the 11 November Incident. </w:t>
      </w:r>
    </w:p>
    <w:p w14:paraId="42C03BD5" w14:textId="77777777" w:rsidR="00201C9D" w:rsidRPr="00937A33" w:rsidRDefault="00201C9D" w:rsidP="000F7824">
      <w:pPr>
        <w:numPr>
          <w:ilvl w:val="0"/>
          <w:numId w:val="27"/>
        </w:numPr>
        <w:tabs>
          <w:tab w:val="num" w:pos="960"/>
        </w:tabs>
        <w:spacing w:after="160"/>
        <w:ind w:hanging="720"/>
        <w:rPr>
          <w:rFonts w:cs="Open Sans"/>
        </w:rPr>
      </w:pPr>
      <w:r>
        <w:rPr>
          <w:rFonts w:cs="Open Sans"/>
        </w:rPr>
        <w:lastRenderedPageBreak/>
        <w:t xml:space="preserve">On 15 November 2017 at 1pm, there was an </w:t>
      </w:r>
      <w:r w:rsidRPr="00937A33">
        <w:rPr>
          <w:rFonts w:cs="Open Sans"/>
        </w:rPr>
        <w:t xml:space="preserve">Individual Management and Placement Review Committee (IMPRC) </w:t>
      </w:r>
      <w:r>
        <w:rPr>
          <w:rFonts w:cs="Open Sans"/>
        </w:rPr>
        <w:t>m</w:t>
      </w:r>
      <w:r w:rsidRPr="00937A33">
        <w:rPr>
          <w:rFonts w:cs="Open Sans"/>
        </w:rPr>
        <w:t>eeting</w:t>
      </w:r>
      <w:r>
        <w:rPr>
          <w:rFonts w:cs="Open Sans"/>
        </w:rPr>
        <w:t xml:space="preserve">.  During that meeting, </w:t>
      </w:r>
      <w:r w:rsidRPr="00937A33">
        <w:rPr>
          <w:rFonts w:cs="Open Sans"/>
        </w:rPr>
        <w:t xml:space="preserve">Serco made a referral </w:t>
      </w:r>
      <w:r>
        <w:rPr>
          <w:rFonts w:cs="Open Sans"/>
        </w:rPr>
        <w:t xml:space="preserve">for the IMPRC </w:t>
      </w:r>
      <w:r w:rsidRPr="00937A33">
        <w:rPr>
          <w:rFonts w:cs="Open Sans"/>
        </w:rPr>
        <w:t>to consider</w:t>
      </w:r>
      <w:r>
        <w:rPr>
          <w:rFonts w:cs="Open Sans"/>
        </w:rPr>
        <w:t xml:space="preserve"> the issues relating to </w:t>
      </w:r>
      <w:r w:rsidRPr="00937A33">
        <w:rPr>
          <w:rFonts w:cs="Open Sans"/>
        </w:rPr>
        <w:t xml:space="preserve">Mr </w:t>
      </w:r>
      <w:proofErr w:type="spellStart"/>
      <w:r w:rsidRPr="00937A33">
        <w:rPr>
          <w:rFonts w:cs="Open Sans"/>
        </w:rPr>
        <w:t>Andrwas</w:t>
      </w:r>
      <w:proofErr w:type="spellEnd"/>
      <w:r w:rsidRPr="00937A33">
        <w:rPr>
          <w:rFonts w:cs="Open Sans"/>
        </w:rPr>
        <w:t xml:space="preserve"> and the female detainee</w:t>
      </w:r>
      <w:r>
        <w:rPr>
          <w:rFonts w:cs="Open Sans"/>
        </w:rPr>
        <w:t>, including whether their current placement was appropriate</w:t>
      </w:r>
      <w:r w:rsidRPr="00937A33">
        <w:rPr>
          <w:rFonts w:cs="Open Sans"/>
        </w:rPr>
        <w:t>.</w:t>
      </w:r>
      <w:r>
        <w:rPr>
          <w:rFonts w:cs="Open Sans"/>
        </w:rPr>
        <w:t xml:space="preserve"> </w:t>
      </w:r>
    </w:p>
    <w:p w14:paraId="63C44048" w14:textId="77777777" w:rsidR="00201C9D" w:rsidRPr="00937A33" w:rsidRDefault="00201C9D" w:rsidP="000F7824">
      <w:pPr>
        <w:numPr>
          <w:ilvl w:val="0"/>
          <w:numId w:val="27"/>
        </w:numPr>
        <w:tabs>
          <w:tab w:val="num" w:pos="960"/>
        </w:tabs>
        <w:spacing w:after="160"/>
        <w:ind w:hanging="720"/>
        <w:rPr>
          <w:rFonts w:cs="Open Sans"/>
        </w:rPr>
      </w:pPr>
      <w:r w:rsidRPr="00937A33">
        <w:rPr>
          <w:rFonts w:cs="Open Sans"/>
        </w:rPr>
        <w:t xml:space="preserve">The Department indicated in its response to the Commission that the stakeholders agreed that there was insufficient evidence to move Mr </w:t>
      </w:r>
      <w:proofErr w:type="spellStart"/>
      <w:r w:rsidRPr="00937A33">
        <w:rPr>
          <w:rFonts w:cs="Open Sans"/>
        </w:rPr>
        <w:t>Andrwas</w:t>
      </w:r>
      <w:proofErr w:type="spellEnd"/>
      <w:r w:rsidRPr="00937A33">
        <w:rPr>
          <w:rFonts w:cs="Open Sans"/>
        </w:rPr>
        <w:t xml:space="preserve"> to a more restrictive compound. However, there was no discussion at that point of whether to move the female detainee to another facility. </w:t>
      </w:r>
    </w:p>
    <w:p w14:paraId="7AE2E531" w14:textId="77777777" w:rsidR="00201C9D" w:rsidRPr="00937A33" w:rsidRDefault="00201C9D" w:rsidP="000F7824">
      <w:pPr>
        <w:numPr>
          <w:ilvl w:val="0"/>
          <w:numId w:val="27"/>
        </w:numPr>
        <w:tabs>
          <w:tab w:val="num" w:pos="960"/>
        </w:tabs>
        <w:spacing w:after="160"/>
        <w:ind w:hanging="720"/>
        <w:rPr>
          <w:rFonts w:cs="Open Sans"/>
        </w:rPr>
      </w:pPr>
      <w:bookmarkStart w:id="36" w:name="_Ref113368574"/>
      <w:r w:rsidRPr="00937A33">
        <w:rPr>
          <w:rFonts w:cs="Open Sans"/>
        </w:rPr>
        <w:t>This is confirmed by the minutes of the IMPRC meeting on 15 November 2017 (IMPRC minutes), which states that:</w:t>
      </w:r>
      <w:bookmarkEnd w:id="36"/>
      <w:r w:rsidRPr="00937A33">
        <w:rPr>
          <w:rFonts w:cs="Open Sans"/>
        </w:rPr>
        <w:t xml:space="preserve"> </w:t>
      </w:r>
    </w:p>
    <w:p w14:paraId="6D7F7D3D" w14:textId="77777777" w:rsidR="00201C9D" w:rsidRDefault="00201C9D" w:rsidP="000F7824">
      <w:pPr>
        <w:numPr>
          <w:ilvl w:val="1"/>
          <w:numId w:val="27"/>
        </w:numPr>
        <w:spacing w:after="160"/>
        <w:rPr>
          <w:rFonts w:cs="Open Sans"/>
        </w:rPr>
      </w:pPr>
      <w:r w:rsidRPr="00937A33">
        <w:rPr>
          <w:rFonts w:cs="Open Sans"/>
        </w:rPr>
        <w:t>the matter was referred to the IMPRC as ‘there appears to be emerging issues from their shared past relationship … which has the potential to escalate in the future’.</w:t>
      </w:r>
    </w:p>
    <w:p w14:paraId="4EF4717D" w14:textId="77777777" w:rsidR="00201C9D" w:rsidRPr="00FD5AF5" w:rsidRDefault="00201C9D" w:rsidP="000F7824">
      <w:pPr>
        <w:numPr>
          <w:ilvl w:val="1"/>
          <w:numId w:val="27"/>
        </w:numPr>
        <w:spacing w:after="160"/>
        <w:rPr>
          <w:rFonts w:cs="Open Sans"/>
        </w:rPr>
      </w:pPr>
      <w:r w:rsidRPr="00FD5AF5">
        <w:rPr>
          <w:rFonts w:cs="Open Sans"/>
        </w:rPr>
        <w:t>‘…the reason for nominating this detainee and detainee below is due to their previous history outside of detention and the hostility they show each other…Last week detainees were noted having aggressive conversations in the community area, when approached, told officers that they were only chatting and there are no issues between them.’</w:t>
      </w:r>
    </w:p>
    <w:p w14:paraId="12B2AAA5" w14:textId="77777777" w:rsidR="00201C9D" w:rsidRPr="00937A33" w:rsidRDefault="00201C9D" w:rsidP="000F7824">
      <w:pPr>
        <w:numPr>
          <w:ilvl w:val="1"/>
          <w:numId w:val="27"/>
        </w:numPr>
        <w:spacing w:after="160"/>
        <w:rPr>
          <w:rFonts w:cs="Open Sans"/>
        </w:rPr>
      </w:pPr>
      <w:r w:rsidRPr="00937A33">
        <w:rPr>
          <w:rFonts w:cs="Open Sans"/>
        </w:rPr>
        <w:t xml:space="preserve">The detainees had a relationship outside of detention, which ended when Mr </w:t>
      </w:r>
      <w:proofErr w:type="spellStart"/>
      <w:r w:rsidRPr="00937A33">
        <w:rPr>
          <w:rFonts w:cs="Open Sans"/>
        </w:rPr>
        <w:t>Andrwas</w:t>
      </w:r>
      <w:proofErr w:type="spellEnd"/>
      <w:r w:rsidRPr="00937A33">
        <w:rPr>
          <w:rFonts w:cs="Open Sans"/>
        </w:rPr>
        <w:t xml:space="preserve"> went to jail. </w:t>
      </w:r>
    </w:p>
    <w:p w14:paraId="6B49346F" w14:textId="77777777" w:rsidR="00201C9D" w:rsidRPr="00937A33" w:rsidRDefault="00201C9D" w:rsidP="000F7824">
      <w:pPr>
        <w:numPr>
          <w:ilvl w:val="1"/>
          <w:numId w:val="27"/>
        </w:numPr>
        <w:spacing w:after="160"/>
        <w:rPr>
          <w:rFonts w:cs="Open Sans"/>
        </w:rPr>
      </w:pPr>
      <w:r w:rsidRPr="00937A33">
        <w:rPr>
          <w:rFonts w:cs="Open Sans"/>
        </w:rPr>
        <w:t xml:space="preserve">The female detainee had informed her case manager that Mr </w:t>
      </w:r>
      <w:proofErr w:type="spellStart"/>
      <w:r w:rsidRPr="00937A33">
        <w:rPr>
          <w:rFonts w:cs="Open Sans"/>
        </w:rPr>
        <w:t>Andrwas</w:t>
      </w:r>
      <w:proofErr w:type="spellEnd"/>
      <w:r w:rsidRPr="00937A33">
        <w:rPr>
          <w:rFonts w:cs="Open Sans"/>
        </w:rPr>
        <w:t xml:space="preserve"> reported her to the police to have her brought to detention. The female detainee also said that ‘she does not feel safe around detainee ANDRWAS and he has threatened to have her beaten up by other detainees’. </w:t>
      </w:r>
    </w:p>
    <w:p w14:paraId="726D84E0" w14:textId="77777777" w:rsidR="00201C9D" w:rsidRPr="00937A33" w:rsidRDefault="00201C9D" w:rsidP="000F7824">
      <w:pPr>
        <w:numPr>
          <w:ilvl w:val="1"/>
          <w:numId w:val="27"/>
        </w:numPr>
        <w:spacing w:after="160"/>
        <w:rPr>
          <w:rFonts w:cs="Open Sans"/>
        </w:rPr>
      </w:pPr>
      <w:r w:rsidRPr="00937A33">
        <w:rPr>
          <w:rFonts w:cs="Open Sans"/>
        </w:rPr>
        <w:t>In the previous week, the female detainee had asked ‘DSM officer to escort her visiting boyfriend from VIDC [Villawood] due to detainee ANDRWAS’s threats that someone was going to follow her boyfriend home. The DSM officer has not noted anyone suspicious when escorting her boyfriend.’</w:t>
      </w:r>
    </w:p>
    <w:p w14:paraId="6E8F7DA2" w14:textId="77777777" w:rsidR="00201C9D" w:rsidRPr="00937A33" w:rsidRDefault="00201C9D" w:rsidP="000F7824">
      <w:pPr>
        <w:numPr>
          <w:ilvl w:val="1"/>
          <w:numId w:val="27"/>
        </w:numPr>
        <w:spacing w:after="160"/>
        <w:rPr>
          <w:rFonts w:cs="Open Sans"/>
        </w:rPr>
      </w:pPr>
      <w:r w:rsidRPr="00937A33">
        <w:rPr>
          <w:rFonts w:cs="Open Sans"/>
        </w:rPr>
        <w:t>The case manager queried if the current placement of both detainees in the community area was appropriate. ABF stated that ‘due to allegations coming from both detainees and no proof of any wrong doing, at this stage, current placement is appropriate’.</w:t>
      </w:r>
    </w:p>
    <w:p w14:paraId="11D39E39" w14:textId="77777777" w:rsidR="00201C9D" w:rsidRPr="00937A33" w:rsidRDefault="00201C9D" w:rsidP="000F7824">
      <w:pPr>
        <w:numPr>
          <w:ilvl w:val="1"/>
          <w:numId w:val="27"/>
        </w:numPr>
        <w:spacing w:after="160"/>
        <w:rPr>
          <w:rFonts w:cs="Open Sans"/>
        </w:rPr>
      </w:pPr>
      <w:r w:rsidRPr="00937A33">
        <w:rPr>
          <w:rFonts w:cs="Open Sans"/>
        </w:rPr>
        <w:lastRenderedPageBreak/>
        <w:t xml:space="preserve">The Chair concluded that ‘placement is appropriate, Serco continue to support and manage as per usual, encourage to stay away from each other. No actions identified.’ </w:t>
      </w:r>
    </w:p>
    <w:p w14:paraId="7E69B99C" w14:textId="77777777" w:rsidR="00201C9D" w:rsidRPr="00937A33" w:rsidRDefault="00201C9D" w:rsidP="000F7824">
      <w:pPr>
        <w:numPr>
          <w:ilvl w:val="0"/>
          <w:numId w:val="27"/>
        </w:numPr>
        <w:tabs>
          <w:tab w:val="num" w:pos="960"/>
        </w:tabs>
        <w:spacing w:after="160"/>
        <w:ind w:hanging="720"/>
        <w:rPr>
          <w:rFonts w:cs="Open Sans"/>
        </w:rPr>
      </w:pPr>
      <w:r w:rsidRPr="00937A33">
        <w:rPr>
          <w:rFonts w:cs="Open Sans"/>
        </w:rPr>
        <w:t xml:space="preserve">The IMPRC minutes do not expressly record any discussion or consideration of the 11 November Incident. </w:t>
      </w:r>
    </w:p>
    <w:p w14:paraId="39028BC2" w14:textId="77777777" w:rsidR="00201C9D" w:rsidRPr="00937A33" w:rsidRDefault="00201C9D" w:rsidP="000F7824">
      <w:pPr>
        <w:numPr>
          <w:ilvl w:val="0"/>
          <w:numId w:val="27"/>
        </w:numPr>
        <w:tabs>
          <w:tab w:val="num" w:pos="960"/>
        </w:tabs>
        <w:spacing w:after="160"/>
        <w:ind w:hanging="720"/>
        <w:rPr>
          <w:rFonts w:cs="Open Sans"/>
        </w:rPr>
      </w:pPr>
      <w:r w:rsidRPr="00937A33">
        <w:rPr>
          <w:rFonts w:cs="Open Sans"/>
        </w:rPr>
        <w:t xml:space="preserve">In his complaint, Mr </w:t>
      </w:r>
      <w:proofErr w:type="spellStart"/>
      <w:r w:rsidRPr="00937A33">
        <w:rPr>
          <w:rFonts w:cs="Open Sans"/>
        </w:rPr>
        <w:t>Andrwas</w:t>
      </w:r>
      <w:proofErr w:type="spellEnd"/>
      <w:r w:rsidRPr="00937A33">
        <w:rPr>
          <w:rFonts w:cs="Open Sans"/>
        </w:rPr>
        <w:t xml:space="preserve"> appears to refer to the complaints raised by the female detainee mentioned above. He says that in November 2017:</w:t>
      </w:r>
    </w:p>
    <w:p w14:paraId="31B87582" w14:textId="77777777" w:rsidR="00201C9D" w:rsidRPr="00937A33" w:rsidRDefault="00201C9D" w:rsidP="00201C9D">
      <w:pPr>
        <w:ind w:left="1440"/>
        <w:rPr>
          <w:rFonts w:cs="Open Sans"/>
        </w:rPr>
      </w:pPr>
      <w:r w:rsidRPr="00937A33">
        <w:rPr>
          <w:rFonts w:cs="Open Sans"/>
        </w:rPr>
        <w:t xml:space="preserve">When we both had visitors at the same time, she went to the Serco officer and said it was going to be a problem for us to see visitors at the same time. She falsely accused me of wanting to bash her and that she was scared of me because she wanted to apply for a protection visa. I deny I had ever made any threats against her or tried to harm her. I avoided speaking to her at all. </w:t>
      </w:r>
    </w:p>
    <w:p w14:paraId="0C80C283" w14:textId="77777777" w:rsidR="00201C9D" w:rsidRPr="00937A33" w:rsidRDefault="00201C9D" w:rsidP="000F7824">
      <w:pPr>
        <w:numPr>
          <w:ilvl w:val="0"/>
          <w:numId w:val="27"/>
        </w:numPr>
        <w:tabs>
          <w:tab w:val="num" w:pos="960"/>
        </w:tabs>
        <w:spacing w:after="160"/>
        <w:ind w:hanging="720"/>
        <w:rPr>
          <w:rFonts w:cs="Open Sans"/>
        </w:rPr>
      </w:pPr>
      <w:r w:rsidRPr="00937A33">
        <w:rPr>
          <w:rFonts w:cs="Open Sans"/>
        </w:rPr>
        <w:t xml:space="preserve">The discussion in the IMPRC meeting was summarised in an Individual Management Review for Mr </w:t>
      </w:r>
      <w:proofErr w:type="spellStart"/>
      <w:r w:rsidRPr="00937A33">
        <w:rPr>
          <w:rFonts w:cs="Open Sans"/>
        </w:rPr>
        <w:t>Andrwas</w:t>
      </w:r>
      <w:proofErr w:type="spellEnd"/>
      <w:r w:rsidRPr="00937A33">
        <w:rPr>
          <w:rFonts w:cs="Open Sans"/>
        </w:rPr>
        <w:t xml:space="preserve"> dated 15 November 2021. It similarly confirms that no action items or further issues were identified. It also states that ‘if further issues arise, then it will be actioned accordingly’. </w:t>
      </w:r>
    </w:p>
    <w:p w14:paraId="42B2DD9A" w14:textId="77777777" w:rsidR="00201C9D" w:rsidRPr="00504C08" w:rsidRDefault="00201C9D" w:rsidP="000F7824">
      <w:pPr>
        <w:numPr>
          <w:ilvl w:val="0"/>
          <w:numId w:val="27"/>
        </w:numPr>
        <w:tabs>
          <w:tab w:val="num" w:pos="960"/>
        </w:tabs>
        <w:spacing w:after="160"/>
        <w:ind w:hanging="720"/>
        <w:rPr>
          <w:rFonts w:cs="Open Sans"/>
        </w:rPr>
      </w:pPr>
      <w:r w:rsidRPr="00937A33">
        <w:rPr>
          <w:rFonts w:cs="Open Sans"/>
        </w:rPr>
        <w:t xml:space="preserve">The Department provided an Individual Management Plan Review (IMPR) for Mr </w:t>
      </w:r>
      <w:proofErr w:type="spellStart"/>
      <w:r w:rsidRPr="00937A33">
        <w:rPr>
          <w:rFonts w:cs="Open Sans"/>
        </w:rPr>
        <w:t>Andrwas</w:t>
      </w:r>
      <w:proofErr w:type="spellEnd"/>
      <w:r w:rsidRPr="00937A33">
        <w:rPr>
          <w:rFonts w:cs="Open Sans"/>
        </w:rPr>
        <w:t xml:space="preserve"> dated 16 November 2021</w:t>
      </w:r>
      <w:r>
        <w:rPr>
          <w:rFonts w:cs="Open Sans"/>
        </w:rPr>
        <w:t xml:space="preserve">. It states </w:t>
      </w:r>
      <w:r w:rsidRPr="00937A33">
        <w:rPr>
          <w:rFonts w:cs="Open Sans"/>
        </w:rPr>
        <w:t>that</w:t>
      </w:r>
      <w:r>
        <w:rPr>
          <w:rFonts w:cs="Open Sans"/>
        </w:rPr>
        <w:t xml:space="preserve"> Mr </w:t>
      </w:r>
      <w:proofErr w:type="spellStart"/>
      <w:r>
        <w:rPr>
          <w:rFonts w:cs="Open Sans"/>
        </w:rPr>
        <w:t>Andrwas</w:t>
      </w:r>
      <w:proofErr w:type="spellEnd"/>
      <w:r>
        <w:rPr>
          <w:rFonts w:cs="Open Sans"/>
        </w:rPr>
        <w:t xml:space="preserve"> ‘</w:t>
      </w:r>
      <w:r w:rsidRPr="00504C08">
        <w:rPr>
          <w:rFonts w:cs="Open Sans"/>
        </w:rPr>
        <w:t>was involved in an incident on 11/11/2017 Assault Minor IR727646</w:t>
      </w:r>
      <w:r>
        <w:rPr>
          <w:rFonts w:cs="Open Sans"/>
        </w:rPr>
        <w:t xml:space="preserve">’ and provides the following summary of his conversation with a Serco officer: </w:t>
      </w:r>
    </w:p>
    <w:p w14:paraId="62EC37C2" w14:textId="77777777" w:rsidR="00201C9D" w:rsidRPr="00937A33" w:rsidRDefault="00201C9D" w:rsidP="00201C9D">
      <w:pPr>
        <w:ind w:left="1440"/>
        <w:rPr>
          <w:rFonts w:cs="Open Sans"/>
        </w:rPr>
      </w:pPr>
      <w:r w:rsidRPr="00937A33">
        <w:rPr>
          <w:rFonts w:cs="Open Sans"/>
        </w:rPr>
        <w:t xml:space="preserve">[Redacted] assaulted him in the community grass area (awaiting footage to verify IR being completed). </w:t>
      </w:r>
    </w:p>
    <w:p w14:paraId="1B23ED03" w14:textId="77777777" w:rsidR="00201C9D" w:rsidRPr="00937A33" w:rsidRDefault="00201C9D" w:rsidP="00201C9D">
      <w:pPr>
        <w:ind w:left="1440"/>
        <w:rPr>
          <w:rFonts w:cs="Open Sans"/>
        </w:rPr>
      </w:pPr>
      <w:r w:rsidRPr="00937A33">
        <w:rPr>
          <w:rFonts w:cs="Open Sans"/>
        </w:rPr>
        <w:t>He is the reason [Redacted] is in this place as he called immigration on her that’s why she is making up story’s [Redacted] just wants to get me back</w:t>
      </w:r>
    </w:p>
    <w:p w14:paraId="4C485645" w14:textId="77777777" w:rsidR="00201C9D" w:rsidRPr="00937A33" w:rsidRDefault="00201C9D" w:rsidP="00201C9D">
      <w:pPr>
        <w:ind w:left="1440"/>
        <w:rPr>
          <w:rFonts w:cs="Open Sans"/>
        </w:rPr>
      </w:pPr>
      <w:r w:rsidRPr="00937A33">
        <w:rPr>
          <w:rFonts w:cs="Open Sans"/>
        </w:rPr>
        <w:t xml:space="preserve">Mr ANDRWAS denied all the allegations above. </w:t>
      </w:r>
    </w:p>
    <w:p w14:paraId="0E22682A" w14:textId="77777777" w:rsidR="00201C9D" w:rsidRPr="00937A33" w:rsidRDefault="00201C9D" w:rsidP="00201C9D">
      <w:pPr>
        <w:ind w:left="1440"/>
        <w:rPr>
          <w:rFonts w:cs="Open Sans"/>
        </w:rPr>
      </w:pPr>
      <w:r w:rsidRPr="00937A33">
        <w:rPr>
          <w:rFonts w:cs="Open Sans"/>
        </w:rPr>
        <w:t>DETAINEE ANDRWAS was reminded of his rights and responsibilities and that any further incidents could result in him being placed on a BMP [Behaviour Management Plan]. The incident was raised at the IMPRC meeting on the 15/11/2017.</w:t>
      </w:r>
    </w:p>
    <w:p w14:paraId="5902D797" w14:textId="77777777" w:rsidR="00201C9D" w:rsidRPr="00937A33" w:rsidRDefault="00201C9D" w:rsidP="000F7824">
      <w:pPr>
        <w:numPr>
          <w:ilvl w:val="0"/>
          <w:numId w:val="27"/>
        </w:numPr>
        <w:tabs>
          <w:tab w:val="num" w:pos="960"/>
        </w:tabs>
        <w:spacing w:after="160"/>
        <w:ind w:hanging="720"/>
        <w:rPr>
          <w:rFonts w:cs="Open Sans"/>
        </w:rPr>
      </w:pPr>
      <w:r w:rsidRPr="00937A33">
        <w:rPr>
          <w:rFonts w:cs="Open Sans"/>
        </w:rPr>
        <w:t xml:space="preserve">I assume that the redacted name is the female detainee. It is unclear exactly what allegations were denied by Mr </w:t>
      </w:r>
      <w:proofErr w:type="spellStart"/>
      <w:r w:rsidRPr="00937A33">
        <w:rPr>
          <w:rFonts w:cs="Open Sans"/>
        </w:rPr>
        <w:t>Andrwas</w:t>
      </w:r>
      <w:proofErr w:type="spellEnd"/>
      <w:r w:rsidRPr="00937A33">
        <w:rPr>
          <w:rFonts w:cs="Open Sans"/>
        </w:rPr>
        <w:t>, but I assume these were the complaints made by the female detainee against him</w:t>
      </w:r>
      <w:r>
        <w:rPr>
          <w:rFonts w:cs="Open Sans"/>
        </w:rPr>
        <w:t xml:space="preserve"> (such as those discussed by the IMPRC in paragraph </w:t>
      </w:r>
      <w:r>
        <w:rPr>
          <w:rFonts w:cs="Open Sans"/>
        </w:rPr>
        <w:fldChar w:fldCharType="begin"/>
      </w:r>
      <w:r>
        <w:rPr>
          <w:rFonts w:cs="Open Sans"/>
        </w:rPr>
        <w:instrText xml:space="preserve"> REF _Ref113368574 \r \h </w:instrText>
      </w:r>
      <w:r>
        <w:rPr>
          <w:rFonts w:cs="Open Sans"/>
        </w:rPr>
      </w:r>
      <w:r>
        <w:rPr>
          <w:rFonts w:cs="Open Sans"/>
        </w:rPr>
        <w:fldChar w:fldCharType="separate"/>
      </w:r>
      <w:r>
        <w:rPr>
          <w:rFonts w:cs="Open Sans"/>
        </w:rPr>
        <w:t>68</w:t>
      </w:r>
      <w:r>
        <w:rPr>
          <w:rFonts w:cs="Open Sans"/>
        </w:rPr>
        <w:fldChar w:fldCharType="end"/>
      </w:r>
      <w:r>
        <w:rPr>
          <w:rFonts w:cs="Open Sans"/>
        </w:rPr>
        <w:t>)</w:t>
      </w:r>
      <w:r w:rsidRPr="00937A33">
        <w:rPr>
          <w:rFonts w:cs="Open Sans"/>
        </w:rPr>
        <w:t xml:space="preserve">. </w:t>
      </w:r>
    </w:p>
    <w:p w14:paraId="5D15AEDE" w14:textId="77777777" w:rsidR="00201C9D" w:rsidRDefault="00201C9D" w:rsidP="000F7824">
      <w:pPr>
        <w:numPr>
          <w:ilvl w:val="0"/>
          <w:numId w:val="27"/>
        </w:numPr>
        <w:tabs>
          <w:tab w:val="num" w:pos="960"/>
        </w:tabs>
        <w:spacing w:after="160"/>
        <w:ind w:hanging="720"/>
        <w:rPr>
          <w:rFonts w:cs="Open Sans"/>
        </w:rPr>
      </w:pPr>
      <w:r w:rsidRPr="00937A33">
        <w:rPr>
          <w:rFonts w:cs="Open Sans"/>
        </w:rPr>
        <w:lastRenderedPageBreak/>
        <w:t xml:space="preserve">This document states that the incident was raised at the IMPRC meeting on 15 November 2017. However, it is unclear whether the incident referred to is the 11 November Incident or the complaints made by the female detainee. As stated above, the IMPRC minutes do not expressly record any discussion of the 11 November Incident, but do reference the complaints made by the female detainee. </w:t>
      </w:r>
    </w:p>
    <w:p w14:paraId="23E273E2" w14:textId="77777777" w:rsidR="00201C9D" w:rsidRDefault="00201C9D" w:rsidP="000F7824">
      <w:pPr>
        <w:numPr>
          <w:ilvl w:val="0"/>
          <w:numId w:val="27"/>
        </w:numPr>
        <w:tabs>
          <w:tab w:val="num" w:pos="960"/>
        </w:tabs>
        <w:spacing w:after="160"/>
        <w:ind w:hanging="720"/>
        <w:rPr>
          <w:rFonts w:cs="Open Sans"/>
        </w:rPr>
      </w:pPr>
      <w:r w:rsidRPr="00937A33">
        <w:rPr>
          <w:rFonts w:cs="Open Sans"/>
        </w:rPr>
        <w:t xml:space="preserve">The IMPR does not detail any </w:t>
      </w:r>
      <w:r>
        <w:rPr>
          <w:rFonts w:cs="Open Sans"/>
        </w:rPr>
        <w:t xml:space="preserve">other </w:t>
      </w:r>
      <w:r w:rsidRPr="00937A33">
        <w:rPr>
          <w:rFonts w:cs="Open Sans"/>
        </w:rPr>
        <w:t xml:space="preserve">actions taken by the Department in response to the 11 November Incident or otherwise in relation to Mr </w:t>
      </w:r>
      <w:proofErr w:type="spellStart"/>
      <w:r w:rsidRPr="00937A33">
        <w:rPr>
          <w:rFonts w:cs="Open Sans"/>
        </w:rPr>
        <w:t>Andrwas</w:t>
      </w:r>
      <w:proofErr w:type="spellEnd"/>
      <w:r w:rsidRPr="00937A33">
        <w:rPr>
          <w:rFonts w:cs="Open Sans"/>
        </w:rPr>
        <w:t xml:space="preserve">’ safety. </w:t>
      </w:r>
    </w:p>
    <w:p w14:paraId="41847AE5" w14:textId="77777777" w:rsidR="00201C9D" w:rsidRPr="00937A33" w:rsidRDefault="00201C9D" w:rsidP="000F7824">
      <w:pPr>
        <w:numPr>
          <w:ilvl w:val="0"/>
          <w:numId w:val="27"/>
        </w:numPr>
        <w:tabs>
          <w:tab w:val="num" w:pos="960"/>
        </w:tabs>
        <w:spacing w:after="160"/>
        <w:ind w:hanging="720"/>
        <w:rPr>
          <w:rFonts w:cs="Open Sans"/>
        </w:rPr>
      </w:pPr>
      <w:r>
        <w:rPr>
          <w:rFonts w:cs="Open Sans"/>
        </w:rPr>
        <w:t xml:space="preserve">The Department has advised that on 16 November 2017, a Detainee Service Officer (DSO) spoke to the female detainee as part of her IMPR. She was ‘reminded of her rights and responsibilities and advised that further incidents could result in her being placed on a BMP. The incident was raised at the IMPRC meeting on 15 November 2017.’ The Commission was not provided with a copy of that IMPR. It is unclear what was discussed with the female detainee and whether the 11 November incident was discussed. Regardless, it does not appear that any further action was taken in relation </w:t>
      </w:r>
      <w:r w:rsidRPr="00937A33">
        <w:rPr>
          <w:rFonts w:cs="Open Sans"/>
        </w:rPr>
        <w:t xml:space="preserve">to the female detainee in response to the 11 November Incident. </w:t>
      </w:r>
    </w:p>
    <w:p w14:paraId="126B7C36" w14:textId="77777777" w:rsidR="00201C9D" w:rsidRPr="00937A33" w:rsidRDefault="00201C9D" w:rsidP="000F7824">
      <w:pPr>
        <w:numPr>
          <w:ilvl w:val="0"/>
          <w:numId w:val="27"/>
        </w:numPr>
        <w:tabs>
          <w:tab w:val="num" w:pos="960"/>
        </w:tabs>
        <w:spacing w:after="160"/>
        <w:ind w:hanging="720"/>
        <w:rPr>
          <w:rFonts w:cs="Open Sans"/>
        </w:rPr>
      </w:pPr>
      <w:r w:rsidRPr="00937A33">
        <w:rPr>
          <w:rFonts w:cs="Open Sans"/>
        </w:rPr>
        <w:t xml:space="preserve">The Commission requested but did not receive any other incident reports, post incident reviews, witness statement or officer reports relating to the 11 November Incident, except those described above. </w:t>
      </w:r>
    </w:p>
    <w:p w14:paraId="4088CF00" w14:textId="77777777" w:rsidR="00201C9D" w:rsidRPr="00427A31" w:rsidRDefault="00201C9D" w:rsidP="000F7824">
      <w:pPr>
        <w:pStyle w:val="Heading2"/>
        <w:numPr>
          <w:ilvl w:val="1"/>
          <w:numId w:val="28"/>
        </w:numPr>
        <w:tabs>
          <w:tab w:val="num" w:pos="720"/>
        </w:tabs>
        <w:rPr>
          <w:rFonts w:eastAsia="Times New Roman" w:cs="Open Sans"/>
          <w:i/>
          <w:iCs/>
        </w:rPr>
      </w:pPr>
      <w:bookmarkStart w:id="37" w:name="_Toc123828298"/>
      <w:r w:rsidRPr="00427A31">
        <w:rPr>
          <w:rFonts w:eastAsia="Times New Roman" w:cs="Open Sans"/>
          <w:i/>
          <w:iCs/>
        </w:rPr>
        <w:t>Consideration</w:t>
      </w:r>
      <w:bookmarkEnd w:id="37"/>
    </w:p>
    <w:p w14:paraId="5B7A135B" w14:textId="77777777" w:rsidR="00201C9D" w:rsidRPr="00937A33" w:rsidRDefault="00201C9D" w:rsidP="000F7824">
      <w:pPr>
        <w:numPr>
          <w:ilvl w:val="0"/>
          <w:numId w:val="27"/>
        </w:numPr>
        <w:tabs>
          <w:tab w:val="num" w:pos="960"/>
        </w:tabs>
        <w:spacing w:after="160"/>
        <w:ind w:hanging="720"/>
        <w:rPr>
          <w:rFonts w:cs="Open Sans"/>
        </w:rPr>
      </w:pPr>
      <w:r w:rsidRPr="00937A33">
        <w:rPr>
          <w:rFonts w:cs="Open Sans"/>
        </w:rPr>
        <w:t>Assaults from other detainees are a serious risk to the personal safety of detainees in immigration detention. A Griffith Criminology Institute report on improving risk assessment of immigration detainees recorded 119 victims of minor assaults and 12 victims of serious assault in Villawood for the 10-month period between January and October 2018, immediately after the events described in this report.</w:t>
      </w:r>
      <w:r w:rsidRPr="00DE2681">
        <w:rPr>
          <w:rStyle w:val="EndnoteReference"/>
          <w:rFonts w:cs="Open Sans"/>
        </w:rPr>
        <w:endnoteReference w:id="31"/>
      </w:r>
    </w:p>
    <w:p w14:paraId="75457A86" w14:textId="77777777" w:rsidR="00201C9D" w:rsidRPr="00937A33" w:rsidRDefault="00201C9D" w:rsidP="000F7824">
      <w:pPr>
        <w:numPr>
          <w:ilvl w:val="0"/>
          <w:numId w:val="27"/>
        </w:numPr>
        <w:tabs>
          <w:tab w:val="num" w:pos="960"/>
        </w:tabs>
        <w:spacing w:after="160"/>
        <w:ind w:hanging="720"/>
        <w:rPr>
          <w:rFonts w:cs="Open Sans"/>
        </w:rPr>
      </w:pPr>
      <w:r>
        <w:rPr>
          <w:rFonts w:cs="Open Sans"/>
        </w:rPr>
        <w:t>O</w:t>
      </w:r>
      <w:r w:rsidRPr="00937A33">
        <w:rPr>
          <w:rFonts w:cs="Open Sans"/>
        </w:rPr>
        <w:t xml:space="preserve">n the evidence before the Commission, I accept that Mr </w:t>
      </w:r>
      <w:proofErr w:type="spellStart"/>
      <w:r w:rsidRPr="00937A33">
        <w:rPr>
          <w:rFonts w:cs="Open Sans"/>
        </w:rPr>
        <w:t>Andrwas</w:t>
      </w:r>
      <w:proofErr w:type="spellEnd"/>
      <w:r w:rsidRPr="00937A33">
        <w:rPr>
          <w:rFonts w:cs="Open Sans"/>
        </w:rPr>
        <w:t xml:space="preserve"> was assaulted by the female detainee on 11 November 2017. It does not appear that Mr </w:t>
      </w:r>
      <w:proofErr w:type="spellStart"/>
      <w:r w:rsidRPr="00937A33">
        <w:rPr>
          <w:rFonts w:cs="Open Sans"/>
        </w:rPr>
        <w:t>Andrwas</w:t>
      </w:r>
      <w:proofErr w:type="spellEnd"/>
      <w:r w:rsidRPr="00937A33">
        <w:rPr>
          <w:rFonts w:cs="Open Sans"/>
        </w:rPr>
        <w:t xml:space="preserve"> suffered any serious injury from this assault. </w:t>
      </w:r>
    </w:p>
    <w:p w14:paraId="057A592D" w14:textId="77777777" w:rsidR="00201C9D" w:rsidRPr="00937A33" w:rsidRDefault="00201C9D" w:rsidP="000F7824">
      <w:pPr>
        <w:numPr>
          <w:ilvl w:val="0"/>
          <w:numId w:val="27"/>
        </w:numPr>
        <w:tabs>
          <w:tab w:val="num" w:pos="960"/>
        </w:tabs>
        <w:spacing w:after="160"/>
        <w:ind w:hanging="720"/>
        <w:rPr>
          <w:rFonts w:cs="Open Sans"/>
        </w:rPr>
      </w:pPr>
      <w:r w:rsidRPr="00937A33">
        <w:rPr>
          <w:rFonts w:cs="Open Sans"/>
        </w:rPr>
        <w:t xml:space="preserve">Although the Department and Serco were aware of the issues between Mr </w:t>
      </w:r>
      <w:proofErr w:type="spellStart"/>
      <w:r w:rsidRPr="00937A33">
        <w:rPr>
          <w:rFonts w:cs="Open Sans"/>
        </w:rPr>
        <w:t>Andrwas</w:t>
      </w:r>
      <w:proofErr w:type="spellEnd"/>
      <w:r w:rsidRPr="00937A33">
        <w:rPr>
          <w:rFonts w:cs="Open Sans"/>
        </w:rPr>
        <w:t xml:space="preserve"> and the female detainee prior to 11 November 2017, there is no evidence that the female detainee had made any threats against Mr </w:t>
      </w:r>
      <w:proofErr w:type="spellStart"/>
      <w:r w:rsidRPr="00937A33">
        <w:rPr>
          <w:rFonts w:cs="Open Sans"/>
        </w:rPr>
        <w:t>Andrwas</w:t>
      </w:r>
      <w:proofErr w:type="spellEnd"/>
      <w:r w:rsidRPr="00937A33">
        <w:rPr>
          <w:rFonts w:cs="Open Sans"/>
        </w:rPr>
        <w:t xml:space="preserve"> or that Mr </w:t>
      </w:r>
      <w:proofErr w:type="spellStart"/>
      <w:r w:rsidRPr="00937A33">
        <w:rPr>
          <w:rFonts w:cs="Open Sans"/>
        </w:rPr>
        <w:t>Andrwas</w:t>
      </w:r>
      <w:proofErr w:type="spellEnd"/>
      <w:r w:rsidRPr="00937A33">
        <w:rPr>
          <w:rFonts w:cs="Open Sans"/>
        </w:rPr>
        <w:t xml:space="preserve"> had raised any concerns for his safety with Serco or requested a placement away from the female detainee. Prior to </w:t>
      </w:r>
      <w:r w:rsidRPr="00937A33">
        <w:rPr>
          <w:rFonts w:cs="Open Sans"/>
        </w:rPr>
        <w:lastRenderedPageBreak/>
        <w:t xml:space="preserve">this incident, I do not consider that there was a particular risk of harm to Mr </w:t>
      </w:r>
      <w:proofErr w:type="spellStart"/>
      <w:r w:rsidRPr="00937A33">
        <w:rPr>
          <w:rFonts w:cs="Open Sans"/>
        </w:rPr>
        <w:t>Andrwas</w:t>
      </w:r>
      <w:proofErr w:type="spellEnd"/>
      <w:r w:rsidRPr="00937A33">
        <w:rPr>
          <w:rFonts w:cs="Open Sans"/>
        </w:rPr>
        <w:t xml:space="preserve"> that was reasonably foreseeable beyond the general risks involved in being in immigration detention. </w:t>
      </w:r>
    </w:p>
    <w:p w14:paraId="41BBB571" w14:textId="77777777" w:rsidR="00201C9D" w:rsidRPr="00937A33" w:rsidRDefault="00201C9D" w:rsidP="000F7824">
      <w:pPr>
        <w:numPr>
          <w:ilvl w:val="0"/>
          <w:numId w:val="27"/>
        </w:numPr>
        <w:tabs>
          <w:tab w:val="num" w:pos="960"/>
        </w:tabs>
        <w:spacing w:after="160"/>
        <w:ind w:hanging="720"/>
        <w:rPr>
          <w:rFonts w:cs="Open Sans"/>
        </w:rPr>
      </w:pPr>
      <w:r w:rsidRPr="00937A33">
        <w:rPr>
          <w:rFonts w:cs="Open Sans"/>
        </w:rPr>
        <w:t xml:space="preserve">Nonetheless, I am concerned about the steps taken by the Department and Serco following this incident to ensure Mr </w:t>
      </w:r>
      <w:proofErr w:type="spellStart"/>
      <w:r w:rsidRPr="00937A33">
        <w:rPr>
          <w:rFonts w:cs="Open Sans"/>
        </w:rPr>
        <w:t>Andrwas</w:t>
      </w:r>
      <w:proofErr w:type="spellEnd"/>
      <w:r w:rsidRPr="00937A33">
        <w:rPr>
          <w:rFonts w:cs="Open Sans"/>
        </w:rPr>
        <w:t xml:space="preserve">’ safety and security. </w:t>
      </w:r>
    </w:p>
    <w:p w14:paraId="592C7C54" w14:textId="77777777" w:rsidR="00201C9D" w:rsidRDefault="00201C9D" w:rsidP="000F7824">
      <w:pPr>
        <w:numPr>
          <w:ilvl w:val="0"/>
          <w:numId w:val="27"/>
        </w:numPr>
        <w:tabs>
          <w:tab w:val="num" w:pos="960"/>
        </w:tabs>
        <w:spacing w:after="160"/>
        <w:ind w:hanging="720"/>
        <w:rPr>
          <w:rFonts w:cs="Open Sans"/>
        </w:rPr>
      </w:pPr>
      <w:r>
        <w:rPr>
          <w:rFonts w:cs="Open Sans"/>
        </w:rPr>
        <w:t xml:space="preserve">Serco discussed the incident with Mr </w:t>
      </w:r>
      <w:proofErr w:type="spellStart"/>
      <w:r>
        <w:rPr>
          <w:rFonts w:cs="Open Sans"/>
        </w:rPr>
        <w:t>Andrwas</w:t>
      </w:r>
      <w:proofErr w:type="spellEnd"/>
      <w:r>
        <w:rPr>
          <w:rFonts w:cs="Open Sans"/>
        </w:rPr>
        <w:t xml:space="preserve"> during an IMPR, together with the allegations raised by the female detainee. </w:t>
      </w:r>
      <w:r w:rsidRPr="00937A33">
        <w:rPr>
          <w:rFonts w:cs="Open Sans"/>
        </w:rPr>
        <w:t>While there is reference to the Serco Security department being notified for further investigation and reference to Serco awaiting footage to verify the incident, no documents have been produced by the Department regarding any such further investigation</w:t>
      </w:r>
      <w:r>
        <w:rPr>
          <w:rFonts w:cs="Open Sans"/>
        </w:rPr>
        <w:t xml:space="preserve">. </w:t>
      </w:r>
    </w:p>
    <w:p w14:paraId="1AAA78E9" w14:textId="77777777" w:rsidR="00201C9D" w:rsidRDefault="00201C9D" w:rsidP="000F7824">
      <w:pPr>
        <w:numPr>
          <w:ilvl w:val="0"/>
          <w:numId w:val="27"/>
        </w:numPr>
        <w:tabs>
          <w:tab w:val="num" w:pos="960"/>
        </w:tabs>
        <w:spacing w:after="160"/>
        <w:ind w:hanging="720"/>
        <w:rPr>
          <w:rFonts w:cs="Open Sans"/>
        </w:rPr>
      </w:pPr>
      <w:r>
        <w:rPr>
          <w:rFonts w:cs="Open Sans"/>
        </w:rPr>
        <w:t xml:space="preserve">Although </w:t>
      </w:r>
      <w:r w:rsidRPr="003C37D5">
        <w:rPr>
          <w:rFonts w:cs="Open Sans"/>
        </w:rPr>
        <w:t xml:space="preserve">an IMPR was </w:t>
      </w:r>
      <w:r>
        <w:rPr>
          <w:rFonts w:cs="Open Sans"/>
        </w:rPr>
        <w:t xml:space="preserve">also </w:t>
      </w:r>
      <w:r w:rsidRPr="003C37D5">
        <w:rPr>
          <w:rFonts w:cs="Open Sans"/>
        </w:rPr>
        <w:t>held with the female detainee on 16 November 2017 in which she was reminded of her rights and responsibilities, it is uncle</w:t>
      </w:r>
      <w:r>
        <w:rPr>
          <w:rFonts w:cs="Open Sans"/>
        </w:rPr>
        <w:t>a</w:t>
      </w:r>
      <w:r w:rsidRPr="003C37D5">
        <w:rPr>
          <w:rFonts w:cs="Open Sans"/>
        </w:rPr>
        <w:t xml:space="preserve">r whether the 11 November </w:t>
      </w:r>
      <w:r>
        <w:rPr>
          <w:rFonts w:cs="Open Sans"/>
        </w:rPr>
        <w:t xml:space="preserve">incident </w:t>
      </w:r>
      <w:r w:rsidRPr="003C37D5">
        <w:rPr>
          <w:rFonts w:cs="Open Sans"/>
        </w:rPr>
        <w:t>was</w:t>
      </w:r>
      <w:r>
        <w:rPr>
          <w:rFonts w:cs="Open Sans"/>
        </w:rPr>
        <w:t xml:space="preserve"> </w:t>
      </w:r>
      <w:r w:rsidRPr="003C37D5">
        <w:rPr>
          <w:rFonts w:cs="Open Sans"/>
        </w:rPr>
        <w:t>discussed with the female detainee.</w:t>
      </w:r>
      <w:r>
        <w:rPr>
          <w:rFonts w:cs="Open Sans"/>
        </w:rPr>
        <w:t xml:space="preserve"> No other action appears to have been taken in response to 11 November incident in relation to the female detainee. </w:t>
      </w:r>
    </w:p>
    <w:p w14:paraId="18ED46AF" w14:textId="77777777" w:rsidR="00201C9D" w:rsidRPr="00937A33" w:rsidRDefault="00201C9D" w:rsidP="000F7824">
      <w:pPr>
        <w:numPr>
          <w:ilvl w:val="0"/>
          <w:numId w:val="27"/>
        </w:numPr>
        <w:tabs>
          <w:tab w:val="num" w:pos="960"/>
        </w:tabs>
        <w:spacing w:after="160"/>
        <w:ind w:hanging="720"/>
        <w:rPr>
          <w:rFonts w:cs="Open Sans"/>
        </w:rPr>
      </w:pPr>
      <w:r w:rsidRPr="00937A33">
        <w:rPr>
          <w:rFonts w:cs="Open Sans"/>
        </w:rPr>
        <w:t xml:space="preserve">Based on the evidence before the Commission, I cannot be satisfied that any further investigation was conducted into the 11 November Incident. Following Mr </w:t>
      </w:r>
      <w:proofErr w:type="spellStart"/>
      <w:r w:rsidRPr="00937A33">
        <w:rPr>
          <w:rFonts w:cs="Open Sans"/>
        </w:rPr>
        <w:t>Andrwas</w:t>
      </w:r>
      <w:proofErr w:type="spellEnd"/>
      <w:r w:rsidRPr="00937A33">
        <w:rPr>
          <w:rFonts w:cs="Open Sans"/>
        </w:rPr>
        <w:t xml:space="preserve">’ request for the incident to be referred to the AFP, it appears that the incident was closed. This is concerning for several reasons: </w:t>
      </w:r>
    </w:p>
    <w:p w14:paraId="61BD585A" w14:textId="77777777" w:rsidR="00201C9D" w:rsidRPr="00937A33" w:rsidRDefault="00201C9D" w:rsidP="000F7824">
      <w:pPr>
        <w:numPr>
          <w:ilvl w:val="1"/>
          <w:numId w:val="27"/>
        </w:numPr>
        <w:tabs>
          <w:tab w:val="num" w:pos="960"/>
        </w:tabs>
        <w:spacing w:after="160"/>
        <w:rPr>
          <w:rFonts w:cs="Open Sans"/>
        </w:rPr>
      </w:pPr>
      <w:r w:rsidRPr="0088005F">
        <w:rPr>
          <w:rFonts w:cs="Open Sans"/>
        </w:rPr>
        <w:t>The incident was not referred to</w:t>
      </w:r>
      <w:r w:rsidRPr="00937A33">
        <w:rPr>
          <w:rFonts w:cs="Open Sans"/>
        </w:rPr>
        <w:t xml:space="preserve"> AFP</w:t>
      </w:r>
      <w:r w:rsidRPr="0088005F">
        <w:rPr>
          <w:rFonts w:cs="Open Sans"/>
        </w:rPr>
        <w:t xml:space="preserve"> until 26 September 2018 due to human error. </w:t>
      </w:r>
      <w:r w:rsidRPr="00937A33">
        <w:rPr>
          <w:rFonts w:cs="Open Sans"/>
        </w:rPr>
        <w:t xml:space="preserve">The AFP rejected the referral on 2 October 2018. No investigation was ultimately conducted by the AFP into this incident. </w:t>
      </w:r>
    </w:p>
    <w:p w14:paraId="37F3580D" w14:textId="77777777" w:rsidR="00201C9D" w:rsidRPr="00937A33" w:rsidRDefault="00201C9D" w:rsidP="000F7824">
      <w:pPr>
        <w:numPr>
          <w:ilvl w:val="1"/>
          <w:numId w:val="27"/>
        </w:numPr>
        <w:tabs>
          <w:tab w:val="num" w:pos="960"/>
        </w:tabs>
        <w:spacing w:after="160"/>
        <w:rPr>
          <w:rFonts w:cs="Open Sans"/>
        </w:rPr>
      </w:pPr>
      <w:r w:rsidRPr="00937A33">
        <w:rPr>
          <w:rFonts w:cs="Open Sans"/>
        </w:rPr>
        <w:t xml:space="preserve">Any AFP investigation would likely be focused on investigating the incident itself and the potential charges to be laid against the female detainee; it would not consider the risks to Mr </w:t>
      </w:r>
      <w:proofErr w:type="spellStart"/>
      <w:r w:rsidRPr="00937A33">
        <w:rPr>
          <w:rFonts w:cs="Open Sans"/>
        </w:rPr>
        <w:t>Andrwas</w:t>
      </w:r>
      <w:proofErr w:type="spellEnd"/>
      <w:r w:rsidRPr="00937A33">
        <w:rPr>
          <w:rFonts w:cs="Open Sans"/>
        </w:rPr>
        <w:t>’ safety after the relevant incident. A referral to the AFP is insufficient to discharge the Department’s, and Serco’s, duty of care to ensure the safety of detainees.</w:t>
      </w:r>
    </w:p>
    <w:p w14:paraId="0D85BF05" w14:textId="77777777" w:rsidR="00201C9D" w:rsidRPr="00937A33" w:rsidRDefault="00201C9D" w:rsidP="000F7824">
      <w:pPr>
        <w:numPr>
          <w:ilvl w:val="1"/>
          <w:numId w:val="27"/>
        </w:numPr>
        <w:tabs>
          <w:tab w:val="num" w:pos="960"/>
        </w:tabs>
        <w:spacing w:after="160"/>
        <w:rPr>
          <w:rFonts w:cs="Open Sans"/>
        </w:rPr>
      </w:pPr>
      <w:r w:rsidRPr="00937A33">
        <w:rPr>
          <w:rFonts w:cs="Open Sans"/>
        </w:rPr>
        <w:t xml:space="preserve">An investigation by Serco may have assisted in identifying any ongoing risks to Mr </w:t>
      </w:r>
      <w:proofErr w:type="spellStart"/>
      <w:r w:rsidRPr="00937A33">
        <w:rPr>
          <w:rFonts w:cs="Open Sans"/>
        </w:rPr>
        <w:t>Andrwas</w:t>
      </w:r>
      <w:proofErr w:type="spellEnd"/>
      <w:r w:rsidRPr="00937A33">
        <w:rPr>
          <w:rFonts w:cs="Open Sans"/>
        </w:rPr>
        <w:t>’ safety following this incident.</w:t>
      </w:r>
    </w:p>
    <w:p w14:paraId="5EFDE38E" w14:textId="77777777" w:rsidR="00201C9D" w:rsidRDefault="00201C9D" w:rsidP="000F7824">
      <w:pPr>
        <w:numPr>
          <w:ilvl w:val="0"/>
          <w:numId w:val="27"/>
        </w:numPr>
        <w:tabs>
          <w:tab w:val="num" w:pos="960"/>
        </w:tabs>
        <w:spacing w:after="160"/>
        <w:ind w:hanging="720"/>
        <w:rPr>
          <w:rFonts w:cs="Open Sans"/>
        </w:rPr>
      </w:pPr>
      <w:r w:rsidRPr="00937A33">
        <w:rPr>
          <w:rFonts w:cs="Open Sans"/>
        </w:rPr>
        <w:t xml:space="preserve">The Department was aware of the issues between Mr </w:t>
      </w:r>
      <w:proofErr w:type="spellStart"/>
      <w:r w:rsidRPr="00937A33">
        <w:rPr>
          <w:rFonts w:cs="Open Sans"/>
        </w:rPr>
        <w:t>Andrwas</w:t>
      </w:r>
      <w:proofErr w:type="spellEnd"/>
      <w:r w:rsidRPr="00937A33">
        <w:rPr>
          <w:rFonts w:cs="Open Sans"/>
        </w:rPr>
        <w:t xml:space="preserve"> and the female detainee. </w:t>
      </w:r>
    </w:p>
    <w:p w14:paraId="4D0F9607" w14:textId="045FA9F4" w:rsidR="00201C9D" w:rsidRDefault="00201C9D" w:rsidP="000F7824">
      <w:pPr>
        <w:numPr>
          <w:ilvl w:val="0"/>
          <w:numId w:val="27"/>
        </w:numPr>
        <w:tabs>
          <w:tab w:val="num" w:pos="960"/>
        </w:tabs>
        <w:spacing w:after="160"/>
        <w:ind w:hanging="720"/>
        <w:rPr>
          <w:rFonts w:cs="Open Sans"/>
        </w:rPr>
      </w:pPr>
      <w:r>
        <w:rPr>
          <w:rFonts w:cs="Open Sans"/>
        </w:rPr>
        <w:lastRenderedPageBreak/>
        <w:t xml:space="preserve">On 13 November 2021, in response to the female detainee’s allegations against Mr </w:t>
      </w:r>
      <w:proofErr w:type="spellStart"/>
      <w:r>
        <w:rPr>
          <w:rFonts w:cs="Open Sans"/>
        </w:rPr>
        <w:t>Andrwas</w:t>
      </w:r>
      <w:proofErr w:type="spellEnd"/>
      <w:r>
        <w:rPr>
          <w:rFonts w:cs="Open Sans"/>
        </w:rPr>
        <w:t xml:space="preserve">, ABF and Serco officers discussed whether the placement of Mr </w:t>
      </w:r>
      <w:proofErr w:type="spellStart"/>
      <w:r>
        <w:rPr>
          <w:rFonts w:cs="Open Sans"/>
        </w:rPr>
        <w:t>Andrwas</w:t>
      </w:r>
      <w:proofErr w:type="spellEnd"/>
      <w:r>
        <w:rPr>
          <w:rFonts w:cs="Open Sans"/>
        </w:rPr>
        <w:t xml:space="preserve"> was appropriate, concluding that there </w:t>
      </w:r>
      <w:r w:rsidRPr="007878F8">
        <w:rPr>
          <w:rFonts w:cs="Open Sans"/>
        </w:rPr>
        <w:t xml:space="preserve">was not enough evidence </w:t>
      </w:r>
      <w:r>
        <w:rPr>
          <w:rFonts w:cs="Open Sans"/>
        </w:rPr>
        <w:t xml:space="preserve">to require </w:t>
      </w:r>
      <w:r w:rsidRPr="007878F8">
        <w:rPr>
          <w:rFonts w:cs="Open Sans"/>
        </w:rPr>
        <w:t xml:space="preserve">Mr </w:t>
      </w:r>
      <w:proofErr w:type="spellStart"/>
      <w:r w:rsidRPr="007878F8">
        <w:rPr>
          <w:rFonts w:cs="Open Sans"/>
        </w:rPr>
        <w:t>Andrwas</w:t>
      </w:r>
      <w:proofErr w:type="spellEnd"/>
      <w:r w:rsidRPr="007878F8">
        <w:rPr>
          <w:rFonts w:cs="Open Sans"/>
        </w:rPr>
        <w:t xml:space="preserve"> to be moved to a more restrictive compound</w:t>
      </w:r>
      <w:r w:rsidR="00142434">
        <w:rPr>
          <w:rFonts w:cs="Open Sans"/>
        </w:rPr>
        <w:t>.</w:t>
      </w:r>
    </w:p>
    <w:p w14:paraId="69FB6368" w14:textId="77777777" w:rsidR="00201C9D" w:rsidRDefault="00201C9D" w:rsidP="000F7824">
      <w:pPr>
        <w:numPr>
          <w:ilvl w:val="0"/>
          <w:numId w:val="27"/>
        </w:numPr>
        <w:tabs>
          <w:tab w:val="num" w:pos="960"/>
        </w:tabs>
        <w:spacing w:after="160"/>
        <w:ind w:hanging="720"/>
        <w:rPr>
          <w:rFonts w:cs="Open Sans"/>
        </w:rPr>
      </w:pPr>
      <w:r w:rsidRPr="00937A33">
        <w:rPr>
          <w:rFonts w:cs="Open Sans"/>
        </w:rPr>
        <w:t xml:space="preserve">On 15 November 2021, the </w:t>
      </w:r>
      <w:r>
        <w:rPr>
          <w:rFonts w:cs="Open Sans"/>
        </w:rPr>
        <w:t xml:space="preserve">DPPC and </w:t>
      </w:r>
      <w:r w:rsidRPr="00937A33">
        <w:rPr>
          <w:rFonts w:cs="Open Sans"/>
        </w:rPr>
        <w:t xml:space="preserve">IMPRC </w:t>
      </w:r>
      <w:r>
        <w:rPr>
          <w:rFonts w:cs="Open Sans"/>
        </w:rPr>
        <w:t xml:space="preserve">further </w:t>
      </w:r>
      <w:r w:rsidRPr="00937A33">
        <w:rPr>
          <w:rFonts w:cs="Open Sans"/>
        </w:rPr>
        <w:t xml:space="preserve">considered whether the placement of Mr </w:t>
      </w:r>
      <w:proofErr w:type="spellStart"/>
      <w:r w:rsidRPr="00937A33">
        <w:rPr>
          <w:rFonts w:cs="Open Sans"/>
        </w:rPr>
        <w:t>Andrwas</w:t>
      </w:r>
      <w:proofErr w:type="spellEnd"/>
      <w:r w:rsidRPr="00937A33">
        <w:rPr>
          <w:rFonts w:cs="Open Sans"/>
        </w:rPr>
        <w:t xml:space="preserve"> and the female detainee was appropriate. </w:t>
      </w:r>
    </w:p>
    <w:p w14:paraId="6C2176F4" w14:textId="77777777" w:rsidR="00201C9D" w:rsidRPr="001B22BF" w:rsidRDefault="00201C9D" w:rsidP="000F7824">
      <w:pPr>
        <w:numPr>
          <w:ilvl w:val="0"/>
          <w:numId w:val="27"/>
        </w:numPr>
        <w:tabs>
          <w:tab w:val="num" w:pos="960"/>
        </w:tabs>
        <w:spacing w:after="160"/>
        <w:ind w:hanging="720"/>
        <w:rPr>
          <w:rFonts w:cs="Open Sans"/>
        </w:rPr>
      </w:pPr>
      <w:r>
        <w:rPr>
          <w:rFonts w:cs="Open Sans"/>
        </w:rPr>
        <w:t>In response to my preliminary view, t</w:t>
      </w:r>
      <w:r w:rsidRPr="001B22BF">
        <w:rPr>
          <w:rFonts w:cs="Open Sans"/>
        </w:rPr>
        <w:t>he Department</w:t>
      </w:r>
      <w:r>
        <w:rPr>
          <w:rFonts w:cs="Open Sans"/>
        </w:rPr>
        <w:t xml:space="preserve"> said that Serco’s </w:t>
      </w:r>
      <w:r w:rsidRPr="001B22BF">
        <w:rPr>
          <w:rFonts w:cs="Open Sans"/>
        </w:rPr>
        <w:t xml:space="preserve">decision to continue to detain Mr </w:t>
      </w:r>
      <w:proofErr w:type="spellStart"/>
      <w:r w:rsidRPr="001B22BF">
        <w:rPr>
          <w:rFonts w:cs="Open Sans"/>
        </w:rPr>
        <w:t>Andrwas</w:t>
      </w:r>
      <w:proofErr w:type="spellEnd"/>
      <w:r w:rsidRPr="001B22BF">
        <w:rPr>
          <w:rFonts w:cs="Open Sans"/>
        </w:rPr>
        <w:t xml:space="preserve"> in the Lachlan compound following the alleged assault on 11 November 2017 was considered appropriate, noting prior to the alleged incident there was no particular risk identified to Mr </w:t>
      </w:r>
      <w:proofErr w:type="spellStart"/>
      <w:r w:rsidRPr="001B22BF">
        <w:rPr>
          <w:rFonts w:cs="Open Sans"/>
        </w:rPr>
        <w:t>Andrwas</w:t>
      </w:r>
      <w:proofErr w:type="spellEnd"/>
      <w:r w:rsidRPr="001B22BF">
        <w:rPr>
          <w:rFonts w:cs="Open Sans"/>
        </w:rPr>
        <w:t>.</w:t>
      </w:r>
    </w:p>
    <w:p w14:paraId="5ADD573D" w14:textId="77777777" w:rsidR="00201C9D" w:rsidRPr="00937A33" w:rsidRDefault="00201C9D" w:rsidP="000F7824">
      <w:pPr>
        <w:numPr>
          <w:ilvl w:val="0"/>
          <w:numId w:val="27"/>
        </w:numPr>
        <w:tabs>
          <w:tab w:val="num" w:pos="960"/>
        </w:tabs>
        <w:spacing w:after="160"/>
        <w:ind w:hanging="720"/>
        <w:rPr>
          <w:rFonts w:cs="Open Sans"/>
        </w:rPr>
      </w:pPr>
      <w:r w:rsidRPr="00937A33">
        <w:rPr>
          <w:rFonts w:cs="Open Sans"/>
        </w:rPr>
        <w:t xml:space="preserve">However, the </w:t>
      </w:r>
      <w:r>
        <w:rPr>
          <w:rFonts w:cs="Open Sans"/>
        </w:rPr>
        <w:t xml:space="preserve">above </w:t>
      </w:r>
      <w:r w:rsidRPr="00937A33">
        <w:rPr>
          <w:rFonts w:cs="Open Sans"/>
        </w:rPr>
        <w:t>discussion</w:t>
      </w:r>
      <w:r>
        <w:rPr>
          <w:rFonts w:cs="Open Sans"/>
        </w:rPr>
        <w:t xml:space="preserve">s regarding Mr </w:t>
      </w:r>
      <w:proofErr w:type="spellStart"/>
      <w:r>
        <w:rPr>
          <w:rFonts w:cs="Open Sans"/>
        </w:rPr>
        <w:t>Andrwas</w:t>
      </w:r>
      <w:proofErr w:type="spellEnd"/>
      <w:r>
        <w:rPr>
          <w:rFonts w:cs="Open Sans"/>
        </w:rPr>
        <w:t xml:space="preserve">’ placement were </w:t>
      </w:r>
      <w:r w:rsidRPr="00937A33">
        <w:rPr>
          <w:rFonts w:cs="Open Sans"/>
        </w:rPr>
        <w:t xml:space="preserve">focused on the female detainee’s allegations against Mr </w:t>
      </w:r>
      <w:proofErr w:type="spellStart"/>
      <w:r w:rsidRPr="00937A33">
        <w:rPr>
          <w:rFonts w:cs="Open Sans"/>
        </w:rPr>
        <w:t>Andrwas</w:t>
      </w:r>
      <w:proofErr w:type="spellEnd"/>
      <w:r w:rsidRPr="00937A33">
        <w:rPr>
          <w:rFonts w:cs="Open Sans"/>
        </w:rPr>
        <w:t xml:space="preserve">. It does not appear that the IMPRC discussed the 11 November Incident, considered the appropriateness of the placement of the two detainees in light of this incident, or sufficiently considered Mr </w:t>
      </w:r>
      <w:proofErr w:type="spellStart"/>
      <w:r w:rsidRPr="00937A33">
        <w:rPr>
          <w:rFonts w:cs="Open Sans"/>
        </w:rPr>
        <w:t>Andrwas</w:t>
      </w:r>
      <w:proofErr w:type="spellEnd"/>
      <w:r w:rsidRPr="00937A33">
        <w:rPr>
          <w:rFonts w:cs="Open Sans"/>
        </w:rPr>
        <w:t>’ safety at that meeting</w:t>
      </w:r>
      <w:r>
        <w:rPr>
          <w:rFonts w:cs="Open Sans"/>
        </w:rPr>
        <w:t xml:space="preserve"> in light of that incident</w:t>
      </w:r>
      <w:r w:rsidRPr="00937A33">
        <w:rPr>
          <w:rFonts w:cs="Open Sans"/>
        </w:rPr>
        <w:t xml:space="preserve">. </w:t>
      </w:r>
    </w:p>
    <w:p w14:paraId="7868AEE0" w14:textId="77777777" w:rsidR="00201C9D" w:rsidRPr="00937A33" w:rsidRDefault="00201C9D" w:rsidP="000F7824">
      <w:pPr>
        <w:numPr>
          <w:ilvl w:val="0"/>
          <w:numId w:val="27"/>
        </w:numPr>
        <w:tabs>
          <w:tab w:val="num" w:pos="960"/>
        </w:tabs>
        <w:spacing w:after="160"/>
        <w:ind w:hanging="720"/>
        <w:rPr>
          <w:rFonts w:cs="Open Sans"/>
        </w:rPr>
      </w:pPr>
      <w:r w:rsidRPr="00937A33">
        <w:rPr>
          <w:rFonts w:cs="Open Sans"/>
        </w:rPr>
        <w:t xml:space="preserve">The Commission asked the Department to advise of the steps taken to make sure Mr </w:t>
      </w:r>
      <w:proofErr w:type="spellStart"/>
      <w:r w:rsidRPr="00937A33">
        <w:rPr>
          <w:rFonts w:cs="Open Sans"/>
        </w:rPr>
        <w:t>Andrwas</w:t>
      </w:r>
      <w:proofErr w:type="spellEnd"/>
      <w:r w:rsidRPr="00937A33">
        <w:rPr>
          <w:rFonts w:cs="Open Sans"/>
        </w:rPr>
        <w:t xml:space="preserve"> was provided with a safe place of detention. In response, the Department advised that Mr </w:t>
      </w:r>
      <w:proofErr w:type="spellStart"/>
      <w:r w:rsidRPr="00937A33">
        <w:rPr>
          <w:rFonts w:cs="Open Sans"/>
        </w:rPr>
        <w:t>Andrwas</w:t>
      </w:r>
      <w:proofErr w:type="spellEnd"/>
      <w:r w:rsidRPr="00937A33">
        <w:rPr>
          <w:rFonts w:cs="Open Sans"/>
        </w:rPr>
        <w:t xml:space="preserve"> and the female detainee were located within different compounds of Villawood. Whil</w:t>
      </w:r>
      <w:r>
        <w:rPr>
          <w:rFonts w:cs="Open Sans"/>
        </w:rPr>
        <w:t>e</w:t>
      </w:r>
      <w:r w:rsidRPr="00937A33">
        <w:rPr>
          <w:rFonts w:cs="Open Sans"/>
        </w:rPr>
        <w:t xml:space="preserve"> this is true, they both had access to one another in the common area. The Department further stated that: </w:t>
      </w:r>
    </w:p>
    <w:p w14:paraId="6309C0E8" w14:textId="77777777" w:rsidR="00201C9D" w:rsidRPr="00937A33" w:rsidRDefault="00201C9D" w:rsidP="00201C9D">
      <w:pPr>
        <w:ind w:left="1440"/>
        <w:rPr>
          <w:rFonts w:cs="Open Sans"/>
        </w:rPr>
      </w:pPr>
      <w:r w:rsidRPr="00937A33">
        <w:rPr>
          <w:rFonts w:cs="Open Sans"/>
        </w:rPr>
        <w:t>As part of incident management, all detainees are reminded of their rights and responsibilities. All detainees are reminded to contact or approach a Detention Service Officer within their respective compounds should they continue to encounter any challenges or difficulties, including potential threats from other detainees.</w:t>
      </w:r>
    </w:p>
    <w:p w14:paraId="083A761A" w14:textId="77777777" w:rsidR="00201C9D" w:rsidRDefault="00201C9D" w:rsidP="000F7824">
      <w:pPr>
        <w:numPr>
          <w:ilvl w:val="0"/>
          <w:numId w:val="27"/>
        </w:numPr>
        <w:tabs>
          <w:tab w:val="num" w:pos="960"/>
        </w:tabs>
        <w:spacing w:after="160"/>
        <w:ind w:hanging="720"/>
        <w:rPr>
          <w:rFonts w:cs="Open Sans"/>
        </w:rPr>
      </w:pPr>
      <w:r>
        <w:rPr>
          <w:rFonts w:cs="Open Sans"/>
        </w:rPr>
        <w:t xml:space="preserve">In response to my preliminary view, the Department outlined the risk assessment processes in place to ensure appropriate placement of detainees and in response to any acts of violence (see </w:t>
      </w:r>
      <w:r w:rsidRPr="00A909F3">
        <w:rPr>
          <w:rFonts w:cs="Open Sans"/>
        </w:rPr>
        <w:t>paragraphs</w:t>
      </w:r>
      <w:r>
        <w:rPr>
          <w:rFonts w:cs="Open Sans"/>
        </w:rPr>
        <w:t xml:space="preserve"> </w:t>
      </w:r>
      <w:r>
        <w:rPr>
          <w:rFonts w:cs="Open Sans"/>
        </w:rPr>
        <w:fldChar w:fldCharType="begin"/>
      </w:r>
      <w:r>
        <w:rPr>
          <w:rFonts w:cs="Open Sans"/>
        </w:rPr>
        <w:instrText xml:space="preserve"> REF _Ref113873913 \r \h </w:instrText>
      </w:r>
      <w:r>
        <w:rPr>
          <w:rFonts w:cs="Open Sans"/>
        </w:rPr>
      </w:r>
      <w:r>
        <w:rPr>
          <w:rFonts w:cs="Open Sans"/>
        </w:rPr>
        <w:fldChar w:fldCharType="separate"/>
      </w:r>
      <w:r>
        <w:rPr>
          <w:rFonts w:cs="Open Sans"/>
        </w:rPr>
        <w:t>55</w:t>
      </w:r>
      <w:r>
        <w:rPr>
          <w:rFonts w:cs="Open Sans"/>
        </w:rPr>
        <w:fldChar w:fldCharType="end"/>
      </w:r>
      <w:r>
        <w:rPr>
          <w:rFonts w:cs="Open Sans"/>
        </w:rPr>
        <w:t xml:space="preserve"> above), which include </w:t>
      </w:r>
      <w:r w:rsidRPr="002C5D9E">
        <w:rPr>
          <w:rFonts w:cs="Open Sans"/>
        </w:rPr>
        <w:t>the Security Risk Assessment Tool (SRAT), the morning stakeholder meeting and ongoing monthly reviews via the IMPRC</w:t>
      </w:r>
      <w:r w:rsidRPr="00F7530B">
        <w:rPr>
          <w:rFonts w:cs="Open Sans"/>
        </w:rPr>
        <w:t>. The Department has not otherwise provided any information, policies or guidance concerning the way in which it and its service provider manage the specific risk of detainee-on-detainee violence.</w:t>
      </w:r>
      <w:r>
        <w:rPr>
          <w:rFonts w:cs="Open Sans"/>
        </w:rPr>
        <w:t xml:space="preserve"> </w:t>
      </w:r>
    </w:p>
    <w:p w14:paraId="45D1738D" w14:textId="77777777" w:rsidR="00201C9D" w:rsidRPr="00F7530B" w:rsidRDefault="00201C9D" w:rsidP="000F7824">
      <w:pPr>
        <w:numPr>
          <w:ilvl w:val="0"/>
          <w:numId w:val="27"/>
        </w:numPr>
        <w:tabs>
          <w:tab w:val="num" w:pos="960"/>
        </w:tabs>
        <w:spacing w:after="160"/>
        <w:ind w:hanging="720"/>
        <w:rPr>
          <w:rFonts w:cs="Open Sans"/>
        </w:rPr>
      </w:pPr>
      <w:r>
        <w:rPr>
          <w:rFonts w:cs="Open Sans"/>
        </w:rPr>
        <w:lastRenderedPageBreak/>
        <w:t>B</w:t>
      </w:r>
      <w:r w:rsidRPr="00F7530B">
        <w:rPr>
          <w:rFonts w:cs="Open Sans"/>
        </w:rPr>
        <w:t xml:space="preserve">ased on the information provided to the Commission, I am concerned that insufficient consideration was given to whether Mr </w:t>
      </w:r>
      <w:proofErr w:type="spellStart"/>
      <w:r w:rsidRPr="00F7530B">
        <w:rPr>
          <w:rFonts w:cs="Open Sans"/>
        </w:rPr>
        <w:t>Andrwas</w:t>
      </w:r>
      <w:proofErr w:type="spellEnd"/>
      <w:r w:rsidRPr="00F7530B">
        <w:rPr>
          <w:rFonts w:cs="Open Sans"/>
        </w:rPr>
        <w:t xml:space="preserve"> remained at risk </w:t>
      </w:r>
      <w:r w:rsidRPr="002C5D9E">
        <w:rPr>
          <w:rFonts w:cs="Open Sans"/>
        </w:rPr>
        <w:t>in light of</w:t>
      </w:r>
      <w:r w:rsidRPr="00F7530B">
        <w:rPr>
          <w:rFonts w:cs="Open Sans"/>
        </w:rPr>
        <w:t xml:space="preserve"> the 11 November Incident and, if so, how these risks could be managed. </w:t>
      </w:r>
      <w:r>
        <w:rPr>
          <w:rFonts w:cs="Open Sans"/>
        </w:rPr>
        <w:t xml:space="preserve">A documented risk assessment regarding this incident </w:t>
      </w:r>
      <w:r w:rsidRPr="00F7530B">
        <w:rPr>
          <w:rFonts w:cs="Open Sans"/>
        </w:rPr>
        <w:t xml:space="preserve">may have identified ongoing risks to Mr </w:t>
      </w:r>
      <w:proofErr w:type="spellStart"/>
      <w:r w:rsidRPr="00F7530B">
        <w:rPr>
          <w:rFonts w:cs="Open Sans"/>
        </w:rPr>
        <w:t>Andrwas</w:t>
      </w:r>
      <w:proofErr w:type="spellEnd"/>
      <w:r w:rsidRPr="00F7530B">
        <w:rPr>
          <w:rFonts w:cs="Open Sans"/>
        </w:rPr>
        <w:t xml:space="preserve">, such as from the female detainee or her associates. Undertaking such an assessment was a necessary step in considering and protecting Mr </w:t>
      </w:r>
      <w:proofErr w:type="spellStart"/>
      <w:r w:rsidRPr="00F7530B">
        <w:rPr>
          <w:rFonts w:cs="Open Sans"/>
        </w:rPr>
        <w:t>Andrwas</w:t>
      </w:r>
      <w:proofErr w:type="spellEnd"/>
      <w:r w:rsidRPr="00F7530B">
        <w:rPr>
          <w:rFonts w:cs="Open Sans"/>
        </w:rPr>
        <w:t>’ right to safety.</w:t>
      </w:r>
    </w:p>
    <w:p w14:paraId="0F4AB33B" w14:textId="77777777" w:rsidR="00201C9D" w:rsidRPr="00D74C1B" w:rsidRDefault="00201C9D" w:rsidP="000F7824">
      <w:pPr>
        <w:numPr>
          <w:ilvl w:val="0"/>
          <w:numId w:val="27"/>
        </w:numPr>
        <w:tabs>
          <w:tab w:val="num" w:pos="960"/>
        </w:tabs>
        <w:spacing w:after="160"/>
        <w:ind w:hanging="720"/>
        <w:rPr>
          <w:rFonts w:cs="Open Sans"/>
        </w:rPr>
      </w:pPr>
      <w:r w:rsidRPr="00D74C1B">
        <w:rPr>
          <w:rFonts w:cs="Open Sans"/>
        </w:rPr>
        <w:t xml:space="preserve">The Commission acknowledges that Mr </w:t>
      </w:r>
      <w:proofErr w:type="spellStart"/>
      <w:r w:rsidRPr="00D74C1B">
        <w:rPr>
          <w:rFonts w:cs="Open Sans"/>
        </w:rPr>
        <w:t>Andrwas</w:t>
      </w:r>
      <w:proofErr w:type="spellEnd"/>
      <w:r w:rsidRPr="00D74C1B">
        <w:rPr>
          <w:rFonts w:cs="Open Sans"/>
        </w:rPr>
        <w:t xml:space="preserve"> and the female detainee raised allegations against each other. </w:t>
      </w:r>
      <w:r>
        <w:rPr>
          <w:rFonts w:cs="Open Sans"/>
        </w:rPr>
        <w:t>Nonetheless</w:t>
      </w:r>
      <w:r w:rsidRPr="00D74C1B">
        <w:rPr>
          <w:rFonts w:cs="Open Sans"/>
        </w:rPr>
        <w:t xml:space="preserve">, I am concerned that the focus of </w:t>
      </w:r>
      <w:r>
        <w:rPr>
          <w:rFonts w:cs="Open Sans"/>
        </w:rPr>
        <w:t xml:space="preserve">the response by the Department and Serco </w:t>
      </w:r>
      <w:r w:rsidRPr="00D74C1B">
        <w:rPr>
          <w:rFonts w:cs="Open Sans"/>
        </w:rPr>
        <w:t xml:space="preserve">was on </w:t>
      </w:r>
      <w:r>
        <w:rPr>
          <w:rFonts w:cs="Open Sans"/>
        </w:rPr>
        <w:t xml:space="preserve">the </w:t>
      </w:r>
      <w:r w:rsidRPr="00D74C1B">
        <w:rPr>
          <w:rFonts w:cs="Open Sans"/>
        </w:rPr>
        <w:t xml:space="preserve">allegations raised by the female detainee, </w:t>
      </w:r>
      <w:r>
        <w:rPr>
          <w:rFonts w:cs="Open Sans"/>
        </w:rPr>
        <w:t xml:space="preserve">while </w:t>
      </w:r>
      <w:r w:rsidRPr="00D74C1B">
        <w:rPr>
          <w:rFonts w:cs="Open Sans"/>
        </w:rPr>
        <w:t>the 11 November incident</w:t>
      </w:r>
      <w:r>
        <w:rPr>
          <w:rFonts w:cs="Open Sans"/>
        </w:rPr>
        <w:t xml:space="preserve"> and the safety of Mr </w:t>
      </w:r>
      <w:proofErr w:type="spellStart"/>
      <w:r>
        <w:rPr>
          <w:rFonts w:cs="Open Sans"/>
        </w:rPr>
        <w:t>Andrwas</w:t>
      </w:r>
      <w:proofErr w:type="spellEnd"/>
      <w:r w:rsidRPr="00D74C1B">
        <w:rPr>
          <w:rFonts w:cs="Open Sans"/>
        </w:rPr>
        <w:t xml:space="preserve"> received limited consideration. </w:t>
      </w:r>
    </w:p>
    <w:p w14:paraId="3FCA8B17" w14:textId="77777777" w:rsidR="00201C9D" w:rsidRPr="00937A33" w:rsidRDefault="00201C9D" w:rsidP="000F7824">
      <w:pPr>
        <w:numPr>
          <w:ilvl w:val="0"/>
          <w:numId w:val="27"/>
        </w:numPr>
        <w:tabs>
          <w:tab w:val="num" w:pos="960"/>
        </w:tabs>
        <w:spacing w:after="160"/>
        <w:ind w:hanging="720"/>
        <w:rPr>
          <w:rFonts w:cs="Open Sans"/>
        </w:rPr>
      </w:pPr>
      <w:r>
        <w:rPr>
          <w:rFonts w:cs="Open Sans"/>
        </w:rPr>
        <w:t>I</w:t>
      </w:r>
      <w:bookmarkStart w:id="38" w:name="_Ref86236878"/>
      <w:r w:rsidRPr="00937A33">
        <w:rPr>
          <w:rFonts w:cs="Open Sans"/>
        </w:rPr>
        <w:t xml:space="preserve">n the circumstances, </w:t>
      </w:r>
      <w:r>
        <w:rPr>
          <w:rFonts w:cs="Open Sans"/>
        </w:rPr>
        <w:t xml:space="preserve">I find that </w:t>
      </w:r>
      <w:r w:rsidRPr="00937A33">
        <w:rPr>
          <w:rFonts w:cs="Open Sans"/>
        </w:rPr>
        <w:t xml:space="preserve">there was not a sufficient response by the Department to the 11 November Incident to ensure the ongoing safety and security of Mr </w:t>
      </w:r>
      <w:proofErr w:type="spellStart"/>
      <w:r w:rsidRPr="00937A33">
        <w:rPr>
          <w:rFonts w:cs="Open Sans"/>
        </w:rPr>
        <w:t>Andrwas</w:t>
      </w:r>
      <w:proofErr w:type="spellEnd"/>
      <w:r w:rsidRPr="00937A33">
        <w:rPr>
          <w:rFonts w:cs="Open Sans"/>
        </w:rPr>
        <w:t>.</w:t>
      </w:r>
      <w:bookmarkEnd w:id="38"/>
      <w:r w:rsidRPr="00937A33">
        <w:rPr>
          <w:rFonts w:cs="Open Sans"/>
        </w:rPr>
        <w:t xml:space="preserve"> </w:t>
      </w:r>
    </w:p>
    <w:p w14:paraId="5846D515" w14:textId="77777777" w:rsidR="00201C9D" w:rsidRPr="00427A31" w:rsidRDefault="00201C9D" w:rsidP="000F7824">
      <w:pPr>
        <w:pStyle w:val="Heading2"/>
        <w:numPr>
          <w:ilvl w:val="1"/>
          <w:numId w:val="28"/>
        </w:numPr>
        <w:tabs>
          <w:tab w:val="num" w:pos="720"/>
        </w:tabs>
        <w:rPr>
          <w:rFonts w:eastAsia="Times New Roman" w:cs="Open Sans"/>
          <w:i/>
          <w:iCs/>
        </w:rPr>
      </w:pPr>
      <w:bookmarkStart w:id="39" w:name="_Toc123828299"/>
      <w:r w:rsidRPr="00427A31">
        <w:rPr>
          <w:rFonts w:eastAsia="Times New Roman" w:cs="Open Sans"/>
          <w:i/>
          <w:iCs/>
        </w:rPr>
        <w:t>First 24 November Incident</w:t>
      </w:r>
      <w:bookmarkEnd w:id="39"/>
    </w:p>
    <w:p w14:paraId="30697DC4" w14:textId="77777777" w:rsidR="00201C9D" w:rsidRPr="00937A33" w:rsidRDefault="00201C9D" w:rsidP="000F7824">
      <w:pPr>
        <w:numPr>
          <w:ilvl w:val="0"/>
          <w:numId w:val="27"/>
        </w:numPr>
        <w:tabs>
          <w:tab w:val="num" w:pos="960"/>
        </w:tabs>
        <w:spacing w:after="160"/>
        <w:ind w:hanging="720"/>
        <w:rPr>
          <w:rFonts w:cs="Open Sans"/>
        </w:rPr>
      </w:pPr>
      <w:r w:rsidRPr="00937A33">
        <w:rPr>
          <w:rFonts w:cs="Open Sans"/>
        </w:rPr>
        <w:t xml:space="preserve">There are differing accounts of what occurred on the morning of 24 November 2017. </w:t>
      </w:r>
    </w:p>
    <w:p w14:paraId="5A0A9AB3" w14:textId="77777777" w:rsidR="00201C9D" w:rsidRPr="00937A33" w:rsidRDefault="00201C9D" w:rsidP="000F7824">
      <w:pPr>
        <w:numPr>
          <w:ilvl w:val="0"/>
          <w:numId w:val="27"/>
        </w:numPr>
        <w:tabs>
          <w:tab w:val="num" w:pos="960"/>
        </w:tabs>
        <w:spacing w:after="160"/>
        <w:ind w:hanging="720"/>
        <w:rPr>
          <w:rFonts w:cs="Open Sans"/>
        </w:rPr>
      </w:pPr>
      <w:r w:rsidRPr="00937A33">
        <w:rPr>
          <w:rFonts w:cs="Open Sans"/>
        </w:rPr>
        <w:t xml:space="preserve">Mr </w:t>
      </w:r>
      <w:proofErr w:type="spellStart"/>
      <w:r w:rsidRPr="00937A33">
        <w:rPr>
          <w:rFonts w:cs="Open Sans"/>
        </w:rPr>
        <w:t>Andrwas</w:t>
      </w:r>
      <w:proofErr w:type="spellEnd"/>
      <w:r w:rsidRPr="00937A33">
        <w:rPr>
          <w:rFonts w:cs="Open Sans"/>
        </w:rPr>
        <w:t xml:space="preserve"> alleges that the female detainee organised four male detainees to assault him. He believes that her motive was to ‘get a bridging visa and revenge on him for causing her detention and wanting to press assault charges against her’. </w:t>
      </w:r>
    </w:p>
    <w:p w14:paraId="63DD9E57" w14:textId="77777777" w:rsidR="00201C9D" w:rsidRPr="00937A33" w:rsidRDefault="00201C9D" w:rsidP="000F7824">
      <w:pPr>
        <w:numPr>
          <w:ilvl w:val="0"/>
          <w:numId w:val="27"/>
        </w:numPr>
        <w:tabs>
          <w:tab w:val="num" w:pos="960"/>
        </w:tabs>
        <w:spacing w:after="160"/>
        <w:ind w:hanging="720"/>
        <w:rPr>
          <w:rFonts w:cs="Open Sans"/>
        </w:rPr>
      </w:pPr>
      <w:r w:rsidRPr="00937A33">
        <w:rPr>
          <w:rFonts w:cs="Open Sans"/>
        </w:rPr>
        <w:t xml:space="preserve">Mr </w:t>
      </w:r>
      <w:proofErr w:type="spellStart"/>
      <w:r w:rsidRPr="00937A33">
        <w:rPr>
          <w:rFonts w:cs="Open Sans"/>
        </w:rPr>
        <w:t>Andrwas</w:t>
      </w:r>
      <w:proofErr w:type="spellEnd"/>
      <w:r w:rsidRPr="00937A33">
        <w:rPr>
          <w:rFonts w:cs="Open Sans"/>
        </w:rPr>
        <w:t xml:space="preserve"> alleges that the female detainee had been talking to the four male detainees every day for several weeks leading up to the assault. He says that he had no issue with these men prior to her talking to them. </w:t>
      </w:r>
    </w:p>
    <w:p w14:paraId="48105D3A" w14:textId="77777777" w:rsidR="00201C9D" w:rsidRPr="00937A33" w:rsidRDefault="00201C9D" w:rsidP="000F7824">
      <w:pPr>
        <w:numPr>
          <w:ilvl w:val="0"/>
          <w:numId w:val="27"/>
        </w:numPr>
        <w:tabs>
          <w:tab w:val="num" w:pos="960"/>
        </w:tabs>
        <w:spacing w:after="160"/>
        <w:ind w:hanging="720"/>
        <w:rPr>
          <w:rFonts w:cs="Open Sans"/>
        </w:rPr>
      </w:pPr>
      <w:r w:rsidRPr="00937A33">
        <w:rPr>
          <w:rFonts w:cs="Open Sans"/>
        </w:rPr>
        <w:t xml:space="preserve">Mr </w:t>
      </w:r>
      <w:proofErr w:type="spellStart"/>
      <w:r w:rsidRPr="00937A33">
        <w:rPr>
          <w:rFonts w:cs="Open Sans"/>
        </w:rPr>
        <w:t>Andrwas</w:t>
      </w:r>
      <w:proofErr w:type="spellEnd"/>
      <w:r w:rsidRPr="00937A33">
        <w:rPr>
          <w:rFonts w:cs="Open Sans"/>
        </w:rPr>
        <w:t xml:space="preserve"> alleges that he was speaking to the first male detainee about the female detainee in the common area outside the Lachlan compound. The first male detainee told him to drop his assault charges against the female detainee. Mr </w:t>
      </w:r>
      <w:proofErr w:type="spellStart"/>
      <w:r w:rsidRPr="00937A33">
        <w:rPr>
          <w:rFonts w:cs="Open Sans"/>
        </w:rPr>
        <w:t>Andrwas</w:t>
      </w:r>
      <w:proofErr w:type="spellEnd"/>
      <w:r w:rsidRPr="00937A33">
        <w:rPr>
          <w:rFonts w:cs="Open Sans"/>
        </w:rPr>
        <w:t xml:space="preserve"> alleges that the first male detainee then punched him in the face. The second and third male detainees then punched him in the back of the head at the same time, which knocked him unconscious for around thirty seconds. Mr </w:t>
      </w:r>
      <w:proofErr w:type="spellStart"/>
      <w:r w:rsidRPr="00937A33">
        <w:rPr>
          <w:rFonts w:cs="Open Sans"/>
        </w:rPr>
        <w:t>Andrwas</w:t>
      </w:r>
      <w:proofErr w:type="spellEnd"/>
      <w:r w:rsidRPr="00937A33">
        <w:rPr>
          <w:rFonts w:cs="Open Sans"/>
        </w:rPr>
        <w:t xml:space="preserve"> says that he attended the </w:t>
      </w:r>
      <w:r>
        <w:rPr>
          <w:rFonts w:cs="Open Sans"/>
        </w:rPr>
        <w:t xml:space="preserve">IHMS </w:t>
      </w:r>
      <w:r w:rsidRPr="00937A33">
        <w:rPr>
          <w:rFonts w:cs="Open Sans"/>
        </w:rPr>
        <w:t xml:space="preserve">medical centre due to this incident. </w:t>
      </w:r>
    </w:p>
    <w:p w14:paraId="36D549F2" w14:textId="77777777" w:rsidR="00201C9D" w:rsidRPr="00937A33" w:rsidRDefault="00201C9D" w:rsidP="000F7824">
      <w:pPr>
        <w:numPr>
          <w:ilvl w:val="0"/>
          <w:numId w:val="27"/>
        </w:numPr>
        <w:tabs>
          <w:tab w:val="num" w:pos="960"/>
        </w:tabs>
        <w:spacing w:after="160"/>
        <w:ind w:hanging="720"/>
        <w:rPr>
          <w:rFonts w:cs="Open Sans"/>
        </w:rPr>
      </w:pPr>
      <w:r w:rsidRPr="00937A33">
        <w:rPr>
          <w:rFonts w:cs="Open Sans"/>
        </w:rPr>
        <w:t xml:space="preserve">There is no evidence from any other witnesses to this assault. </w:t>
      </w:r>
    </w:p>
    <w:p w14:paraId="2F829485" w14:textId="77777777" w:rsidR="00201C9D" w:rsidRPr="00937A33" w:rsidRDefault="00201C9D" w:rsidP="000F7824">
      <w:pPr>
        <w:numPr>
          <w:ilvl w:val="0"/>
          <w:numId w:val="27"/>
        </w:numPr>
        <w:tabs>
          <w:tab w:val="num" w:pos="960"/>
        </w:tabs>
        <w:spacing w:after="160"/>
        <w:ind w:hanging="720"/>
        <w:rPr>
          <w:rFonts w:cs="Open Sans"/>
        </w:rPr>
      </w:pPr>
      <w:r w:rsidRPr="00937A33">
        <w:rPr>
          <w:rFonts w:cs="Open Sans"/>
        </w:rPr>
        <w:t xml:space="preserve">The Commission requested that the Department provide any incident reports or other documents relating to the incident that occurred in the </w:t>
      </w:r>
      <w:r w:rsidRPr="00937A33">
        <w:rPr>
          <w:rFonts w:cs="Open Sans"/>
        </w:rPr>
        <w:lastRenderedPageBreak/>
        <w:t xml:space="preserve">morning of 24 November 2017. No documents were provided relating to an incident as alleged by Mr </w:t>
      </w:r>
      <w:proofErr w:type="spellStart"/>
      <w:r w:rsidRPr="00937A33">
        <w:rPr>
          <w:rFonts w:cs="Open Sans"/>
        </w:rPr>
        <w:t>Andrwas</w:t>
      </w:r>
      <w:proofErr w:type="spellEnd"/>
      <w:r w:rsidRPr="00937A33">
        <w:rPr>
          <w:rFonts w:cs="Open Sans"/>
        </w:rPr>
        <w:t xml:space="preserve">. </w:t>
      </w:r>
    </w:p>
    <w:p w14:paraId="3F88705B" w14:textId="77777777" w:rsidR="00201C9D" w:rsidRPr="00937A33" w:rsidRDefault="00201C9D" w:rsidP="000F7824">
      <w:pPr>
        <w:numPr>
          <w:ilvl w:val="0"/>
          <w:numId w:val="27"/>
        </w:numPr>
        <w:tabs>
          <w:tab w:val="num" w:pos="960"/>
        </w:tabs>
        <w:spacing w:after="160"/>
        <w:ind w:hanging="720"/>
        <w:rPr>
          <w:rFonts w:cs="Open Sans"/>
        </w:rPr>
      </w:pPr>
      <w:r w:rsidRPr="00937A33">
        <w:rPr>
          <w:rFonts w:cs="Open Sans"/>
        </w:rPr>
        <w:t xml:space="preserve">The Department did, however, provide an Incident Detail Report, which states that at approximately 12:20pm on 24 November 2017, a Serco officer saw Mr </w:t>
      </w:r>
      <w:proofErr w:type="spellStart"/>
      <w:r w:rsidRPr="00937A33">
        <w:rPr>
          <w:rFonts w:cs="Open Sans"/>
        </w:rPr>
        <w:t>Andrwas</w:t>
      </w:r>
      <w:proofErr w:type="spellEnd"/>
      <w:r w:rsidRPr="00937A33">
        <w:rPr>
          <w:rFonts w:cs="Open Sans"/>
        </w:rPr>
        <w:t xml:space="preserve"> with a cut on his nose. When questioned, Mr </w:t>
      </w:r>
      <w:proofErr w:type="spellStart"/>
      <w:r w:rsidRPr="00937A33">
        <w:rPr>
          <w:rFonts w:cs="Open Sans"/>
        </w:rPr>
        <w:t>Andrwas</w:t>
      </w:r>
      <w:proofErr w:type="spellEnd"/>
      <w:r w:rsidRPr="00937A33">
        <w:rPr>
          <w:rFonts w:cs="Open Sans"/>
        </w:rPr>
        <w:t xml:space="preserve"> advised the Serco officer that he fell forward in the shower and cut his nose in the bathroom in Lachlan 1 Unit 1. </w:t>
      </w:r>
    </w:p>
    <w:p w14:paraId="704B3C2E" w14:textId="77777777" w:rsidR="00201C9D" w:rsidRDefault="00201C9D" w:rsidP="000F7824">
      <w:pPr>
        <w:numPr>
          <w:ilvl w:val="0"/>
          <w:numId w:val="27"/>
        </w:numPr>
        <w:tabs>
          <w:tab w:val="num" w:pos="960"/>
        </w:tabs>
        <w:spacing w:after="160"/>
        <w:ind w:hanging="720"/>
        <w:rPr>
          <w:rFonts w:cs="Open Sans"/>
        </w:rPr>
      </w:pPr>
      <w:r w:rsidRPr="00937A33">
        <w:rPr>
          <w:rFonts w:cs="Open Sans"/>
        </w:rPr>
        <w:t xml:space="preserve">In the Department’s response, it says Mr </w:t>
      </w:r>
      <w:proofErr w:type="spellStart"/>
      <w:r w:rsidRPr="00937A33">
        <w:rPr>
          <w:rFonts w:cs="Open Sans"/>
        </w:rPr>
        <w:t>Andrwas</w:t>
      </w:r>
      <w:proofErr w:type="spellEnd"/>
      <w:r w:rsidRPr="00937A33">
        <w:rPr>
          <w:rFonts w:cs="Open Sans"/>
        </w:rPr>
        <w:t xml:space="preserve"> was then brought to the IHMS medical centre by a Serco officer. Mr </w:t>
      </w:r>
      <w:proofErr w:type="spellStart"/>
      <w:r w:rsidRPr="00937A33">
        <w:rPr>
          <w:rFonts w:cs="Open Sans"/>
        </w:rPr>
        <w:t>Andrwas</w:t>
      </w:r>
      <w:proofErr w:type="spellEnd"/>
      <w:r w:rsidRPr="00937A33">
        <w:rPr>
          <w:rFonts w:cs="Open Sans"/>
        </w:rPr>
        <w:t xml:space="preserve"> was assessed by an IHMS Primary Health Nurse (PHN) who recorded that he had reportedly fallen in the shower, and that he sustained a deep 2cm laceration to the bridge of his nose. Mr </w:t>
      </w:r>
      <w:proofErr w:type="spellStart"/>
      <w:r w:rsidRPr="00937A33">
        <w:rPr>
          <w:rFonts w:cs="Open Sans"/>
        </w:rPr>
        <w:t>Andrwas</w:t>
      </w:r>
      <w:proofErr w:type="spellEnd"/>
      <w:r w:rsidRPr="00937A33">
        <w:rPr>
          <w:rFonts w:cs="Open Sans"/>
        </w:rPr>
        <w:t xml:space="preserve"> was briefly reviewed by the Duty General Practitioner (GP) who recommended transfer to hospital for further assessment and review of the laceration. </w:t>
      </w:r>
    </w:p>
    <w:p w14:paraId="1150AAD9" w14:textId="77777777" w:rsidR="00201C9D" w:rsidRPr="00937A33" w:rsidRDefault="00201C9D" w:rsidP="000F7824">
      <w:pPr>
        <w:numPr>
          <w:ilvl w:val="0"/>
          <w:numId w:val="27"/>
        </w:numPr>
        <w:tabs>
          <w:tab w:val="num" w:pos="960"/>
        </w:tabs>
        <w:spacing w:after="160"/>
        <w:ind w:hanging="720"/>
        <w:rPr>
          <w:rFonts w:cs="Open Sans"/>
        </w:rPr>
      </w:pPr>
      <w:r>
        <w:rPr>
          <w:rFonts w:cs="Open Sans"/>
        </w:rPr>
        <w:t xml:space="preserve">The Department has advised that Mr </w:t>
      </w:r>
      <w:proofErr w:type="spellStart"/>
      <w:r>
        <w:rPr>
          <w:rFonts w:cs="Open Sans"/>
        </w:rPr>
        <w:t>Andrwas</w:t>
      </w:r>
      <w:proofErr w:type="spellEnd"/>
      <w:r>
        <w:rPr>
          <w:rFonts w:cs="Open Sans"/>
        </w:rPr>
        <w:t xml:space="preserve"> did not disclose an assault to IHMS or raise any concerns for his safety following this incident. As there was no evidence to the contrary, the Department accepted Mr </w:t>
      </w:r>
      <w:proofErr w:type="spellStart"/>
      <w:r>
        <w:rPr>
          <w:rFonts w:cs="Open Sans"/>
        </w:rPr>
        <w:t>Andrwas</w:t>
      </w:r>
      <w:proofErr w:type="spellEnd"/>
      <w:r>
        <w:rPr>
          <w:rFonts w:cs="Open Sans"/>
        </w:rPr>
        <w:t>’ explanation that the injury was caused by him falling in the shower.</w:t>
      </w:r>
    </w:p>
    <w:p w14:paraId="5EB6FD4E" w14:textId="77777777" w:rsidR="00201C9D" w:rsidRDefault="00201C9D" w:rsidP="000F7824">
      <w:pPr>
        <w:numPr>
          <w:ilvl w:val="0"/>
          <w:numId w:val="27"/>
        </w:numPr>
        <w:tabs>
          <w:tab w:val="num" w:pos="960"/>
        </w:tabs>
        <w:spacing w:after="160"/>
        <w:ind w:hanging="720"/>
        <w:rPr>
          <w:rFonts w:cs="Open Sans"/>
        </w:rPr>
      </w:pPr>
      <w:r w:rsidRPr="00937A33">
        <w:rPr>
          <w:rFonts w:cs="Open Sans"/>
        </w:rPr>
        <w:t xml:space="preserve">Mr </w:t>
      </w:r>
      <w:proofErr w:type="spellStart"/>
      <w:r w:rsidRPr="00937A33">
        <w:rPr>
          <w:rFonts w:cs="Open Sans"/>
        </w:rPr>
        <w:t>Andrwas</w:t>
      </w:r>
      <w:proofErr w:type="spellEnd"/>
      <w:r w:rsidRPr="00937A33">
        <w:rPr>
          <w:rFonts w:cs="Open Sans"/>
        </w:rPr>
        <w:t xml:space="preserve">’ assessment at the Hospital Emergency Department (Hospital) is discussed further below (see paragraph </w:t>
      </w:r>
      <w:r w:rsidRPr="00937A33">
        <w:rPr>
          <w:rFonts w:cs="Open Sans"/>
        </w:rPr>
        <w:fldChar w:fldCharType="begin"/>
      </w:r>
      <w:r w:rsidRPr="00937A33">
        <w:rPr>
          <w:rFonts w:cs="Open Sans"/>
        </w:rPr>
        <w:instrText xml:space="preserve"> REF _Ref86247117 \r \h </w:instrText>
      </w:r>
      <w:r>
        <w:rPr>
          <w:rFonts w:cs="Open Sans"/>
        </w:rPr>
        <w:instrText xml:space="preserve"> \* MERGEFORMAT </w:instrText>
      </w:r>
      <w:r w:rsidRPr="00937A33">
        <w:rPr>
          <w:rFonts w:cs="Open Sans"/>
        </w:rPr>
      </w:r>
      <w:r w:rsidRPr="00937A33">
        <w:rPr>
          <w:rFonts w:cs="Open Sans"/>
        </w:rPr>
        <w:fldChar w:fldCharType="separate"/>
      </w:r>
      <w:r>
        <w:rPr>
          <w:rFonts w:cs="Open Sans"/>
        </w:rPr>
        <w:t>125</w:t>
      </w:r>
      <w:r w:rsidRPr="00937A33">
        <w:rPr>
          <w:rFonts w:cs="Open Sans"/>
        </w:rPr>
        <w:fldChar w:fldCharType="end"/>
      </w:r>
      <w:r w:rsidRPr="00937A33">
        <w:rPr>
          <w:rFonts w:cs="Open Sans"/>
        </w:rPr>
        <w:t xml:space="preserve">). However, according to the Hospital’s discharge referral, Mr </w:t>
      </w:r>
      <w:proofErr w:type="spellStart"/>
      <w:r w:rsidRPr="00937A33">
        <w:rPr>
          <w:rFonts w:cs="Open Sans"/>
        </w:rPr>
        <w:t>Andrwas</w:t>
      </w:r>
      <w:proofErr w:type="spellEnd"/>
      <w:r w:rsidRPr="00937A33">
        <w:rPr>
          <w:rFonts w:cs="Open Sans"/>
        </w:rPr>
        <w:t xml:space="preserve"> reported that ‘he was punched on the face and hit on his right wrist, had no loss of consciousness but his vision is blurry especially on the right side’. </w:t>
      </w:r>
    </w:p>
    <w:p w14:paraId="2D207533" w14:textId="77777777" w:rsidR="00201C9D" w:rsidRPr="00427A31" w:rsidRDefault="00201C9D" w:rsidP="000F7824">
      <w:pPr>
        <w:pStyle w:val="Heading2"/>
        <w:numPr>
          <w:ilvl w:val="1"/>
          <w:numId w:val="28"/>
        </w:numPr>
        <w:tabs>
          <w:tab w:val="num" w:pos="720"/>
        </w:tabs>
        <w:rPr>
          <w:rFonts w:eastAsia="Times New Roman" w:cs="Open Sans"/>
          <w:i/>
          <w:iCs/>
        </w:rPr>
      </w:pPr>
      <w:bookmarkStart w:id="40" w:name="_Toc123828300"/>
      <w:r w:rsidRPr="00427A31">
        <w:rPr>
          <w:rFonts w:eastAsia="Times New Roman" w:cs="Open Sans"/>
          <w:i/>
          <w:iCs/>
        </w:rPr>
        <w:t>Consideration</w:t>
      </w:r>
      <w:bookmarkEnd w:id="40"/>
    </w:p>
    <w:p w14:paraId="513CF387" w14:textId="77777777" w:rsidR="00201C9D" w:rsidRPr="00937A33" w:rsidRDefault="00201C9D" w:rsidP="000F7824">
      <w:pPr>
        <w:numPr>
          <w:ilvl w:val="0"/>
          <w:numId w:val="27"/>
        </w:numPr>
        <w:tabs>
          <w:tab w:val="num" w:pos="960"/>
        </w:tabs>
        <w:spacing w:after="160"/>
        <w:ind w:hanging="720"/>
        <w:rPr>
          <w:rFonts w:cs="Open Sans"/>
        </w:rPr>
      </w:pPr>
      <w:r w:rsidRPr="00937A33">
        <w:rPr>
          <w:rFonts w:cs="Open Sans"/>
        </w:rPr>
        <w:t xml:space="preserve">In respect of the First 24 November Incident, there is not enough information to make a finding as to whether Mr </w:t>
      </w:r>
      <w:proofErr w:type="spellStart"/>
      <w:r w:rsidRPr="00937A33">
        <w:rPr>
          <w:rFonts w:cs="Open Sans"/>
        </w:rPr>
        <w:t>Andrwas</w:t>
      </w:r>
      <w:proofErr w:type="spellEnd"/>
      <w:r w:rsidRPr="00937A33">
        <w:rPr>
          <w:rFonts w:cs="Open Sans"/>
        </w:rPr>
        <w:t xml:space="preserve"> was assaulted as he alleges or whether he was injured from falling in the shower as he previously reported to Serco and IHMS.</w:t>
      </w:r>
      <w:r>
        <w:rPr>
          <w:rFonts w:cs="Open Sans"/>
        </w:rPr>
        <w:t xml:space="preserve"> However, </w:t>
      </w:r>
      <w:r w:rsidRPr="00937A33">
        <w:rPr>
          <w:rFonts w:cs="Open Sans"/>
        </w:rPr>
        <w:t xml:space="preserve">I do not discount the possibility that Mr </w:t>
      </w:r>
      <w:proofErr w:type="spellStart"/>
      <w:r w:rsidRPr="00937A33">
        <w:rPr>
          <w:rFonts w:cs="Open Sans"/>
        </w:rPr>
        <w:t>Andrwas</w:t>
      </w:r>
      <w:proofErr w:type="spellEnd"/>
      <w:r w:rsidRPr="00937A33">
        <w:rPr>
          <w:rFonts w:cs="Open Sans"/>
        </w:rPr>
        <w:t xml:space="preserve"> was the victim of an assault that morning</w:t>
      </w:r>
      <w:r>
        <w:rPr>
          <w:rFonts w:cs="Open Sans"/>
        </w:rPr>
        <w:t xml:space="preserve">, particularly considering the serious assault on him later the same day. </w:t>
      </w:r>
    </w:p>
    <w:p w14:paraId="2A575F41" w14:textId="77777777" w:rsidR="00201C9D" w:rsidRPr="00937A33" w:rsidRDefault="00201C9D" w:rsidP="000F7824">
      <w:pPr>
        <w:numPr>
          <w:ilvl w:val="0"/>
          <w:numId w:val="27"/>
        </w:numPr>
        <w:tabs>
          <w:tab w:val="num" w:pos="960"/>
        </w:tabs>
        <w:spacing w:after="160"/>
        <w:ind w:hanging="720"/>
        <w:rPr>
          <w:rFonts w:cs="Open Sans"/>
        </w:rPr>
      </w:pPr>
      <w:r>
        <w:rPr>
          <w:rFonts w:cs="Open Sans"/>
        </w:rPr>
        <w:t xml:space="preserve">On the evidence before the Commission, I </w:t>
      </w:r>
      <w:r w:rsidRPr="00937A33">
        <w:rPr>
          <w:rFonts w:cs="Open Sans"/>
        </w:rPr>
        <w:t xml:space="preserve">am satisfied that </w:t>
      </w:r>
      <w:r>
        <w:rPr>
          <w:rFonts w:cs="Open Sans"/>
        </w:rPr>
        <w:t xml:space="preserve">Mr </w:t>
      </w:r>
      <w:proofErr w:type="spellStart"/>
      <w:r>
        <w:rPr>
          <w:rFonts w:cs="Open Sans"/>
        </w:rPr>
        <w:t>Andrwas</w:t>
      </w:r>
      <w:proofErr w:type="spellEnd"/>
      <w:r>
        <w:rPr>
          <w:rFonts w:cs="Open Sans"/>
        </w:rPr>
        <w:t xml:space="preserve"> did not report to Serco or the </w:t>
      </w:r>
      <w:r w:rsidRPr="00937A33">
        <w:rPr>
          <w:rFonts w:cs="Open Sans"/>
        </w:rPr>
        <w:t>Department</w:t>
      </w:r>
      <w:r>
        <w:rPr>
          <w:rFonts w:cs="Open Sans"/>
        </w:rPr>
        <w:t xml:space="preserve"> that his injury was a result of this assault, and that the Department </w:t>
      </w:r>
      <w:r w:rsidRPr="00937A33">
        <w:rPr>
          <w:rFonts w:cs="Open Sans"/>
        </w:rPr>
        <w:t xml:space="preserve">was </w:t>
      </w:r>
      <w:r>
        <w:rPr>
          <w:rFonts w:cs="Open Sans"/>
        </w:rPr>
        <w:t xml:space="preserve">not otherwise </w:t>
      </w:r>
      <w:r w:rsidRPr="00937A33">
        <w:rPr>
          <w:rFonts w:cs="Open Sans"/>
        </w:rPr>
        <w:t>aware of this alleged assault</w:t>
      </w:r>
      <w:r>
        <w:rPr>
          <w:rFonts w:cs="Open Sans"/>
        </w:rPr>
        <w:t xml:space="preserve">, </w:t>
      </w:r>
      <w:r w:rsidRPr="00937A33">
        <w:rPr>
          <w:rFonts w:cs="Open Sans"/>
        </w:rPr>
        <w:t>on or around 24 November 201</w:t>
      </w:r>
      <w:r>
        <w:rPr>
          <w:rFonts w:cs="Open Sans"/>
        </w:rPr>
        <w:t>7</w:t>
      </w:r>
      <w:r w:rsidRPr="00937A33">
        <w:rPr>
          <w:rFonts w:cs="Open Sans"/>
        </w:rPr>
        <w:t xml:space="preserve">. </w:t>
      </w:r>
    </w:p>
    <w:p w14:paraId="74EE18F3" w14:textId="77777777" w:rsidR="00201C9D" w:rsidRPr="00937A33" w:rsidRDefault="00201C9D" w:rsidP="000F7824">
      <w:pPr>
        <w:numPr>
          <w:ilvl w:val="0"/>
          <w:numId w:val="27"/>
        </w:numPr>
        <w:tabs>
          <w:tab w:val="num" w:pos="960"/>
        </w:tabs>
        <w:spacing w:after="160"/>
        <w:ind w:hanging="720"/>
        <w:rPr>
          <w:rFonts w:cs="Open Sans"/>
        </w:rPr>
      </w:pPr>
      <w:r w:rsidRPr="00937A33">
        <w:rPr>
          <w:rFonts w:cs="Open Sans"/>
        </w:rPr>
        <w:lastRenderedPageBreak/>
        <w:t xml:space="preserve">Although it is unclear how it occurred, Mr </w:t>
      </w:r>
      <w:proofErr w:type="spellStart"/>
      <w:r w:rsidRPr="00937A33">
        <w:rPr>
          <w:rFonts w:cs="Open Sans"/>
        </w:rPr>
        <w:t>Andrwas</w:t>
      </w:r>
      <w:proofErr w:type="spellEnd"/>
      <w:r w:rsidRPr="00937A33">
        <w:rPr>
          <w:rFonts w:cs="Open Sans"/>
        </w:rPr>
        <w:t xml:space="preserve"> sustained a deep cut to his nose in the morning of the 24 November 2017. There does not appear to be any contemporaneous support for Mr </w:t>
      </w:r>
      <w:proofErr w:type="spellStart"/>
      <w:r w:rsidRPr="00937A33">
        <w:rPr>
          <w:rFonts w:cs="Open Sans"/>
        </w:rPr>
        <w:t>Andrwas</w:t>
      </w:r>
      <w:proofErr w:type="spellEnd"/>
      <w:r w:rsidRPr="00937A33">
        <w:rPr>
          <w:rFonts w:cs="Open Sans"/>
        </w:rPr>
        <w:t xml:space="preserve">’ claim that he lost consciousness as he alleges, given the Hospital’s records indicate he reported no loss of consciousness. </w:t>
      </w:r>
    </w:p>
    <w:p w14:paraId="6D402866" w14:textId="77777777" w:rsidR="00201C9D" w:rsidRPr="00937A33" w:rsidRDefault="00201C9D" w:rsidP="000F7824">
      <w:pPr>
        <w:numPr>
          <w:ilvl w:val="0"/>
          <w:numId w:val="27"/>
        </w:numPr>
        <w:tabs>
          <w:tab w:val="num" w:pos="960"/>
        </w:tabs>
        <w:spacing w:after="160"/>
        <w:ind w:hanging="720"/>
        <w:rPr>
          <w:rFonts w:cs="Open Sans"/>
        </w:rPr>
      </w:pPr>
      <w:r w:rsidRPr="00937A33">
        <w:rPr>
          <w:rFonts w:cs="Open Sans"/>
        </w:rPr>
        <w:t xml:space="preserve">Given the above, I otherwise do not make any findings regarding the First 24 November Incident. </w:t>
      </w:r>
    </w:p>
    <w:p w14:paraId="515AB04A" w14:textId="77777777" w:rsidR="00201C9D" w:rsidRPr="00836164" w:rsidRDefault="00201C9D" w:rsidP="000F7824">
      <w:pPr>
        <w:pStyle w:val="Heading2"/>
        <w:numPr>
          <w:ilvl w:val="1"/>
          <w:numId w:val="28"/>
        </w:numPr>
        <w:tabs>
          <w:tab w:val="num" w:pos="720"/>
        </w:tabs>
        <w:rPr>
          <w:rFonts w:eastAsia="Times New Roman" w:cs="Open Sans"/>
          <w:i/>
          <w:iCs/>
        </w:rPr>
      </w:pPr>
      <w:bookmarkStart w:id="41" w:name="_Toc123828301"/>
      <w:r w:rsidRPr="00836164">
        <w:rPr>
          <w:rFonts w:eastAsia="Times New Roman" w:cs="Open Sans"/>
          <w:i/>
          <w:iCs/>
        </w:rPr>
        <w:t>Second 24 November Incident</w:t>
      </w:r>
      <w:bookmarkEnd w:id="41"/>
    </w:p>
    <w:p w14:paraId="1F29DBA1" w14:textId="77777777" w:rsidR="00201C9D" w:rsidRPr="00937A33" w:rsidRDefault="00201C9D" w:rsidP="000F7824">
      <w:pPr>
        <w:numPr>
          <w:ilvl w:val="0"/>
          <w:numId w:val="27"/>
        </w:numPr>
        <w:tabs>
          <w:tab w:val="num" w:pos="960"/>
        </w:tabs>
        <w:spacing w:after="160"/>
        <w:ind w:hanging="720"/>
        <w:rPr>
          <w:rFonts w:cs="Open Sans"/>
        </w:rPr>
      </w:pPr>
      <w:r w:rsidRPr="00937A33">
        <w:rPr>
          <w:rFonts w:cs="Open Sans"/>
        </w:rPr>
        <w:t xml:space="preserve">Following the First 24 November Incident, Mr </w:t>
      </w:r>
      <w:proofErr w:type="spellStart"/>
      <w:r w:rsidRPr="00937A33">
        <w:rPr>
          <w:rFonts w:cs="Open Sans"/>
        </w:rPr>
        <w:t>Andrwas</w:t>
      </w:r>
      <w:proofErr w:type="spellEnd"/>
      <w:r w:rsidRPr="00937A33">
        <w:rPr>
          <w:rFonts w:cs="Open Sans"/>
        </w:rPr>
        <w:t xml:space="preserve"> says he attended the IHMS medical centre for medical attention, where he was told that he needed to go to hospital for stitches. Mr </w:t>
      </w:r>
      <w:proofErr w:type="spellStart"/>
      <w:r w:rsidRPr="00937A33">
        <w:rPr>
          <w:rFonts w:cs="Open Sans"/>
        </w:rPr>
        <w:t>Andrwas</w:t>
      </w:r>
      <w:proofErr w:type="spellEnd"/>
      <w:r w:rsidRPr="00937A33">
        <w:rPr>
          <w:rFonts w:cs="Open Sans"/>
        </w:rPr>
        <w:t xml:space="preserve"> says he had dropped his phone and identification card in the Lachlan common area. He says he was told by IHMS and Serco staff to go back and get it but the ‘Serco officer did not come with me despite it being an unsafe environment for me’. </w:t>
      </w:r>
    </w:p>
    <w:p w14:paraId="23DB73AD" w14:textId="77777777" w:rsidR="00201C9D" w:rsidRPr="00937A33" w:rsidRDefault="00201C9D" w:rsidP="000F7824">
      <w:pPr>
        <w:numPr>
          <w:ilvl w:val="0"/>
          <w:numId w:val="27"/>
        </w:numPr>
        <w:tabs>
          <w:tab w:val="num" w:pos="960"/>
        </w:tabs>
        <w:spacing w:after="160"/>
        <w:ind w:hanging="720"/>
        <w:rPr>
          <w:rFonts w:cs="Open Sans"/>
        </w:rPr>
      </w:pPr>
      <w:r w:rsidRPr="00937A33">
        <w:rPr>
          <w:rFonts w:cs="Open Sans"/>
        </w:rPr>
        <w:t xml:space="preserve">Mr </w:t>
      </w:r>
      <w:proofErr w:type="spellStart"/>
      <w:r w:rsidRPr="00937A33">
        <w:rPr>
          <w:rFonts w:cs="Open Sans"/>
        </w:rPr>
        <w:t>Andrwas</w:t>
      </w:r>
      <w:proofErr w:type="spellEnd"/>
      <w:r w:rsidRPr="00937A33">
        <w:rPr>
          <w:rFonts w:cs="Open Sans"/>
        </w:rPr>
        <w:t xml:space="preserve"> does not say </w:t>
      </w:r>
      <w:r>
        <w:rPr>
          <w:rFonts w:cs="Open Sans"/>
        </w:rPr>
        <w:t>that</w:t>
      </w:r>
      <w:r w:rsidRPr="00937A33">
        <w:rPr>
          <w:rFonts w:cs="Open Sans"/>
        </w:rPr>
        <w:t xml:space="preserve"> he raised any concerns regarding his safety with IHMS or Serco staff or otherwise requested that he be accompanied by Serco officers when returning to Lachlan. There is no evidence before the Commission which indicates that he did. </w:t>
      </w:r>
    </w:p>
    <w:p w14:paraId="34F17290" w14:textId="77777777" w:rsidR="00201C9D" w:rsidRPr="00937A33" w:rsidRDefault="00201C9D" w:rsidP="000F7824">
      <w:pPr>
        <w:numPr>
          <w:ilvl w:val="0"/>
          <w:numId w:val="27"/>
        </w:numPr>
        <w:tabs>
          <w:tab w:val="num" w:pos="960"/>
        </w:tabs>
        <w:spacing w:after="160"/>
        <w:ind w:hanging="720"/>
        <w:rPr>
          <w:rFonts w:cs="Open Sans"/>
        </w:rPr>
      </w:pPr>
      <w:r w:rsidRPr="00937A33">
        <w:rPr>
          <w:rFonts w:cs="Open Sans"/>
        </w:rPr>
        <w:t xml:space="preserve">Mr </w:t>
      </w:r>
      <w:proofErr w:type="spellStart"/>
      <w:r w:rsidRPr="00937A33">
        <w:rPr>
          <w:rFonts w:cs="Open Sans"/>
        </w:rPr>
        <w:t>Andrwas</w:t>
      </w:r>
      <w:proofErr w:type="spellEnd"/>
      <w:r w:rsidRPr="00937A33">
        <w:rPr>
          <w:rFonts w:cs="Open Sans"/>
        </w:rPr>
        <w:t xml:space="preserve"> alleges that he returned to the Lachlan common areas to retrieve his phone and identification card. He says that the first and fourth male detainees started arguing with him about the female detainee. He says that the fourth male detainee started swearing at him. Two Serco officers intervened to stop the argument, but the fourth male detainee punched him in the right eye. </w:t>
      </w:r>
    </w:p>
    <w:p w14:paraId="2DC4D96D" w14:textId="77777777" w:rsidR="00201C9D" w:rsidRPr="00937A33" w:rsidRDefault="00201C9D" w:rsidP="000F7824">
      <w:pPr>
        <w:numPr>
          <w:ilvl w:val="0"/>
          <w:numId w:val="27"/>
        </w:numPr>
        <w:tabs>
          <w:tab w:val="num" w:pos="960"/>
        </w:tabs>
        <w:spacing w:after="160"/>
        <w:ind w:hanging="720"/>
        <w:rPr>
          <w:rFonts w:cs="Open Sans"/>
        </w:rPr>
      </w:pPr>
      <w:r w:rsidRPr="00937A33">
        <w:rPr>
          <w:rFonts w:cs="Open Sans"/>
        </w:rPr>
        <w:t xml:space="preserve">The Department has advised that there is no CCTV footage of this incident. </w:t>
      </w:r>
    </w:p>
    <w:p w14:paraId="73D5FFA3" w14:textId="77777777" w:rsidR="00201C9D" w:rsidRPr="00937A33" w:rsidRDefault="00201C9D" w:rsidP="000F7824">
      <w:pPr>
        <w:numPr>
          <w:ilvl w:val="0"/>
          <w:numId w:val="27"/>
        </w:numPr>
        <w:tabs>
          <w:tab w:val="num" w:pos="960"/>
        </w:tabs>
        <w:spacing w:after="160"/>
        <w:ind w:hanging="720"/>
        <w:rPr>
          <w:rFonts w:cs="Open Sans"/>
        </w:rPr>
      </w:pPr>
      <w:r w:rsidRPr="00937A33">
        <w:rPr>
          <w:rFonts w:cs="Open Sans"/>
        </w:rPr>
        <w:t xml:space="preserve">The Serco Officer’s Report regarding the incident states: </w:t>
      </w:r>
    </w:p>
    <w:p w14:paraId="73BD16A2" w14:textId="77777777" w:rsidR="00201C9D" w:rsidRPr="00937A33" w:rsidRDefault="00201C9D" w:rsidP="000F7824">
      <w:pPr>
        <w:numPr>
          <w:ilvl w:val="1"/>
          <w:numId w:val="27"/>
        </w:numPr>
        <w:spacing w:after="160"/>
        <w:rPr>
          <w:rFonts w:cs="Open Sans"/>
        </w:rPr>
      </w:pPr>
      <w:r w:rsidRPr="00937A33">
        <w:rPr>
          <w:rFonts w:cs="Open Sans"/>
        </w:rPr>
        <w:t xml:space="preserve">At approximately 12:35pm, the officer, together with another Serco officer, were called to medical where Mr </w:t>
      </w:r>
      <w:proofErr w:type="spellStart"/>
      <w:r w:rsidRPr="00937A33">
        <w:rPr>
          <w:rFonts w:cs="Open Sans"/>
        </w:rPr>
        <w:t>Andrwas</w:t>
      </w:r>
      <w:proofErr w:type="spellEnd"/>
      <w:r w:rsidRPr="00937A33">
        <w:rPr>
          <w:rFonts w:cs="Open Sans"/>
        </w:rPr>
        <w:t xml:space="preserve"> was given instructions to return to his room to collect his identification card and then return to medical. </w:t>
      </w:r>
    </w:p>
    <w:p w14:paraId="381A3FF6" w14:textId="77777777" w:rsidR="00201C9D" w:rsidRPr="00937A33" w:rsidRDefault="00201C9D" w:rsidP="000F7824">
      <w:pPr>
        <w:numPr>
          <w:ilvl w:val="1"/>
          <w:numId w:val="27"/>
        </w:numPr>
        <w:spacing w:after="160"/>
        <w:rPr>
          <w:rFonts w:cs="Open Sans"/>
        </w:rPr>
      </w:pPr>
      <w:r w:rsidRPr="00937A33">
        <w:rPr>
          <w:rFonts w:cs="Open Sans"/>
        </w:rPr>
        <w:t xml:space="preserve">The Serco officers ‘went after detainee which had left ahead of us then proceeded to the community area’. Mr </w:t>
      </w:r>
      <w:proofErr w:type="spellStart"/>
      <w:r w:rsidRPr="00937A33">
        <w:rPr>
          <w:rFonts w:cs="Open Sans"/>
        </w:rPr>
        <w:t>Andrwas</w:t>
      </w:r>
      <w:proofErr w:type="spellEnd"/>
      <w:r w:rsidRPr="00937A33">
        <w:rPr>
          <w:rFonts w:cs="Open Sans"/>
        </w:rPr>
        <w:t xml:space="preserve"> demanded his phone from another detainee. The Security Officers intervened instructing Mr </w:t>
      </w:r>
      <w:proofErr w:type="spellStart"/>
      <w:r w:rsidRPr="00937A33">
        <w:rPr>
          <w:rFonts w:cs="Open Sans"/>
        </w:rPr>
        <w:t>Andrwas</w:t>
      </w:r>
      <w:proofErr w:type="spellEnd"/>
      <w:r w:rsidRPr="00937A33">
        <w:rPr>
          <w:rFonts w:cs="Open Sans"/>
        </w:rPr>
        <w:t xml:space="preserve"> to collect his card and return to medical as he had been advised. </w:t>
      </w:r>
    </w:p>
    <w:p w14:paraId="621484A0" w14:textId="77777777" w:rsidR="00201C9D" w:rsidRPr="00937A33" w:rsidRDefault="00201C9D" w:rsidP="000F7824">
      <w:pPr>
        <w:numPr>
          <w:ilvl w:val="1"/>
          <w:numId w:val="27"/>
        </w:numPr>
        <w:spacing w:after="160"/>
        <w:rPr>
          <w:rFonts w:cs="Open Sans"/>
        </w:rPr>
      </w:pPr>
      <w:r w:rsidRPr="00937A33">
        <w:rPr>
          <w:rFonts w:cs="Open Sans"/>
        </w:rPr>
        <w:lastRenderedPageBreak/>
        <w:t xml:space="preserve">Mr </w:t>
      </w:r>
      <w:proofErr w:type="spellStart"/>
      <w:r w:rsidRPr="00937A33">
        <w:rPr>
          <w:rFonts w:cs="Open Sans"/>
        </w:rPr>
        <w:t>Andrwas</w:t>
      </w:r>
      <w:proofErr w:type="spellEnd"/>
      <w:r w:rsidRPr="00937A33">
        <w:rPr>
          <w:rFonts w:cs="Open Sans"/>
        </w:rPr>
        <w:t xml:space="preserve"> then ‘proceeded in a fast paced walk to Lachlan 1 where he entered Lachlan 1 unit 2 living room where he was speaking in Arabic to another detainee. Both detainees were close and in each other’s faces.’ The Serco Officers moved in between them to de-escalate the situation and separate them with their bodies. Nonetheless, the detainee ‘did assault detainee ANDRWAS by throwing a closed fist punch with his right hand’. The detainee threw another punch but missed Mr </w:t>
      </w:r>
      <w:proofErr w:type="spellStart"/>
      <w:r w:rsidRPr="00937A33">
        <w:rPr>
          <w:rFonts w:cs="Open Sans"/>
        </w:rPr>
        <w:t>Andrwas</w:t>
      </w:r>
      <w:proofErr w:type="spellEnd"/>
      <w:r w:rsidRPr="00937A33">
        <w:rPr>
          <w:rFonts w:cs="Open Sans"/>
        </w:rPr>
        <w:t xml:space="preserve"> and punched the Serco officer. </w:t>
      </w:r>
    </w:p>
    <w:p w14:paraId="4830DA2C" w14:textId="77777777" w:rsidR="00201C9D" w:rsidRPr="00937A33" w:rsidRDefault="00201C9D" w:rsidP="000F7824">
      <w:pPr>
        <w:numPr>
          <w:ilvl w:val="1"/>
          <w:numId w:val="27"/>
        </w:numPr>
        <w:spacing w:after="160"/>
        <w:rPr>
          <w:rFonts w:cs="Open Sans"/>
        </w:rPr>
      </w:pPr>
      <w:r w:rsidRPr="00937A33">
        <w:rPr>
          <w:rFonts w:cs="Open Sans"/>
        </w:rPr>
        <w:t xml:space="preserve">The officer further states that Mr </w:t>
      </w:r>
      <w:proofErr w:type="spellStart"/>
      <w:r w:rsidRPr="00937A33">
        <w:rPr>
          <w:rFonts w:cs="Open Sans"/>
        </w:rPr>
        <w:t>Andrwas</w:t>
      </w:r>
      <w:proofErr w:type="spellEnd"/>
      <w:r w:rsidRPr="00937A33">
        <w:rPr>
          <w:rFonts w:cs="Open Sans"/>
        </w:rPr>
        <w:t xml:space="preserve"> did not ‘become physical and I immediately guided detainee outside the building which was shouting in Arabic to the other detainee’. The officer then instructed Mr </w:t>
      </w:r>
      <w:proofErr w:type="spellStart"/>
      <w:r w:rsidRPr="00937A33">
        <w:rPr>
          <w:rFonts w:cs="Open Sans"/>
        </w:rPr>
        <w:t>Andrwas</w:t>
      </w:r>
      <w:proofErr w:type="spellEnd"/>
      <w:r w:rsidRPr="00937A33">
        <w:rPr>
          <w:rFonts w:cs="Open Sans"/>
        </w:rPr>
        <w:t xml:space="preserve"> to go to medical, where he was seen by an IHMS nurse. He also instructed the other detainee, who was continuing to shout in Arabic at Mr </w:t>
      </w:r>
      <w:proofErr w:type="spellStart"/>
      <w:r w:rsidRPr="00937A33">
        <w:rPr>
          <w:rFonts w:cs="Open Sans"/>
        </w:rPr>
        <w:t>Andrwas</w:t>
      </w:r>
      <w:proofErr w:type="spellEnd"/>
      <w:r w:rsidRPr="00937A33">
        <w:rPr>
          <w:rFonts w:cs="Open Sans"/>
        </w:rPr>
        <w:t>, to go back inside his accommodation, which he did.</w:t>
      </w:r>
    </w:p>
    <w:p w14:paraId="152EA0FB" w14:textId="77777777" w:rsidR="00201C9D" w:rsidRPr="00937A33" w:rsidRDefault="00201C9D" w:rsidP="000F7824">
      <w:pPr>
        <w:numPr>
          <w:ilvl w:val="1"/>
          <w:numId w:val="27"/>
        </w:numPr>
        <w:spacing w:after="160"/>
        <w:rPr>
          <w:rFonts w:cs="Open Sans"/>
        </w:rPr>
      </w:pPr>
      <w:r w:rsidRPr="00937A33">
        <w:rPr>
          <w:rFonts w:cs="Open Sans"/>
        </w:rPr>
        <w:t xml:space="preserve">The officer concludes by stating that ‘no further issues arose from this incident’. </w:t>
      </w:r>
    </w:p>
    <w:p w14:paraId="38E26C3D" w14:textId="77777777" w:rsidR="00201C9D" w:rsidRPr="00937A33" w:rsidRDefault="00201C9D" w:rsidP="000F7824">
      <w:pPr>
        <w:numPr>
          <w:ilvl w:val="0"/>
          <w:numId w:val="27"/>
        </w:numPr>
        <w:tabs>
          <w:tab w:val="num" w:pos="960"/>
        </w:tabs>
        <w:spacing w:after="160"/>
        <w:ind w:hanging="720"/>
        <w:rPr>
          <w:rFonts w:cs="Open Sans"/>
        </w:rPr>
      </w:pPr>
      <w:r w:rsidRPr="00937A33">
        <w:rPr>
          <w:rFonts w:cs="Open Sans"/>
        </w:rPr>
        <w:t xml:space="preserve">The Incident Detail Report for the Second 24 November Incident similarly confirms that Mr </w:t>
      </w:r>
      <w:proofErr w:type="spellStart"/>
      <w:r w:rsidRPr="00937A33">
        <w:rPr>
          <w:rFonts w:cs="Open Sans"/>
        </w:rPr>
        <w:t>Andrwas</w:t>
      </w:r>
      <w:proofErr w:type="spellEnd"/>
      <w:r w:rsidRPr="00937A33">
        <w:rPr>
          <w:rFonts w:cs="Open Sans"/>
        </w:rPr>
        <w:t xml:space="preserve"> was punched in the right eye by a detainee in the Lachlan 1 Unit 2 common area. The incident was witnessed by two Serco officers. </w:t>
      </w:r>
    </w:p>
    <w:p w14:paraId="615F3CB2" w14:textId="77777777" w:rsidR="00201C9D" w:rsidRPr="00937A33" w:rsidRDefault="00201C9D" w:rsidP="000F7824">
      <w:pPr>
        <w:numPr>
          <w:ilvl w:val="0"/>
          <w:numId w:val="27"/>
        </w:numPr>
        <w:tabs>
          <w:tab w:val="num" w:pos="960"/>
        </w:tabs>
        <w:spacing w:after="160"/>
        <w:ind w:hanging="720"/>
        <w:rPr>
          <w:rFonts w:cs="Open Sans"/>
        </w:rPr>
      </w:pPr>
      <w:r w:rsidRPr="00937A33">
        <w:rPr>
          <w:rFonts w:cs="Open Sans"/>
        </w:rPr>
        <w:t xml:space="preserve">The Incident Detail Report also states that, when Mr </w:t>
      </w:r>
      <w:proofErr w:type="spellStart"/>
      <w:r w:rsidRPr="00937A33">
        <w:rPr>
          <w:rFonts w:cs="Open Sans"/>
        </w:rPr>
        <w:t>Andrwas</w:t>
      </w:r>
      <w:proofErr w:type="spellEnd"/>
      <w:r w:rsidRPr="00937A33">
        <w:rPr>
          <w:rFonts w:cs="Open Sans"/>
        </w:rPr>
        <w:t xml:space="preserve"> was interviewed by Serco officers shortly after the incident, he advised that he had attended the Lachlan common area to look for his phone. He also said that the fourth male detainee swore at him, called him a ‘mother fucker’ and said that ‘he was going to kill him’ before punching him. The Incident Detail Report indicates that Mr </w:t>
      </w:r>
      <w:proofErr w:type="spellStart"/>
      <w:r w:rsidRPr="00937A33">
        <w:rPr>
          <w:rFonts w:cs="Open Sans"/>
        </w:rPr>
        <w:t>Andrwas</w:t>
      </w:r>
      <w:proofErr w:type="spellEnd"/>
      <w:r w:rsidRPr="00937A33">
        <w:rPr>
          <w:rFonts w:cs="Open Sans"/>
        </w:rPr>
        <w:t xml:space="preserve"> was then sent off to hospital ‘due to an earlier incident’.</w:t>
      </w:r>
    </w:p>
    <w:p w14:paraId="1DA85F05" w14:textId="77777777" w:rsidR="00201C9D" w:rsidRPr="00937A33" w:rsidRDefault="00201C9D" w:rsidP="000F7824">
      <w:pPr>
        <w:numPr>
          <w:ilvl w:val="0"/>
          <w:numId w:val="27"/>
        </w:numPr>
        <w:tabs>
          <w:tab w:val="num" w:pos="960"/>
        </w:tabs>
        <w:spacing w:after="160"/>
        <w:ind w:hanging="720"/>
        <w:rPr>
          <w:rFonts w:cs="Open Sans"/>
        </w:rPr>
      </w:pPr>
      <w:r w:rsidRPr="00937A33">
        <w:rPr>
          <w:rFonts w:cs="Open Sans"/>
        </w:rPr>
        <w:t xml:space="preserve">The Incident Detail Report also includes an interview with a detainee regarding this incident, who I assume is the fourth male detainee. In this interview, the detainee advised that: </w:t>
      </w:r>
    </w:p>
    <w:p w14:paraId="5F51FAF0" w14:textId="77777777" w:rsidR="00201C9D" w:rsidRPr="00937A33" w:rsidRDefault="00201C9D" w:rsidP="00201C9D">
      <w:pPr>
        <w:ind w:left="1440"/>
        <w:rPr>
          <w:rFonts w:cs="Open Sans"/>
        </w:rPr>
      </w:pPr>
      <w:r w:rsidRPr="00937A33">
        <w:rPr>
          <w:rFonts w:cs="Open Sans"/>
        </w:rPr>
        <w:t xml:space="preserve">he went up to have his morning coffee in the Lachlan 1 Unit 2 kitchen area and was sitting on couch at the time. Detainee [Redacted] advised that he was verbally abused in Arabic by Detainee ANDRWAS who was calling him a “dog” and a “snitch”. Detainee [Redacted] stated that ANDRWAS was threatening him and that Detainee [Redacted] was defending himself. </w:t>
      </w:r>
    </w:p>
    <w:p w14:paraId="6714A4E6" w14:textId="77777777" w:rsidR="00201C9D" w:rsidRPr="00937A33" w:rsidRDefault="00201C9D" w:rsidP="00201C9D">
      <w:pPr>
        <w:ind w:left="1440"/>
        <w:rPr>
          <w:rFonts w:cs="Open Sans"/>
        </w:rPr>
      </w:pPr>
      <w:r w:rsidRPr="00937A33">
        <w:rPr>
          <w:rFonts w:cs="Open Sans"/>
        </w:rPr>
        <w:lastRenderedPageBreak/>
        <w:t xml:space="preserve">[Redacted] advised Detainee of his rights and responsibilities and advised him to stay out of trouble. Detainee [Redacted] agreed and stated that he did not have a problem with Detainee ANDRWAS. </w:t>
      </w:r>
    </w:p>
    <w:p w14:paraId="1E06F1FC" w14:textId="77777777" w:rsidR="00201C9D" w:rsidRPr="00937A33" w:rsidRDefault="00201C9D" w:rsidP="000F7824">
      <w:pPr>
        <w:numPr>
          <w:ilvl w:val="0"/>
          <w:numId w:val="27"/>
        </w:numPr>
        <w:tabs>
          <w:tab w:val="num" w:pos="960"/>
        </w:tabs>
        <w:spacing w:after="160"/>
        <w:ind w:hanging="720"/>
        <w:rPr>
          <w:rFonts w:cs="Open Sans"/>
        </w:rPr>
      </w:pPr>
      <w:r w:rsidRPr="00937A33">
        <w:rPr>
          <w:rFonts w:cs="Open Sans"/>
        </w:rPr>
        <w:t>The Department has provided an IMPR dated 24 November 2021 which similarly states:</w:t>
      </w:r>
    </w:p>
    <w:p w14:paraId="0B7E0FA4" w14:textId="77777777" w:rsidR="00201C9D" w:rsidRPr="00937A33" w:rsidRDefault="00201C9D" w:rsidP="00201C9D">
      <w:pPr>
        <w:ind w:left="1440"/>
        <w:rPr>
          <w:rFonts w:cs="Open Sans"/>
        </w:rPr>
      </w:pPr>
      <w:r w:rsidRPr="00937A33">
        <w:rPr>
          <w:rFonts w:cs="Open Sans"/>
        </w:rPr>
        <w:t>On the 24</w:t>
      </w:r>
      <w:r w:rsidRPr="00937A33">
        <w:rPr>
          <w:rFonts w:cs="Open Sans"/>
          <w:vertAlign w:val="superscript"/>
        </w:rPr>
        <w:t>th</w:t>
      </w:r>
      <w:r w:rsidRPr="00937A33">
        <w:rPr>
          <w:rFonts w:cs="Open Sans"/>
        </w:rPr>
        <w:t xml:space="preserve"> November at approximately 1235 Detainee [Redacted] was involved in an incident where he assaulted a Lachlan 1 Detainee by punching him in the face. </w:t>
      </w:r>
    </w:p>
    <w:p w14:paraId="7E2AB7CD" w14:textId="77777777" w:rsidR="00201C9D" w:rsidRPr="00937A33" w:rsidRDefault="00201C9D" w:rsidP="00201C9D">
      <w:pPr>
        <w:ind w:left="1440"/>
        <w:rPr>
          <w:rFonts w:cs="Open Sans"/>
        </w:rPr>
      </w:pPr>
      <w:r w:rsidRPr="00937A33">
        <w:rPr>
          <w:rFonts w:cs="Open Sans"/>
        </w:rPr>
        <w:t>At approximately 1440 hours [Redacted] spoke to [Redacted] and advised him that further incidents may result in a BMP</w:t>
      </w:r>
      <w:r>
        <w:rPr>
          <w:rFonts w:cs="Open Sans"/>
        </w:rPr>
        <w:t xml:space="preserve"> </w:t>
      </w:r>
      <w:r w:rsidRPr="00937A33">
        <w:rPr>
          <w:rFonts w:cs="Open Sans"/>
        </w:rPr>
        <w:t xml:space="preserve">and he will not be entitled to 10 extra IAP points next week. </w:t>
      </w:r>
    </w:p>
    <w:p w14:paraId="47DA40A3" w14:textId="77777777" w:rsidR="00201C9D" w:rsidRPr="00937A33" w:rsidRDefault="00201C9D" w:rsidP="00201C9D">
      <w:pPr>
        <w:ind w:left="1440"/>
        <w:rPr>
          <w:rFonts w:cs="Open Sans"/>
        </w:rPr>
      </w:pPr>
      <w:r w:rsidRPr="00937A33">
        <w:rPr>
          <w:rFonts w:cs="Open Sans"/>
        </w:rPr>
        <w:t xml:space="preserve">Detainee [Redacted] advised that he was defending himself as the Detainee that he punched was abusing him and calling him a dog and a snitch for reasons unknown. </w:t>
      </w:r>
    </w:p>
    <w:p w14:paraId="1AEE8F26" w14:textId="77777777" w:rsidR="00201C9D" w:rsidRPr="00937A33" w:rsidRDefault="00201C9D" w:rsidP="000F7824">
      <w:pPr>
        <w:numPr>
          <w:ilvl w:val="0"/>
          <w:numId w:val="27"/>
        </w:numPr>
        <w:tabs>
          <w:tab w:val="num" w:pos="960"/>
        </w:tabs>
        <w:spacing w:after="160"/>
        <w:ind w:hanging="720"/>
        <w:rPr>
          <w:rFonts w:cs="Open Sans"/>
        </w:rPr>
      </w:pPr>
      <w:r w:rsidRPr="00937A33">
        <w:rPr>
          <w:rFonts w:cs="Open Sans"/>
        </w:rPr>
        <w:t xml:space="preserve">As stated above, Mr </w:t>
      </w:r>
      <w:proofErr w:type="spellStart"/>
      <w:r w:rsidRPr="00937A33">
        <w:rPr>
          <w:rFonts w:cs="Open Sans"/>
        </w:rPr>
        <w:t>Andrwas</w:t>
      </w:r>
      <w:proofErr w:type="spellEnd"/>
      <w:r w:rsidRPr="00937A33">
        <w:rPr>
          <w:rFonts w:cs="Open Sans"/>
        </w:rPr>
        <w:t xml:space="preserve"> claims that he had no prior issues with the other male detainees and alleges that the female detainee organised the other male detainees to assault him as revenge. However, it is unclear whether Mr </w:t>
      </w:r>
      <w:proofErr w:type="spellStart"/>
      <w:r w:rsidRPr="00937A33">
        <w:rPr>
          <w:rFonts w:cs="Open Sans"/>
        </w:rPr>
        <w:t>Andrwas</w:t>
      </w:r>
      <w:proofErr w:type="spellEnd"/>
      <w:r w:rsidRPr="00937A33">
        <w:rPr>
          <w:rFonts w:cs="Open Sans"/>
        </w:rPr>
        <w:t xml:space="preserve"> raised these allegations with the Department or Serco at the time. The Department has not provided any documentation confirming that Mr </w:t>
      </w:r>
      <w:proofErr w:type="spellStart"/>
      <w:r w:rsidRPr="00937A33">
        <w:rPr>
          <w:rFonts w:cs="Open Sans"/>
        </w:rPr>
        <w:t>Andrwas</w:t>
      </w:r>
      <w:proofErr w:type="spellEnd"/>
      <w:r w:rsidRPr="00937A33">
        <w:rPr>
          <w:rFonts w:cs="Open Sans"/>
        </w:rPr>
        <w:t xml:space="preserve"> raised these allegations with them. </w:t>
      </w:r>
    </w:p>
    <w:p w14:paraId="4CF667CA" w14:textId="77777777" w:rsidR="00201C9D" w:rsidRPr="00937A33" w:rsidRDefault="00201C9D" w:rsidP="000F7824">
      <w:pPr>
        <w:numPr>
          <w:ilvl w:val="0"/>
          <w:numId w:val="27"/>
        </w:numPr>
        <w:tabs>
          <w:tab w:val="num" w:pos="960"/>
        </w:tabs>
        <w:spacing w:after="160"/>
        <w:ind w:hanging="720"/>
        <w:rPr>
          <w:rFonts w:cs="Open Sans"/>
        </w:rPr>
      </w:pPr>
      <w:r w:rsidRPr="00937A33">
        <w:rPr>
          <w:rFonts w:cs="Open Sans"/>
        </w:rPr>
        <w:t xml:space="preserve">At approximately 1:25pm on 24 November 2017, following the Second 24 November Incident, Mr </w:t>
      </w:r>
      <w:proofErr w:type="spellStart"/>
      <w:r w:rsidRPr="00937A33">
        <w:rPr>
          <w:rFonts w:cs="Open Sans"/>
        </w:rPr>
        <w:t>Andrwas</w:t>
      </w:r>
      <w:proofErr w:type="spellEnd"/>
      <w:r w:rsidRPr="00937A33">
        <w:rPr>
          <w:rFonts w:cs="Open Sans"/>
        </w:rPr>
        <w:t xml:space="preserve"> was taken to the Hospital at the request of IHMS. </w:t>
      </w:r>
    </w:p>
    <w:p w14:paraId="23F8990F" w14:textId="77777777" w:rsidR="00201C9D" w:rsidRPr="00937A33" w:rsidRDefault="00201C9D" w:rsidP="000F7824">
      <w:pPr>
        <w:numPr>
          <w:ilvl w:val="0"/>
          <w:numId w:val="27"/>
        </w:numPr>
        <w:tabs>
          <w:tab w:val="num" w:pos="960"/>
        </w:tabs>
        <w:spacing w:after="160"/>
        <w:ind w:hanging="720"/>
        <w:rPr>
          <w:rFonts w:cs="Open Sans"/>
        </w:rPr>
      </w:pPr>
      <w:r w:rsidRPr="00937A33">
        <w:rPr>
          <w:rFonts w:cs="Open Sans"/>
        </w:rPr>
        <w:t xml:space="preserve">As result of the incidents on 24 November 2017, Mr </w:t>
      </w:r>
      <w:proofErr w:type="spellStart"/>
      <w:r w:rsidRPr="00937A33">
        <w:rPr>
          <w:rFonts w:cs="Open Sans"/>
        </w:rPr>
        <w:t>Andrwas</w:t>
      </w:r>
      <w:proofErr w:type="spellEnd"/>
      <w:r w:rsidRPr="00937A33">
        <w:rPr>
          <w:rFonts w:cs="Open Sans"/>
        </w:rPr>
        <w:t xml:space="preserve"> reports suffering: </w:t>
      </w:r>
    </w:p>
    <w:p w14:paraId="1314A4C7" w14:textId="77777777" w:rsidR="00201C9D" w:rsidRPr="00937A33" w:rsidRDefault="00201C9D" w:rsidP="000F7824">
      <w:pPr>
        <w:numPr>
          <w:ilvl w:val="1"/>
          <w:numId w:val="27"/>
        </w:numPr>
        <w:spacing w:after="160"/>
        <w:rPr>
          <w:rFonts w:cs="Open Sans"/>
        </w:rPr>
      </w:pPr>
      <w:r w:rsidRPr="00937A33">
        <w:rPr>
          <w:rFonts w:cs="Open Sans"/>
        </w:rPr>
        <w:t xml:space="preserve">permanent damage to his right eye nerve. He claims he cannot see properly and may go blind in the future. </w:t>
      </w:r>
    </w:p>
    <w:p w14:paraId="1A020EFB" w14:textId="77777777" w:rsidR="00201C9D" w:rsidRPr="00937A33" w:rsidRDefault="00201C9D" w:rsidP="000F7824">
      <w:pPr>
        <w:numPr>
          <w:ilvl w:val="1"/>
          <w:numId w:val="27"/>
        </w:numPr>
        <w:spacing w:after="160"/>
        <w:rPr>
          <w:rFonts w:cs="Open Sans"/>
        </w:rPr>
      </w:pPr>
      <w:r w:rsidRPr="00937A33">
        <w:rPr>
          <w:rFonts w:cs="Open Sans"/>
        </w:rPr>
        <w:t xml:space="preserve">damage to his nose. He claims that he cannot breathe properly, that his nose feels blocked and he has a large scar. </w:t>
      </w:r>
    </w:p>
    <w:p w14:paraId="5C057EDC" w14:textId="77777777" w:rsidR="00201C9D" w:rsidRPr="00937A33" w:rsidRDefault="00201C9D" w:rsidP="000F7824">
      <w:pPr>
        <w:numPr>
          <w:ilvl w:val="1"/>
          <w:numId w:val="27"/>
        </w:numPr>
        <w:spacing w:after="160"/>
        <w:rPr>
          <w:rFonts w:cs="Open Sans"/>
        </w:rPr>
      </w:pPr>
      <w:r w:rsidRPr="00937A33">
        <w:rPr>
          <w:rFonts w:cs="Open Sans"/>
        </w:rPr>
        <w:t xml:space="preserve">two broken teeth during the assault, which has caused speaking and eating difficulties. </w:t>
      </w:r>
    </w:p>
    <w:p w14:paraId="59E0A94B" w14:textId="77777777" w:rsidR="00201C9D" w:rsidRPr="00937A33" w:rsidRDefault="00201C9D" w:rsidP="000F7824">
      <w:pPr>
        <w:numPr>
          <w:ilvl w:val="1"/>
          <w:numId w:val="27"/>
        </w:numPr>
        <w:spacing w:after="160"/>
        <w:rPr>
          <w:rFonts w:cs="Open Sans"/>
        </w:rPr>
      </w:pPr>
      <w:r w:rsidRPr="00937A33">
        <w:rPr>
          <w:rFonts w:cs="Open Sans"/>
        </w:rPr>
        <w:t>ongoing joint pain in shoulder.</w:t>
      </w:r>
    </w:p>
    <w:p w14:paraId="1ACB8741" w14:textId="77777777" w:rsidR="00201C9D" w:rsidRPr="00937A33" w:rsidRDefault="00201C9D" w:rsidP="000F7824">
      <w:pPr>
        <w:numPr>
          <w:ilvl w:val="0"/>
          <w:numId w:val="27"/>
        </w:numPr>
        <w:tabs>
          <w:tab w:val="num" w:pos="960"/>
        </w:tabs>
        <w:spacing w:after="160"/>
        <w:ind w:hanging="720"/>
        <w:rPr>
          <w:rFonts w:cs="Open Sans"/>
        </w:rPr>
      </w:pPr>
      <w:bookmarkStart w:id="42" w:name="_Ref86247117"/>
      <w:r w:rsidRPr="00937A33">
        <w:rPr>
          <w:rFonts w:cs="Open Sans"/>
        </w:rPr>
        <w:t xml:space="preserve">Mr </w:t>
      </w:r>
      <w:proofErr w:type="spellStart"/>
      <w:r w:rsidRPr="00937A33">
        <w:rPr>
          <w:rFonts w:cs="Open Sans"/>
        </w:rPr>
        <w:t>Andrwas</w:t>
      </w:r>
      <w:proofErr w:type="spellEnd"/>
      <w:r w:rsidRPr="00937A33">
        <w:rPr>
          <w:rFonts w:cs="Open Sans"/>
        </w:rPr>
        <w:t xml:space="preserve"> was assessed by the doctors at Liverpool Hospital Emergency Department. The discharge referral indicates that Mr </w:t>
      </w:r>
      <w:proofErr w:type="spellStart"/>
      <w:r w:rsidRPr="00937A33">
        <w:rPr>
          <w:rFonts w:cs="Open Sans"/>
        </w:rPr>
        <w:t>Andrwas</w:t>
      </w:r>
      <w:proofErr w:type="spellEnd"/>
      <w:r w:rsidRPr="00937A33">
        <w:rPr>
          <w:rFonts w:cs="Open Sans"/>
        </w:rPr>
        <w:t>:</w:t>
      </w:r>
      <w:bookmarkEnd w:id="42"/>
      <w:r w:rsidRPr="00937A33">
        <w:rPr>
          <w:rFonts w:cs="Open Sans"/>
        </w:rPr>
        <w:t xml:space="preserve"> </w:t>
      </w:r>
    </w:p>
    <w:p w14:paraId="0D107666" w14:textId="77777777" w:rsidR="00201C9D" w:rsidRPr="00937A33" w:rsidRDefault="00201C9D" w:rsidP="000F7824">
      <w:pPr>
        <w:numPr>
          <w:ilvl w:val="1"/>
          <w:numId w:val="27"/>
        </w:numPr>
        <w:spacing w:after="160"/>
        <w:rPr>
          <w:rFonts w:cs="Open Sans"/>
        </w:rPr>
      </w:pPr>
      <w:r w:rsidRPr="00937A33">
        <w:rPr>
          <w:rFonts w:cs="Open Sans"/>
        </w:rPr>
        <w:lastRenderedPageBreak/>
        <w:t>reported that ‘he was punched on the face and hit on his right wrist, had no loss of consciousness but his vision is blurry especially on the right side’.</w:t>
      </w:r>
    </w:p>
    <w:p w14:paraId="4B9AD9DB" w14:textId="77777777" w:rsidR="00201C9D" w:rsidRPr="00937A33" w:rsidRDefault="00201C9D" w:rsidP="000F7824">
      <w:pPr>
        <w:numPr>
          <w:ilvl w:val="1"/>
          <w:numId w:val="27"/>
        </w:numPr>
        <w:spacing w:after="160"/>
        <w:rPr>
          <w:rFonts w:cs="Open Sans"/>
        </w:rPr>
      </w:pPr>
      <w:r w:rsidRPr="00937A33">
        <w:rPr>
          <w:rFonts w:cs="Open Sans"/>
        </w:rPr>
        <w:t>had a ‘1.5cm, partial thickness, mildly bleeding laceration on the upper part of the nasal bridge’ but no nasal deformity, ‘his right eye was mildly swollen’, had an abrasion over the eyebrow, and a small corneal abrasion on the right side</w:t>
      </w:r>
    </w:p>
    <w:p w14:paraId="0EA4863F" w14:textId="77777777" w:rsidR="00201C9D" w:rsidRPr="00937A33" w:rsidRDefault="00201C9D" w:rsidP="000F7824">
      <w:pPr>
        <w:numPr>
          <w:ilvl w:val="1"/>
          <w:numId w:val="27"/>
        </w:numPr>
        <w:spacing w:after="160"/>
        <w:rPr>
          <w:rFonts w:cs="Open Sans"/>
        </w:rPr>
      </w:pPr>
      <w:r w:rsidRPr="00937A33">
        <w:rPr>
          <w:rFonts w:cs="Open Sans"/>
        </w:rPr>
        <w:t>did not have any broken teeth, noting that his ‘teeth were intact’</w:t>
      </w:r>
    </w:p>
    <w:p w14:paraId="58BED0A3" w14:textId="77777777" w:rsidR="00201C9D" w:rsidRPr="00937A33" w:rsidRDefault="00201C9D" w:rsidP="000F7824">
      <w:pPr>
        <w:numPr>
          <w:ilvl w:val="1"/>
          <w:numId w:val="27"/>
        </w:numPr>
        <w:spacing w:after="160"/>
        <w:rPr>
          <w:rFonts w:cs="Open Sans"/>
        </w:rPr>
      </w:pPr>
      <w:r w:rsidRPr="00937A33">
        <w:rPr>
          <w:rFonts w:cs="Open Sans"/>
        </w:rPr>
        <w:t xml:space="preserve">had his nasal laceration cleaned and glued. </w:t>
      </w:r>
    </w:p>
    <w:p w14:paraId="2B56EE6F" w14:textId="77777777" w:rsidR="00201C9D" w:rsidRPr="00937A33" w:rsidRDefault="00201C9D" w:rsidP="000F7824">
      <w:pPr>
        <w:numPr>
          <w:ilvl w:val="0"/>
          <w:numId w:val="27"/>
        </w:numPr>
        <w:tabs>
          <w:tab w:val="num" w:pos="960"/>
        </w:tabs>
        <w:spacing w:after="160"/>
        <w:ind w:hanging="720"/>
        <w:rPr>
          <w:rFonts w:cs="Open Sans"/>
        </w:rPr>
      </w:pPr>
      <w:r w:rsidRPr="00937A33">
        <w:rPr>
          <w:rFonts w:cs="Open Sans"/>
        </w:rPr>
        <w:t xml:space="preserve">According to the IHMS clinical records, on 25 November 2017, Mr </w:t>
      </w:r>
      <w:proofErr w:type="spellStart"/>
      <w:r w:rsidRPr="00937A33">
        <w:rPr>
          <w:rFonts w:cs="Open Sans"/>
        </w:rPr>
        <w:t>Andrwas</w:t>
      </w:r>
      <w:proofErr w:type="spellEnd"/>
      <w:r w:rsidRPr="00937A33">
        <w:rPr>
          <w:rFonts w:cs="Open Sans"/>
        </w:rPr>
        <w:t xml:space="preserve"> attended the IHMS clinic for a review post discharge from the Hospital. He complained of constant headache, blurry vision and dizziness. Mr </w:t>
      </w:r>
      <w:proofErr w:type="spellStart"/>
      <w:r w:rsidRPr="00937A33">
        <w:rPr>
          <w:rFonts w:cs="Open Sans"/>
        </w:rPr>
        <w:t>Andrwas</w:t>
      </w:r>
      <w:proofErr w:type="spellEnd"/>
      <w:r w:rsidRPr="00937A33">
        <w:rPr>
          <w:rFonts w:cs="Open Sans"/>
        </w:rPr>
        <w:t xml:space="preserve"> returned to the Hospital for further assessment, including CT brain scan which showed no intracranial or facial bone injuries. He was discharged with pain relief, hydration advice and recommendation for ophthalmology review, as had previously been arranged.</w:t>
      </w:r>
    </w:p>
    <w:p w14:paraId="4105DD69" w14:textId="77777777" w:rsidR="00201C9D" w:rsidRPr="00937A33" w:rsidRDefault="00201C9D" w:rsidP="000F7824">
      <w:pPr>
        <w:numPr>
          <w:ilvl w:val="0"/>
          <w:numId w:val="27"/>
        </w:numPr>
        <w:tabs>
          <w:tab w:val="num" w:pos="960"/>
        </w:tabs>
        <w:spacing w:after="160"/>
        <w:ind w:hanging="720"/>
        <w:rPr>
          <w:rFonts w:cs="Open Sans"/>
        </w:rPr>
      </w:pPr>
      <w:r w:rsidRPr="00937A33">
        <w:rPr>
          <w:rFonts w:cs="Open Sans"/>
        </w:rPr>
        <w:t xml:space="preserve">On 27 November 2017, Mr </w:t>
      </w:r>
      <w:proofErr w:type="spellStart"/>
      <w:r w:rsidRPr="00937A33">
        <w:rPr>
          <w:rFonts w:cs="Open Sans"/>
        </w:rPr>
        <w:t>Andrwas</w:t>
      </w:r>
      <w:proofErr w:type="spellEnd"/>
      <w:r w:rsidRPr="00937A33">
        <w:rPr>
          <w:rFonts w:cs="Open Sans"/>
        </w:rPr>
        <w:t xml:space="preserve"> was seen by the IHMS GP for post hospital discharge review. The GP noted that Mr </w:t>
      </w:r>
      <w:proofErr w:type="spellStart"/>
      <w:r w:rsidRPr="00937A33">
        <w:rPr>
          <w:rFonts w:cs="Open Sans"/>
        </w:rPr>
        <w:t>Andrwas</w:t>
      </w:r>
      <w:proofErr w:type="spellEnd"/>
      <w:r w:rsidRPr="00937A33">
        <w:rPr>
          <w:rFonts w:cs="Open Sans"/>
        </w:rPr>
        <w:t xml:space="preserve"> was recovering from his injuries. </w:t>
      </w:r>
    </w:p>
    <w:p w14:paraId="190BCAC1" w14:textId="77777777" w:rsidR="00201C9D" w:rsidRPr="00937A33" w:rsidRDefault="00201C9D" w:rsidP="000F7824">
      <w:pPr>
        <w:numPr>
          <w:ilvl w:val="0"/>
          <w:numId w:val="27"/>
        </w:numPr>
        <w:tabs>
          <w:tab w:val="num" w:pos="960"/>
        </w:tabs>
        <w:spacing w:after="160"/>
        <w:ind w:hanging="720"/>
        <w:rPr>
          <w:rFonts w:cs="Open Sans"/>
        </w:rPr>
      </w:pPr>
      <w:r w:rsidRPr="00937A33">
        <w:rPr>
          <w:rFonts w:cs="Open Sans"/>
        </w:rPr>
        <w:t xml:space="preserve">In relation to Mr </w:t>
      </w:r>
      <w:proofErr w:type="spellStart"/>
      <w:r w:rsidRPr="00937A33">
        <w:rPr>
          <w:rFonts w:cs="Open Sans"/>
        </w:rPr>
        <w:t>Andrwas</w:t>
      </w:r>
      <w:proofErr w:type="spellEnd"/>
      <w:r w:rsidRPr="00937A33">
        <w:rPr>
          <w:rFonts w:cs="Open Sans"/>
        </w:rPr>
        <w:t>’ following injuries, the Department has advised that:</w:t>
      </w:r>
    </w:p>
    <w:p w14:paraId="746E1E22" w14:textId="77777777" w:rsidR="00201C9D" w:rsidRPr="00937A33" w:rsidRDefault="00201C9D" w:rsidP="000F7824">
      <w:pPr>
        <w:numPr>
          <w:ilvl w:val="1"/>
          <w:numId w:val="27"/>
        </w:numPr>
        <w:spacing w:after="160"/>
        <w:rPr>
          <w:rFonts w:cs="Open Sans"/>
        </w:rPr>
      </w:pPr>
      <w:r w:rsidRPr="00937A33">
        <w:rPr>
          <w:rFonts w:cs="Open Sans"/>
        </w:rPr>
        <w:t>Eye:</w:t>
      </w:r>
    </w:p>
    <w:p w14:paraId="3F86FE41" w14:textId="77777777" w:rsidR="00201C9D" w:rsidRPr="00937A33" w:rsidRDefault="00201C9D" w:rsidP="000F7824">
      <w:pPr>
        <w:numPr>
          <w:ilvl w:val="2"/>
          <w:numId w:val="27"/>
        </w:numPr>
        <w:spacing w:after="160"/>
        <w:rPr>
          <w:rFonts w:cs="Open Sans"/>
        </w:rPr>
      </w:pPr>
      <w:r w:rsidRPr="00937A33">
        <w:rPr>
          <w:rFonts w:cs="Open Sans"/>
        </w:rPr>
        <w:t xml:space="preserve">In December 2017, the ophthalmologist diagnosed a mild cataract of the right eye, which may be secondary to trauma. </w:t>
      </w:r>
    </w:p>
    <w:p w14:paraId="38D4DFDA" w14:textId="77777777" w:rsidR="00201C9D" w:rsidRPr="00937A33" w:rsidRDefault="00201C9D" w:rsidP="000F7824">
      <w:pPr>
        <w:numPr>
          <w:ilvl w:val="2"/>
          <w:numId w:val="27"/>
        </w:numPr>
        <w:spacing w:after="160"/>
        <w:rPr>
          <w:rFonts w:cs="Open Sans"/>
        </w:rPr>
      </w:pPr>
      <w:r w:rsidRPr="00937A33">
        <w:rPr>
          <w:rFonts w:cs="Open Sans"/>
        </w:rPr>
        <w:t xml:space="preserve">In August 2018, Mr </w:t>
      </w:r>
      <w:proofErr w:type="spellStart"/>
      <w:r w:rsidRPr="00937A33">
        <w:rPr>
          <w:rFonts w:cs="Open Sans"/>
        </w:rPr>
        <w:t>Andrwas</w:t>
      </w:r>
      <w:proofErr w:type="spellEnd"/>
      <w:r w:rsidRPr="00937A33">
        <w:rPr>
          <w:rFonts w:cs="Open Sans"/>
        </w:rPr>
        <w:t xml:space="preserve">’ treating team noted that they had found evidence of optic nerve damage injury which was likely to persist. The ophthalmologist documented a possible diagnosis of </w:t>
      </w:r>
      <w:proofErr w:type="spellStart"/>
      <w:r w:rsidRPr="00937A33">
        <w:rPr>
          <w:rFonts w:cs="Open Sans"/>
        </w:rPr>
        <w:t>Stargardt</w:t>
      </w:r>
      <w:proofErr w:type="spellEnd"/>
      <w:r w:rsidRPr="00937A33">
        <w:rPr>
          <w:rFonts w:cs="Open Sans"/>
        </w:rPr>
        <w:t xml:space="preserve"> disease (a form of inherited macular degeneration) for which further investigations were ordered. </w:t>
      </w:r>
    </w:p>
    <w:p w14:paraId="599C78AC" w14:textId="77777777" w:rsidR="00201C9D" w:rsidRPr="00937A33" w:rsidRDefault="00201C9D" w:rsidP="000F7824">
      <w:pPr>
        <w:numPr>
          <w:ilvl w:val="1"/>
          <w:numId w:val="27"/>
        </w:numPr>
        <w:spacing w:after="160"/>
        <w:rPr>
          <w:rFonts w:cs="Open Sans"/>
        </w:rPr>
      </w:pPr>
      <w:r w:rsidRPr="00937A33">
        <w:rPr>
          <w:rFonts w:cs="Open Sans"/>
        </w:rPr>
        <w:t>Nose:</w:t>
      </w:r>
    </w:p>
    <w:p w14:paraId="62CE4D74" w14:textId="77777777" w:rsidR="00201C9D" w:rsidRPr="00937A33" w:rsidRDefault="00201C9D" w:rsidP="000F7824">
      <w:pPr>
        <w:numPr>
          <w:ilvl w:val="2"/>
          <w:numId w:val="27"/>
        </w:numPr>
        <w:spacing w:after="160"/>
        <w:rPr>
          <w:rFonts w:cs="Open Sans"/>
        </w:rPr>
      </w:pPr>
      <w:r w:rsidRPr="00937A33">
        <w:rPr>
          <w:rFonts w:cs="Open Sans"/>
        </w:rPr>
        <w:t xml:space="preserve">On 19 December 2018, the IHMS GP reviewed Mr </w:t>
      </w:r>
      <w:proofErr w:type="spellStart"/>
      <w:r w:rsidRPr="00937A33">
        <w:rPr>
          <w:rFonts w:cs="Open Sans"/>
        </w:rPr>
        <w:t>Andrwas</w:t>
      </w:r>
      <w:proofErr w:type="spellEnd"/>
      <w:r w:rsidRPr="00937A33">
        <w:rPr>
          <w:rFonts w:cs="Open Sans"/>
        </w:rPr>
        <w:t xml:space="preserve">’ wound and documented that he had requested plastic surgery to remove the scar on his nose. The GP noted that </w:t>
      </w:r>
      <w:r w:rsidRPr="00937A33">
        <w:rPr>
          <w:rFonts w:cs="Open Sans"/>
        </w:rPr>
        <w:lastRenderedPageBreak/>
        <w:t xml:space="preserve">the scar was small and advised Mr </w:t>
      </w:r>
      <w:proofErr w:type="spellStart"/>
      <w:r w:rsidRPr="00937A33">
        <w:rPr>
          <w:rFonts w:cs="Open Sans"/>
        </w:rPr>
        <w:t>Andrwas</w:t>
      </w:r>
      <w:proofErr w:type="spellEnd"/>
      <w:r w:rsidRPr="00937A33">
        <w:rPr>
          <w:rFonts w:cs="Open Sans"/>
        </w:rPr>
        <w:t xml:space="preserve"> that plastic surgery was not warranted. </w:t>
      </w:r>
    </w:p>
    <w:p w14:paraId="1F7E355B" w14:textId="77777777" w:rsidR="00201C9D" w:rsidRPr="00937A33" w:rsidRDefault="00201C9D" w:rsidP="000F7824">
      <w:pPr>
        <w:numPr>
          <w:ilvl w:val="2"/>
          <w:numId w:val="27"/>
        </w:numPr>
        <w:spacing w:after="160"/>
        <w:rPr>
          <w:rFonts w:cs="Open Sans"/>
        </w:rPr>
      </w:pPr>
      <w:r w:rsidRPr="00937A33">
        <w:rPr>
          <w:rFonts w:cs="Open Sans"/>
        </w:rPr>
        <w:t xml:space="preserve">The first documented concerns of nasal congestion arose in a PHN consultation on 30 October 2018, where Mr </w:t>
      </w:r>
      <w:proofErr w:type="spellStart"/>
      <w:r w:rsidRPr="00937A33">
        <w:rPr>
          <w:rFonts w:cs="Open Sans"/>
        </w:rPr>
        <w:t>Andrwas</w:t>
      </w:r>
      <w:proofErr w:type="spellEnd"/>
      <w:r w:rsidRPr="00937A33">
        <w:rPr>
          <w:rFonts w:cs="Open Sans"/>
        </w:rPr>
        <w:t xml:space="preserve"> reported concerns regarding a blocked right nasal passage. He reported that this had resulted from the trauma he had sustained in November 2017. </w:t>
      </w:r>
    </w:p>
    <w:p w14:paraId="47D1B235" w14:textId="77777777" w:rsidR="00201C9D" w:rsidRPr="00937A33" w:rsidRDefault="00201C9D" w:rsidP="000F7824">
      <w:pPr>
        <w:numPr>
          <w:ilvl w:val="2"/>
          <w:numId w:val="27"/>
        </w:numPr>
        <w:spacing w:after="160"/>
        <w:rPr>
          <w:rFonts w:cs="Open Sans"/>
        </w:rPr>
      </w:pPr>
      <w:r w:rsidRPr="00937A33">
        <w:rPr>
          <w:rFonts w:cs="Open Sans"/>
        </w:rPr>
        <w:t xml:space="preserve">On 17 June 2018, Mr </w:t>
      </w:r>
      <w:proofErr w:type="spellStart"/>
      <w:r w:rsidRPr="00937A33">
        <w:rPr>
          <w:rFonts w:cs="Open Sans"/>
        </w:rPr>
        <w:t>Andrwas</w:t>
      </w:r>
      <w:proofErr w:type="spellEnd"/>
      <w:r w:rsidRPr="00937A33">
        <w:rPr>
          <w:rFonts w:cs="Open Sans"/>
        </w:rPr>
        <w:t xml:space="preserve"> reported he had ongoing nasal congestion as a result of the alleged assault in November 2017. The IHMS GP recommended a CT scan of his sinuses which indicated ‘evidence of mucosal thickening involving all the paranasal sinus’ and was referred to an Ear Nose Throat specialist for review and management. </w:t>
      </w:r>
    </w:p>
    <w:p w14:paraId="52AE8667" w14:textId="77777777" w:rsidR="00201C9D" w:rsidRPr="00937A33" w:rsidRDefault="00201C9D" w:rsidP="000F7824">
      <w:pPr>
        <w:numPr>
          <w:ilvl w:val="1"/>
          <w:numId w:val="27"/>
        </w:numPr>
        <w:spacing w:after="160"/>
        <w:rPr>
          <w:rFonts w:cs="Open Sans"/>
        </w:rPr>
      </w:pPr>
      <w:r w:rsidRPr="00937A33">
        <w:rPr>
          <w:rFonts w:cs="Open Sans"/>
        </w:rPr>
        <w:t>Teeth:</w:t>
      </w:r>
    </w:p>
    <w:p w14:paraId="0C66ED85" w14:textId="77777777" w:rsidR="00201C9D" w:rsidRPr="00937A33" w:rsidRDefault="00201C9D" w:rsidP="000F7824">
      <w:pPr>
        <w:numPr>
          <w:ilvl w:val="2"/>
          <w:numId w:val="27"/>
        </w:numPr>
        <w:spacing w:after="160"/>
        <w:rPr>
          <w:rFonts w:cs="Open Sans"/>
        </w:rPr>
      </w:pPr>
      <w:r w:rsidRPr="00937A33">
        <w:rPr>
          <w:rFonts w:cs="Open Sans"/>
        </w:rPr>
        <w:t xml:space="preserve">Mr </w:t>
      </w:r>
      <w:proofErr w:type="spellStart"/>
      <w:r w:rsidRPr="00937A33">
        <w:rPr>
          <w:rFonts w:cs="Open Sans"/>
        </w:rPr>
        <w:t>Andrwas</w:t>
      </w:r>
      <w:proofErr w:type="spellEnd"/>
      <w:r w:rsidRPr="00937A33">
        <w:rPr>
          <w:rFonts w:cs="Open Sans"/>
        </w:rPr>
        <w:t xml:space="preserve"> is first documented to have reported dental concerns relating to his assault on 27 December 2017, when he advised an IHMS PHN that his top front tooth had been knocked out during the assault. </w:t>
      </w:r>
    </w:p>
    <w:p w14:paraId="63B2C175" w14:textId="77777777" w:rsidR="00201C9D" w:rsidRPr="00937A33" w:rsidRDefault="00201C9D" w:rsidP="000F7824">
      <w:pPr>
        <w:numPr>
          <w:ilvl w:val="2"/>
          <w:numId w:val="27"/>
        </w:numPr>
        <w:spacing w:after="160"/>
        <w:rPr>
          <w:rFonts w:cs="Open Sans"/>
        </w:rPr>
      </w:pPr>
      <w:r w:rsidRPr="00937A33">
        <w:rPr>
          <w:rFonts w:cs="Open Sans"/>
        </w:rPr>
        <w:t xml:space="preserve">On 8 January 2018, Mr </w:t>
      </w:r>
      <w:proofErr w:type="spellStart"/>
      <w:r w:rsidRPr="00937A33">
        <w:rPr>
          <w:rFonts w:cs="Open Sans"/>
        </w:rPr>
        <w:t>Andrwas</w:t>
      </w:r>
      <w:proofErr w:type="spellEnd"/>
      <w:r w:rsidRPr="00937A33">
        <w:rPr>
          <w:rFonts w:cs="Open Sans"/>
        </w:rPr>
        <w:t xml:space="preserve"> attended a dentist appointment, who documented a fractured upper left lateral incisor, missing tooth and an infected lower right molar. </w:t>
      </w:r>
    </w:p>
    <w:p w14:paraId="5BB4A3E8" w14:textId="77777777" w:rsidR="00201C9D" w:rsidRPr="00937A33" w:rsidRDefault="00201C9D" w:rsidP="000F7824">
      <w:pPr>
        <w:numPr>
          <w:ilvl w:val="1"/>
          <w:numId w:val="27"/>
        </w:numPr>
        <w:spacing w:after="160"/>
        <w:rPr>
          <w:rFonts w:cs="Open Sans"/>
        </w:rPr>
      </w:pPr>
      <w:r w:rsidRPr="00937A33">
        <w:rPr>
          <w:rFonts w:cs="Open Sans"/>
        </w:rPr>
        <w:t xml:space="preserve">Shoulder: </w:t>
      </w:r>
    </w:p>
    <w:p w14:paraId="3C00E588" w14:textId="77777777" w:rsidR="00201C9D" w:rsidRPr="00937A33" w:rsidRDefault="00201C9D" w:rsidP="000F7824">
      <w:pPr>
        <w:numPr>
          <w:ilvl w:val="2"/>
          <w:numId w:val="27"/>
        </w:numPr>
        <w:spacing w:after="160"/>
        <w:rPr>
          <w:rFonts w:cs="Open Sans"/>
        </w:rPr>
      </w:pPr>
      <w:r w:rsidRPr="00937A33">
        <w:rPr>
          <w:rFonts w:cs="Open Sans"/>
        </w:rPr>
        <w:t xml:space="preserve">Mr </w:t>
      </w:r>
      <w:proofErr w:type="spellStart"/>
      <w:r w:rsidRPr="00937A33">
        <w:rPr>
          <w:rFonts w:cs="Open Sans"/>
        </w:rPr>
        <w:t>Andrwas</w:t>
      </w:r>
      <w:proofErr w:type="spellEnd"/>
      <w:r w:rsidRPr="00937A33">
        <w:rPr>
          <w:rFonts w:cs="Open Sans"/>
        </w:rPr>
        <w:t xml:space="preserve"> is not documented to have reported any concerns regarding shoulder pain at the time of his alleged assault or prior to 18 July 2018.</w:t>
      </w:r>
    </w:p>
    <w:p w14:paraId="09725B9D" w14:textId="77777777" w:rsidR="00201C9D" w:rsidRPr="00937A33" w:rsidRDefault="00201C9D" w:rsidP="000F7824">
      <w:pPr>
        <w:numPr>
          <w:ilvl w:val="2"/>
          <w:numId w:val="27"/>
        </w:numPr>
        <w:spacing w:after="160"/>
        <w:rPr>
          <w:rFonts w:cs="Open Sans"/>
        </w:rPr>
      </w:pPr>
      <w:r w:rsidRPr="00937A33">
        <w:rPr>
          <w:rFonts w:cs="Open Sans"/>
        </w:rPr>
        <w:t xml:space="preserve">On 18 July 2018, Mr </w:t>
      </w:r>
      <w:proofErr w:type="spellStart"/>
      <w:r w:rsidRPr="00937A33">
        <w:rPr>
          <w:rFonts w:cs="Open Sans"/>
        </w:rPr>
        <w:t>Andrwas</w:t>
      </w:r>
      <w:proofErr w:type="spellEnd"/>
      <w:r w:rsidRPr="00937A33">
        <w:rPr>
          <w:rFonts w:cs="Open Sans"/>
        </w:rPr>
        <w:t xml:space="preserve"> advised the GP that that he had sustained injuries to his left shoulder during the assault in November 2017. </w:t>
      </w:r>
    </w:p>
    <w:p w14:paraId="03315B46" w14:textId="77777777" w:rsidR="00201C9D" w:rsidRPr="00937A33" w:rsidRDefault="00201C9D" w:rsidP="000F7824">
      <w:pPr>
        <w:numPr>
          <w:ilvl w:val="2"/>
          <w:numId w:val="27"/>
        </w:numPr>
        <w:spacing w:after="160"/>
        <w:rPr>
          <w:rFonts w:cs="Open Sans"/>
        </w:rPr>
      </w:pPr>
      <w:r w:rsidRPr="00937A33">
        <w:rPr>
          <w:rFonts w:cs="Open Sans"/>
        </w:rPr>
        <w:t xml:space="preserve">The GP ordered ultrasound scans and X-rays. The GP noted that imaging indicated degenerative changes of the shoulder with a left sub </w:t>
      </w:r>
      <w:proofErr w:type="spellStart"/>
      <w:r w:rsidRPr="00937A33">
        <w:rPr>
          <w:rFonts w:cs="Open Sans"/>
        </w:rPr>
        <w:t>acronial</w:t>
      </w:r>
      <w:proofErr w:type="spellEnd"/>
      <w:r w:rsidRPr="00937A33">
        <w:rPr>
          <w:rFonts w:cs="Open Sans"/>
        </w:rPr>
        <w:t xml:space="preserve"> bursitis, which is most commonly caused by repetitive strain and/or trauma.</w:t>
      </w:r>
    </w:p>
    <w:p w14:paraId="1787399D" w14:textId="77777777" w:rsidR="00201C9D" w:rsidRPr="00937A33" w:rsidRDefault="00201C9D" w:rsidP="000F7824">
      <w:pPr>
        <w:numPr>
          <w:ilvl w:val="0"/>
          <w:numId w:val="27"/>
        </w:numPr>
        <w:tabs>
          <w:tab w:val="num" w:pos="960"/>
        </w:tabs>
        <w:spacing w:after="160"/>
        <w:ind w:hanging="720"/>
        <w:rPr>
          <w:rFonts w:cs="Open Sans"/>
        </w:rPr>
      </w:pPr>
      <w:r w:rsidRPr="00937A33">
        <w:rPr>
          <w:rFonts w:cs="Open Sans"/>
        </w:rPr>
        <w:t xml:space="preserve">On 24 November 2017, Mr </w:t>
      </w:r>
      <w:proofErr w:type="spellStart"/>
      <w:r w:rsidRPr="00937A33">
        <w:rPr>
          <w:rFonts w:cs="Open Sans"/>
        </w:rPr>
        <w:t>Andrwas</w:t>
      </w:r>
      <w:proofErr w:type="spellEnd"/>
      <w:r w:rsidRPr="00937A33">
        <w:rPr>
          <w:rFonts w:cs="Open Sans"/>
        </w:rPr>
        <w:t xml:space="preserve"> completed a Notification for Police Investigation form requesting that the matter be referred to an Investigation Authority, such as the AFP or NSW Police. However, on 28 November 2017, Mr </w:t>
      </w:r>
      <w:proofErr w:type="spellStart"/>
      <w:r w:rsidRPr="00937A33">
        <w:rPr>
          <w:rFonts w:cs="Open Sans"/>
        </w:rPr>
        <w:t>Andrwas</w:t>
      </w:r>
      <w:proofErr w:type="spellEnd"/>
      <w:r w:rsidRPr="00937A33">
        <w:rPr>
          <w:rFonts w:cs="Open Sans"/>
        </w:rPr>
        <w:t xml:space="preserve"> advised Serco that he wished to withdraw his police referral as he had changed his mind. He then completed a </w:t>
      </w:r>
      <w:r w:rsidRPr="00937A33">
        <w:rPr>
          <w:rFonts w:cs="Open Sans"/>
        </w:rPr>
        <w:lastRenderedPageBreak/>
        <w:t xml:space="preserve">further form confirming that he did not wish for any police action or investigation. The incident was subsequently closed. No explanation has been provided as to why Mr </w:t>
      </w:r>
      <w:proofErr w:type="spellStart"/>
      <w:r w:rsidRPr="00937A33">
        <w:rPr>
          <w:rFonts w:cs="Open Sans"/>
        </w:rPr>
        <w:t>Andrwas</w:t>
      </w:r>
      <w:proofErr w:type="spellEnd"/>
      <w:r w:rsidRPr="00937A33">
        <w:rPr>
          <w:rFonts w:cs="Open Sans"/>
        </w:rPr>
        <w:t xml:space="preserve"> changed his mind. </w:t>
      </w:r>
    </w:p>
    <w:p w14:paraId="39BA03D2" w14:textId="77777777" w:rsidR="00201C9D" w:rsidRPr="00937A33" w:rsidRDefault="00201C9D" w:rsidP="000F7824">
      <w:pPr>
        <w:numPr>
          <w:ilvl w:val="0"/>
          <w:numId w:val="27"/>
        </w:numPr>
        <w:tabs>
          <w:tab w:val="num" w:pos="960"/>
        </w:tabs>
        <w:spacing w:after="160"/>
        <w:ind w:hanging="720"/>
        <w:rPr>
          <w:rFonts w:cs="Open Sans"/>
        </w:rPr>
      </w:pPr>
      <w:r>
        <w:rPr>
          <w:rFonts w:cs="Open Sans"/>
        </w:rPr>
        <w:t xml:space="preserve">On 25 November 2017, Serco conducted an IMPR with Mr </w:t>
      </w:r>
      <w:proofErr w:type="spellStart"/>
      <w:r>
        <w:rPr>
          <w:rFonts w:cs="Open Sans"/>
        </w:rPr>
        <w:t>Andrwas</w:t>
      </w:r>
      <w:proofErr w:type="spellEnd"/>
      <w:r>
        <w:rPr>
          <w:rFonts w:cs="Open Sans"/>
        </w:rPr>
        <w:t xml:space="preserve">. The IMPR states, amongst other things, that Mr </w:t>
      </w:r>
      <w:proofErr w:type="spellStart"/>
      <w:r>
        <w:rPr>
          <w:rFonts w:cs="Open Sans"/>
        </w:rPr>
        <w:t>Andrwas</w:t>
      </w:r>
      <w:proofErr w:type="spellEnd"/>
      <w:r>
        <w:rPr>
          <w:rFonts w:cs="Open Sans"/>
        </w:rPr>
        <w:t xml:space="preserve"> ‘appears to be very respectful and polite to staff and other detainees’. </w:t>
      </w:r>
      <w:r w:rsidRPr="00937A33">
        <w:rPr>
          <w:rFonts w:cs="Open Sans"/>
        </w:rPr>
        <w:t xml:space="preserve">The IMPR does not record any concerns raised by Mr </w:t>
      </w:r>
      <w:proofErr w:type="spellStart"/>
      <w:r w:rsidRPr="00937A33">
        <w:rPr>
          <w:rFonts w:cs="Open Sans"/>
        </w:rPr>
        <w:t>Andrwas</w:t>
      </w:r>
      <w:proofErr w:type="spellEnd"/>
      <w:r w:rsidRPr="00937A33">
        <w:rPr>
          <w:rFonts w:cs="Open Sans"/>
        </w:rPr>
        <w:t xml:space="preserve"> for his safety in relation to the female detainee. </w:t>
      </w:r>
      <w:r>
        <w:rPr>
          <w:rFonts w:cs="Open Sans"/>
        </w:rPr>
        <w:t xml:space="preserve">The Department has confirmed that no such concerns were raised by Mr </w:t>
      </w:r>
      <w:proofErr w:type="spellStart"/>
      <w:r>
        <w:rPr>
          <w:rFonts w:cs="Open Sans"/>
        </w:rPr>
        <w:t>Andrwas</w:t>
      </w:r>
      <w:proofErr w:type="spellEnd"/>
      <w:r>
        <w:rPr>
          <w:rFonts w:cs="Open Sans"/>
        </w:rPr>
        <w:t xml:space="preserve"> during this IMPR.</w:t>
      </w:r>
    </w:p>
    <w:p w14:paraId="30315A38" w14:textId="77777777" w:rsidR="00201C9D" w:rsidRPr="00937A33" w:rsidRDefault="00201C9D" w:rsidP="000F7824">
      <w:pPr>
        <w:numPr>
          <w:ilvl w:val="0"/>
          <w:numId w:val="27"/>
        </w:numPr>
        <w:tabs>
          <w:tab w:val="num" w:pos="960"/>
        </w:tabs>
        <w:spacing w:after="160"/>
        <w:ind w:hanging="720"/>
        <w:rPr>
          <w:rFonts w:cs="Open Sans"/>
        </w:rPr>
      </w:pPr>
      <w:r w:rsidRPr="00937A33">
        <w:rPr>
          <w:rFonts w:cs="Open Sans"/>
        </w:rPr>
        <w:t xml:space="preserve">On </w:t>
      </w:r>
      <w:r w:rsidRPr="0022435E">
        <w:rPr>
          <w:rFonts w:cs="Open Sans"/>
        </w:rPr>
        <w:t>26 November 2017,</w:t>
      </w:r>
      <w:r w:rsidRPr="00937A33">
        <w:rPr>
          <w:rFonts w:cs="Open Sans"/>
        </w:rPr>
        <w:t xml:space="preserve"> a trigger IMPR </w:t>
      </w:r>
      <w:r>
        <w:rPr>
          <w:rFonts w:cs="Open Sans"/>
        </w:rPr>
        <w:t xml:space="preserve">was conducted </w:t>
      </w:r>
      <w:r w:rsidRPr="00937A33">
        <w:rPr>
          <w:rFonts w:cs="Open Sans"/>
        </w:rPr>
        <w:t xml:space="preserve">in relation to Mr </w:t>
      </w:r>
      <w:proofErr w:type="spellStart"/>
      <w:r w:rsidRPr="00937A33">
        <w:rPr>
          <w:rFonts w:cs="Open Sans"/>
        </w:rPr>
        <w:t>Andrwas</w:t>
      </w:r>
      <w:proofErr w:type="spellEnd"/>
      <w:r w:rsidRPr="00937A33">
        <w:rPr>
          <w:rFonts w:cs="Open Sans"/>
        </w:rPr>
        <w:t xml:space="preserve">. The IMPRC states that Mr </w:t>
      </w:r>
      <w:proofErr w:type="spellStart"/>
      <w:r w:rsidRPr="00937A33">
        <w:rPr>
          <w:rFonts w:cs="Open Sans"/>
        </w:rPr>
        <w:t>Andrwas</w:t>
      </w:r>
      <w:proofErr w:type="spellEnd"/>
      <w:r w:rsidRPr="00937A33">
        <w:rPr>
          <w:rFonts w:cs="Open Sans"/>
        </w:rPr>
        <w:t xml:space="preserve"> was spoken to regarding ‘the assault and threats to a detainee [redacted] on several occasions’. </w:t>
      </w:r>
      <w:r>
        <w:rPr>
          <w:rFonts w:cs="Open Sans"/>
        </w:rPr>
        <w:t xml:space="preserve">The Department has confirmed that the discussion was centred on allegations made by the female detainee that Mr </w:t>
      </w:r>
      <w:proofErr w:type="spellStart"/>
      <w:r>
        <w:rPr>
          <w:rFonts w:cs="Open Sans"/>
        </w:rPr>
        <w:t>Andrwas</w:t>
      </w:r>
      <w:proofErr w:type="spellEnd"/>
      <w:r>
        <w:rPr>
          <w:rFonts w:cs="Open Sans"/>
        </w:rPr>
        <w:t xml:space="preserve"> was threatening her. </w:t>
      </w:r>
      <w:r w:rsidRPr="00937A33">
        <w:rPr>
          <w:rFonts w:cs="Open Sans"/>
        </w:rPr>
        <w:t xml:space="preserve">The Commission does not have any other information regarding this alleged assault. </w:t>
      </w:r>
    </w:p>
    <w:p w14:paraId="705EE265" w14:textId="77777777" w:rsidR="00201C9D" w:rsidRPr="00937A33" w:rsidRDefault="00201C9D" w:rsidP="000F7824">
      <w:pPr>
        <w:numPr>
          <w:ilvl w:val="0"/>
          <w:numId w:val="27"/>
        </w:numPr>
        <w:tabs>
          <w:tab w:val="num" w:pos="960"/>
        </w:tabs>
        <w:spacing w:after="160"/>
        <w:ind w:hanging="720"/>
        <w:rPr>
          <w:rFonts w:cs="Open Sans"/>
        </w:rPr>
      </w:pPr>
      <w:r w:rsidRPr="00937A33">
        <w:rPr>
          <w:rFonts w:cs="Open Sans"/>
        </w:rPr>
        <w:t xml:space="preserve">The IMPR states that Mr </w:t>
      </w:r>
      <w:proofErr w:type="spellStart"/>
      <w:r w:rsidRPr="00937A33">
        <w:rPr>
          <w:rFonts w:cs="Open Sans"/>
        </w:rPr>
        <w:t>Andrwas</w:t>
      </w:r>
      <w:proofErr w:type="spellEnd"/>
      <w:r w:rsidRPr="00937A33">
        <w:rPr>
          <w:rFonts w:cs="Open Sans"/>
        </w:rPr>
        <w:t xml:space="preserve"> denied ‘the threats and assaulting her, and stated that she is liar’. It concludes by stating that Mr </w:t>
      </w:r>
      <w:proofErr w:type="spellStart"/>
      <w:r w:rsidRPr="00937A33">
        <w:rPr>
          <w:rFonts w:cs="Open Sans"/>
        </w:rPr>
        <w:t>Andrwas</w:t>
      </w:r>
      <w:proofErr w:type="spellEnd"/>
      <w:r w:rsidRPr="00937A33">
        <w:rPr>
          <w:rFonts w:cs="Open Sans"/>
        </w:rPr>
        <w:t xml:space="preserve"> was reminded of his rights and responsibilities and advised to stay away from the female detainee. </w:t>
      </w:r>
    </w:p>
    <w:p w14:paraId="0320248C" w14:textId="77777777" w:rsidR="00201C9D" w:rsidRPr="00937A33" w:rsidRDefault="00201C9D" w:rsidP="000F7824">
      <w:pPr>
        <w:numPr>
          <w:ilvl w:val="0"/>
          <w:numId w:val="27"/>
        </w:numPr>
        <w:tabs>
          <w:tab w:val="num" w:pos="960"/>
        </w:tabs>
        <w:spacing w:after="160"/>
        <w:ind w:hanging="720"/>
        <w:rPr>
          <w:rFonts w:cs="Open Sans"/>
        </w:rPr>
      </w:pPr>
      <w:r w:rsidRPr="00937A33">
        <w:rPr>
          <w:rFonts w:cs="Open Sans"/>
        </w:rPr>
        <w:t xml:space="preserve">The IMPR also indicates that Mr </w:t>
      </w:r>
      <w:proofErr w:type="spellStart"/>
      <w:r w:rsidRPr="00937A33">
        <w:rPr>
          <w:rFonts w:cs="Open Sans"/>
        </w:rPr>
        <w:t>Andrwas</w:t>
      </w:r>
      <w:proofErr w:type="spellEnd"/>
      <w:r w:rsidRPr="00937A33">
        <w:rPr>
          <w:rFonts w:cs="Open Sans"/>
        </w:rPr>
        <w:t xml:space="preserve"> was advised that if he had any concerns, he should contact Serco staff. The IMPR does not record any concerns raised by Mr </w:t>
      </w:r>
      <w:proofErr w:type="spellStart"/>
      <w:r w:rsidRPr="00937A33">
        <w:rPr>
          <w:rFonts w:cs="Open Sans"/>
        </w:rPr>
        <w:t>Andrwas</w:t>
      </w:r>
      <w:proofErr w:type="spellEnd"/>
      <w:r w:rsidRPr="00937A33">
        <w:rPr>
          <w:rFonts w:cs="Open Sans"/>
        </w:rPr>
        <w:t xml:space="preserve"> for his safety in relation to the female detainee. </w:t>
      </w:r>
      <w:r>
        <w:rPr>
          <w:rFonts w:cs="Open Sans"/>
        </w:rPr>
        <w:t xml:space="preserve">The Department has confirmed that no such concerns were raised by Mr </w:t>
      </w:r>
      <w:proofErr w:type="spellStart"/>
      <w:r>
        <w:rPr>
          <w:rFonts w:cs="Open Sans"/>
        </w:rPr>
        <w:t>Andrwas</w:t>
      </w:r>
      <w:proofErr w:type="spellEnd"/>
      <w:r>
        <w:rPr>
          <w:rFonts w:cs="Open Sans"/>
        </w:rPr>
        <w:t xml:space="preserve"> during this IMPR.</w:t>
      </w:r>
    </w:p>
    <w:p w14:paraId="0326B90C" w14:textId="77777777" w:rsidR="00201C9D" w:rsidRPr="00937A33" w:rsidRDefault="00201C9D" w:rsidP="000F7824">
      <w:pPr>
        <w:numPr>
          <w:ilvl w:val="0"/>
          <w:numId w:val="27"/>
        </w:numPr>
        <w:tabs>
          <w:tab w:val="num" w:pos="960"/>
        </w:tabs>
        <w:spacing w:after="160"/>
        <w:ind w:hanging="720"/>
        <w:rPr>
          <w:rFonts w:cs="Open Sans"/>
        </w:rPr>
      </w:pPr>
      <w:r w:rsidRPr="00937A33">
        <w:rPr>
          <w:rFonts w:cs="Open Sans"/>
        </w:rPr>
        <w:t>The Department advised that the female detainee was relocated on 1</w:t>
      </w:r>
      <w:r>
        <w:rPr>
          <w:rFonts w:cs="Open Sans"/>
        </w:rPr>
        <w:t> </w:t>
      </w:r>
      <w:r w:rsidRPr="00937A33">
        <w:rPr>
          <w:rFonts w:cs="Open Sans"/>
        </w:rPr>
        <w:t xml:space="preserve">December 2017. According to Mr </w:t>
      </w:r>
      <w:proofErr w:type="spellStart"/>
      <w:r w:rsidRPr="00937A33">
        <w:rPr>
          <w:rFonts w:cs="Open Sans"/>
        </w:rPr>
        <w:t>Andrwas</w:t>
      </w:r>
      <w:proofErr w:type="spellEnd"/>
      <w:r w:rsidRPr="00937A33">
        <w:rPr>
          <w:rFonts w:cs="Open Sans"/>
        </w:rPr>
        <w:t xml:space="preserve">, she was given a bridging visa. </w:t>
      </w:r>
    </w:p>
    <w:p w14:paraId="7F95BEF3" w14:textId="77777777" w:rsidR="00201C9D" w:rsidRPr="00937A33" w:rsidRDefault="00201C9D" w:rsidP="000F7824">
      <w:pPr>
        <w:numPr>
          <w:ilvl w:val="0"/>
          <w:numId w:val="27"/>
        </w:numPr>
        <w:tabs>
          <w:tab w:val="num" w:pos="960"/>
        </w:tabs>
        <w:spacing w:after="160"/>
        <w:ind w:hanging="720"/>
        <w:rPr>
          <w:rFonts w:cs="Open Sans"/>
        </w:rPr>
      </w:pPr>
      <w:r w:rsidRPr="00937A33">
        <w:rPr>
          <w:rFonts w:cs="Open Sans"/>
        </w:rPr>
        <w:t xml:space="preserve">The Commission requested all records of requests made by Mr </w:t>
      </w:r>
      <w:proofErr w:type="spellStart"/>
      <w:r w:rsidRPr="00937A33">
        <w:rPr>
          <w:rFonts w:cs="Open Sans"/>
        </w:rPr>
        <w:t>Andrwas</w:t>
      </w:r>
      <w:proofErr w:type="spellEnd"/>
      <w:r w:rsidRPr="00937A33">
        <w:rPr>
          <w:rFonts w:cs="Open Sans"/>
        </w:rPr>
        <w:t xml:space="preserve"> in relation to his concerns for his safety or requesting that his placement be away from the female detainee or the four male detainees. In response, the Department provided documents relating to complaints made by Mr </w:t>
      </w:r>
      <w:proofErr w:type="spellStart"/>
      <w:r w:rsidRPr="00937A33">
        <w:rPr>
          <w:rFonts w:cs="Open Sans"/>
        </w:rPr>
        <w:t>Andrwas</w:t>
      </w:r>
      <w:proofErr w:type="spellEnd"/>
      <w:r w:rsidRPr="00937A33">
        <w:rPr>
          <w:rFonts w:cs="Open Sans"/>
        </w:rPr>
        <w:t xml:space="preserve"> on 18 and 20 December 2017.</w:t>
      </w:r>
    </w:p>
    <w:p w14:paraId="2ECB6CF4" w14:textId="77777777" w:rsidR="00201C9D" w:rsidRPr="00937A33" w:rsidRDefault="00201C9D" w:rsidP="000F7824">
      <w:pPr>
        <w:numPr>
          <w:ilvl w:val="0"/>
          <w:numId w:val="27"/>
        </w:numPr>
        <w:tabs>
          <w:tab w:val="num" w:pos="960"/>
        </w:tabs>
        <w:spacing w:after="160"/>
        <w:ind w:hanging="720"/>
        <w:rPr>
          <w:rFonts w:cs="Open Sans"/>
        </w:rPr>
      </w:pPr>
      <w:r w:rsidRPr="00937A33">
        <w:rPr>
          <w:rFonts w:cs="Open Sans"/>
        </w:rPr>
        <w:t xml:space="preserve">On 18 December 2017, Mr </w:t>
      </w:r>
      <w:proofErr w:type="spellStart"/>
      <w:r w:rsidRPr="00937A33">
        <w:rPr>
          <w:rFonts w:cs="Open Sans"/>
        </w:rPr>
        <w:t>Andrwas</w:t>
      </w:r>
      <w:proofErr w:type="spellEnd"/>
      <w:r w:rsidRPr="00937A33">
        <w:rPr>
          <w:rFonts w:cs="Open Sans"/>
        </w:rPr>
        <w:t xml:space="preserve"> made a complaint</w:t>
      </w:r>
      <w:r w:rsidRPr="00937A33">
        <w:rPr>
          <w:rStyle w:val="FootnoteReference"/>
          <w:rFonts w:cs="Open Sans"/>
        </w:rPr>
        <w:t xml:space="preserve"> </w:t>
      </w:r>
      <w:r w:rsidRPr="00937A33">
        <w:rPr>
          <w:rFonts w:cs="Open Sans"/>
        </w:rPr>
        <w:t xml:space="preserve">to Serco which, in part, related to the 24 November Incident. Mr </w:t>
      </w:r>
      <w:proofErr w:type="spellStart"/>
      <w:r w:rsidRPr="00937A33">
        <w:rPr>
          <w:rFonts w:cs="Open Sans"/>
        </w:rPr>
        <w:t>Andrwas</w:t>
      </w:r>
      <w:proofErr w:type="spellEnd"/>
      <w:r w:rsidRPr="00937A33">
        <w:rPr>
          <w:rFonts w:cs="Open Sans"/>
        </w:rPr>
        <w:t xml:space="preserve"> said that: </w:t>
      </w:r>
    </w:p>
    <w:p w14:paraId="4D1FA894" w14:textId="77777777" w:rsidR="00201C9D" w:rsidRPr="00937A33" w:rsidRDefault="00201C9D" w:rsidP="00201C9D">
      <w:pPr>
        <w:ind w:left="1440"/>
        <w:rPr>
          <w:rFonts w:cs="Open Sans"/>
        </w:rPr>
      </w:pPr>
      <w:r w:rsidRPr="00937A33">
        <w:rPr>
          <w:rFonts w:cs="Open Sans"/>
        </w:rPr>
        <w:t xml:space="preserve">About 3 and half weeks ago, I was assault badly which required urgent medical treatment. Since that incident, I have not had any follow ups from Serco. All the offenders are still here and I believe </w:t>
      </w:r>
      <w:r w:rsidRPr="00937A33">
        <w:rPr>
          <w:rFonts w:cs="Open Sans"/>
        </w:rPr>
        <w:lastRenderedPageBreak/>
        <w:t>nothing has been done to justify that assault incident. I’m currently suffering mentally, physically and emotionally. It traumatises me every time I look at the mirror which consist of a huge scar on my nose.</w:t>
      </w:r>
    </w:p>
    <w:p w14:paraId="52930ABC" w14:textId="77777777" w:rsidR="00201C9D" w:rsidRPr="00937A33" w:rsidRDefault="00201C9D" w:rsidP="000F7824">
      <w:pPr>
        <w:numPr>
          <w:ilvl w:val="0"/>
          <w:numId w:val="27"/>
        </w:numPr>
        <w:tabs>
          <w:tab w:val="num" w:pos="960"/>
        </w:tabs>
        <w:spacing w:after="160"/>
        <w:ind w:hanging="720"/>
        <w:rPr>
          <w:rFonts w:cs="Open Sans"/>
        </w:rPr>
      </w:pPr>
      <w:r w:rsidRPr="00937A33">
        <w:rPr>
          <w:rFonts w:cs="Open Sans"/>
        </w:rPr>
        <w:t xml:space="preserve">According to a Serco Investigation Report dated 23 December 2017, Serco officers spoke to Mr </w:t>
      </w:r>
      <w:proofErr w:type="spellStart"/>
      <w:r w:rsidRPr="00937A33">
        <w:rPr>
          <w:rFonts w:cs="Open Sans"/>
        </w:rPr>
        <w:t>Andrwas</w:t>
      </w:r>
      <w:proofErr w:type="spellEnd"/>
      <w:r w:rsidRPr="00937A33">
        <w:rPr>
          <w:rFonts w:cs="Open Sans"/>
        </w:rPr>
        <w:t xml:space="preserve"> regarding the complaint. It states that Mr </w:t>
      </w:r>
      <w:proofErr w:type="spellStart"/>
      <w:r w:rsidRPr="00937A33">
        <w:rPr>
          <w:rFonts w:cs="Open Sans"/>
        </w:rPr>
        <w:t>Andrwas</w:t>
      </w:r>
      <w:proofErr w:type="spellEnd"/>
      <w:r w:rsidRPr="00937A33">
        <w:rPr>
          <w:rFonts w:cs="Open Sans"/>
        </w:rPr>
        <w:t xml:space="preserve"> was advised he would be referred to IHMS/MH for further treatment. It does not otherwise refer to the assault, the ongoing presence of the alleged offenders, or any other actions being taken by Serco. </w:t>
      </w:r>
    </w:p>
    <w:p w14:paraId="6E0FA762" w14:textId="77777777" w:rsidR="00201C9D" w:rsidRPr="00937A33" w:rsidRDefault="00201C9D" w:rsidP="000F7824">
      <w:pPr>
        <w:numPr>
          <w:ilvl w:val="0"/>
          <w:numId w:val="27"/>
        </w:numPr>
        <w:tabs>
          <w:tab w:val="num" w:pos="960"/>
        </w:tabs>
        <w:spacing w:after="160"/>
        <w:ind w:hanging="720"/>
        <w:rPr>
          <w:rFonts w:cs="Open Sans"/>
        </w:rPr>
      </w:pPr>
      <w:r w:rsidRPr="00937A33">
        <w:rPr>
          <w:rFonts w:cs="Open Sans"/>
        </w:rPr>
        <w:t xml:space="preserve">In its letter dated 29 December 2017 responding to Mr </w:t>
      </w:r>
      <w:proofErr w:type="spellStart"/>
      <w:r w:rsidRPr="00937A33">
        <w:rPr>
          <w:rFonts w:cs="Open Sans"/>
        </w:rPr>
        <w:t>Andrwas</w:t>
      </w:r>
      <w:proofErr w:type="spellEnd"/>
      <w:r w:rsidRPr="00937A33">
        <w:rPr>
          <w:rFonts w:cs="Open Sans"/>
        </w:rPr>
        <w:t xml:space="preserve">’ complaint, Serco states that Mr </w:t>
      </w:r>
      <w:proofErr w:type="spellStart"/>
      <w:r w:rsidRPr="00937A33">
        <w:rPr>
          <w:rFonts w:cs="Open Sans"/>
        </w:rPr>
        <w:t>Andrwas</w:t>
      </w:r>
      <w:proofErr w:type="spellEnd"/>
      <w:r w:rsidRPr="00937A33">
        <w:rPr>
          <w:rFonts w:cs="Open Sans"/>
        </w:rPr>
        <w:t xml:space="preserve"> had been advised by the Detainee Services Manager that: </w:t>
      </w:r>
    </w:p>
    <w:p w14:paraId="699559AD" w14:textId="77777777" w:rsidR="00201C9D" w:rsidRPr="00937A33" w:rsidRDefault="00201C9D" w:rsidP="00201C9D">
      <w:pPr>
        <w:ind w:left="1440"/>
        <w:rPr>
          <w:rFonts w:cs="Open Sans"/>
        </w:rPr>
      </w:pPr>
      <w:r w:rsidRPr="00937A33">
        <w:rPr>
          <w:rFonts w:cs="Open Sans"/>
        </w:rPr>
        <w:t>he has submitted a referral to the Mental Health team on your behalf to ensure that you receive appropriate review and support to manage your concerns. Thank you</w:t>
      </w:r>
      <w:r>
        <w:rPr>
          <w:rFonts w:cs="Open Sans"/>
        </w:rPr>
        <w:t xml:space="preserve"> [for]</w:t>
      </w:r>
      <w:r w:rsidRPr="00937A33">
        <w:rPr>
          <w:rFonts w:cs="Open Sans"/>
        </w:rPr>
        <w:t xml:space="preserve"> bringing your concerns to our attention and we consider this complaint is now closed.  </w:t>
      </w:r>
    </w:p>
    <w:p w14:paraId="219E4473" w14:textId="77777777" w:rsidR="00201C9D" w:rsidRPr="00937A33" w:rsidRDefault="00201C9D" w:rsidP="000F7824">
      <w:pPr>
        <w:numPr>
          <w:ilvl w:val="0"/>
          <w:numId w:val="27"/>
        </w:numPr>
        <w:tabs>
          <w:tab w:val="num" w:pos="960"/>
        </w:tabs>
        <w:spacing w:after="160"/>
        <w:ind w:hanging="720"/>
        <w:rPr>
          <w:rFonts w:cs="Open Sans"/>
        </w:rPr>
      </w:pPr>
      <w:r w:rsidRPr="00937A33">
        <w:rPr>
          <w:rFonts w:cs="Open Sans"/>
        </w:rPr>
        <w:t xml:space="preserve">On 20 December 2017, Mr </w:t>
      </w:r>
      <w:proofErr w:type="spellStart"/>
      <w:r w:rsidRPr="00937A33">
        <w:rPr>
          <w:rFonts w:cs="Open Sans"/>
        </w:rPr>
        <w:t>Andrwas</w:t>
      </w:r>
      <w:proofErr w:type="spellEnd"/>
      <w:r w:rsidRPr="00937A33">
        <w:rPr>
          <w:rFonts w:cs="Open Sans"/>
        </w:rPr>
        <w:t xml:space="preserve"> made a further complaint to Serco stating that: </w:t>
      </w:r>
    </w:p>
    <w:p w14:paraId="4FB4BA41" w14:textId="77777777" w:rsidR="00201C9D" w:rsidRPr="00937A33" w:rsidRDefault="00201C9D" w:rsidP="00201C9D">
      <w:pPr>
        <w:ind w:left="1440"/>
        <w:rPr>
          <w:rFonts w:cs="Open Sans"/>
        </w:rPr>
      </w:pPr>
      <w:r w:rsidRPr="00937A33">
        <w:rPr>
          <w:rFonts w:cs="Open Sans"/>
        </w:rPr>
        <w:t>I would to follow up with my compensation regarding my eyes, my nose, and the damages done to me physically and mentally as a result from the assault. I want to take action in regards to that because Serco has not done nothing.</w:t>
      </w:r>
    </w:p>
    <w:p w14:paraId="635A3E95" w14:textId="77777777" w:rsidR="00201C9D" w:rsidRPr="00937A33" w:rsidRDefault="00201C9D" w:rsidP="000F7824">
      <w:pPr>
        <w:numPr>
          <w:ilvl w:val="0"/>
          <w:numId w:val="27"/>
        </w:numPr>
        <w:tabs>
          <w:tab w:val="num" w:pos="960"/>
        </w:tabs>
        <w:spacing w:after="160"/>
        <w:ind w:hanging="720"/>
        <w:rPr>
          <w:rFonts w:cs="Open Sans"/>
        </w:rPr>
      </w:pPr>
      <w:r w:rsidRPr="00937A33">
        <w:rPr>
          <w:rFonts w:cs="Open Sans"/>
        </w:rPr>
        <w:t xml:space="preserve">According to a Serco Investigation Report dated 23 December 2017, Serco officers spoke to Mr </w:t>
      </w:r>
      <w:proofErr w:type="spellStart"/>
      <w:r w:rsidRPr="00937A33">
        <w:rPr>
          <w:rFonts w:cs="Open Sans"/>
        </w:rPr>
        <w:t>Andrwas</w:t>
      </w:r>
      <w:proofErr w:type="spellEnd"/>
      <w:r w:rsidRPr="00937A33">
        <w:rPr>
          <w:rFonts w:cs="Open Sans"/>
        </w:rPr>
        <w:t xml:space="preserve"> regarding the complaint. Mr </w:t>
      </w:r>
      <w:proofErr w:type="spellStart"/>
      <w:r w:rsidRPr="00937A33">
        <w:rPr>
          <w:rFonts w:cs="Open Sans"/>
        </w:rPr>
        <w:t>Andrwas</w:t>
      </w:r>
      <w:proofErr w:type="spellEnd"/>
      <w:r w:rsidRPr="00937A33">
        <w:rPr>
          <w:rFonts w:cs="Open Sans"/>
        </w:rPr>
        <w:t xml:space="preserve"> was advised that: </w:t>
      </w:r>
    </w:p>
    <w:p w14:paraId="181FB458" w14:textId="77777777" w:rsidR="00201C9D" w:rsidRPr="00937A33" w:rsidRDefault="00201C9D" w:rsidP="00201C9D">
      <w:pPr>
        <w:ind w:left="1440"/>
        <w:rPr>
          <w:rFonts w:cs="Open Sans"/>
        </w:rPr>
      </w:pPr>
      <w:r w:rsidRPr="00937A33">
        <w:rPr>
          <w:rFonts w:cs="Open Sans"/>
        </w:rPr>
        <w:t xml:space="preserve">IHMS/MH team were able to assist him with his injuries and damages done physically and mentally. Detainee was advised [Redacted] would do MH referral so that MH team would assess detainee. Detainee was happy and requested DSM to do MH referral. </w:t>
      </w:r>
    </w:p>
    <w:p w14:paraId="1356621F" w14:textId="77777777" w:rsidR="00201C9D" w:rsidRPr="00937A33" w:rsidRDefault="00201C9D" w:rsidP="000F7824">
      <w:pPr>
        <w:numPr>
          <w:ilvl w:val="0"/>
          <w:numId w:val="27"/>
        </w:numPr>
        <w:tabs>
          <w:tab w:val="num" w:pos="960"/>
        </w:tabs>
        <w:spacing w:after="160"/>
        <w:ind w:hanging="720"/>
        <w:rPr>
          <w:rFonts w:cs="Open Sans"/>
        </w:rPr>
      </w:pPr>
      <w:r w:rsidRPr="00937A33">
        <w:rPr>
          <w:rFonts w:cs="Open Sans"/>
        </w:rPr>
        <w:t xml:space="preserve">The report does not otherwise indicate that any actions were taken by Serco in relation to the assault. </w:t>
      </w:r>
    </w:p>
    <w:p w14:paraId="73FF040B" w14:textId="77777777" w:rsidR="00201C9D" w:rsidRPr="00937A33" w:rsidRDefault="00201C9D" w:rsidP="000F7824">
      <w:pPr>
        <w:numPr>
          <w:ilvl w:val="0"/>
          <w:numId w:val="27"/>
        </w:numPr>
        <w:tabs>
          <w:tab w:val="num" w:pos="960"/>
        </w:tabs>
        <w:spacing w:after="160"/>
        <w:ind w:hanging="720"/>
        <w:rPr>
          <w:rFonts w:cs="Open Sans"/>
        </w:rPr>
      </w:pPr>
      <w:r w:rsidRPr="00937A33">
        <w:rPr>
          <w:rFonts w:cs="Open Sans"/>
        </w:rPr>
        <w:t xml:space="preserve">In its letter dated 8 January 2018 responding to Mr </w:t>
      </w:r>
      <w:proofErr w:type="spellStart"/>
      <w:r w:rsidRPr="00937A33">
        <w:rPr>
          <w:rFonts w:cs="Open Sans"/>
        </w:rPr>
        <w:t>Andrwas</w:t>
      </w:r>
      <w:proofErr w:type="spellEnd"/>
      <w:r w:rsidRPr="00937A33">
        <w:rPr>
          <w:rFonts w:cs="Open Sans"/>
        </w:rPr>
        <w:t xml:space="preserve">’ complaint, Serco stated that, after discussing the issue with the Detainee Services Manager, Mr </w:t>
      </w:r>
      <w:proofErr w:type="spellStart"/>
      <w:r w:rsidRPr="00937A33">
        <w:rPr>
          <w:rFonts w:cs="Open Sans"/>
        </w:rPr>
        <w:t>Andrwas</w:t>
      </w:r>
      <w:proofErr w:type="spellEnd"/>
      <w:r w:rsidRPr="00937A33">
        <w:rPr>
          <w:rFonts w:cs="Open Sans"/>
        </w:rPr>
        <w:t xml:space="preserve"> underwent a medical assessment and was sent to hospital for treatment. The letter further states that Mr </w:t>
      </w:r>
      <w:proofErr w:type="spellStart"/>
      <w:r w:rsidRPr="00937A33">
        <w:rPr>
          <w:rFonts w:cs="Open Sans"/>
        </w:rPr>
        <w:t>Andrwas</w:t>
      </w:r>
      <w:proofErr w:type="spellEnd"/>
      <w:r w:rsidRPr="00937A33">
        <w:rPr>
          <w:rFonts w:cs="Open Sans"/>
        </w:rPr>
        <w:t xml:space="preserve"> </w:t>
      </w:r>
      <w:r w:rsidRPr="00937A33">
        <w:rPr>
          <w:rFonts w:cs="Open Sans"/>
        </w:rPr>
        <w:lastRenderedPageBreak/>
        <w:t xml:space="preserve">completed but then withdrew the notification for police investigation form and that Serco considered the complaint closed. </w:t>
      </w:r>
    </w:p>
    <w:p w14:paraId="194B1076" w14:textId="77777777" w:rsidR="00201C9D" w:rsidRPr="00937A33" w:rsidRDefault="00201C9D" w:rsidP="000F7824">
      <w:pPr>
        <w:numPr>
          <w:ilvl w:val="0"/>
          <w:numId w:val="27"/>
        </w:numPr>
        <w:tabs>
          <w:tab w:val="num" w:pos="960"/>
        </w:tabs>
        <w:spacing w:after="160"/>
        <w:ind w:hanging="720"/>
        <w:rPr>
          <w:rFonts w:cs="Open Sans"/>
        </w:rPr>
      </w:pPr>
      <w:r w:rsidRPr="00937A33">
        <w:rPr>
          <w:rFonts w:cs="Open Sans"/>
        </w:rPr>
        <w:t xml:space="preserve">The Department has confirmed that following the Second 24 November Incident, there was no consideration by either Serco or the ABF in re-locating either Mr </w:t>
      </w:r>
      <w:proofErr w:type="spellStart"/>
      <w:r w:rsidRPr="00937A33">
        <w:rPr>
          <w:rFonts w:cs="Open Sans"/>
        </w:rPr>
        <w:t>Andrwas</w:t>
      </w:r>
      <w:proofErr w:type="spellEnd"/>
      <w:r w:rsidRPr="00937A33">
        <w:rPr>
          <w:rFonts w:cs="Open Sans"/>
        </w:rPr>
        <w:t xml:space="preserve"> or the fourth male detainee to another compound. </w:t>
      </w:r>
    </w:p>
    <w:p w14:paraId="6FC33915" w14:textId="77777777" w:rsidR="00201C9D" w:rsidRPr="00937A33" w:rsidRDefault="00201C9D" w:rsidP="000F7824">
      <w:pPr>
        <w:numPr>
          <w:ilvl w:val="0"/>
          <w:numId w:val="27"/>
        </w:numPr>
        <w:tabs>
          <w:tab w:val="num" w:pos="960"/>
        </w:tabs>
        <w:spacing w:after="160"/>
        <w:ind w:hanging="720"/>
        <w:rPr>
          <w:rFonts w:cs="Open Sans"/>
        </w:rPr>
      </w:pPr>
      <w:r w:rsidRPr="00937A33">
        <w:rPr>
          <w:rFonts w:cs="Open Sans"/>
        </w:rPr>
        <w:t xml:space="preserve">On 22 December 2017, the Second 24 November Incident was referred to the AFP for information only. The Department’s response states that it was referred for information only given that Mr </w:t>
      </w:r>
      <w:proofErr w:type="spellStart"/>
      <w:r w:rsidRPr="00937A33">
        <w:rPr>
          <w:rFonts w:cs="Open Sans"/>
        </w:rPr>
        <w:t>Andrwas</w:t>
      </w:r>
      <w:proofErr w:type="spellEnd"/>
      <w:r w:rsidRPr="00937A33">
        <w:rPr>
          <w:rFonts w:cs="Open Sans"/>
        </w:rPr>
        <w:t xml:space="preserve"> had not formally requested that the matter be investigated. However, it may have been referred to the AFP at this time at the request of Mr </w:t>
      </w:r>
      <w:proofErr w:type="spellStart"/>
      <w:r w:rsidRPr="00937A33">
        <w:rPr>
          <w:rFonts w:cs="Open Sans"/>
        </w:rPr>
        <w:t>Andrwas</w:t>
      </w:r>
      <w:proofErr w:type="spellEnd"/>
      <w:r w:rsidRPr="00937A33">
        <w:rPr>
          <w:rFonts w:cs="Open Sans"/>
        </w:rPr>
        <w:t xml:space="preserve">. The Department provided a copy of an email to the ABF dated 20 December 2017, in which the Department stated that ‘Mr </w:t>
      </w:r>
      <w:proofErr w:type="spellStart"/>
      <w:r w:rsidRPr="00937A33">
        <w:rPr>
          <w:rFonts w:cs="Open Sans"/>
        </w:rPr>
        <w:t>Andrwas</w:t>
      </w:r>
      <w:proofErr w:type="spellEnd"/>
      <w:r w:rsidRPr="00937A33">
        <w:rPr>
          <w:rFonts w:cs="Open Sans"/>
        </w:rPr>
        <w:t xml:space="preserve"> has now advised he wishes to pursue criminal charges’. In response, the ABF stated that ‘we can refer this to the AFP even though he initially said he didn’t want it to be investigated’, whilst noting that ‘just because a matter is referred to AFP it doesn’t mean that they will accept it and investigate it’. </w:t>
      </w:r>
    </w:p>
    <w:p w14:paraId="2F71E001" w14:textId="77777777" w:rsidR="00201C9D" w:rsidRPr="00937A33" w:rsidRDefault="00201C9D" w:rsidP="000F7824">
      <w:pPr>
        <w:numPr>
          <w:ilvl w:val="0"/>
          <w:numId w:val="27"/>
        </w:numPr>
        <w:tabs>
          <w:tab w:val="num" w:pos="960"/>
        </w:tabs>
        <w:spacing w:after="160"/>
        <w:ind w:hanging="720"/>
        <w:rPr>
          <w:rFonts w:cs="Open Sans"/>
        </w:rPr>
      </w:pPr>
      <w:r w:rsidRPr="00937A33">
        <w:rPr>
          <w:rFonts w:cs="Open Sans"/>
        </w:rPr>
        <w:t xml:space="preserve">On 9 January 2017, the AFP responded, acknowledging the referral. No further correspondence from the AFP was received by the Department regarding this referral. As such, I assume that this incident was not investigated by the AFP. </w:t>
      </w:r>
    </w:p>
    <w:p w14:paraId="3EAB4621" w14:textId="77777777" w:rsidR="00201C9D" w:rsidRPr="007E4756" w:rsidRDefault="00201C9D" w:rsidP="000F7824">
      <w:pPr>
        <w:pStyle w:val="Heading2"/>
        <w:numPr>
          <w:ilvl w:val="1"/>
          <w:numId w:val="28"/>
        </w:numPr>
        <w:tabs>
          <w:tab w:val="num" w:pos="720"/>
        </w:tabs>
        <w:rPr>
          <w:rFonts w:eastAsia="Times New Roman" w:cs="Open Sans"/>
          <w:i/>
          <w:iCs/>
        </w:rPr>
      </w:pPr>
      <w:bookmarkStart w:id="43" w:name="_Toc123828302"/>
      <w:r w:rsidRPr="007E4756">
        <w:rPr>
          <w:rFonts w:eastAsia="Times New Roman" w:cs="Open Sans"/>
          <w:i/>
          <w:iCs/>
        </w:rPr>
        <w:t>Consideration</w:t>
      </w:r>
      <w:bookmarkEnd w:id="43"/>
    </w:p>
    <w:p w14:paraId="4BAE2991" w14:textId="77777777" w:rsidR="00201C9D" w:rsidRPr="00937A33" w:rsidRDefault="00201C9D" w:rsidP="000F7824">
      <w:pPr>
        <w:numPr>
          <w:ilvl w:val="0"/>
          <w:numId w:val="27"/>
        </w:numPr>
        <w:tabs>
          <w:tab w:val="num" w:pos="960"/>
        </w:tabs>
        <w:spacing w:after="160"/>
        <w:ind w:hanging="720"/>
        <w:rPr>
          <w:rFonts w:cs="Open Sans"/>
        </w:rPr>
      </w:pPr>
      <w:r w:rsidRPr="00937A33">
        <w:rPr>
          <w:rFonts w:cs="Open Sans"/>
        </w:rPr>
        <w:t xml:space="preserve">I accept that, on 24 November 2017, Mr </w:t>
      </w:r>
      <w:proofErr w:type="spellStart"/>
      <w:r w:rsidRPr="00937A33">
        <w:rPr>
          <w:rFonts w:cs="Open Sans"/>
        </w:rPr>
        <w:t>Andrwas</w:t>
      </w:r>
      <w:proofErr w:type="spellEnd"/>
      <w:r w:rsidRPr="00937A33">
        <w:rPr>
          <w:rFonts w:cs="Open Sans"/>
        </w:rPr>
        <w:t xml:space="preserve"> was punched in the right eye by a male detainee. Mr </w:t>
      </w:r>
      <w:proofErr w:type="spellStart"/>
      <w:r w:rsidRPr="00937A33">
        <w:rPr>
          <w:rFonts w:cs="Open Sans"/>
        </w:rPr>
        <w:t>Andrwas</w:t>
      </w:r>
      <w:proofErr w:type="spellEnd"/>
      <w:r w:rsidRPr="00937A33">
        <w:rPr>
          <w:rFonts w:cs="Open Sans"/>
        </w:rPr>
        <w:t xml:space="preserve"> alleges that the male detainee was acting on behalf of the female detainee. There is not enough information before the Commission to make that finding. </w:t>
      </w:r>
    </w:p>
    <w:p w14:paraId="737D87C0" w14:textId="77777777" w:rsidR="00201C9D" w:rsidRPr="00937A33" w:rsidRDefault="00201C9D" w:rsidP="000F7824">
      <w:pPr>
        <w:numPr>
          <w:ilvl w:val="0"/>
          <w:numId w:val="27"/>
        </w:numPr>
        <w:tabs>
          <w:tab w:val="num" w:pos="960"/>
        </w:tabs>
        <w:spacing w:after="160"/>
        <w:ind w:hanging="720"/>
        <w:rPr>
          <w:rFonts w:cs="Open Sans"/>
        </w:rPr>
      </w:pPr>
      <w:r w:rsidRPr="00937A33">
        <w:rPr>
          <w:rFonts w:cs="Open Sans"/>
        </w:rPr>
        <w:t xml:space="preserve">I accept that Mr </w:t>
      </w:r>
      <w:proofErr w:type="spellStart"/>
      <w:r w:rsidRPr="00937A33">
        <w:rPr>
          <w:rFonts w:cs="Open Sans"/>
        </w:rPr>
        <w:t>Andrwas</w:t>
      </w:r>
      <w:proofErr w:type="spellEnd"/>
      <w:r w:rsidRPr="00937A33">
        <w:rPr>
          <w:rFonts w:cs="Open Sans"/>
        </w:rPr>
        <w:t xml:space="preserve"> suffered a</w:t>
      </w:r>
      <w:r>
        <w:rPr>
          <w:rFonts w:cs="Open Sans"/>
        </w:rPr>
        <w:t>n</w:t>
      </w:r>
      <w:r w:rsidRPr="00937A33">
        <w:rPr>
          <w:rFonts w:cs="Open Sans"/>
        </w:rPr>
        <w:t xml:space="preserve"> </w:t>
      </w:r>
      <w:r>
        <w:rPr>
          <w:rFonts w:cs="Open Sans"/>
        </w:rPr>
        <w:t>ongoing</w:t>
      </w:r>
      <w:r w:rsidRPr="00937A33">
        <w:rPr>
          <w:rFonts w:cs="Open Sans"/>
        </w:rPr>
        <w:t xml:space="preserve"> injury to his right eye due to the Second 24 November Incident. However, I do not accept that his teeth were broken during this incident. There is otherwise not enough information before the Commission to make findings as to whether Mr </w:t>
      </w:r>
      <w:proofErr w:type="spellStart"/>
      <w:r w:rsidRPr="00937A33">
        <w:rPr>
          <w:rFonts w:cs="Open Sans"/>
        </w:rPr>
        <w:t>Andrwas</w:t>
      </w:r>
      <w:proofErr w:type="spellEnd"/>
      <w:r w:rsidRPr="00937A33">
        <w:rPr>
          <w:rFonts w:cs="Open Sans"/>
        </w:rPr>
        <w:t>’ other injuries were caused by this assault.</w:t>
      </w:r>
    </w:p>
    <w:p w14:paraId="31CDB60E" w14:textId="77777777" w:rsidR="00201C9D" w:rsidRPr="00937A33" w:rsidRDefault="00201C9D" w:rsidP="000F7824">
      <w:pPr>
        <w:numPr>
          <w:ilvl w:val="0"/>
          <w:numId w:val="27"/>
        </w:numPr>
        <w:tabs>
          <w:tab w:val="num" w:pos="960"/>
        </w:tabs>
        <w:spacing w:after="160"/>
        <w:ind w:hanging="720"/>
        <w:rPr>
          <w:rFonts w:cs="Open Sans"/>
        </w:rPr>
      </w:pPr>
      <w:r w:rsidRPr="00937A33">
        <w:rPr>
          <w:rFonts w:cs="Open Sans"/>
        </w:rPr>
        <w:t>Whil</w:t>
      </w:r>
      <w:r>
        <w:rPr>
          <w:rFonts w:cs="Open Sans"/>
        </w:rPr>
        <w:t>e</w:t>
      </w:r>
      <w:r w:rsidRPr="00937A33">
        <w:rPr>
          <w:rFonts w:cs="Open Sans"/>
        </w:rPr>
        <w:t xml:space="preserve"> Mr </w:t>
      </w:r>
      <w:proofErr w:type="spellStart"/>
      <w:r w:rsidRPr="00937A33">
        <w:rPr>
          <w:rFonts w:cs="Open Sans"/>
        </w:rPr>
        <w:t>Andrwas</w:t>
      </w:r>
      <w:proofErr w:type="spellEnd"/>
      <w:r w:rsidRPr="00937A33">
        <w:rPr>
          <w:rFonts w:cs="Open Sans"/>
        </w:rPr>
        <w:t xml:space="preserve"> complains that he was sent back to Lachlan unaccompanied despite it being an ‘unsafe environment’, there is no information before me which indicates that the IHMS or the Serco staff who attended the IHMS medical centre were aware of the alleged First 24 November Incident. </w:t>
      </w:r>
      <w:r>
        <w:rPr>
          <w:rFonts w:cs="Open Sans"/>
        </w:rPr>
        <w:t>Therefore</w:t>
      </w:r>
      <w:r w:rsidRPr="00937A33">
        <w:rPr>
          <w:rFonts w:cs="Open Sans"/>
        </w:rPr>
        <w:t xml:space="preserve">, in my view, the Serco officers were not aware of any particular risk to Mr </w:t>
      </w:r>
      <w:proofErr w:type="spellStart"/>
      <w:r w:rsidRPr="00937A33">
        <w:rPr>
          <w:rFonts w:cs="Open Sans"/>
        </w:rPr>
        <w:t>Andrwas</w:t>
      </w:r>
      <w:proofErr w:type="spellEnd"/>
      <w:r w:rsidRPr="00937A33">
        <w:rPr>
          <w:rFonts w:cs="Open Sans"/>
        </w:rPr>
        <w:t xml:space="preserve">’ safety from the four male </w:t>
      </w:r>
      <w:r w:rsidRPr="00937A33">
        <w:rPr>
          <w:rFonts w:cs="Open Sans"/>
        </w:rPr>
        <w:lastRenderedPageBreak/>
        <w:t xml:space="preserve">detainees, which might necessitate additional protection or security for Mr </w:t>
      </w:r>
      <w:proofErr w:type="spellStart"/>
      <w:r w:rsidRPr="00937A33">
        <w:rPr>
          <w:rFonts w:cs="Open Sans"/>
        </w:rPr>
        <w:t>Andrwas</w:t>
      </w:r>
      <w:proofErr w:type="spellEnd"/>
      <w:r w:rsidRPr="00937A33">
        <w:rPr>
          <w:rFonts w:cs="Open Sans"/>
        </w:rPr>
        <w:t xml:space="preserve"> in respect of his return to Lachlan. </w:t>
      </w:r>
    </w:p>
    <w:p w14:paraId="3BCE00BE" w14:textId="77777777" w:rsidR="00201C9D" w:rsidRPr="00937A33" w:rsidRDefault="00201C9D" w:rsidP="000F7824">
      <w:pPr>
        <w:numPr>
          <w:ilvl w:val="0"/>
          <w:numId w:val="27"/>
        </w:numPr>
        <w:tabs>
          <w:tab w:val="num" w:pos="960"/>
        </w:tabs>
        <w:spacing w:after="160"/>
        <w:ind w:hanging="720"/>
        <w:rPr>
          <w:rFonts w:cs="Open Sans"/>
        </w:rPr>
      </w:pPr>
      <w:r w:rsidRPr="00937A33">
        <w:rPr>
          <w:rFonts w:cs="Open Sans"/>
        </w:rPr>
        <w:t xml:space="preserve">Mr </w:t>
      </w:r>
      <w:proofErr w:type="spellStart"/>
      <w:r w:rsidRPr="00937A33">
        <w:rPr>
          <w:rFonts w:cs="Open Sans"/>
        </w:rPr>
        <w:t>Andrwas</w:t>
      </w:r>
      <w:proofErr w:type="spellEnd"/>
      <w:r w:rsidRPr="00937A33">
        <w:rPr>
          <w:rFonts w:cs="Open Sans"/>
        </w:rPr>
        <w:t xml:space="preserve"> was followed by two Serco officers on his return to Lachlan. Given the above, it is unclear why this occurred, particularly given the way it occurred. The officers did not directly accompany Mr </w:t>
      </w:r>
      <w:proofErr w:type="spellStart"/>
      <w:r w:rsidRPr="00937A33">
        <w:rPr>
          <w:rFonts w:cs="Open Sans"/>
        </w:rPr>
        <w:t>Andrwas</w:t>
      </w:r>
      <w:proofErr w:type="spellEnd"/>
      <w:r w:rsidRPr="00937A33">
        <w:rPr>
          <w:rFonts w:cs="Open Sans"/>
        </w:rPr>
        <w:t xml:space="preserve"> and he proceeded ahead of them, such that he was able to get into an argument with another detainee in the Lachlan common area regarding his phone. After that initial incident, Mr </w:t>
      </w:r>
      <w:proofErr w:type="spellStart"/>
      <w:r w:rsidRPr="00937A33">
        <w:rPr>
          <w:rFonts w:cs="Open Sans"/>
        </w:rPr>
        <w:t>Andrwas</w:t>
      </w:r>
      <w:proofErr w:type="spellEnd"/>
      <w:r w:rsidRPr="00937A33">
        <w:rPr>
          <w:rFonts w:cs="Open Sans"/>
        </w:rPr>
        <w:t xml:space="preserve"> again quickly proceeded ahead of the officers, such that he was also able to get into the altercation with the fourth male detainee that preceded the Second 24 November Incident. </w:t>
      </w:r>
    </w:p>
    <w:p w14:paraId="68FF41B4" w14:textId="77777777" w:rsidR="00201C9D" w:rsidRPr="00937A33" w:rsidRDefault="00201C9D" w:rsidP="000F7824">
      <w:pPr>
        <w:numPr>
          <w:ilvl w:val="0"/>
          <w:numId w:val="27"/>
        </w:numPr>
        <w:tabs>
          <w:tab w:val="num" w:pos="960"/>
        </w:tabs>
        <w:spacing w:after="160"/>
        <w:ind w:hanging="720"/>
        <w:rPr>
          <w:rFonts w:cs="Open Sans"/>
        </w:rPr>
      </w:pPr>
      <w:r w:rsidRPr="00937A33">
        <w:rPr>
          <w:rFonts w:cs="Open Sans"/>
        </w:rPr>
        <w:t xml:space="preserve">Regardless, the Commission recognises that the Serco officers quickly intervened to end both these altercations. In respect of the Second 24 November Incident, Commission further recognises that the officers sought to protect the safety of Mr </w:t>
      </w:r>
      <w:proofErr w:type="spellStart"/>
      <w:r w:rsidRPr="00937A33">
        <w:rPr>
          <w:rFonts w:cs="Open Sans"/>
        </w:rPr>
        <w:t>Andrwas</w:t>
      </w:r>
      <w:proofErr w:type="spellEnd"/>
      <w:r w:rsidRPr="00937A33">
        <w:rPr>
          <w:rFonts w:cs="Open Sans"/>
        </w:rPr>
        <w:t xml:space="preserve"> by physically putting themselves between Mr </w:t>
      </w:r>
      <w:proofErr w:type="spellStart"/>
      <w:r w:rsidRPr="00937A33">
        <w:rPr>
          <w:rFonts w:cs="Open Sans"/>
        </w:rPr>
        <w:t>Andrwas</w:t>
      </w:r>
      <w:proofErr w:type="spellEnd"/>
      <w:r w:rsidRPr="00937A33">
        <w:rPr>
          <w:rFonts w:cs="Open Sans"/>
        </w:rPr>
        <w:t xml:space="preserve"> and the other detainee. Regrettably, Mr </w:t>
      </w:r>
      <w:proofErr w:type="spellStart"/>
      <w:r w:rsidRPr="00937A33">
        <w:rPr>
          <w:rFonts w:cs="Open Sans"/>
        </w:rPr>
        <w:t>Andrwas</w:t>
      </w:r>
      <w:proofErr w:type="spellEnd"/>
      <w:r w:rsidRPr="00937A33">
        <w:rPr>
          <w:rFonts w:cs="Open Sans"/>
        </w:rPr>
        <w:t xml:space="preserve"> and one of the Serco officers were still punched by the fourth male detainee. </w:t>
      </w:r>
    </w:p>
    <w:p w14:paraId="23887793" w14:textId="77777777" w:rsidR="00201C9D" w:rsidRPr="00937A33" w:rsidRDefault="00201C9D" w:rsidP="000F7824">
      <w:pPr>
        <w:numPr>
          <w:ilvl w:val="0"/>
          <w:numId w:val="27"/>
        </w:numPr>
        <w:tabs>
          <w:tab w:val="num" w:pos="960"/>
        </w:tabs>
        <w:spacing w:after="160"/>
        <w:ind w:hanging="720"/>
        <w:rPr>
          <w:rFonts w:cs="Open Sans"/>
        </w:rPr>
      </w:pPr>
      <w:r w:rsidRPr="00937A33">
        <w:rPr>
          <w:rFonts w:cs="Open Sans"/>
        </w:rPr>
        <w:t xml:space="preserve">There is no evidence before the Commission that indicates that Mr </w:t>
      </w:r>
      <w:proofErr w:type="spellStart"/>
      <w:r w:rsidRPr="00937A33">
        <w:rPr>
          <w:rFonts w:cs="Open Sans"/>
        </w:rPr>
        <w:t>Andrwas</w:t>
      </w:r>
      <w:proofErr w:type="spellEnd"/>
      <w:r w:rsidRPr="00937A33">
        <w:rPr>
          <w:rFonts w:cs="Open Sans"/>
        </w:rPr>
        <w:t xml:space="preserve"> told Serco or the Department that he believed the fourth male detainee was acting on behalf of the female detainee at the time of the incident or that Mr </w:t>
      </w:r>
      <w:proofErr w:type="spellStart"/>
      <w:r w:rsidRPr="00937A33">
        <w:rPr>
          <w:rFonts w:cs="Open Sans"/>
        </w:rPr>
        <w:t>Andrwas</w:t>
      </w:r>
      <w:proofErr w:type="spellEnd"/>
      <w:r w:rsidRPr="00937A33">
        <w:rPr>
          <w:rFonts w:cs="Open Sans"/>
        </w:rPr>
        <w:t xml:space="preserve"> otherwise raised any concerns </w:t>
      </w:r>
      <w:r>
        <w:rPr>
          <w:rFonts w:cs="Open Sans"/>
        </w:rPr>
        <w:t xml:space="preserve">specifically </w:t>
      </w:r>
      <w:r w:rsidRPr="00937A33">
        <w:rPr>
          <w:rFonts w:cs="Open Sans"/>
        </w:rPr>
        <w:t>regarding the female detainee following the Second 24 November Incident.</w:t>
      </w:r>
    </w:p>
    <w:p w14:paraId="45600C6E" w14:textId="77777777" w:rsidR="00201C9D" w:rsidRPr="00937A33" w:rsidRDefault="00201C9D" w:rsidP="000F7824">
      <w:pPr>
        <w:numPr>
          <w:ilvl w:val="0"/>
          <w:numId w:val="27"/>
        </w:numPr>
        <w:tabs>
          <w:tab w:val="num" w:pos="960"/>
        </w:tabs>
        <w:spacing w:after="160"/>
        <w:ind w:hanging="720"/>
        <w:rPr>
          <w:rFonts w:cs="Open Sans"/>
        </w:rPr>
      </w:pPr>
      <w:r w:rsidRPr="00937A33">
        <w:rPr>
          <w:rFonts w:cs="Open Sans"/>
        </w:rPr>
        <w:t xml:space="preserve">The female detainee was removed from Villawood a week after this incident on 1 December 2017. Mr </w:t>
      </w:r>
      <w:proofErr w:type="spellStart"/>
      <w:r w:rsidRPr="00937A33">
        <w:rPr>
          <w:rFonts w:cs="Open Sans"/>
        </w:rPr>
        <w:t>Andrwas</w:t>
      </w:r>
      <w:proofErr w:type="spellEnd"/>
      <w:r w:rsidRPr="00937A33">
        <w:rPr>
          <w:rFonts w:cs="Open Sans"/>
        </w:rPr>
        <w:t xml:space="preserve"> says that she was given a bridging visa. The Commission does not have any other information as to why she was removed from Villawood. </w:t>
      </w:r>
    </w:p>
    <w:p w14:paraId="10C9C37C" w14:textId="77777777" w:rsidR="00201C9D" w:rsidRPr="00937A33" w:rsidRDefault="00201C9D" w:rsidP="000F7824">
      <w:pPr>
        <w:numPr>
          <w:ilvl w:val="0"/>
          <w:numId w:val="27"/>
        </w:numPr>
        <w:tabs>
          <w:tab w:val="num" w:pos="960"/>
        </w:tabs>
        <w:spacing w:after="160"/>
        <w:ind w:hanging="720"/>
        <w:rPr>
          <w:rFonts w:cs="Open Sans"/>
        </w:rPr>
      </w:pPr>
      <w:r w:rsidRPr="00937A33">
        <w:rPr>
          <w:rFonts w:cs="Open Sans"/>
        </w:rPr>
        <w:t xml:space="preserve">Following the Second 24 November Incident, the fourth male detainee was interviewed, reminded of his rights and responsibilities and advised to stay out of trouble. No further action was taken in relation to the fourth male detainee. </w:t>
      </w:r>
    </w:p>
    <w:p w14:paraId="275D38A0" w14:textId="77777777" w:rsidR="00201C9D" w:rsidRPr="00937A33" w:rsidRDefault="00201C9D" w:rsidP="000F7824">
      <w:pPr>
        <w:numPr>
          <w:ilvl w:val="0"/>
          <w:numId w:val="27"/>
        </w:numPr>
        <w:tabs>
          <w:tab w:val="num" w:pos="960"/>
        </w:tabs>
        <w:spacing w:after="160"/>
        <w:ind w:hanging="720"/>
        <w:rPr>
          <w:rFonts w:cs="Open Sans"/>
        </w:rPr>
      </w:pPr>
      <w:r w:rsidRPr="00937A33">
        <w:rPr>
          <w:rFonts w:cs="Open Sans"/>
        </w:rPr>
        <w:t xml:space="preserve">Aside from referring the matter to the AFP ‘for information only’, there is no evidence before the Commission of the Department or Serco undertaking any other actions for the investigation of this incident. </w:t>
      </w:r>
    </w:p>
    <w:p w14:paraId="3E521E07" w14:textId="77777777" w:rsidR="00201C9D" w:rsidRPr="00937A33" w:rsidRDefault="00201C9D" w:rsidP="000F7824">
      <w:pPr>
        <w:numPr>
          <w:ilvl w:val="0"/>
          <w:numId w:val="27"/>
        </w:numPr>
        <w:tabs>
          <w:tab w:val="num" w:pos="960"/>
        </w:tabs>
        <w:spacing w:after="160"/>
        <w:ind w:hanging="720"/>
        <w:rPr>
          <w:rFonts w:cs="Open Sans"/>
        </w:rPr>
      </w:pPr>
      <w:r w:rsidRPr="00937A33">
        <w:rPr>
          <w:rFonts w:cs="Open Sans"/>
        </w:rPr>
        <w:t xml:space="preserve">Mr </w:t>
      </w:r>
      <w:proofErr w:type="spellStart"/>
      <w:r w:rsidRPr="00937A33">
        <w:rPr>
          <w:rFonts w:cs="Open Sans"/>
        </w:rPr>
        <w:t>Andrwas</w:t>
      </w:r>
      <w:proofErr w:type="spellEnd"/>
      <w:r w:rsidRPr="00937A33">
        <w:rPr>
          <w:rFonts w:cs="Open Sans"/>
        </w:rPr>
        <w:t xml:space="preserve"> and the fourth male detainee both remained housed in Lachlan, such that the fourth male detainee had ongoing access to Mr </w:t>
      </w:r>
      <w:proofErr w:type="spellStart"/>
      <w:r w:rsidRPr="00937A33">
        <w:rPr>
          <w:rFonts w:cs="Open Sans"/>
        </w:rPr>
        <w:t>Andrwas</w:t>
      </w:r>
      <w:proofErr w:type="spellEnd"/>
      <w:r w:rsidRPr="00937A33">
        <w:rPr>
          <w:rFonts w:cs="Open Sans"/>
        </w:rPr>
        <w:t xml:space="preserve">. The Department confirmed that it gave no consideration to re-locating Mr </w:t>
      </w:r>
      <w:proofErr w:type="spellStart"/>
      <w:r w:rsidRPr="00937A33">
        <w:rPr>
          <w:rFonts w:cs="Open Sans"/>
        </w:rPr>
        <w:t>Andrwas</w:t>
      </w:r>
      <w:proofErr w:type="spellEnd"/>
      <w:r w:rsidRPr="00937A33">
        <w:rPr>
          <w:rFonts w:cs="Open Sans"/>
        </w:rPr>
        <w:t xml:space="preserve"> or the fourth male detainee.</w:t>
      </w:r>
    </w:p>
    <w:p w14:paraId="6F56CC74" w14:textId="77777777" w:rsidR="00201C9D" w:rsidRPr="00937A33" w:rsidRDefault="00201C9D" w:rsidP="000F7824">
      <w:pPr>
        <w:numPr>
          <w:ilvl w:val="0"/>
          <w:numId w:val="27"/>
        </w:numPr>
        <w:tabs>
          <w:tab w:val="num" w:pos="960"/>
        </w:tabs>
        <w:spacing w:after="160"/>
        <w:ind w:hanging="720"/>
        <w:rPr>
          <w:rFonts w:cs="Open Sans"/>
        </w:rPr>
      </w:pPr>
      <w:r w:rsidRPr="00937A33">
        <w:rPr>
          <w:rFonts w:cs="Open Sans"/>
        </w:rPr>
        <w:lastRenderedPageBreak/>
        <w:t xml:space="preserve">On 18 December 2017, Mr </w:t>
      </w:r>
      <w:proofErr w:type="spellStart"/>
      <w:r w:rsidRPr="00937A33">
        <w:rPr>
          <w:rFonts w:cs="Open Sans"/>
        </w:rPr>
        <w:t>Andrwas</w:t>
      </w:r>
      <w:proofErr w:type="spellEnd"/>
      <w:r w:rsidRPr="00937A33">
        <w:rPr>
          <w:rFonts w:cs="Open Sans"/>
        </w:rPr>
        <w:t xml:space="preserve"> complained to Serco that ‘all the offenders are still here’, that nothing had been done and that he was ‘suffering mentally, physically and emotionally’. Whilst Serco arranged for further medical assistance for Mr </w:t>
      </w:r>
      <w:proofErr w:type="spellStart"/>
      <w:r w:rsidRPr="00937A33">
        <w:rPr>
          <w:rFonts w:cs="Open Sans"/>
        </w:rPr>
        <w:t>Andrwas</w:t>
      </w:r>
      <w:proofErr w:type="spellEnd"/>
      <w:r w:rsidRPr="00937A33">
        <w:rPr>
          <w:rFonts w:cs="Open Sans"/>
        </w:rPr>
        <w:t xml:space="preserve">, it otherwise took no action in response to this complaint and considered it closed given that Mr </w:t>
      </w:r>
      <w:proofErr w:type="spellStart"/>
      <w:r w:rsidRPr="00937A33">
        <w:rPr>
          <w:rFonts w:cs="Open Sans"/>
        </w:rPr>
        <w:t>Andrwas</w:t>
      </w:r>
      <w:proofErr w:type="spellEnd"/>
      <w:r w:rsidRPr="00937A33">
        <w:rPr>
          <w:rFonts w:cs="Open Sans"/>
        </w:rPr>
        <w:t xml:space="preserve"> had withdrawn his request for police investigation. </w:t>
      </w:r>
    </w:p>
    <w:p w14:paraId="6FEE7D24" w14:textId="77777777" w:rsidR="00201C9D" w:rsidRPr="00937A33" w:rsidRDefault="00201C9D" w:rsidP="000F7824">
      <w:pPr>
        <w:numPr>
          <w:ilvl w:val="0"/>
          <w:numId w:val="27"/>
        </w:numPr>
        <w:tabs>
          <w:tab w:val="num" w:pos="960"/>
        </w:tabs>
        <w:spacing w:after="160"/>
        <w:ind w:hanging="720"/>
        <w:rPr>
          <w:rFonts w:cs="Open Sans"/>
        </w:rPr>
      </w:pPr>
      <w:r w:rsidRPr="00937A33">
        <w:rPr>
          <w:rFonts w:cs="Open Sans"/>
        </w:rPr>
        <w:t xml:space="preserve">Mr </w:t>
      </w:r>
      <w:proofErr w:type="spellStart"/>
      <w:r w:rsidRPr="00937A33">
        <w:rPr>
          <w:rFonts w:cs="Open Sans"/>
        </w:rPr>
        <w:t>Andrwas</w:t>
      </w:r>
      <w:proofErr w:type="spellEnd"/>
      <w:r w:rsidRPr="00937A33">
        <w:rPr>
          <w:rFonts w:cs="Open Sans"/>
        </w:rPr>
        <w:t xml:space="preserve"> raised a further complaint on 20 December 2017. Mr </w:t>
      </w:r>
      <w:proofErr w:type="spellStart"/>
      <w:r w:rsidRPr="00937A33">
        <w:rPr>
          <w:rFonts w:cs="Open Sans"/>
        </w:rPr>
        <w:t>Andrwas</w:t>
      </w:r>
      <w:proofErr w:type="spellEnd"/>
      <w:r w:rsidRPr="00937A33">
        <w:rPr>
          <w:rFonts w:cs="Open Sans"/>
        </w:rPr>
        <w:t xml:space="preserve"> appears to have then requested that criminal charges were pursued, such that the matter was then referred to the AFP for ‘information only’. However, no further investigation was undertaken by the AFP. </w:t>
      </w:r>
    </w:p>
    <w:p w14:paraId="2B43C9C9" w14:textId="77777777" w:rsidR="00201C9D" w:rsidRPr="00937A33" w:rsidRDefault="00201C9D" w:rsidP="000F7824">
      <w:pPr>
        <w:numPr>
          <w:ilvl w:val="0"/>
          <w:numId w:val="27"/>
        </w:numPr>
        <w:tabs>
          <w:tab w:val="num" w:pos="960"/>
        </w:tabs>
        <w:spacing w:after="160"/>
        <w:ind w:hanging="720"/>
        <w:rPr>
          <w:rFonts w:cs="Open Sans"/>
        </w:rPr>
      </w:pPr>
      <w:r w:rsidRPr="00937A33">
        <w:rPr>
          <w:rFonts w:cs="Open Sans"/>
        </w:rPr>
        <w:t xml:space="preserve">It is concerning that no further investigation or action was undertaken by the Department or Serco. A referral to the AFP, particularly one ‘for information only’ made one month after the incident, is insufficient to discharge the Department’s, and Serco’s, duty of care to ensure the safety of detainees. An investigation by Serco may have assisted in identifying any ongoing risks to Mr </w:t>
      </w:r>
      <w:proofErr w:type="spellStart"/>
      <w:r w:rsidRPr="00937A33">
        <w:rPr>
          <w:rFonts w:cs="Open Sans"/>
        </w:rPr>
        <w:t>Andrwas</w:t>
      </w:r>
      <w:proofErr w:type="spellEnd"/>
      <w:r w:rsidRPr="00937A33">
        <w:rPr>
          <w:rFonts w:cs="Open Sans"/>
        </w:rPr>
        <w:t>’ safety following this incident.</w:t>
      </w:r>
    </w:p>
    <w:p w14:paraId="62A0F9A9" w14:textId="77777777" w:rsidR="00201C9D" w:rsidRDefault="00201C9D" w:rsidP="000F7824">
      <w:pPr>
        <w:numPr>
          <w:ilvl w:val="0"/>
          <w:numId w:val="27"/>
        </w:numPr>
        <w:tabs>
          <w:tab w:val="num" w:pos="960"/>
        </w:tabs>
        <w:spacing w:after="160"/>
        <w:ind w:hanging="720"/>
        <w:rPr>
          <w:rFonts w:cs="Open Sans"/>
        </w:rPr>
      </w:pPr>
      <w:r>
        <w:rPr>
          <w:rFonts w:cs="Open Sans"/>
        </w:rPr>
        <w:t xml:space="preserve">In response to my preliminary view, the Department noted that Mr </w:t>
      </w:r>
      <w:proofErr w:type="spellStart"/>
      <w:r>
        <w:rPr>
          <w:rFonts w:cs="Open Sans"/>
        </w:rPr>
        <w:t>Andrwas</w:t>
      </w:r>
      <w:proofErr w:type="spellEnd"/>
      <w:r>
        <w:rPr>
          <w:rFonts w:cs="Open Sans"/>
        </w:rPr>
        <w:t xml:space="preserve"> did not raise any concerns regarding his safety in the IMPRs following the Second November Incidents. However, Mr </w:t>
      </w:r>
      <w:proofErr w:type="spellStart"/>
      <w:r>
        <w:rPr>
          <w:rFonts w:cs="Open Sans"/>
        </w:rPr>
        <w:t>Andrwas</w:t>
      </w:r>
      <w:proofErr w:type="spellEnd"/>
      <w:r>
        <w:rPr>
          <w:rFonts w:cs="Open Sans"/>
        </w:rPr>
        <w:t xml:space="preserve"> raised complaints with Serco in December regarding the placement of the alleged offenders and its impact on his mental and emotional health. Despite this, as stated above, the Department gave no consideration </w:t>
      </w:r>
      <w:r w:rsidRPr="00937A33">
        <w:rPr>
          <w:rFonts w:cs="Open Sans"/>
        </w:rPr>
        <w:t xml:space="preserve">to re-locating Mr </w:t>
      </w:r>
      <w:proofErr w:type="spellStart"/>
      <w:r w:rsidRPr="00937A33">
        <w:rPr>
          <w:rFonts w:cs="Open Sans"/>
        </w:rPr>
        <w:t>Andrwas</w:t>
      </w:r>
      <w:proofErr w:type="spellEnd"/>
      <w:r w:rsidRPr="00937A33">
        <w:rPr>
          <w:rFonts w:cs="Open Sans"/>
        </w:rPr>
        <w:t xml:space="preserve"> or the fourth male detainee.</w:t>
      </w:r>
    </w:p>
    <w:p w14:paraId="5496B9D6" w14:textId="77777777" w:rsidR="00201C9D" w:rsidRPr="006E78FB" w:rsidRDefault="00201C9D" w:rsidP="000F7824">
      <w:pPr>
        <w:numPr>
          <w:ilvl w:val="0"/>
          <w:numId w:val="27"/>
        </w:numPr>
        <w:tabs>
          <w:tab w:val="num" w:pos="960"/>
        </w:tabs>
        <w:spacing w:after="160"/>
        <w:ind w:hanging="720"/>
        <w:rPr>
          <w:rFonts w:cs="Open Sans"/>
        </w:rPr>
      </w:pPr>
      <w:r>
        <w:rPr>
          <w:rFonts w:cs="Open Sans"/>
        </w:rPr>
        <w:t xml:space="preserve">Although </w:t>
      </w:r>
      <w:r w:rsidRPr="00287CA9">
        <w:rPr>
          <w:rFonts w:cs="Open Sans"/>
        </w:rPr>
        <w:t xml:space="preserve">the Department outlined its </w:t>
      </w:r>
      <w:r>
        <w:rPr>
          <w:rFonts w:cs="Open Sans"/>
        </w:rPr>
        <w:t xml:space="preserve">general </w:t>
      </w:r>
      <w:r w:rsidRPr="00287CA9">
        <w:rPr>
          <w:rFonts w:cs="Open Sans"/>
        </w:rPr>
        <w:t xml:space="preserve">risk assessment processes in response to my preliminary view (see paragraphs </w:t>
      </w:r>
      <w:r w:rsidRPr="00287CA9">
        <w:rPr>
          <w:rFonts w:cs="Open Sans"/>
        </w:rPr>
        <w:fldChar w:fldCharType="begin"/>
      </w:r>
      <w:r w:rsidRPr="00287CA9">
        <w:rPr>
          <w:rFonts w:cs="Open Sans"/>
        </w:rPr>
        <w:instrText xml:space="preserve"> REF _Ref113873913 \r \h </w:instrText>
      </w:r>
      <w:r>
        <w:rPr>
          <w:rFonts w:cs="Open Sans"/>
        </w:rPr>
        <w:instrText xml:space="preserve"> \* MERGEFORMAT </w:instrText>
      </w:r>
      <w:r w:rsidRPr="00287CA9">
        <w:rPr>
          <w:rFonts w:cs="Open Sans"/>
        </w:rPr>
      </w:r>
      <w:r w:rsidRPr="00287CA9">
        <w:rPr>
          <w:rFonts w:cs="Open Sans"/>
        </w:rPr>
        <w:fldChar w:fldCharType="separate"/>
      </w:r>
      <w:r w:rsidRPr="00287CA9">
        <w:rPr>
          <w:rFonts w:cs="Open Sans"/>
        </w:rPr>
        <w:t>55</w:t>
      </w:r>
      <w:r w:rsidRPr="00287CA9">
        <w:rPr>
          <w:rFonts w:cs="Open Sans"/>
        </w:rPr>
        <w:fldChar w:fldCharType="end"/>
      </w:r>
      <w:r w:rsidRPr="00287CA9">
        <w:rPr>
          <w:rFonts w:cs="Open Sans"/>
        </w:rPr>
        <w:t xml:space="preserve"> above), </w:t>
      </w:r>
      <w:r w:rsidRPr="002C5D9E">
        <w:rPr>
          <w:rFonts w:cs="Open Sans"/>
        </w:rPr>
        <w:t>t</w:t>
      </w:r>
      <w:r w:rsidRPr="00287CA9">
        <w:rPr>
          <w:rFonts w:cs="Open Sans"/>
        </w:rPr>
        <w:t xml:space="preserve">he Department has not produced any documents to show that consideration was given to whether Mr </w:t>
      </w:r>
      <w:proofErr w:type="spellStart"/>
      <w:r w:rsidRPr="00287CA9">
        <w:rPr>
          <w:rFonts w:cs="Open Sans"/>
        </w:rPr>
        <w:t>Andrwas</w:t>
      </w:r>
      <w:proofErr w:type="spellEnd"/>
      <w:r w:rsidRPr="00287CA9">
        <w:rPr>
          <w:rFonts w:cs="Open Sans"/>
        </w:rPr>
        <w:t xml:space="preserve"> remained at risk following the Second 24 November Incident and, if so, how these risks could be managed.</w:t>
      </w:r>
      <w:r w:rsidRPr="006E78FB">
        <w:rPr>
          <w:rFonts w:cs="Open Sans"/>
        </w:rPr>
        <w:t xml:space="preserve"> Given that the Department was aware Mr </w:t>
      </w:r>
      <w:proofErr w:type="spellStart"/>
      <w:r w:rsidRPr="006E78FB">
        <w:rPr>
          <w:rFonts w:cs="Open Sans"/>
        </w:rPr>
        <w:t>Andrwas</w:t>
      </w:r>
      <w:proofErr w:type="spellEnd"/>
      <w:r w:rsidRPr="006E78FB">
        <w:rPr>
          <w:rFonts w:cs="Open Sans"/>
        </w:rPr>
        <w:t xml:space="preserve"> had been subject to at least two assaults in two weeks, sustained serious injury on 24 November 2017, and raised a complaint about the continuing presence of the alleged perpetrators and its impact on his mental health, I consider that undertaking a documented risk assessment was a necessary step in considering and protecting Mr </w:t>
      </w:r>
      <w:proofErr w:type="spellStart"/>
      <w:r w:rsidRPr="006E78FB">
        <w:rPr>
          <w:rFonts w:cs="Open Sans"/>
        </w:rPr>
        <w:t>Andrwas</w:t>
      </w:r>
      <w:proofErr w:type="spellEnd"/>
      <w:r w:rsidRPr="006E78FB">
        <w:rPr>
          <w:rFonts w:cs="Open Sans"/>
        </w:rPr>
        <w:t>’ right to safety.</w:t>
      </w:r>
    </w:p>
    <w:p w14:paraId="356420BB" w14:textId="77777777" w:rsidR="00201C9D" w:rsidRPr="00937A33" w:rsidRDefault="00201C9D" w:rsidP="000F7824">
      <w:pPr>
        <w:numPr>
          <w:ilvl w:val="0"/>
          <w:numId w:val="27"/>
        </w:numPr>
        <w:tabs>
          <w:tab w:val="num" w:pos="960"/>
        </w:tabs>
        <w:spacing w:after="160"/>
        <w:ind w:hanging="720"/>
        <w:rPr>
          <w:rFonts w:cs="Open Sans"/>
        </w:rPr>
      </w:pPr>
      <w:bookmarkStart w:id="44" w:name="_Ref86236892"/>
      <w:r w:rsidRPr="00937A33">
        <w:rPr>
          <w:rFonts w:cs="Open Sans"/>
        </w:rPr>
        <w:t xml:space="preserve">On the information before the Commission, I cannot be satisfied that the Department or Serco took adequate steps to protect Mr </w:t>
      </w:r>
      <w:proofErr w:type="spellStart"/>
      <w:r w:rsidRPr="00937A33">
        <w:rPr>
          <w:rFonts w:cs="Open Sans"/>
        </w:rPr>
        <w:t>Andrwas</w:t>
      </w:r>
      <w:proofErr w:type="spellEnd"/>
      <w:r w:rsidRPr="00937A33">
        <w:rPr>
          <w:rFonts w:cs="Open Sans"/>
        </w:rPr>
        <w:t xml:space="preserve">’ safety in response to the Second 24 November Incident. </w:t>
      </w:r>
      <w:bookmarkEnd w:id="44"/>
    </w:p>
    <w:p w14:paraId="5D48858A" w14:textId="77777777" w:rsidR="00201C9D" w:rsidRPr="00FA1FFA" w:rsidRDefault="00201C9D" w:rsidP="000F7824">
      <w:pPr>
        <w:pStyle w:val="Heading2"/>
        <w:numPr>
          <w:ilvl w:val="1"/>
          <w:numId w:val="28"/>
        </w:numPr>
        <w:tabs>
          <w:tab w:val="num" w:pos="720"/>
        </w:tabs>
        <w:rPr>
          <w:rFonts w:eastAsia="Times New Roman" w:cs="Open Sans"/>
          <w:i/>
          <w:iCs/>
        </w:rPr>
      </w:pPr>
      <w:bookmarkStart w:id="45" w:name="_Toc123828303"/>
      <w:r w:rsidRPr="00FA1FFA">
        <w:rPr>
          <w:rFonts w:eastAsia="Times New Roman" w:cs="Open Sans"/>
          <w:i/>
          <w:iCs/>
        </w:rPr>
        <w:lastRenderedPageBreak/>
        <w:t>Conclusion</w:t>
      </w:r>
      <w:bookmarkEnd w:id="45"/>
      <w:r w:rsidRPr="00FA1FFA">
        <w:rPr>
          <w:rFonts w:eastAsia="Times New Roman" w:cs="Open Sans"/>
          <w:i/>
          <w:iCs/>
        </w:rPr>
        <w:t xml:space="preserve"> </w:t>
      </w:r>
    </w:p>
    <w:p w14:paraId="4237F6A5" w14:textId="77777777" w:rsidR="00201C9D" w:rsidRPr="00937A33" w:rsidRDefault="00201C9D" w:rsidP="000F7824">
      <w:pPr>
        <w:numPr>
          <w:ilvl w:val="0"/>
          <w:numId w:val="27"/>
        </w:numPr>
        <w:tabs>
          <w:tab w:val="num" w:pos="960"/>
        </w:tabs>
        <w:spacing w:after="160"/>
        <w:ind w:hanging="720"/>
        <w:rPr>
          <w:rFonts w:cs="Open Sans"/>
        </w:rPr>
      </w:pPr>
      <w:bookmarkStart w:id="46" w:name="_Ref86236889"/>
      <w:r w:rsidRPr="00937A33">
        <w:rPr>
          <w:rFonts w:cs="Open Sans"/>
        </w:rPr>
        <w:t xml:space="preserve">It is concerning that Mr </w:t>
      </w:r>
      <w:proofErr w:type="spellStart"/>
      <w:r w:rsidRPr="00937A33">
        <w:rPr>
          <w:rFonts w:cs="Open Sans"/>
        </w:rPr>
        <w:t>Andrwas</w:t>
      </w:r>
      <w:proofErr w:type="spellEnd"/>
      <w:r w:rsidRPr="00937A33">
        <w:rPr>
          <w:rFonts w:cs="Open Sans"/>
        </w:rPr>
        <w:t xml:space="preserve"> was the victim of at least two </w:t>
      </w:r>
      <w:r>
        <w:rPr>
          <w:rFonts w:cs="Open Sans"/>
        </w:rPr>
        <w:t xml:space="preserve">(and possibly three) </w:t>
      </w:r>
      <w:r w:rsidRPr="00937A33">
        <w:rPr>
          <w:rFonts w:cs="Open Sans"/>
        </w:rPr>
        <w:t>assaults</w:t>
      </w:r>
      <w:r>
        <w:rPr>
          <w:rFonts w:cs="Open Sans"/>
        </w:rPr>
        <w:t xml:space="preserve"> </w:t>
      </w:r>
      <w:r w:rsidRPr="00937A33">
        <w:rPr>
          <w:rFonts w:cs="Open Sans"/>
        </w:rPr>
        <w:t>during a two-week period in November 2017 whil</w:t>
      </w:r>
      <w:r>
        <w:rPr>
          <w:rFonts w:cs="Open Sans"/>
        </w:rPr>
        <w:t>e</w:t>
      </w:r>
      <w:r w:rsidRPr="00937A33">
        <w:rPr>
          <w:rFonts w:cs="Open Sans"/>
        </w:rPr>
        <w:t xml:space="preserve"> in detention at Villawood. I </w:t>
      </w:r>
      <w:r>
        <w:rPr>
          <w:rFonts w:cs="Open Sans"/>
        </w:rPr>
        <w:t xml:space="preserve">again </w:t>
      </w:r>
      <w:r w:rsidRPr="00937A33">
        <w:rPr>
          <w:rFonts w:cs="Open Sans"/>
        </w:rPr>
        <w:t xml:space="preserve">note with concern the findings of the Griffith Criminology Institute Report referred to above that the incidence of violence perpetrated by detainees against fellow detainees in Villawood </w:t>
      </w:r>
      <w:r>
        <w:rPr>
          <w:rFonts w:cs="Open Sans"/>
        </w:rPr>
        <w:t xml:space="preserve">around </w:t>
      </w:r>
      <w:r w:rsidRPr="00937A33">
        <w:rPr>
          <w:rFonts w:cs="Open Sans"/>
        </w:rPr>
        <w:t>that time was significant.</w:t>
      </w:r>
      <w:bookmarkEnd w:id="46"/>
    </w:p>
    <w:p w14:paraId="77FDE6EA" w14:textId="77777777" w:rsidR="00201C9D" w:rsidRPr="00937A33" w:rsidRDefault="00201C9D" w:rsidP="000F7824">
      <w:pPr>
        <w:numPr>
          <w:ilvl w:val="0"/>
          <w:numId w:val="27"/>
        </w:numPr>
        <w:tabs>
          <w:tab w:val="num" w:pos="960"/>
        </w:tabs>
        <w:spacing w:after="160"/>
        <w:ind w:hanging="720"/>
        <w:rPr>
          <w:rFonts w:cs="Open Sans"/>
        </w:rPr>
      </w:pPr>
      <w:r w:rsidRPr="00937A33">
        <w:rPr>
          <w:rFonts w:cs="Open Sans"/>
        </w:rPr>
        <w:t xml:space="preserve">In light of my findings above, particularly in paragraphs </w:t>
      </w:r>
      <w:r w:rsidRPr="00937A33">
        <w:rPr>
          <w:rFonts w:cs="Open Sans"/>
        </w:rPr>
        <w:fldChar w:fldCharType="begin"/>
      </w:r>
      <w:r w:rsidRPr="00937A33">
        <w:rPr>
          <w:rFonts w:cs="Open Sans"/>
        </w:rPr>
        <w:instrText xml:space="preserve"> REF _Ref86236878 \r \h </w:instrText>
      </w:r>
      <w:r>
        <w:rPr>
          <w:rFonts w:cs="Open Sans"/>
        </w:rPr>
        <w:instrText xml:space="preserve"> \* MERGEFORMAT </w:instrText>
      </w:r>
      <w:r w:rsidRPr="00937A33">
        <w:rPr>
          <w:rFonts w:cs="Open Sans"/>
        </w:rPr>
      </w:r>
      <w:r w:rsidRPr="00937A33">
        <w:rPr>
          <w:rFonts w:cs="Open Sans"/>
        </w:rPr>
        <w:fldChar w:fldCharType="separate"/>
      </w:r>
      <w:r>
        <w:rPr>
          <w:rFonts w:cs="Open Sans"/>
        </w:rPr>
        <w:t>97</w:t>
      </w:r>
      <w:r w:rsidRPr="00937A33">
        <w:rPr>
          <w:rFonts w:cs="Open Sans"/>
        </w:rPr>
        <w:fldChar w:fldCharType="end"/>
      </w:r>
      <w:r w:rsidRPr="00937A33">
        <w:rPr>
          <w:rFonts w:cs="Open Sans"/>
        </w:rPr>
        <w:t xml:space="preserve"> and </w:t>
      </w:r>
      <w:r w:rsidRPr="00937A33">
        <w:rPr>
          <w:rFonts w:cs="Open Sans"/>
        </w:rPr>
        <w:fldChar w:fldCharType="begin"/>
      </w:r>
      <w:r w:rsidRPr="00937A33">
        <w:rPr>
          <w:rFonts w:cs="Open Sans"/>
        </w:rPr>
        <w:instrText xml:space="preserve"> REF _Ref86236892 \r \h </w:instrText>
      </w:r>
      <w:r>
        <w:rPr>
          <w:rFonts w:cs="Open Sans"/>
        </w:rPr>
        <w:instrText xml:space="preserve"> \* MERGEFORMAT </w:instrText>
      </w:r>
      <w:r w:rsidRPr="00937A33">
        <w:rPr>
          <w:rFonts w:cs="Open Sans"/>
        </w:rPr>
      </w:r>
      <w:r w:rsidRPr="00937A33">
        <w:rPr>
          <w:rFonts w:cs="Open Sans"/>
        </w:rPr>
        <w:fldChar w:fldCharType="separate"/>
      </w:r>
      <w:r>
        <w:rPr>
          <w:rFonts w:cs="Open Sans"/>
        </w:rPr>
        <w:t>160</w:t>
      </w:r>
      <w:r w:rsidRPr="00937A33">
        <w:rPr>
          <w:rFonts w:cs="Open Sans"/>
        </w:rPr>
        <w:fldChar w:fldCharType="end"/>
      </w:r>
      <w:r w:rsidRPr="00937A33">
        <w:rPr>
          <w:rFonts w:cs="Open Sans"/>
        </w:rPr>
        <w:t xml:space="preserve">, I am of the view that Mr </w:t>
      </w:r>
      <w:proofErr w:type="spellStart"/>
      <w:r w:rsidRPr="00937A33">
        <w:rPr>
          <w:rFonts w:cs="Open Sans"/>
        </w:rPr>
        <w:t>Andrwas</w:t>
      </w:r>
      <w:proofErr w:type="spellEnd"/>
      <w:r w:rsidRPr="00937A33">
        <w:rPr>
          <w:rFonts w:cs="Open Sans"/>
        </w:rPr>
        <w:t xml:space="preserve"> was not treated with humanity and with respect for his inherent dignity as required by article 10(1) of the ICCPR because insufficient steps were taken by Serco and the Department to adequately protect his safety and security while he was detained by them.</w:t>
      </w:r>
    </w:p>
    <w:p w14:paraId="62908A14" w14:textId="77777777" w:rsidR="00201C9D" w:rsidRPr="001375D9" w:rsidRDefault="00201C9D" w:rsidP="000F7824">
      <w:pPr>
        <w:pStyle w:val="Heading1"/>
        <w:numPr>
          <w:ilvl w:val="0"/>
          <w:numId w:val="28"/>
        </w:numPr>
        <w:tabs>
          <w:tab w:val="num" w:pos="709"/>
        </w:tabs>
        <w:ind w:left="709" w:hanging="709"/>
      </w:pPr>
      <w:bookmarkStart w:id="47" w:name="_Ref472516244"/>
      <w:bookmarkStart w:id="48" w:name="_Toc473014822"/>
      <w:bookmarkStart w:id="49" w:name="_Toc83845022"/>
      <w:bookmarkStart w:id="50" w:name="_Toc98851996"/>
      <w:bookmarkStart w:id="51" w:name="_Toc123828304"/>
      <w:r w:rsidRPr="00AF7ABB">
        <w:rPr>
          <w:rFonts w:cs="Open Sans"/>
          <w:szCs w:val="36"/>
        </w:rPr>
        <w:t>Recommendation</w:t>
      </w:r>
      <w:bookmarkEnd w:id="47"/>
      <w:bookmarkEnd w:id="48"/>
      <w:r w:rsidRPr="00AF7ABB">
        <w:rPr>
          <w:rFonts w:cs="Open Sans"/>
          <w:szCs w:val="36"/>
        </w:rPr>
        <w:t>s</w:t>
      </w:r>
      <w:bookmarkEnd w:id="49"/>
      <w:bookmarkEnd w:id="50"/>
      <w:bookmarkEnd w:id="51"/>
    </w:p>
    <w:p w14:paraId="5CA8A6F9" w14:textId="38719BD1" w:rsidR="00201C9D" w:rsidRPr="009D3621" w:rsidRDefault="00201C9D" w:rsidP="000F7824">
      <w:pPr>
        <w:numPr>
          <w:ilvl w:val="0"/>
          <w:numId w:val="27"/>
        </w:numPr>
        <w:tabs>
          <w:tab w:val="num" w:pos="960"/>
        </w:tabs>
        <w:spacing w:after="160"/>
        <w:ind w:hanging="720"/>
        <w:rPr>
          <w:rFonts w:cs="Open Sans"/>
        </w:rPr>
      </w:pPr>
      <w:bookmarkStart w:id="52" w:name="_Toc438218056"/>
      <w:r w:rsidRPr="002C5D9E">
        <w:rPr>
          <w:rFonts w:cs="Open Sans"/>
        </w:rPr>
        <w:t xml:space="preserve">As a result of this inquiry, </w:t>
      </w:r>
      <w:r>
        <w:rPr>
          <w:rFonts w:cs="Open Sans"/>
        </w:rPr>
        <w:t>I</w:t>
      </w:r>
      <w:r w:rsidRPr="002C5D9E">
        <w:rPr>
          <w:rFonts w:eastAsia="Times New Roman" w:cs="Open Sans"/>
          <w:spacing w:val="-5"/>
        </w:rPr>
        <w:t xml:space="preserve"> find that the following </w:t>
      </w:r>
      <w:r w:rsidRPr="002C5D9E">
        <w:rPr>
          <w:rFonts w:cs="Open Sans"/>
        </w:rPr>
        <w:t xml:space="preserve">act of the Commonwealth was </w:t>
      </w:r>
      <w:r w:rsidRPr="002C5D9E">
        <w:rPr>
          <w:rFonts w:eastAsia="Times New Roman" w:cs="Open Sans"/>
          <w:spacing w:val="-5"/>
        </w:rPr>
        <w:t xml:space="preserve">inconsistent with or contrary to Mr </w:t>
      </w:r>
      <w:proofErr w:type="spellStart"/>
      <w:r w:rsidRPr="002C5D9E">
        <w:rPr>
          <w:rFonts w:eastAsia="Times New Roman" w:cs="Open Sans"/>
          <w:spacing w:val="-5"/>
        </w:rPr>
        <w:t>Andrwas</w:t>
      </w:r>
      <w:proofErr w:type="spellEnd"/>
      <w:r w:rsidRPr="002C5D9E">
        <w:rPr>
          <w:rFonts w:eastAsia="Times New Roman" w:cs="Open Sans"/>
          <w:spacing w:val="-5"/>
        </w:rPr>
        <w:t>’ rights</w:t>
      </w:r>
      <w:r>
        <w:rPr>
          <w:rFonts w:eastAsia="Times New Roman" w:cs="Open Sans"/>
          <w:spacing w:val="-5"/>
        </w:rPr>
        <w:t xml:space="preserve"> under</w:t>
      </w:r>
      <w:r w:rsidRPr="002C5D9E">
        <w:rPr>
          <w:rFonts w:eastAsia="Times New Roman" w:cs="Open Sans"/>
          <w:spacing w:val="-5"/>
        </w:rPr>
        <w:t xml:space="preserve"> article 10(1) of the </w:t>
      </w:r>
      <w:r>
        <w:rPr>
          <w:rFonts w:eastAsia="Times New Roman" w:cs="Open Sans"/>
          <w:spacing w:val="-5"/>
        </w:rPr>
        <w:t>ICCPR</w:t>
      </w:r>
      <w:r w:rsidRPr="002C5D9E">
        <w:rPr>
          <w:rFonts w:eastAsia="Times New Roman" w:cs="Open Sans"/>
          <w:spacing w:val="-5"/>
        </w:rPr>
        <w:t xml:space="preserve">: </w:t>
      </w:r>
    </w:p>
    <w:p w14:paraId="4D1A985D" w14:textId="77777777" w:rsidR="00201C9D" w:rsidRPr="00937A33" w:rsidRDefault="00201C9D" w:rsidP="000F7824">
      <w:pPr>
        <w:pStyle w:val="ListParagraph"/>
        <w:numPr>
          <w:ilvl w:val="0"/>
          <w:numId w:val="32"/>
        </w:numPr>
        <w:spacing w:before="0" w:after="0"/>
        <w:contextualSpacing/>
        <w:rPr>
          <w:rFonts w:eastAsia="Times New Roman" w:cs="Open Sans"/>
          <w:spacing w:val="-5"/>
        </w:rPr>
      </w:pPr>
      <w:r w:rsidRPr="00937A33">
        <w:rPr>
          <w:rFonts w:eastAsia="Times New Roman" w:cs="Open Sans"/>
          <w:spacing w:val="-5"/>
        </w:rPr>
        <w:t xml:space="preserve">the decision of the </w:t>
      </w:r>
      <w:r w:rsidRPr="00937A33">
        <w:rPr>
          <w:rFonts w:cs="Open Sans"/>
        </w:rPr>
        <w:t xml:space="preserve">Department or Serco to continue to detain Mr </w:t>
      </w:r>
      <w:proofErr w:type="spellStart"/>
      <w:r w:rsidRPr="00937A33">
        <w:rPr>
          <w:rFonts w:cs="Open Sans"/>
        </w:rPr>
        <w:t>Andrwas</w:t>
      </w:r>
      <w:proofErr w:type="spellEnd"/>
      <w:r w:rsidRPr="00937A33">
        <w:rPr>
          <w:rFonts w:cs="Open Sans"/>
        </w:rPr>
        <w:t xml:space="preserve"> in the Lachlan compound in Villawood following assaults on him on 11 November 2017 and 24 November 2017 by other detainees without undertaking a documented risk assessment process or other action to protect his safety</w:t>
      </w:r>
      <w:r w:rsidRPr="00937A33">
        <w:rPr>
          <w:rFonts w:eastAsia="Times New Roman" w:cs="Open Sans"/>
          <w:spacing w:val="-5"/>
        </w:rPr>
        <w:t xml:space="preserve">. </w:t>
      </w:r>
    </w:p>
    <w:p w14:paraId="105415EF" w14:textId="59027F8D" w:rsidR="00201C9D" w:rsidRPr="002C5D9E" w:rsidRDefault="00201C9D" w:rsidP="000F7824">
      <w:pPr>
        <w:numPr>
          <w:ilvl w:val="0"/>
          <w:numId w:val="27"/>
        </w:numPr>
        <w:tabs>
          <w:tab w:val="num" w:pos="960"/>
        </w:tabs>
        <w:spacing w:after="160"/>
        <w:ind w:hanging="720"/>
        <w:rPr>
          <w:rFonts w:cs="Open Sans"/>
        </w:rPr>
      </w:pPr>
      <w:r w:rsidRPr="002C5D9E">
        <w:rPr>
          <w:rFonts w:cs="Open Sans"/>
        </w:rPr>
        <w:t xml:space="preserve">Where, after conducting an inquiry, the Commission finds that an act or practice engaged in by a respondent is inconsistent with, or contrary to, any human right, the Commission is required to serve </w:t>
      </w:r>
      <w:r w:rsidR="00C62D64">
        <w:rPr>
          <w:rFonts w:cs="Open Sans"/>
        </w:rPr>
        <w:t>a report</w:t>
      </w:r>
      <w:r w:rsidRPr="002C5D9E">
        <w:rPr>
          <w:rFonts w:cs="Open Sans"/>
        </w:rPr>
        <w:t xml:space="preserve"> on the respondent setting out its findings and reasons for those findings.</w:t>
      </w:r>
      <w:r w:rsidRPr="00C62D64">
        <w:rPr>
          <w:vertAlign w:val="superscript"/>
        </w:rPr>
        <w:endnoteReference w:id="32"/>
      </w:r>
      <w:r w:rsidRPr="002C5D9E">
        <w:rPr>
          <w:rFonts w:cs="Open Sans"/>
        </w:rPr>
        <w:t xml:space="preserve"> The Commission may include in the </w:t>
      </w:r>
      <w:r w:rsidR="00C62D64">
        <w:rPr>
          <w:rFonts w:cs="Open Sans"/>
        </w:rPr>
        <w:t>report</w:t>
      </w:r>
      <w:r w:rsidRPr="002C5D9E">
        <w:rPr>
          <w:rFonts w:cs="Open Sans"/>
        </w:rPr>
        <w:t xml:space="preserve"> any recommendation for preventing a repetition of the act or a continuation of the practice.</w:t>
      </w:r>
      <w:r w:rsidRPr="00C62D64">
        <w:rPr>
          <w:vertAlign w:val="superscript"/>
        </w:rPr>
        <w:endnoteReference w:id="33"/>
      </w:r>
      <w:r w:rsidRPr="002C5D9E">
        <w:rPr>
          <w:rFonts w:cs="Open Sans"/>
        </w:rPr>
        <w:t xml:space="preserve"> The Commission may also recommend other action to remedy or reduce the loss or damage suffered by a person.</w:t>
      </w:r>
      <w:r w:rsidRPr="002C5D9E">
        <w:rPr>
          <w:vertAlign w:val="superscript"/>
        </w:rPr>
        <w:endnoteReference w:id="34"/>
      </w:r>
      <w:bookmarkEnd w:id="52"/>
    </w:p>
    <w:p w14:paraId="04DA25C1" w14:textId="77777777" w:rsidR="00201C9D" w:rsidRDefault="00201C9D" w:rsidP="000F7824">
      <w:pPr>
        <w:numPr>
          <w:ilvl w:val="0"/>
          <w:numId w:val="27"/>
        </w:numPr>
        <w:tabs>
          <w:tab w:val="num" w:pos="960"/>
        </w:tabs>
        <w:spacing w:after="160"/>
        <w:ind w:hanging="720"/>
        <w:rPr>
          <w:rFonts w:cs="Open Sans"/>
        </w:rPr>
      </w:pPr>
      <w:r>
        <w:rPr>
          <w:rFonts w:cs="Open Sans"/>
        </w:rPr>
        <w:t xml:space="preserve">The Department has outlined the general risk assessment processes that are in place to monitor the appropriate placement of detainees and respond to incidents of violence involving detainees, which include the use of the Security Risk Assessment Tool, morning stakeholder meetings and monthly reviews via the IMPRC. </w:t>
      </w:r>
    </w:p>
    <w:p w14:paraId="3FE70BDE" w14:textId="77777777" w:rsidR="00201C9D" w:rsidRDefault="00201C9D" w:rsidP="000F7824">
      <w:pPr>
        <w:numPr>
          <w:ilvl w:val="0"/>
          <w:numId w:val="27"/>
        </w:numPr>
        <w:tabs>
          <w:tab w:val="num" w:pos="960"/>
        </w:tabs>
        <w:spacing w:after="160"/>
        <w:ind w:hanging="720"/>
        <w:rPr>
          <w:rFonts w:eastAsia="Times New Roman" w:cs="Open Sans"/>
          <w:spacing w:val="-5"/>
        </w:rPr>
      </w:pPr>
      <w:r>
        <w:rPr>
          <w:rFonts w:eastAsia="Times New Roman" w:cs="Open Sans"/>
          <w:spacing w:val="-5"/>
        </w:rPr>
        <w:t xml:space="preserve">The Commission has previously expressed concern regarding the adequacy of the security risk assessments that are undertaken by the Department and </w:t>
      </w:r>
      <w:r>
        <w:rPr>
          <w:rFonts w:eastAsia="Times New Roman" w:cs="Open Sans"/>
          <w:spacing w:val="-5"/>
        </w:rPr>
        <w:lastRenderedPageBreak/>
        <w:t>Serco. Following an April 2017 inspection of Villawood, the Commission reported that:</w:t>
      </w:r>
    </w:p>
    <w:p w14:paraId="1DBF2AAD" w14:textId="77777777" w:rsidR="00201C9D" w:rsidRDefault="00201C9D" w:rsidP="00201C9D">
      <w:pPr>
        <w:ind w:left="1440"/>
        <w:rPr>
          <w:rFonts w:cs="Open Sans"/>
        </w:rPr>
      </w:pPr>
      <w:r w:rsidRPr="004E76E2">
        <w:rPr>
          <w:rFonts w:cs="Open Sans"/>
        </w:rPr>
        <w:t xml:space="preserve">The </w:t>
      </w:r>
      <w:r>
        <w:rPr>
          <w:rFonts w:cs="Open Sans"/>
        </w:rPr>
        <w:t>current risk assessment process may not allow for an accurate or appropriate determination of the risks posed by particular individuals. As such, risk assessments may result in some people being subject to measures that are more restrictive than necessary, or placed in environments where they could be at risk of harm.</w:t>
      </w:r>
    </w:p>
    <w:p w14:paraId="49D4FF52" w14:textId="77777777" w:rsidR="00201C9D" w:rsidRPr="004E76E2" w:rsidRDefault="00201C9D" w:rsidP="00201C9D">
      <w:pPr>
        <w:ind w:left="1440"/>
        <w:rPr>
          <w:rFonts w:cs="Open Sans"/>
        </w:rPr>
      </w:pPr>
      <w:r>
        <w:rPr>
          <w:rFonts w:cs="Open Sans"/>
        </w:rPr>
        <w:t>Urgent action is necessary to ensure the safety of all people at the VIDC. Many people (especially those in higher-security compounds) … did not feel safe in detention.</w:t>
      </w:r>
      <w:r>
        <w:rPr>
          <w:rStyle w:val="EndnoteReference"/>
          <w:rFonts w:cs="Open Sans"/>
        </w:rPr>
        <w:endnoteReference w:id="35"/>
      </w:r>
      <w:r>
        <w:rPr>
          <w:rFonts w:cs="Open Sans"/>
        </w:rPr>
        <w:t xml:space="preserve"> </w:t>
      </w:r>
    </w:p>
    <w:p w14:paraId="0B53C9C7" w14:textId="77777777" w:rsidR="00201C9D" w:rsidRDefault="00201C9D" w:rsidP="000F7824">
      <w:pPr>
        <w:numPr>
          <w:ilvl w:val="0"/>
          <w:numId w:val="27"/>
        </w:numPr>
        <w:tabs>
          <w:tab w:val="num" w:pos="960"/>
        </w:tabs>
        <w:spacing w:after="160"/>
        <w:ind w:hanging="720"/>
        <w:rPr>
          <w:rFonts w:eastAsia="Times New Roman" w:cs="Open Sans"/>
          <w:spacing w:val="-5"/>
        </w:rPr>
      </w:pPr>
      <w:r>
        <w:rPr>
          <w:rFonts w:eastAsia="Times New Roman" w:cs="Open Sans"/>
          <w:spacing w:val="-5"/>
        </w:rPr>
        <w:t>In that same report, the Commission expressed further concern that:</w:t>
      </w:r>
    </w:p>
    <w:p w14:paraId="28709ABB" w14:textId="77777777" w:rsidR="00201C9D" w:rsidRPr="00581446" w:rsidRDefault="00201C9D" w:rsidP="00201C9D">
      <w:pPr>
        <w:ind w:left="1440"/>
        <w:rPr>
          <w:rFonts w:cs="Open Sans"/>
        </w:rPr>
      </w:pPr>
      <w:r w:rsidRPr="00581446">
        <w:rPr>
          <w:rFonts w:cs="Open Sans"/>
        </w:rPr>
        <w:t>the risk rating system may not be sufficiently nuanced to prevent unnecessary use of restrictive measures</w:t>
      </w:r>
      <w:r>
        <w:rPr>
          <w:rFonts w:cs="Open Sans"/>
        </w:rPr>
        <w:t xml:space="preserve"> </w:t>
      </w:r>
      <w:r w:rsidRPr="00581446">
        <w:rPr>
          <w:rFonts w:cs="Open Sans"/>
        </w:rPr>
        <w:t>…</w:t>
      </w:r>
      <w:r>
        <w:rPr>
          <w:rFonts w:cs="Open Sans"/>
        </w:rPr>
        <w:t xml:space="preserve"> </w:t>
      </w:r>
      <w:r w:rsidRPr="00581446">
        <w:rPr>
          <w:rFonts w:cs="Open Sans"/>
        </w:rPr>
        <w:t>[nor] an effective means of ensuring the safety of people in detention. In particular, there appeared to be significant variation among people in higher-risk categories with regard to the level of risk they pose to the safety of others. The Commission is concerned that this variation may lead to the co-location of people who pose significant risks to others</w:t>
      </w:r>
      <w:r>
        <w:rPr>
          <w:rFonts w:cs="Open Sans"/>
        </w:rPr>
        <w:t xml:space="preserve"> </w:t>
      </w:r>
      <w:r w:rsidRPr="00581446">
        <w:rPr>
          <w:rFonts w:cs="Open Sans"/>
        </w:rPr>
        <w:t>...</w:t>
      </w:r>
      <w:r>
        <w:rPr>
          <w:rFonts w:cs="Open Sans"/>
        </w:rPr>
        <w:t xml:space="preserve"> .</w:t>
      </w:r>
      <w:r>
        <w:rPr>
          <w:rStyle w:val="EndnoteReference"/>
          <w:rFonts w:cs="Open Sans"/>
        </w:rPr>
        <w:endnoteReference w:id="36"/>
      </w:r>
      <w:r w:rsidRPr="00581446">
        <w:rPr>
          <w:rFonts w:cs="Open Sans"/>
        </w:rPr>
        <w:t xml:space="preserve"> </w:t>
      </w:r>
    </w:p>
    <w:p w14:paraId="02ECBDB2" w14:textId="77777777" w:rsidR="00201C9D" w:rsidRDefault="00201C9D" w:rsidP="000F7824">
      <w:pPr>
        <w:numPr>
          <w:ilvl w:val="0"/>
          <w:numId w:val="27"/>
        </w:numPr>
        <w:tabs>
          <w:tab w:val="num" w:pos="960"/>
        </w:tabs>
        <w:spacing w:after="160"/>
        <w:ind w:hanging="720"/>
        <w:rPr>
          <w:rFonts w:eastAsia="Times New Roman" w:cs="Open Sans"/>
          <w:spacing w:val="-5"/>
        </w:rPr>
      </w:pPr>
      <w:r>
        <w:rPr>
          <w:rFonts w:eastAsia="Times New Roman" w:cs="Open Sans"/>
          <w:spacing w:val="-5"/>
        </w:rPr>
        <w:t xml:space="preserve">A number of recommendations for reform of the SRAT were made in the Commission’s May 2019 report </w:t>
      </w:r>
      <w:r w:rsidRPr="00CE240B">
        <w:rPr>
          <w:rFonts w:eastAsia="Times New Roman" w:cs="Open Sans"/>
          <w:i/>
          <w:iCs/>
          <w:spacing w:val="-5"/>
        </w:rPr>
        <w:t>Use of force in immigration detention</w:t>
      </w:r>
      <w:r>
        <w:rPr>
          <w:rFonts w:eastAsia="Times New Roman" w:cs="Open Sans"/>
          <w:spacing w:val="-5"/>
        </w:rPr>
        <w:t>.</w:t>
      </w:r>
      <w:r w:rsidRPr="00C8748F">
        <w:rPr>
          <w:rStyle w:val="EndnoteReference"/>
          <w:rFonts w:eastAsia="Times New Roman" w:cs="Open Sans"/>
          <w:spacing w:val="-5"/>
        </w:rPr>
        <w:endnoteReference w:id="37"/>
      </w:r>
      <w:r>
        <w:rPr>
          <w:rFonts w:eastAsia="Times New Roman" w:cs="Open Sans"/>
          <w:spacing w:val="-5"/>
        </w:rPr>
        <w:t xml:space="preserve"> The Department </w:t>
      </w:r>
      <w:r w:rsidRPr="00741B38">
        <w:rPr>
          <w:rFonts w:cs="Open Sans"/>
        </w:rPr>
        <w:t>noted</w:t>
      </w:r>
      <w:r>
        <w:rPr>
          <w:rFonts w:eastAsia="Times New Roman" w:cs="Open Sans"/>
          <w:spacing w:val="-5"/>
        </w:rPr>
        <w:t xml:space="preserve"> that, during the course of the Commission’s inquiry, it had engaged an external consultant to review the security risk assessment tool. </w:t>
      </w:r>
    </w:p>
    <w:p w14:paraId="67A794A3" w14:textId="77777777" w:rsidR="00201C9D" w:rsidRPr="0019164A" w:rsidRDefault="00201C9D" w:rsidP="000F7824">
      <w:pPr>
        <w:numPr>
          <w:ilvl w:val="0"/>
          <w:numId w:val="27"/>
        </w:numPr>
        <w:tabs>
          <w:tab w:val="num" w:pos="960"/>
        </w:tabs>
        <w:spacing w:after="160"/>
        <w:ind w:hanging="720"/>
        <w:rPr>
          <w:rFonts w:eastAsia="Times New Roman" w:cs="Open Sans"/>
          <w:spacing w:val="-5"/>
        </w:rPr>
      </w:pPr>
      <w:r w:rsidRPr="0019164A">
        <w:rPr>
          <w:rFonts w:eastAsia="Times New Roman" w:cs="Open Sans"/>
          <w:spacing w:val="-5"/>
        </w:rPr>
        <w:t xml:space="preserve">In November 2019, the Griffith Criminology Institute provided the Department with its </w:t>
      </w:r>
      <w:r w:rsidRPr="0019164A">
        <w:rPr>
          <w:rFonts w:eastAsia="Times New Roman" w:cs="Open Sans"/>
          <w:i/>
          <w:iCs/>
          <w:spacing w:val="-5"/>
        </w:rPr>
        <w:t>Final Report: Improving Risk Assessment of Immigration Detainees</w:t>
      </w:r>
      <w:r w:rsidRPr="0019164A">
        <w:rPr>
          <w:rFonts w:eastAsia="Times New Roman" w:cs="Open Sans"/>
          <w:spacing w:val="-5"/>
        </w:rPr>
        <w:t>.</w:t>
      </w:r>
      <w:r w:rsidRPr="004465D7">
        <w:rPr>
          <w:rStyle w:val="EndnoteReference"/>
          <w:rFonts w:eastAsia="Times New Roman" w:cs="Open Sans"/>
          <w:spacing w:val="-5"/>
        </w:rPr>
        <w:endnoteReference w:id="38"/>
      </w:r>
      <w:r w:rsidRPr="0019164A">
        <w:rPr>
          <w:rStyle w:val="EndnoteReference"/>
          <w:rFonts w:eastAsia="Times New Roman" w:cs="Open Sans"/>
          <w:spacing w:val="-5"/>
        </w:rPr>
        <w:t xml:space="preserve"> </w:t>
      </w:r>
      <w:r>
        <w:rPr>
          <w:rFonts w:eastAsia="Times New Roman" w:cs="Open Sans"/>
          <w:spacing w:val="-5"/>
        </w:rPr>
        <w:t xml:space="preserve"> </w:t>
      </w:r>
      <w:r w:rsidRPr="0019164A">
        <w:rPr>
          <w:rFonts w:eastAsia="Times New Roman" w:cs="Open Sans"/>
          <w:spacing w:val="-5"/>
        </w:rPr>
        <w:t xml:space="preserve">The Commission is not aware of what amendments (if any) have </w:t>
      </w:r>
      <w:r>
        <w:rPr>
          <w:rFonts w:eastAsia="Times New Roman" w:cs="Open Sans"/>
          <w:spacing w:val="-5"/>
        </w:rPr>
        <w:t xml:space="preserve">since </w:t>
      </w:r>
      <w:r w:rsidRPr="0019164A">
        <w:rPr>
          <w:rFonts w:eastAsia="Times New Roman" w:cs="Open Sans"/>
          <w:spacing w:val="-5"/>
        </w:rPr>
        <w:t xml:space="preserve">been made to the SRAT </w:t>
      </w:r>
      <w:r>
        <w:rPr>
          <w:rFonts w:eastAsia="Times New Roman" w:cs="Open Sans"/>
          <w:spacing w:val="-5"/>
        </w:rPr>
        <w:t xml:space="preserve">in response to </w:t>
      </w:r>
      <w:r w:rsidRPr="0019164A">
        <w:rPr>
          <w:rFonts w:eastAsia="Times New Roman" w:cs="Open Sans"/>
          <w:spacing w:val="-5"/>
        </w:rPr>
        <w:t xml:space="preserve">that </w:t>
      </w:r>
      <w:r>
        <w:rPr>
          <w:rFonts w:eastAsia="Times New Roman" w:cs="Open Sans"/>
          <w:spacing w:val="-5"/>
        </w:rPr>
        <w:t>report</w:t>
      </w:r>
      <w:r w:rsidRPr="0019164A">
        <w:rPr>
          <w:rFonts w:eastAsia="Times New Roman" w:cs="Open Sans"/>
          <w:spacing w:val="-5"/>
        </w:rPr>
        <w:t xml:space="preserve">. </w:t>
      </w:r>
    </w:p>
    <w:p w14:paraId="0AE33CC2" w14:textId="77777777" w:rsidR="00201C9D" w:rsidRDefault="00201C9D" w:rsidP="000F7824">
      <w:pPr>
        <w:numPr>
          <w:ilvl w:val="0"/>
          <w:numId w:val="27"/>
        </w:numPr>
        <w:tabs>
          <w:tab w:val="num" w:pos="960"/>
        </w:tabs>
        <w:spacing w:after="160"/>
        <w:ind w:hanging="720"/>
        <w:rPr>
          <w:rFonts w:eastAsia="Times New Roman" w:cs="Open Sans"/>
          <w:spacing w:val="-5"/>
        </w:rPr>
      </w:pPr>
      <w:r w:rsidRPr="00941E38">
        <w:rPr>
          <w:rFonts w:eastAsia="Times New Roman" w:cs="Open Sans"/>
          <w:spacing w:val="-5"/>
        </w:rPr>
        <w:t>The risk of violence and the threat to detainees</w:t>
      </w:r>
      <w:r>
        <w:rPr>
          <w:rFonts w:eastAsia="Times New Roman" w:cs="Open Sans"/>
          <w:spacing w:val="-5"/>
        </w:rPr>
        <w:t>’</w:t>
      </w:r>
      <w:r w:rsidRPr="00941E38">
        <w:rPr>
          <w:rFonts w:eastAsia="Times New Roman" w:cs="Open Sans"/>
          <w:spacing w:val="-5"/>
        </w:rPr>
        <w:t xml:space="preserve"> safety by other detainees was reported on by the Commission in 2017 when it expressed deep concern about the lack of </w:t>
      </w:r>
      <w:r>
        <w:rPr>
          <w:rFonts w:eastAsia="Times New Roman" w:cs="Open Sans"/>
          <w:spacing w:val="-5"/>
        </w:rPr>
        <w:t>policies</w:t>
      </w:r>
      <w:r w:rsidRPr="00941E38">
        <w:rPr>
          <w:rFonts w:eastAsia="Times New Roman" w:cs="Open Sans"/>
          <w:spacing w:val="-5"/>
        </w:rPr>
        <w:t xml:space="preserve"> in place to manage these practices. The Commission is not aware of </w:t>
      </w:r>
      <w:r w:rsidRPr="004C5D09">
        <w:rPr>
          <w:rFonts w:eastAsia="Times New Roman" w:cs="Open Sans"/>
          <w:spacing w:val="-5"/>
        </w:rPr>
        <w:t>any new protocols since</w:t>
      </w:r>
      <w:r w:rsidRPr="00941E38">
        <w:rPr>
          <w:rFonts w:eastAsia="Times New Roman" w:cs="Open Sans"/>
          <w:spacing w:val="-5"/>
        </w:rPr>
        <w:t xml:space="preserve"> implemented in immigration detention centres to alleviate this risk and better protect detainees</w:t>
      </w:r>
      <w:r>
        <w:rPr>
          <w:rFonts w:eastAsia="Times New Roman" w:cs="Open Sans"/>
          <w:spacing w:val="-5"/>
        </w:rPr>
        <w:t>’</w:t>
      </w:r>
      <w:r w:rsidRPr="00941E38">
        <w:rPr>
          <w:rFonts w:eastAsia="Times New Roman" w:cs="Open Sans"/>
          <w:spacing w:val="-5"/>
        </w:rPr>
        <w:t xml:space="preserve"> safety from threats of or actual violence by other detainees. </w:t>
      </w:r>
    </w:p>
    <w:p w14:paraId="5EFECB20" w14:textId="46D66CBB" w:rsidR="00C15F14" w:rsidRDefault="00201C9D" w:rsidP="000F7824">
      <w:pPr>
        <w:numPr>
          <w:ilvl w:val="0"/>
          <w:numId w:val="27"/>
        </w:numPr>
        <w:tabs>
          <w:tab w:val="num" w:pos="960"/>
        </w:tabs>
        <w:spacing w:after="160"/>
        <w:ind w:hanging="720"/>
        <w:rPr>
          <w:rFonts w:eastAsia="Times New Roman" w:cs="Open Sans"/>
          <w:spacing w:val="-5"/>
        </w:rPr>
      </w:pPr>
      <w:r w:rsidRPr="00FD0CA0">
        <w:rPr>
          <w:rFonts w:eastAsia="Times New Roman" w:cs="Open Sans"/>
          <w:spacing w:val="-5"/>
        </w:rPr>
        <w:t xml:space="preserve">Assaults from other detainees are a serious risk to the personal safety of detainees in immigration detention. I note again the findings of the Griffith Criminology Institute report. I also note that </w:t>
      </w:r>
      <w:r w:rsidRPr="002C5D9E">
        <w:rPr>
          <w:rFonts w:eastAsia="Times New Roman" w:cs="Open Sans"/>
          <w:spacing w:val="-5"/>
        </w:rPr>
        <w:t xml:space="preserve">the Commission is currently inquiring into complaints from other people detained at Villawood that they have not been protected from violence by other detainees.  The Commission </w:t>
      </w:r>
      <w:r w:rsidRPr="002C5D9E">
        <w:rPr>
          <w:rFonts w:eastAsia="Times New Roman" w:cs="Open Sans"/>
          <w:spacing w:val="-5"/>
        </w:rPr>
        <w:lastRenderedPageBreak/>
        <w:t>considers that particular attention should be given to threatened and actual violence at Villawood, and steps that can be taken to prevent it.</w:t>
      </w:r>
    </w:p>
    <w:p w14:paraId="1365CD0C" w14:textId="77777777" w:rsidR="00EB18E9" w:rsidRPr="00EB18E9" w:rsidRDefault="00EB18E9" w:rsidP="00EB18E9">
      <w:pPr>
        <w:pStyle w:val="ListParagraph"/>
        <w:contextualSpacing/>
        <w:rPr>
          <w:rFonts w:eastAsia="Times New Roman" w:cs="Open Sans"/>
          <w:spacing w:val="-5"/>
        </w:rPr>
      </w:pPr>
    </w:p>
    <w:p w14:paraId="2392BB8A" w14:textId="6527CD4C" w:rsidR="00201C9D" w:rsidRPr="003A4709" w:rsidRDefault="00201C9D" w:rsidP="000F7824">
      <w:pPr>
        <w:numPr>
          <w:ilvl w:val="0"/>
          <w:numId w:val="27"/>
        </w:numPr>
        <w:tabs>
          <w:tab w:val="num" w:pos="960"/>
        </w:tabs>
        <w:spacing w:after="160"/>
        <w:ind w:hanging="720"/>
        <w:rPr>
          <w:rFonts w:eastAsia="Times New Roman" w:cs="Open Sans"/>
          <w:spacing w:val="-5"/>
        </w:rPr>
      </w:pPr>
      <w:bookmarkStart w:id="53" w:name="_Hlk123742149"/>
      <w:r w:rsidRPr="00710B29">
        <w:rPr>
          <w:rFonts w:eastAsia="Times New Roman" w:cs="Open Sans"/>
          <w:spacing w:val="-5"/>
        </w:rPr>
        <w:t>Accordingly</w:t>
      </w:r>
      <w:r w:rsidRPr="00C15F14">
        <w:rPr>
          <w:rFonts w:cs="Open Sans"/>
        </w:rPr>
        <w:t xml:space="preserve">, I make the following recommendations: </w:t>
      </w:r>
    </w:p>
    <w:bookmarkEnd w:id="53"/>
    <w:p w14:paraId="4F316C68" w14:textId="77777777" w:rsidR="00201C9D" w:rsidRDefault="00201C9D" w:rsidP="00201C9D">
      <w:pPr>
        <w:keepNext/>
        <w:ind w:left="720"/>
        <w:rPr>
          <w:rFonts w:cs="Open Sans"/>
          <w:b/>
          <w:bCs/>
        </w:rPr>
      </w:pPr>
      <w:r>
        <w:rPr>
          <w:rFonts w:cs="Open Sans"/>
          <w:b/>
          <w:bCs/>
        </w:rPr>
        <w:t>Recommendation 1</w:t>
      </w:r>
    </w:p>
    <w:p w14:paraId="3618B25D" w14:textId="77777777" w:rsidR="00201C9D" w:rsidRPr="0024673D" w:rsidRDefault="00201C9D" w:rsidP="00201C9D">
      <w:pPr>
        <w:ind w:left="720"/>
        <w:rPr>
          <w:rFonts w:cs="Open Sans"/>
        </w:rPr>
      </w:pPr>
      <w:r>
        <w:rPr>
          <w:rFonts w:cs="Open Sans"/>
        </w:rPr>
        <w:t>A documented risk assessment is undertaken for all detainees involved in an act of violence as part of the Department and Serco’s response to that act of violence. The assessment should include an assessment of the likelihood of the alleged perpetrator engaging in a further act of violence in the future, the risks posed to the detainee who was the victim of the violence, the steps necessary to mitigate those risks.</w:t>
      </w:r>
    </w:p>
    <w:p w14:paraId="6C7F78CB" w14:textId="77777777" w:rsidR="00201C9D" w:rsidRPr="00941E38" w:rsidRDefault="00201C9D" w:rsidP="00201C9D">
      <w:pPr>
        <w:keepNext/>
        <w:ind w:left="720"/>
        <w:rPr>
          <w:rFonts w:eastAsia="Times New Roman" w:cs="Open Sans"/>
          <w:b/>
          <w:bCs/>
          <w:spacing w:val="-5"/>
        </w:rPr>
      </w:pPr>
      <w:r w:rsidRPr="00941E38">
        <w:rPr>
          <w:rFonts w:eastAsia="Times New Roman" w:cs="Open Sans"/>
          <w:b/>
          <w:bCs/>
          <w:spacing w:val="-5"/>
        </w:rPr>
        <w:t xml:space="preserve">Recommendation </w:t>
      </w:r>
      <w:r>
        <w:rPr>
          <w:rFonts w:eastAsia="Times New Roman" w:cs="Open Sans"/>
          <w:b/>
          <w:bCs/>
          <w:spacing w:val="-5"/>
        </w:rPr>
        <w:t>2</w:t>
      </w:r>
    </w:p>
    <w:p w14:paraId="7149E9DF" w14:textId="77777777" w:rsidR="00201C9D" w:rsidRPr="0086275B" w:rsidRDefault="00201C9D" w:rsidP="00201C9D">
      <w:pPr>
        <w:pStyle w:val="ListParagraph"/>
        <w:rPr>
          <w:rFonts w:cs="Open Sans"/>
        </w:rPr>
      </w:pPr>
      <w:r>
        <w:rPr>
          <w:rFonts w:cs="Open Sans"/>
        </w:rPr>
        <w:t>T</w:t>
      </w:r>
      <w:r w:rsidRPr="0086275B">
        <w:rPr>
          <w:rFonts w:cs="Open Sans"/>
        </w:rPr>
        <w:t xml:space="preserve">he Department develop a mandatory protocol for responding to detainee-on-detainee violence, which includes the immediate separation of detainees following any such incident to accommodation where </w:t>
      </w:r>
      <w:r>
        <w:rPr>
          <w:rFonts w:cs="Open Sans"/>
        </w:rPr>
        <w:t xml:space="preserve">the alleged perpetrator </w:t>
      </w:r>
      <w:r w:rsidRPr="0086275B">
        <w:rPr>
          <w:rFonts w:cs="Open Sans"/>
        </w:rPr>
        <w:t xml:space="preserve">can no longer have access to </w:t>
      </w:r>
      <w:r>
        <w:rPr>
          <w:rFonts w:cs="Open Sans"/>
        </w:rPr>
        <w:t>the victim</w:t>
      </w:r>
      <w:r w:rsidRPr="0086275B">
        <w:rPr>
          <w:rFonts w:cs="Open Sans"/>
        </w:rPr>
        <w:t xml:space="preserve">. </w:t>
      </w:r>
    </w:p>
    <w:p w14:paraId="3B9E0008" w14:textId="77777777" w:rsidR="00201C9D" w:rsidRPr="0086275B" w:rsidRDefault="00201C9D" w:rsidP="00201C9D">
      <w:pPr>
        <w:keepNext/>
        <w:ind w:left="720"/>
        <w:rPr>
          <w:rFonts w:eastAsia="Times New Roman" w:cs="Open Sans"/>
          <w:b/>
          <w:bCs/>
          <w:spacing w:val="-5"/>
        </w:rPr>
      </w:pPr>
      <w:r w:rsidRPr="0086275B">
        <w:rPr>
          <w:rFonts w:eastAsia="Times New Roman" w:cs="Open Sans"/>
          <w:b/>
          <w:bCs/>
          <w:spacing w:val="-5"/>
        </w:rPr>
        <w:t xml:space="preserve">Recommendation </w:t>
      </w:r>
      <w:r>
        <w:rPr>
          <w:rFonts w:eastAsia="Times New Roman" w:cs="Open Sans"/>
          <w:b/>
          <w:bCs/>
          <w:spacing w:val="-5"/>
        </w:rPr>
        <w:t>3</w:t>
      </w:r>
    </w:p>
    <w:p w14:paraId="3773FBAA" w14:textId="77777777" w:rsidR="00201C9D" w:rsidRPr="0086275B" w:rsidRDefault="00201C9D" w:rsidP="00201C9D">
      <w:pPr>
        <w:ind w:left="720"/>
        <w:rPr>
          <w:rFonts w:eastAsia="Times New Roman" w:cs="Open Sans"/>
          <w:spacing w:val="-5"/>
        </w:rPr>
      </w:pPr>
      <w:r>
        <w:rPr>
          <w:rFonts w:eastAsia="Times New Roman" w:cs="Open Sans"/>
          <w:spacing w:val="-5"/>
        </w:rPr>
        <w:t>T</w:t>
      </w:r>
      <w:r w:rsidRPr="0086275B">
        <w:rPr>
          <w:rFonts w:eastAsia="Times New Roman" w:cs="Open Sans"/>
          <w:spacing w:val="-5"/>
        </w:rPr>
        <w:t xml:space="preserve">he Department </w:t>
      </w:r>
      <w:r>
        <w:rPr>
          <w:rFonts w:eastAsia="Times New Roman" w:cs="Open Sans"/>
          <w:spacing w:val="-5"/>
        </w:rPr>
        <w:t xml:space="preserve">ask Serco to </w:t>
      </w:r>
      <w:r w:rsidRPr="0086275B">
        <w:rPr>
          <w:rFonts w:eastAsia="Times New Roman" w:cs="Open Sans"/>
          <w:spacing w:val="-5"/>
        </w:rPr>
        <w:t xml:space="preserve">review </w:t>
      </w:r>
      <w:r>
        <w:rPr>
          <w:rFonts w:eastAsia="Times New Roman" w:cs="Open Sans"/>
          <w:spacing w:val="-5"/>
        </w:rPr>
        <w:t>the S</w:t>
      </w:r>
      <w:r w:rsidRPr="0086275B">
        <w:rPr>
          <w:rFonts w:eastAsia="Times New Roman" w:cs="Open Sans"/>
          <w:spacing w:val="-5"/>
        </w:rPr>
        <w:t xml:space="preserve">ecurity </w:t>
      </w:r>
      <w:r>
        <w:rPr>
          <w:rFonts w:eastAsia="Times New Roman" w:cs="Open Sans"/>
          <w:spacing w:val="-5"/>
        </w:rPr>
        <w:t>R</w:t>
      </w:r>
      <w:r w:rsidRPr="0086275B">
        <w:rPr>
          <w:rFonts w:eastAsia="Times New Roman" w:cs="Open Sans"/>
          <w:spacing w:val="-5"/>
        </w:rPr>
        <w:t xml:space="preserve">isk </w:t>
      </w:r>
      <w:r>
        <w:rPr>
          <w:rFonts w:eastAsia="Times New Roman" w:cs="Open Sans"/>
          <w:spacing w:val="-5"/>
        </w:rPr>
        <w:t>A</w:t>
      </w:r>
      <w:r w:rsidRPr="0086275B">
        <w:rPr>
          <w:rFonts w:eastAsia="Times New Roman" w:cs="Open Sans"/>
          <w:spacing w:val="-5"/>
        </w:rPr>
        <w:t xml:space="preserve">ssessment </w:t>
      </w:r>
      <w:r>
        <w:rPr>
          <w:rFonts w:eastAsia="Times New Roman" w:cs="Open Sans"/>
          <w:spacing w:val="-5"/>
        </w:rPr>
        <w:t xml:space="preserve">Tool </w:t>
      </w:r>
      <w:r w:rsidRPr="0086275B">
        <w:rPr>
          <w:rFonts w:eastAsia="Times New Roman" w:cs="Open Sans"/>
          <w:spacing w:val="-5"/>
        </w:rPr>
        <w:t xml:space="preserve">to ensure that it clearly </w:t>
      </w:r>
      <w:r>
        <w:rPr>
          <w:rFonts w:eastAsia="Times New Roman" w:cs="Open Sans"/>
          <w:spacing w:val="-5"/>
        </w:rPr>
        <w:t xml:space="preserve">identifies detainees who are vulnerable to harm from other detainees, and detainees </w:t>
      </w:r>
      <w:r w:rsidRPr="0086275B">
        <w:rPr>
          <w:rFonts w:eastAsia="Times New Roman" w:cs="Open Sans"/>
          <w:spacing w:val="-5"/>
        </w:rPr>
        <w:t xml:space="preserve">who present a risk to the safety of </w:t>
      </w:r>
      <w:r>
        <w:rPr>
          <w:rFonts w:eastAsia="Times New Roman" w:cs="Open Sans"/>
          <w:spacing w:val="-5"/>
        </w:rPr>
        <w:t>other detainees</w:t>
      </w:r>
      <w:r w:rsidRPr="0086275B">
        <w:rPr>
          <w:rFonts w:eastAsia="Times New Roman" w:cs="Open Sans"/>
          <w:spacing w:val="-5"/>
        </w:rPr>
        <w:t xml:space="preserve">. </w:t>
      </w:r>
    </w:p>
    <w:p w14:paraId="778A6A8B" w14:textId="77777777" w:rsidR="00201C9D" w:rsidRPr="0086275B" w:rsidRDefault="00201C9D" w:rsidP="00201C9D">
      <w:pPr>
        <w:keepNext/>
        <w:ind w:firstLine="720"/>
        <w:rPr>
          <w:rFonts w:eastAsia="Times New Roman" w:cs="Open Sans"/>
          <w:b/>
          <w:bCs/>
          <w:spacing w:val="-5"/>
        </w:rPr>
      </w:pPr>
      <w:r w:rsidRPr="0086275B">
        <w:rPr>
          <w:rFonts w:eastAsia="Times New Roman" w:cs="Open Sans"/>
          <w:b/>
          <w:bCs/>
          <w:spacing w:val="-5"/>
        </w:rPr>
        <w:t xml:space="preserve">Recommendation </w:t>
      </w:r>
      <w:r>
        <w:rPr>
          <w:rFonts w:eastAsia="Times New Roman" w:cs="Open Sans"/>
          <w:b/>
          <w:bCs/>
          <w:spacing w:val="-5"/>
        </w:rPr>
        <w:t>4</w:t>
      </w:r>
    </w:p>
    <w:p w14:paraId="142642C5" w14:textId="77777777" w:rsidR="00201C9D" w:rsidRDefault="00201C9D" w:rsidP="00201C9D">
      <w:pPr>
        <w:widowControl w:val="0"/>
        <w:ind w:left="720"/>
        <w:rPr>
          <w:rFonts w:eastAsia="Times New Roman" w:cs="Open Sans"/>
          <w:spacing w:val="-5"/>
        </w:rPr>
      </w:pPr>
      <w:r>
        <w:rPr>
          <w:rFonts w:eastAsia="Times New Roman" w:cs="Open Sans"/>
          <w:spacing w:val="-5"/>
        </w:rPr>
        <w:t>T</w:t>
      </w:r>
      <w:r w:rsidRPr="0086275B">
        <w:rPr>
          <w:rFonts w:eastAsia="Times New Roman" w:cs="Open Sans"/>
          <w:spacing w:val="-5"/>
        </w:rPr>
        <w:t xml:space="preserve">he Department should immediately implement measures to protect people at risk of violence at </w:t>
      </w:r>
      <w:r>
        <w:rPr>
          <w:rFonts w:eastAsia="Times New Roman" w:cs="Open Sans"/>
          <w:spacing w:val="-5"/>
        </w:rPr>
        <w:t>Villawood</w:t>
      </w:r>
      <w:r w:rsidRPr="0086275B">
        <w:rPr>
          <w:rFonts w:eastAsia="Times New Roman" w:cs="Open Sans"/>
          <w:spacing w:val="-5"/>
        </w:rPr>
        <w:t>, including by exploring alternative detention arrangements</w:t>
      </w:r>
      <w:r>
        <w:rPr>
          <w:rFonts w:eastAsia="Times New Roman" w:cs="Open Sans"/>
          <w:spacing w:val="-5"/>
        </w:rPr>
        <w:t>, including community detention or grants of bridging visas,</w:t>
      </w:r>
      <w:r w:rsidRPr="0086275B">
        <w:rPr>
          <w:rFonts w:eastAsia="Times New Roman" w:cs="Open Sans"/>
          <w:spacing w:val="-5"/>
        </w:rPr>
        <w:t xml:space="preserve"> that would allow for victims of violence to be separated from the alleged perpetrators. </w:t>
      </w:r>
    </w:p>
    <w:p w14:paraId="1ADC452D" w14:textId="77777777" w:rsidR="00201C9D" w:rsidRPr="0086275B" w:rsidRDefault="00201C9D" w:rsidP="00201C9D">
      <w:pPr>
        <w:keepNext/>
        <w:ind w:firstLine="720"/>
        <w:rPr>
          <w:rFonts w:eastAsia="Times New Roman" w:cs="Open Sans"/>
          <w:b/>
          <w:bCs/>
          <w:spacing w:val="-5"/>
        </w:rPr>
      </w:pPr>
      <w:r w:rsidRPr="0086275B">
        <w:rPr>
          <w:rFonts w:eastAsia="Times New Roman" w:cs="Open Sans"/>
          <w:b/>
          <w:bCs/>
          <w:spacing w:val="-5"/>
        </w:rPr>
        <w:t xml:space="preserve">Recommendation </w:t>
      </w:r>
      <w:r>
        <w:rPr>
          <w:rFonts w:eastAsia="Times New Roman" w:cs="Open Sans"/>
          <w:b/>
          <w:bCs/>
          <w:spacing w:val="-5"/>
        </w:rPr>
        <w:t>5</w:t>
      </w:r>
    </w:p>
    <w:p w14:paraId="0F569F60" w14:textId="77777777" w:rsidR="00201C9D" w:rsidRPr="0086275B" w:rsidRDefault="00201C9D" w:rsidP="00201C9D">
      <w:pPr>
        <w:ind w:left="720"/>
        <w:rPr>
          <w:color w:val="FFFFFF" w:themeColor="background1"/>
        </w:rPr>
      </w:pPr>
      <w:r>
        <w:rPr>
          <w:rFonts w:eastAsia="Times New Roman" w:cs="Open Sans"/>
          <w:spacing w:val="-5"/>
        </w:rPr>
        <w:t>T</w:t>
      </w:r>
      <w:r w:rsidRPr="0086275B">
        <w:rPr>
          <w:rFonts w:eastAsia="Times New Roman" w:cs="Open Sans"/>
          <w:spacing w:val="-5"/>
        </w:rPr>
        <w:t xml:space="preserve">he Department establish an independent review of threatened and actual violence at </w:t>
      </w:r>
      <w:r>
        <w:rPr>
          <w:rFonts w:eastAsia="Times New Roman" w:cs="Open Sans"/>
          <w:spacing w:val="-5"/>
        </w:rPr>
        <w:t>Villawood</w:t>
      </w:r>
      <w:r w:rsidRPr="0086275B">
        <w:rPr>
          <w:rFonts w:eastAsia="Times New Roman" w:cs="Open Sans"/>
          <w:spacing w:val="-5"/>
        </w:rPr>
        <w:t>, with a view to identifying measures to prevent violence and protect those at risk of harm.</w:t>
      </w:r>
      <w:r w:rsidRPr="0086275B">
        <w:rPr>
          <w:rFonts w:eastAsia="Times New Roman" w:cs="Open Sans"/>
          <w:spacing w:val="-5"/>
        </w:rPr>
        <w:tab/>
      </w:r>
    </w:p>
    <w:p w14:paraId="092CD90E" w14:textId="77777777" w:rsidR="00201C9D" w:rsidRDefault="00201C9D" w:rsidP="00201C9D">
      <w:pPr>
        <w:rPr>
          <w:rFonts w:eastAsia="Times New Roman" w:cs="Open Sans"/>
          <w:spacing w:val="-5"/>
        </w:rPr>
      </w:pPr>
    </w:p>
    <w:p w14:paraId="7C982566" w14:textId="4907C8C5" w:rsidR="00EB7988" w:rsidRDefault="003A3693" w:rsidP="000F7824">
      <w:pPr>
        <w:pStyle w:val="Heading1"/>
        <w:numPr>
          <w:ilvl w:val="0"/>
          <w:numId w:val="28"/>
        </w:numPr>
        <w:tabs>
          <w:tab w:val="num" w:pos="360"/>
        </w:tabs>
        <w:ind w:left="709" w:hanging="709"/>
        <w:rPr>
          <w:rFonts w:eastAsia="Times New Roman" w:cs="Open Sans"/>
          <w:szCs w:val="36"/>
        </w:rPr>
      </w:pPr>
      <w:bookmarkStart w:id="54" w:name="_Toc123828305"/>
      <w:r>
        <w:rPr>
          <w:rFonts w:eastAsia="Times New Roman" w:cs="Open Sans"/>
          <w:szCs w:val="36"/>
        </w:rPr>
        <w:lastRenderedPageBreak/>
        <w:t>The Department’s response to my findings and recommendations</w:t>
      </w:r>
      <w:bookmarkEnd w:id="54"/>
    </w:p>
    <w:p w14:paraId="5D4AAE49" w14:textId="03D082CE" w:rsidR="001C62A6" w:rsidRPr="00710B29" w:rsidRDefault="001C62A6" w:rsidP="000F7824">
      <w:pPr>
        <w:numPr>
          <w:ilvl w:val="0"/>
          <w:numId w:val="27"/>
        </w:numPr>
        <w:tabs>
          <w:tab w:val="num" w:pos="960"/>
        </w:tabs>
        <w:spacing w:after="160"/>
        <w:ind w:hanging="720"/>
        <w:rPr>
          <w:rFonts w:eastAsia="Times New Roman" w:cs="Open Sans"/>
          <w:spacing w:val="-5"/>
        </w:rPr>
      </w:pPr>
      <w:r w:rsidRPr="00710B29">
        <w:rPr>
          <w:rFonts w:eastAsia="Times New Roman" w:cs="Open Sans"/>
          <w:spacing w:val="-5"/>
        </w:rPr>
        <w:t xml:space="preserve">On </w:t>
      </w:r>
      <w:r w:rsidR="00FA37FA" w:rsidRPr="00710B29">
        <w:rPr>
          <w:rFonts w:eastAsia="Times New Roman" w:cs="Open Sans"/>
          <w:spacing w:val="-5"/>
        </w:rPr>
        <w:t>12 October 2022</w:t>
      </w:r>
      <w:r w:rsidRPr="00710B29">
        <w:rPr>
          <w:rFonts w:eastAsia="Times New Roman" w:cs="Open Sans"/>
          <w:spacing w:val="-5"/>
        </w:rPr>
        <w:t>, I provided the Department with a notice of my findings and recommendations.</w:t>
      </w:r>
    </w:p>
    <w:p w14:paraId="150D05FB" w14:textId="22581C13" w:rsidR="001C62A6" w:rsidRPr="003B7AAA" w:rsidRDefault="001C62A6" w:rsidP="000F7824">
      <w:pPr>
        <w:numPr>
          <w:ilvl w:val="0"/>
          <w:numId w:val="27"/>
        </w:numPr>
        <w:tabs>
          <w:tab w:val="num" w:pos="960"/>
        </w:tabs>
        <w:spacing w:after="160"/>
        <w:ind w:hanging="720"/>
        <w:rPr>
          <w:rFonts w:cs="Open Sans"/>
        </w:rPr>
      </w:pPr>
      <w:r w:rsidRPr="00710B29">
        <w:rPr>
          <w:rFonts w:eastAsia="Times New Roman" w:cs="Open Sans"/>
          <w:spacing w:val="-5"/>
        </w:rPr>
        <w:t>On</w:t>
      </w:r>
      <w:r>
        <w:rPr>
          <w:rFonts w:cs="Open Sans"/>
        </w:rPr>
        <w:t xml:space="preserve"> </w:t>
      </w:r>
      <w:r w:rsidR="00DA2452">
        <w:rPr>
          <w:rFonts w:cs="Open Sans"/>
        </w:rPr>
        <w:t>20 December 2022</w:t>
      </w:r>
      <w:r>
        <w:rPr>
          <w:rFonts w:cs="Open Sans"/>
        </w:rPr>
        <w:t xml:space="preserve">, the Department provided the following response to my findings and recommendations: </w:t>
      </w:r>
    </w:p>
    <w:p w14:paraId="511E273C" w14:textId="4B22307D" w:rsidR="0070471A" w:rsidRDefault="001C62A6" w:rsidP="00CA0669">
      <w:pPr>
        <w:keepLines/>
        <w:ind w:left="1440"/>
        <w:rPr>
          <w:rFonts w:eastAsia="Times New Roman" w:cs="Open Sans"/>
          <w:spacing w:val="-5"/>
          <w:sz w:val="22"/>
          <w:szCs w:val="18"/>
          <w:lang w:eastAsia="en-US"/>
        </w:rPr>
      </w:pPr>
      <w:r w:rsidRPr="003B7AAA">
        <w:rPr>
          <w:rFonts w:eastAsia="Times New Roman" w:cs="Open Sans"/>
          <w:spacing w:val="-5"/>
          <w:sz w:val="22"/>
          <w:szCs w:val="18"/>
          <w:lang w:eastAsia="en-US"/>
        </w:rPr>
        <w:t xml:space="preserve">The Department of Home Affairs (the Department) values the role of the Australian Human Rights Commission (the Commission) to inquire into human rights complaints and acknowledges the findings and recommendations made. </w:t>
      </w:r>
    </w:p>
    <w:p w14:paraId="5261FFF2" w14:textId="6489033B" w:rsidR="00CA0669" w:rsidRDefault="00FF4611" w:rsidP="00CA0669">
      <w:pPr>
        <w:keepLines/>
        <w:ind w:left="1440"/>
        <w:rPr>
          <w:rFonts w:eastAsia="Times New Roman" w:cs="Open Sans"/>
          <w:b/>
          <w:bCs/>
          <w:spacing w:val="-5"/>
          <w:sz w:val="22"/>
          <w:szCs w:val="18"/>
          <w:lang w:eastAsia="en-US"/>
        </w:rPr>
      </w:pPr>
      <w:r w:rsidRPr="0070471A">
        <w:rPr>
          <w:rFonts w:eastAsia="Times New Roman" w:cs="Open Sans"/>
          <w:b/>
          <w:bCs/>
          <w:spacing w:val="-5"/>
          <w:sz w:val="22"/>
          <w:szCs w:val="18"/>
          <w:lang w:eastAsia="en-US"/>
        </w:rPr>
        <w:t>Risk Assessment</w:t>
      </w:r>
    </w:p>
    <w:p w14:paraId="3E7C103A" w14:textId="77777777" w:rsidR="00EB6A91" w:rsidRDefault="0070471A" w:rsidP="00CA0669">
      <w:pPr>
        <w:keepLines/>
        <w:ind w:left="1440"/>
        <w:rPr>
          <w:rFonts w:eastAsia="Times New Roman" w:cs="Open Sans"/>
          <w:spacing w:val="-5"/>
          <w:sz w:val="22"/>
          <w:szCs w:val="18"/>
          <w:lang w:eastAsia="en-US"/>
        </w:rPr>
      </w:pPr>
      <w:r w:rsidRPr="0070471A">
        <w:rPr>
          <w:rFonts w:eastAsia="Times New Roman" w:cs="Open Sans"/>
          <w:spacing w:val="-5"/>
          <w:sz w:val="22"/>
          <w:szCs w:val="18"/>
          <w:lang w:eastAsia="en-US"/>
        </w:rPr>
        <w:t xml:space="preserve">The Department notes recommendation one. The Department considers there are already documented risk assessments that are undertaken for all detainees involved in an act of violence. A detainee’s security risk assessment captures each incident a detainee is involved in regardless of whether they were an alleged victim, an alleged offender or involved in any other capacity. The risk assessment is reviewed every 28 days, and upon a major or critical incident, or if there is information obtained that may impact the risk rating of the detainee. This assessment uses quantitative and qualitative methods to assess and calculate risk based on known criteria for each detainee. At the completion of each review, the updated risk assessment is recorded on Departmental systems. </w:t>
      </w:r>
    </w:p>
    <w:p w14:paraId="3D3E5CBB" w14:textId="77777777" w:rsidR="00EB6A91" w:rsidRDefault="0070471A" w:rsidP="00CA0669">
      <w:pPr>
        <w:keepLines/>
        <w:ind w:left="1440"/>
        <w:rPr>
          <w:rFonts w:eastAsia="Times New Roman" w:cs="Open Sans"/>
          <w:spacing w:val="-5"/>
          <w:sz w:val="22"/>
          <w:szCs w:val="18"/>
          <w:lang w:eastAsia="en-US"/>
        </w:rPr>
      </w:pPr>
      <w:r w:rsidRPr="0070471A">
        <w:rPr>
          <w:rFonts w:eastAsia="Times New Roman" w:cs="Open Sans"/>
          <w:spacing w:val="-5"/>
          <w:sz w:val="22"/>
          <w:szCs w:val="18"/>
          <w:lang w:eastAsia="en-US"/>
        </w:rPr>
        <w:t xml:space="preserve">The Facilities and Detainee Service Provider (FDSP) monitors detainee interactions and has mitigation strategies in place to maintain detainee safety and security. The FDSP maintains internal placement strategies and makes recommendations to the Australian Border Force (ABF) on appropriate placements within the facility. </w:t>
      </w:r>
    </w:p>
    <w:p w14:paraId="4A6DA5BA" w14:textId="77777777" w:rsidR="00EB6A91" w:rsidRDefault="0070471A" w:rsidP="00CA0669">
      <w:pPr>
        <w:keepLines/>
        <w:ind w:left="1440"/>
        <w:rPr>
          <w:rFonts w:eastAsia="Times New Roman" w:cs="Open Sans"/>
          <w:spacing w:val="-5"/>
          <w:sz w:val="22"/>
          <w:szCs w:val="18"/>
          <w:lang w:eastAsia="en-US"/>
        </w:rPr>
      </w:pPr>
      <w:r w:rsidRPr="0070471A">
        <w:rPr>
          <w:rFonts w:eastAsia="Times New Roman" w:cs="Open Sans"/>
          <w:spacing w:val="-5"/>
          <w:sz w:val="22"/>
          <w:szCs w:val="18"/>
          <w:lang w:eastAsia="en-US"/>
        </w:rPr>
        <w:t>In the event of an incident of detainee-on-detainee violence within the Immigration Detention Network (IDN), once the FDSP is aware, the involved persons would be immediately separated, and medical assistance offered where required. Depending on ABF approval, the alleged offender may be placed in High Care Accommodation (HCA). If there is a perceived risk to the alleged victim, temporary placement in the HCA may be sought or offered on a voluntary basis. Any placement in the HCA is at the discretion of the ABF based on security and health advice from service providers. Any HCA placement longer than 24 hours must be justified and approved by the ABF.</w:t>
      </w:r>
    </w:p>
    <w:p w14:paraId="19BF246E" w14:textId="77777777" w:rsidR="00B94CBD" w:rsidRDefault="00543703" w:rsidP="00CA0669">
      <w:pPr>
        <w:keepLines/>
        <w:ind w:left="1440"/>
        <w:rPr>
          <w:rFonts w:eastAsia="Times New Roman" w:cs="Open Sans"/>
          <w:spacing w:val="-5"/>
          <w:sz w:val="22"/>
          <w:szCs w:val="18"/>
          <w:lang w:eastAsia="en-US"/>
        </w:rPr>
      </w:pPr>
      <w:r w:rsidRPr="00711744">
        <w:rPr>
          <w:rFonts w:eastAsia="Times New Roman" w:cs="Open Sans"/>
          <w:spacing w:val="-5"/>
          <w:sz w:val="22"/>
          <w:szCs w:val="18"/>
          <w:lang w:eastAsia="en-US"/>
        </w:rPr>
        <w:lastRenderedPageBreak/>
        <w:t xml:space="preserve">Within 24 to 48 hours of the incident, placement arrangements for the detainees involved must be reviewed by stakeholders to determine suitability. This includes considering accommodation availability and known intelligence holdings before placement recommendations are made. The final approval for internal compound movements is at the discretion of the ABF Superintendent. </w:t>
      </w:r>
    </w:p>
    <w:p w14:paraId="7B9AE2DF" w14:textId="77777777" w:rsidR="00B94CBD" w:rsidRDefault="00543703" w:rsidP="00CA0669">
      <w:pPr>
        <w:keepLines/>
        <w:ind w:left="1440"/>
        <w:rPr>
          <w:rFonts w:eastAsia="Times New Roman" w:cs="Open Sans"/>
          <w:spacing w:val="-5"/>
          <w:sz w:val="22"/>
          <w:szCs w:val="18"/>
          <w:lang w:eastAsia="en-US"/>
        </w:rPr>
      </w:pPr>
      <w:r w:rsidRPr="00711744">
        <w:rPr>
          <w:rFonts w:eastAsia="Times New Roman" w:cs="Open Sans"/>
          <w:spacing w:val="-5"/>
          <w:sz w:val="22"/>
          <w:szCs w:val="18"/>
          <w:lang w:eastAsia="en-US"/>
        </w:rPr>
        <w:t xml:space="preserve">If HCA placement or internal transfers do not occur, enhanced monitoring may be initiated for one or more involved detainees. For all alleged assaults, the FDSP will complete a referral package to the Australian Federal Police or state/territory law enforcement authorities and provide this to the ABF. The ABF will progress the referral package to relevant authorities for their consideration. </w:t>
      </w:r>
    </w:p>
    <w:p w14:paraId="64F7A5DE" w14:textId="54E54BD4" w:rsidR="00FF4611" w:rsidRPr="00CA0669" w:rsidRDefault="00543703" w:rsidP="00CA0669">
      <w:pPr>
        <w:keepLines/>
        <w:ind w:left="1440"/>
        <w:rPr>
          <w:rFonts w:eastAsia="Times New Roman" w:cs="Open Sans"/>
          <w:spacing w:val="-5"/>
          <w:sz w:val="22"/>
          <w:szCs w:val="18"/>
          <w:lang w:eastAsia="en-US"/>
        </w:rPr>
      </w:pPr>
      <w:r w:rsidRPr="00711744">
        <w:rPr>
          <w:rFonts w:eastAsia="Times New Roman" w:cs="Open Sans"/>
          <w:spacing w:val="-5"/>
          <w:sz w:val="22"/>
          <w:szCs w:val="18"/>
          <w:lang w:eastAsia="en-US"/>
        </w:rPr>
        <w:t>In addition, assessment on the likelihood of an alleged perpetrator engaging in a further act of violence in the future and the risks posed to the detainee who was the victim, is managed within the following two site based governance framework meetings. These site-based meetings capture the records of violence and enable relevant stakeholders to implement mitigation strategies.</w:t>
      </w:r>
    </w:p>
    <w:p w14:paraId="2A950AC9" w14:textId="5410AEBF" w:rsidR="00543703" w:rsidRPr="00711744" w:rsidRDefault="00543703" w:rsidP="001C62A6">
      <w:pPr>
        <w:keepLines/>
        <w:ind w:left="1440"/>
        <w:rPr>
          <w:rFonts w:eastAsia="Times New Roman" w:cs="Open Sans"/>
          <w:b/>
          <w:bCs/>
          <w:spacing w:val="-5"/>
          <w:sz w:val="22"/>
          <w:szCs w:val="18"/>
          <w:lang w:eastAsia="en-US"/>
        </w:rPr>
      </w:pPr>
      <w:r w:rsidRPr="00711744">
        <w:rPr>
          <w:rFonts w:eastAsia="Times New Roman" w:cs="Open Sans"/>
          <w:b/>
          <w:bCs/>
          <w:spacing w:val="-5"/>
          <w:sz w:val="22"/>
          <w:szCs w:val="18"/>
          <w:lang w:eastAsia="en-US"/>
        </w:rPr>
        <w:t>Morning stakeholder meeting</w:t>
      </w:r>
    </w:p>
    <w:p w14:paraId="3631C384" w14:textId="77777777" w:rsidR="005F0674" w:rsidRPr="00711744" w:rsidRDefault="005F0674" w:rsidP="001C62A6">
      <w:pPr>
        <w:keepLines/>
        <w:ind w:left="1440"/>
        <w:rPr>
          <w:rFonts w:eastAsia="Times New Roman" w:cs="Open Sans"/>
          <w:spacing w:val="-5"/>
          <w:sz w:val="22"/>
          <w:szCs w:val="18"/>
          <w:lang w:eastAsia="en-US"/>
        </w:rPr>
      </w:pPr>
      <w:r w:rsidRPr="00711744">
        <w:rPr>
          <w:rFonts w:eastAsia="Times New Roman" w:cs="Open Sans"/>
          <w:spacing w:val="-5"/>
          <w:sz w:val="22"/>
          <w:szCs w:val="18"/>
          <w:lang w:eastAsia="en-US"/>
        </w:rPr>
        <w:t xml:space="preserve">The morning stakeholder meetings are held every weekday with representatives from the ABF, the FDSP and Detention Health Service Provider (DHSP). The meetings are chaired by the ABF, and discuss the following: </w:t>
      </w:r>
    </w:p>
    <w:p w14:paraId="1DB72E5A" w14:textId="1779F396" w:rsidR="005F0674" w:rsidRPr="00711744" w:rsidRDefault="005F0674" w:rsidP="001C62A6">
      <w:pPr>
        <w:keepLines/>
        <w:ind w:left="1440"/>
        <w:rPr>
          <w:rFonts w:eastAsia="Times New Roman" w:cs="Open Sans"/>
          <w:spacing w:val="-5"/>
          <w:sz w:val="22"/>
          <w:szCs w:val="18"/>
          <w:lang w:eastAsia="en-US"/>
        </w:rPr>
      </w:pPr>
      <w:r w:rsidRPr="00711744">
        <w:rPr>
          <w:rFonts w:eastAsia="Times New Roman" w:cs="Open Sans"/>
          <w:spacing w:val="-5"/>
          <w:sz w:val="22"/>
          <w:szCs w:val="18"/>
          <w:lang w:eastAsia="en-US"/>
        </w:rPr>
        <w:t xml:space="preserve">Incidents that have occurred within the past 24 hours (72 hours on a Monday) including detainees involved and local management strategies that were used in response to those incidents, such as </w:t>
      </w:r>
      <w:proofErr w:type="spellStart"/>
      <w:r w:rsidRPr="00711744">
        <w:rPr>
          <w:rFonts w:eastAsia="Times New Roman" w:cs="Open Sans"/>
          <w:spacing w:val="-5"/>
          <w:sz w:val="22"/>
          <w:szCs w:val="18"/>
          <w:lang w:eastAsia="en-US"/>
        </w:rPr>
        <w:t>Keepsafe</w:t>
      </w:r>
      <w:proofErr w:type="spellEnd"/>
      <w:r w:rsidRPr="00711744">
        <w:rPr>
          <w:rFonts w:eastAsia="Times New Roman" w:cs="Open Sans"/>
          <w:spacing w:val="-5"/>
          <w:sz w:val="22"/>
          <w:szCs w:val="18"/>
          <w:lang w:eastAsia="en-US"/>
        </w:rPr>
        <w:t xml:space="preserve">, enhanced monitoring and high care accommodation placements. </w:t>
      </w:r>
    </w:p>
    <w:p w14:paraId="746B83BE" w14:textId="77777777" w:rsidR="005F0674" w:rsidRPr="00B94CBD" w:rsidRDefault="005F0674" w:rsidP="000F7824">
      <w:pPr>
        <w:pStyle w:val="ListParagraph"/>
        <w:keepLines/>
        <w:numPr>
          <w:ilvl w:val="0"/>
          <w:numId w:val="32"/>
        </w:numPr>
        <w:rPr>
          <w:rFonts w:eastAsia="Times New Roman" w:cs="Open Sans"/>
          <w:spacing w:val="-5"/>
          <w:sz w:val="22"/>
          <w:szCs w:val="18"/>
          <w:lang w:eastAsia="en-US"/>
        </w:rPr>
      </w:pPr>
      <w:r w:rsidRPr="00B94CBD">
        <w:rPr>
          <w:rFonts w:eastAsia="Times New Roman" w:cs="Open Sans"/>
          <w:spacing w:val="-5"/>
          <w:sz w:val="22"/>
          <w:szCs w:val="18"/>
          <w:lang w:eastAsia="en-US"/>
        </w:rPr>
        <w:t xml:space="preserve">Updates regarding the FDSP intelligence holdings. </w:t>
      </w:r>
    </w:p>
    <w:p w14:paraId="5157FF0F" w14:textId="77777777" w:rsidR="005F0674" w:rsidRPr="00B94CBD" w:rsidRDefault="005F0674" w:rsidP="000F7824">
      <w:pPr>
        <w:pStyle w:val="ListParagraph"/>
        <w:keepLines/>
        <w:numPr>
          <w:ilvl w:val="0"/>
          <w:numId w:val="32"/>
        </w:numPr>
        <w:rPr>
          <w:rFonts w:eastAsia="Times New Roman" w:cs="Open Sans"/>
          <w:spacing w:val="-5"/>
          <w:sz w:val="22"/>
          <w:szCs w:val="18"/>
          <w:lang w:eastAsia="en-US"/>
        </w:rPr>
      </w:pPr>
      <w:r w:rsidRPr="00B94CBD">
        <w:rPr>
          <w:rFonts w:eastAsia="Times New Roman" w:cs="Open Sans"/>
          <w:spacing w:val="-5"/>
          <w:sz w:val="22"/>
          <w:szCs w:val="18"/>
          <w:lang w:eastAsia="en-US"/>
        </w:rPr>
        <w:t xml:space="preserve">DHSP updates regarding detainees on the Psychological Support Program (PSP) and health related incidents in the last 24 hours. </w:t>
      </w:r>
    </w:p>
    <w:p w14:paraId="55F47429" w14:textId="77777777" w:rsidR="005F0674" w:rsidRPr="00B94CBD" w:rsidRDefault="005F0674" w:rsidP="000F7824">
      <w:pPr>
        <w:pStyle w:val="ListParagraph"/>
        <w:keepLines/>
        <w:numPr>
          <w:ilvl w:val="0"/>
          <w:numId w:val="32"/>
        </w:numPr>
        <w:rPr>
          <w:rFonts w:eastAsia="Times New Roman" w:cs="Open Sans"/>
          <w:spacing w:val="-5"/>
          <w:sz w:val="22"/>
          <w:szCs w:val="18"/>
          <w:lang w:eastAsia="en-US"/>
        </w:rPr>
      </w:pPr>
      <w:r w:rsidRPr="00B94CBD">
        <w:rPr>
          <w:rFonts w:eastAsia="Times New Roman" w:cs="Open Sans"/>
          <w:spacing w:val="-5"/>
          <w:sz w:val="22"/>
          <w:szCs w:val="18"/>
          <w:lang w:eastAsia="en-US"/>
        </w:rPr>
        <w:t xml:space="preserve">ABF overview and update. </w:t>
      </w:r>
    </w:p>
    <w:p w14:paraId="11629EF3" w14:textId="77777777" w:rsidR="003F7BFB" w:rsidRDefault="005F0674" w:rsidP="000F7824">
      <w:pPr>
        <w:pStyle w:val="ListParagraph"/>
        <w:keepLines/>
        <w:numPr>
          <w:ilvl w:val="0"/>
          <w:numId w:val="32"/>
        </w:numPr>
        <w:rPr>
          <w:rFonts w:eastAsia="Times New Roman" w:cs="Open Sans"/>
          <w:spacing w:val="-5"/>
          <w:sz w:val="22"/>
          <w:szCs w:val="18"/>
          <w:lang w:eastAsia="en-US"/>
        </w:rPr>
      </w:pPr>
      <w:r w:rsidRPr="00B94CBD">
        <w:rPr>
          <w:rFonts w:eastAsia="Times New Roman" w:cs="Open Sans"/>
          <w:spacing w:val="-5"/>
          <w:sz w:val="22"/>
          <w:szCs w:val="18"/>
          <w:lang w:eastAsia="en-US"/>
        </w:rPr>
        <w:t xml:space="preserve">FDSP operational update on </w:t>
      </w:r>
      <w:proofErr w:type="spellStart"/>
      <w:r w:rsidRPr="00B94CBD">
        <w:rPr>
          <w:rFonts w:eastAsia="Times New Roman" w:cs="Open Sans"/>
          <w:spacing w:val="-5"/>
          <w:sz w:val="22"/>
          <w:szCs w:val="18"/>
          <w:lang w:eastAsia="en-US"/>
        </w:rPr>
        <w:t>Keepsafe</w:t>
      </w:r>
      <w:proofErr w:type="spellEnd"/>
      <w:r w:rsidRPr="00B94CBD">
        <w:rPr>
          <w:rFonts w:eastAsia="Times New Roman" w:cs="Open Sans"/>
          <w:spacing w:val="-5"/>
          <w:sz w:val="22"/>
          <w:szCs w:val="18"/>
          <w:lang w:eastAsia="en-US"/>
        </w:rPr>
        <w:t>, enhanced monitoring, behaviour management plans and scheduling for upcoming external escorts.</w:t>
      </w:r>
    </w:p>
    <w:p w14:paraId="1623E37F" w14:textId="77777777" w:rsidR="003F7BFB" w:rsidRDefault="003F7BFB" w:rsidP="003F7BFB">
      <w:pPr>
        <w:keepLines/>
        <w:ind w:left="1440"/>
        <w:rPr>
          <w:rFonts w:eastAsia="Times New Roman" w:cs="Open Sans"/>
          <w:b/>
          <w:bCs/>
          <w:spacing w:val="-5"/>
          <w:sz w:val="22"/>
          <w:szCs w:val="18"/>
          <w:lang w:eastAsia="en-US"/>
        </w:rPr>
      </w:pPr>
    </w:p>
    <w:p w14:paraId="6C22A0D2" w14:textId="77777777" w:rsidR="003F7BFB" w:rsidRDefault="003F7BFB" w:rsidP="003F7BFB">
      <w:pPr>
        <w:keepLines/>
        <w:ind w:left="1440"/>
        <w:rPr>
          <w:rFonts w:eastAsia="Times New Roman" w:cs="Open Sans"/>
          <w:b/>
          <w:bCs/>
          <w:spacing w:val="-5"/>
          <w:sz w:val="22"/>
          <w:szCs w:val="18"/>
          <w:lang w:eastAsia="en-US"/>
        </w:rPr>
      </w:pPr>
    </w:p>
    <w:p w14:paraId="6A80F5DD" w14:textId="77777777" w:rsidR="003F7BFB" w:rsidRDefault="003F7BFB" w:rsidP="003F7BFB">
      <w:pPr>
        <w:keepLines/>
        <w:ind w:left="1440"/>
        <w:rPr>
          <w:rFonts w:eastAsia="Times New Roman" w:cs="Open Sans"/>
          <w:b/>
          <w:bCs/>
          <w:spacing w:val="-5"/>
          <w:sz w:val="22"/>
          <w:szCs w:val="18"/>
          <w:lang w:eastAsia="en-US"/>
        </w:rPr>
      </w:pPr>
    </w:p>
    <w:p w14:paraId="618F0646" w14:textId="07809280" w:rsidR="003F7BFB" w:rsidRDefault="005F0674" w:rsidP="003F7BFB">
      <w:pPr>
        <w:keepLines/>
        <w:ind w:left="1440"/>
        <w:rPr>
          <w:rFonts w:eastAsia="Times New Roman" w:cs="Open Sans"/>
          <w:spacing w:val="-5"/>
          <w:sz w:val="22"/>
          <w:szCs w:val="18"/>
          <w:lang w:eastAsia="en-US"/>
        </w:rPr>
      </w:pPr>
      <w:r w:rsidRPr="003F7BFB">
        <w:rPr>
          <w:rFonts w:eastAsia="Times New Roman" w:cs="Open Sans"/>
          <w:b/>
          <w:bCs/>
          <w:spacing w:val="-5"/>
          <w:sz w:val="22"/>
          <w:szCs w:val="18"/>
          <w:lang w:eastAsia="en-US"/>
        </w:rPr>
        <w:t>Individual Management and Placement Review Committee (IMPRC) Meeting</w:t>
      </w:r>
    </w:p>
    <w:p w14:paraId="3026A206" w14:textId="7E88CF8B" w:rsidR="003F7BFB" w:rsidRDefault="00A34E82" w:rsidP="003F7BFB">
      <w:pPr>
        <w:keepLines/>
        <w:ind w:left="1440"/>
        <w:rPr>
          <w:rFonts w:eastAsia="Times New Roman" w:cs="Open Sans"/>
          <w:spacing w:val="-5"/>
          <w:sz w:val="22"/>
          <w:szCs w:val="18"/>
          <w:lang w:eastAsia="en-US"/>
        </w:rPr>
      </w:pPr>
      <w:r w:rsidRPr="00711744">
        <w:rPr>
          <w:rFonts w:eastAsia="Times New Roman" w:cs="Open Sans"/>
          <w:spacing w:val="-5"/>
          <w:sz w:val="22"/>
          <w:szCs w:val="18"/>
          <w:lang w:eastAsia="en-US"/>
        </w:rPr>
        <w:lastRenderedPageBreak/>
        <w:t xml:space="preserve">The IMPRC meetings are held monthly or more frequently as required, and is chaired by the ABF. The IMPRC is attended by all stakeholders, including the ABF, DHSP and FDSP, and provides a regular consultative forum for stakeholders to review ‘at risk’ or ‘vulnerable’ detainees, taking advice and recommendations that reflect the broad range of views and experience of the stakeholders in attendance. </w:t>
      </w:r>
    </w:p>
    <w:p w14:paraId="29EF3AB7" w14:textId="77777777" w:rsidR="003F7BFB" w:rsidRPr="003F7BFB" w:rsidRDefault="00A34E82" w:rsidP="000F7824">
      <w:pPr>
        <w:pStyle w:val="ListParagraph"/>
        <w:keepLines/>
        <w:numPr>
          <w:ilvl w:val="0"/>
          <w:numId w:val="35"/>
        </w:numPr>
        <w:rPr>
          <w:rFonts w:eastAsia="Times New Roman" w:cs="Open Sans"/>
          <w:spacing w:val="-5"/>
          <w:sz w:val="22"/>
          <w:szCs w:val="18"/>
          <w:lang w:eastAsia="en-US"/>
        </w:rPr>
      </w:pPr>
      <w:r w:rsidRPr="003F7BFB">
        <w:rPr>
          <w:rFonts w:eastAsia="Times New Roman" w:cs="Open Sans"/>
          <w:spacing w:val="-5"/>
          <w:sz w:val="22"/>
          <w:szCs w:val="18"/>
          <w:lang w:eastAsia="en-US"/>
        </w:rPr>
        <w:t xml:space="preserve">Review, update and action Individual Management Plans (IMPs). </w:t>
      </w:r>
    </w:p>
    <w:p w14:paraId="31F59C7D" w14:textId="77777777" w:rsidR="003F7BFB" w:rsidRPr="003F7BFB" w:rsidRDefault="00A34E82" w:rsidP="000F7824">
      <w:pPr>
        <w:pStyle w:val="ListParagraph"/>
        <w:keepLines/>
        <w:numPr>
          <w:ilvl w:val="0"/>
          <w:numId w:val="35"/>
        </w:numPr>
        <w:rPr>
          <w:rFonts w:eastAsia="Times New Roman" w:cs="Open Sans"/>
          <w:spacing w:val="-5"/>
          <w:sz w:val="22"/>
          <w:szCs w:val="18"/>
          <w:lang w:eastAsia="en-US"/>
        </w:rPr>
      </w:pPr>
      <w:r w:rsidRPr="003F7BFB">
        <w:rPr>
          <w:rFonts w:eastAsia="Times New Roman" w:cs="Open Sans"/>
          <w:spacing w:val="-5"/>
          <w:sz w:val="22"/>
          <w:szCs w:val="18"/>
          <w:lang w:eastAsia="en-US"/>
        </w:rPr>
        <w:t>Develop and implement prevention strategies for detainees at risk.</w:t>
      </w:r>
    </w:p>
    <w:p w14:paraId="5A45FCFC" w14:textId="77777777" w:rsidR="003F7BFB" w:rsidRPr="003F7BFB" w:rsidRDefault="00A34E82" w:rsidP="000F7824">
      <w:pPr>
        <w:pStyle w:val="ListParagraph"/>
        <w:keepLines/>
        <w:numPr>
          <w:ilvl w:val="0"/>
          <w:numId w:val="35"/>
        </w:numPr>
        <w:rPr>
          <w:rFonts w:eastAsia="Times New Roman" w:cs="Open Sans"/>
          <w:spacing w:val="-5"/>
          <w:sz w:val="22"/>
          <w:szCs w:val="18"/>
          <w:lang w:eastAsia="en-US"/>
        </w:rPr>
      </w:pPr>
      <w:r w:rsidRPr="003F7BFB">
        <w:rPr>
          <w:rFonts w:eastAsia="Times New Roman" w:cs="Open Sans"/>
          <w:spacing w:val="-5"/>
          <w:sz w:val="22"/>
          <w:szCs w:val="18"/>
          <w:lang w:eastAsia="en-US"/>
        </w:rPr>
        <w:t xml:space="preserve">Review detainee placement options for those at risk. </w:t>
      </w:r>
    </w:p>
    <w:p w14:paraId="39C67617" w14:textId="77777777" w:rsidR="003F7BFB" w:rsidRPr="003F7BFB" w:rsidRDefault="00A34E82" w:rsidP="000F7824">
      <w:pPr>
        <w:pStyle w:val="ListParagraph"/>
        <w:keepLines/>
        <w:numPr>
          <w:ilvl w:val="0"/>
          <w:numId w:val="35"/>
        </w:numPr>
        <w:rPr>
          <w:rFonts w:eastAsia="Times New Roman" w:cs="Open Sans"/>
          <w:spacing w:val="-5"/>
          <w:sz w:val="22"/>
          <w:szCs w:val="18"/>
          <w:lang w:eastAsia="en-US"/>
        </w:rPr>
      </w:pPr>
      <w:r w:rsidRPr="003F7BFB">
        <w:rPr>
          <w:rFonts w:eastAsia="Times New Roman" w:cs="Open Sans"/>
          <w:spacing w:val="-5"/>
          <w:sz w:val="22"/>
          <w:szCs w:val="18"/>
          <w:lang w:eastAsia="en-US"/>
        </w:rPr>
        <w:t xml:space="preserve">Review, update and action Behaviour Management Plans (BMPs) for detainees engaging in inappropriate behaviours and actions. </w:t>
      </w:r>
    </w:p>
    <w:p w14:paraId="1873F3D6" w14:textId="2B1E0584" w:rsidR="005F0674" w:rsidRPr="00711744" w:rsidRDefault="00A34E82" w:rsidP="003F7BFB">
      <w:pPr>
        <w:keepLines/>
        <w:ind w:left="1440"/>
        <w:rPr>
          <w:rFonts w:eastAsia="Times New Roman" w:cs="Open Sans"/>
          <w:spacing w:val="-5"/>
          <w:sz w:val="22"/>
          <w:szCs w:val="18"/>
          <w:lang w:eastAsia="en-US"/>
        </w:rPr>
      </w:pPr>
      <w:r w:rsidRPr="00711744">
        <w:rPr>
          <w:rFonts w:eastAsia="Times New Roman" w:cs="Open Sans"/>
          <w:spacing w:val="-5"/>
          <w:sz w:val="22"/>
          <w:szCs w:val="18"/>
          <w:lang w:eastAsia="en-US"/>
        </w:rPr>
        <w:t>Prior to IMPRC meetings, the most recent IMPs for the detainees to be discussed are reviewed and distributed to stakeholders. During the meeting, the agenda notes are reviewed for each detainee of concern, and assessments of their current care arrangements, along with proposed actions, are discussed. Following each IMPRC, the detainee’s IMP is updated to include any actions and recommendations. The IMP is tabled at the following IMPRC to ensure that the recommendations and actions were conducted. The IMPRC meeting outcomes are recorded and circulated amongst stakeholders. The FDSP will also meet and discuss with the detainee any changes to their care arrangements.</w:t>
      </w:r>
    </w:p>
    <w:p w14:paraId="4E5D4621" w14:textId="44F1CCDD" w:rsidR="00F41E2F" w:rsidRPr="003F7BFB" w:rsidRDefault="00711744" w:rsidP="003F7BFB">
      <w:pPr>
        <w:keepLines/>
        <w:ind w:left="1440"/>
        <w:rPr>
          <w:rFonts w:eastAsia="Times New Roman" w:cs="Open Sans"/>
          <w:spacing w:val="-5"/>
          <w:sz w:val="22"/>
          <w:szCs w:val="18"/>
          <w:lang w:eastAsia="en-US"/>
        </w:rPr>
      </w:pPr>
      <w:r w:rsidRPr="00711744">
        <w:rPr>
          <w:rFonts w:eastAsia="Times New Roman" w:cs="Open Sans"/>
          <w:spacing w:val="-5"/>
          <w:sz w:val="22"/>
          <w:szCs w:val="18"/>
          <w:lang w:eastAsia="en-US"/>
        </w:rPr>
        <w:t>In summary, the FDSP employs a risk assessment that involves the Security Risk Assessment Tool (SRAT), the morning stakeholder meeting and ongoing monthly reviews via the IMPRC. These risk assessments capture acts of violence and assist in preventing further violence from occurring and they entail ongoing and continuing review and monitoring of detainees. It is current practice that all incidents are documented and reported according to the FDSP and ABF’s policies and procedures.</w:t>
      </w:r>
    </w:p>
    <w:p w14:paraId="7065C669" w14:textId="457935F9" w:rsidR="003F7BFB" w:rsidRDefault="00711744" w:rsidP="003F7BFB">
      <w:pPr>
        <w:keepLines/>
        <w:ind w:left="1440"/>
        <w:rPr>
          <w:rFonts w:eastAsia="Times New Roman" w:cs="Open Sans"/>
          <w:b/>
          <w:bCs/>
          <w:spacing w:val="-5"/>
          <w:sz w:val="22"/>
          <w:szCs w:val="18"/>
          <w:lang w:eastAsia="en-US"/>
        </w:rPr>
      </w:pPr>
      <w:r w:rsidRPr="00D904AB">
        <w:rPr>
          <w:rFonts w:eastAsia="Times New Roman" w:cs="Open Sans"/>
          <w:b/>
          <w:bCs/>
          <w:spacing w:val="-5"/>
          <w:sz w:val="22"/>
          <w:szCs w:val="18"/>
          <w:lang w:eastAsia="en-US"/>
        </w:rPr>
        <w:t>Mandatory Protocol for responding to detainee-on-detainee violence</w:t>
      </w:r>
    </w:p>
    <w:p w14:paraId="72E1C8B3" w14:textId="77777777" w:rsidR="008970FC" w:rsidRDefault="003F7BFB" w:rsidP="008970FC">
      <w:pPr>
        <w:tabs>
          <w:tab w:val="left" w:pos="1453"/>
        </w:tabs>
        <w:ind w:left="1440"/>
        <w:rPr>
          <w:rFonts w:eastAsia="Times New Roman" w:cs="Open Sans"/>
          <w:spacing w:val="-5"/>
          <w:sz w:val="22"/>
          <w:szCs w:val="18"/>
          <w:lang w:eastAsia="en-US"/>
        </w:rPr>
      </w:pPr>
      <w:r>
        <w:rPr>
          <w:rFonts w:eastAsia="Times New Roman" w:cs="Open Sans"/>
          <w:sz w:val="22"/>
          <w:szCs w:val="18"/>
          <w:lang w:eastAsia="en-US"/>
        </w:rPr>
        <w:tab/>
      </w:r>
      <w:r w:rsidR="00F41E2F" w:rsidRPr="00F41E2F">
        <w:rPr>
          <w:rFonts w:eastAsia="Times New Roman" w:cs="Open Sans"/>
          <w:spacing w:val="-5"/>
          <w:sz w:val="22"/>
          <w:szCs w:val="18"/>
          <w:lang w:eastAsia="en-US"/>
        </w:rPr>
        <w:t xml:space="preserve">The Department notes recommendation two as it considers that there are currently multiple measures to manage incidents for detainee-on-detainee violence, which are sufficient for responding to violence when it occurs. The Department remains committed to providing a safe environment for all persons in an Immigration Detention Facility (IDF). The Department now has a suite of detention operational policy instructions which provide clear guidance to officers for managing incidents, such as violence, and providing appropriate placement within the IDF. </w:t>
      </w:r>
    </w:p>
    <w:p w14:paraId="58C67F62" w14:textId="77777777" w:rsidR="00C51FF4" w:rsidRDefault="00F41E2F" w:rsidP="008970FC">
      <w:pPr>
        <w:tabs>
          <w:tab w:val="left" w:pos="1453"/>
        </w:tabs>
        <w:ind w:left="1440"/>
        <w:rPr>
          <w:rFonts w:eastAsia="Times New Roman" w:cs="Open Sans"/>
          <w:spacing w:val="-5"/>
          <w:sz w:val="22"/>
          <w:szCs w:val="18"/>
          <w:lang w:eastAsia="en-US"/>
        </w:rPr>
      </w:pPr>
      <w:r w:rsidRPr="00F41E2F">
        <w:rPr>
          <w:rFonts w:eastAsia="Times New Roman" w:cs="Open Sans"/>
          <w:spacing w:val="-5"/>
          <w:sz w:val="22"/>
          <w:szCs w:val="18"/>
          <w:lang w:eastAsia="en-US"/>
        </w:rPr>
        <w:t xml:space="preserve">These procedural instructions and standard operating procedures specifically include incident management and reporting, managing and responding to </w:t>
      </w:r>
      <w:r w:rsidRPr="00F41E2F">
        <w:rPr>
          <w:rFonts w:eastAsia="Times New Roman" w:cs="Open Sans"/>
          <w:spacing w:val="-5"/>
          <w:sz w:val="22"/>
          <w:szCs w:val="18"/>
          <w:lang w:eastAsia="en-US"/>
        </w:rPr>
        <w:lastRenderedPageBreak/>
        <w:t xml:space="preserve">offences against the person, and closer supervision and engagement of high-risk detainees. Separating high-risk detainees from the general population (high-care accommodation) is a last resort, and may be used when necessary and appropriate to manage the good order and security of an IDF and the safety of people within it. </w:t>
      </w:r>
    </w:p>
    <w:p w14:paraId="48C3BA10" w14:textId="77777777" w:rsidR="00C51FF4" w:rsidRDefault="00F41E2F" w:rsidP="008970FC">
      <w:pPr>
        <w:tabs>
          <w:tab w:val="left" w:pos="1453"/>
        </w:tabs>
        <w:ind w:left="1440"/>
        <w:rPr>
          <w:rFonts w:eastAsia="Times New Roman" w:cs="Open Sans"/>
          <w:spacing w:val="-5"/>
          <w:sz w:val="22"/>
          <w:szCs w:val="18"/>
          <w:lang w:eastAsia="en-US"/>
        </w:rPr>
      </w:pPr>
      <w:r w:rsidRPr="00F41E2F">
        <w:rPr>
          <w:rFonts w:eastAsia="Times New Roman" w:cs="Open Sans"/>
          <w:spacing w:val="-5"/>
          <w:sz w:val="22"/>
          <w:szCs w:val="18"/>
          <w:lang w:eastAsia="en-US"/>
        </w:rPr>
        <w:t xml:space="preserve">IMPs are also an important tool to monitor and manage the welfare of detainees in immigration detention. The procedural instructions outline the circumstances which trigger reviews of a detainee’s IMP. This includes responding to incidents that present an unacceptable risk to a detainee or to the safety of others. This can include assessment of placement arrangements of detainees post an incident. Post incident reviews, security intelligence reporting, and daily operational stakeholder meetings are additional mechanisms to ensure the appropriate placement of detainees post an incident, including detainee on detainee violence. </w:t>
      </w:r>
    </w:p>
    <w:p w14:paraId="1953D900" w14:textId="77777777" w:rsidR="00C51FF4" w:rsidRDefault="00F41E2F" w:rsidP="008970FC">
      <w:pPr>
        <w:tabs>
          <w:tab w:val="left" w:pos="1453"/>
        </w:tabs>
        <w:ind w:left="1440"/>
        <w:rPr>
          <w:rFonts w:eastAsia="Times New Roman" w:cs="Open Sans"/>
          <w:spacing w:val="-5"/>
          <w:sz w:val="22"/>
          <w:szCs w:val="18"/>
          <w:lang w:eastAsia="en-US"/>
        </w:rPr>
      </w:pPr>
      <w:r w:rsidRPr="00F41E2F">
        <w:rPr>
          <w:rFonts w:eastAsia="Times New Roman" w:cs="Open Sans"/>
          <w:spacing w:val="-5"/>
          <w:sz w:val="22"/>
          <w:szCs w:val="18"/>
          <w:lang w:eastAsia="en-US"/>
        </w:rPr>
        <w:t xml:space="preserve">All of the above mentioned tools, forums and instructions work in collaboration to protect the safety of victims of detainee violence, and negates the need for further protocol development. </w:t>
      </w:r>
    </w:p>
    <w:p w14:paraId="042A2D0C" w14:textId="77777777" w:rsidR="00C51FF4" w:rsidRDefault="00F41E2F" w:rsidP="008970FC">
      <w:pPr>
        <w:tabs>
          <w:tab w:val="left" w:pos="1453"/>
        </w:tabs>
        <w:ind w:left="1440"/>
        <w:rPr>
          <w:rFonts w:eastAsia="Times New Roman" w:cs="Open Sans"/>
          <w:spacing w:val="-5"/>
          <w:sz w:val="22"/>
          <w:szCs w:val="18"/>
          <w:lang w:eastAsia="en-US"/>
        </w:rPr>
      </w:pPr>
      <w:r w:rsidRPr="00F41E2F">
        <w:rPr>
          <w:rFonts w:eastAsia="Times New Roman" w:cs="Open Sans"/>
          <w:spacing w:val="-5"/>
          <w:sz w:val="22"/>
          <w:szCs w:val="18"/>
          <w:lang w:eastAsia="en-US"/>
        </w:rPr>
        <w:t xml:space="preserve">The Department notes that these measures to manage incidents for detainee-on-detainee violence have evolved over the last five years since the incidents that were the subject of this complaint, in late 2016 and 2017. </w:t>
      </w:r>
    </w:p>
    <w:p w14:paraId="54809393" w14:textId="77777777" w:rsidR="007F1E6B" w:rsidRDefault="00F41E2F" w:rsidP="007F1E6B">
      <w:pPr>
        <w:tabs>
          <w:tab w:val="left" w:pos="1453"/>
        </w:tabs>
        <w:ind w:left="1440"/>
        <w:rPr>
          <w:rFonts w:eastAsia="Times New Roman" w:cs="Open Sans"/>
          <w:spacing w:val="-5"/>
          <w:sz w:val="22"/>
          <w:szCs w:val="18"/>
          <w:lang w:eastAsia="en-US"/>
        </w:rPr>
      </w:pPr>
      <w:r w:rsidRPr="00F41E2F">
        <w:rPr>
          <w:rFonts w:eastAsia="Times New Roman" w:cs="Open Sans"/>
          <w:spacing w:val="-5"/>
          <w:sz w:val="22"/>
          <w:szCs w:val="18"/>
          <w:lang w:eastAsia="en-US"/>
        </w:rPr>
        <w:t>In 2018-2019, a revision of all detention related procedural instructions was conducted under a whole of ABF Policy and Procedure Control Framework (PPCF) project to revise all documentation held in the Departmental Policy and Procedural Control Register (the Register). As part of the PPCF, procedural instructions and standard operating procedures are reviewed on a three yearly cycle, with amendments and updates made on an as required basis. Since January 2021, the documents in the Register have been progressively updated. The FDSP also undertakes reviews of their relevant Policy Procedure Manuals (PPMs) concerning incident management (including reporting and handover), individual and behaviour management, and complex case reviews. There is a requirement for the FDSP under contractual agreements to update and align their PPMs in accordance to any Departmental policy or procedural changes</w:t>
      </w:r>
      <w:r w:rsidR="007F1E6B">
        <w:rPr>
          <w:rFonts w:eastAsia="Times New Roman" w:cs="Open Sans"/>
          <w:spacing w:val="-5"/>
          <w:sz w:val="22"/>
          <w:szCs w:val="18"/>
          <w:lang w:eastAsia="en-US"/>
        </w:rPr>
        <w:t xml:space="preserve">. </w:t>
      </w:r>
    </w:p>
    <w:p w14:paraId="1A53F9A6" w14:textId="77777777" w:rsidR="007F1E6B" w:rsidRDefault="00F41E2F" w:rsidP="007F1E6B">
      <w:pPr>
        <w:tabs>
          <w:tab w:val="left" w:pos="1453"/>
        </w:tabs>
        <w:ind w:left="1440"/>
        <w:rPr>
          <w:rFonts w:eastAsia="Times New Roman" w:cs="Open Sans"/>
          <w:b/>
          <w:bCs/>
          <w:spacing w:val="-5"/>
          <w:sz w:val="22"/>
          <w:szCs w:val="18"/>
          <w:lang w:eastAsia="en-US"/>
        </w:rPr>
      </w:pPr>
      <w:r w:rsidRPr="00C51FF4">
        <w:rPr>
          <w:rFonts w:eastAsia="Times New Roman" w:cs="Open Sans"/>
          <w:b/>
          <w:bCs/>
          <w:spacing w:val="-5"/>
          <w:sz w:val="22"/>
          <w:szCs w:val="18"/>
          <w:lang w:eastAsia="en-US"/>
        </w:rPr>
        <w:t xml:space="preserve">Security Risk Assessment Tool (SRAT) </w:t>
      </w:r>
    </w:p>
    <w:p w14:paraId="14AEA5F6" w14:textId="77777777" w:rsidR="006E3147" w:rsidRDefault="005C4A87" w:rsidP="007F1E6B">
      <w:pPr>
        <w:tabs>
          <w:tab w:val="left" w:pos="1453"/>
        </w:tabs>
        <w:ind w:left="1440"/>
        <w:rPr>
          <w:rFonts w:eastAsia="Times New Roman" w:cs="Open Sans"/>
          <w:spacing w:val="-5"/>
          <w:sz w:val="22"/>
          <w:szCs w:val="18"/>
          <w:lang w:eastAsia="en-US"/>
        </w:rPr>
      </w:pPr>
      <w:r w:rsidRPr="005C4A87">
        <w:rPr>
          <w:rFonts w:eastAsia="Times New Roman" w:cs="Open Sans"/>
          <w:spacing w:val="-5"/>
          <w:sz w:val="22"/>
          <w:szCs w:val="18"/>
          <w:lang w:eastAsia="en-US"/>
        </w:rPr>
        <w:t xml:space="preserve">The Department notes recommendation three. Information on detainees who are vulnerable to harm from other detainees, and detainees who present a risk to the safety of other detainees is captured through the IMPs and BMPs. </w:t>
      </w:r>
    </w:p>
    <w:p w14:paraId="172CB45B" w14:textId="77777777" w:rsidR="00030E0E" w:rsidRDefault="005C4A87" w:rsidP="007F1E6B">
      <w:pPr>
        <w:tabs>
          <w:tab w:val="left" w:pos="1453"/>
        </w:tabs>
        <w:ind w:left="1440"/>
        <w:rPr>
          <w:rFonts w:eastAsia="Times New Roman" w:cs="Open Sans"/>
          <w:spacing w:val="-5"/>
          <w:sz w:val="22"/>
          <w:szCs w:val="18"/>
          <w:lang w:eastAsia="en-US"/>
        </w:rPr>
      </w:pPr>
      <w:r w:rsidRPr="005C4A87">
        <w:rPr>
          <w:rFonts w:eastAsia="Times New Roman" w:cs="Open Sans"/>
          <w:spacing w:val="-5"/>
          <w:sz w:val="22"/>
          <w:szCs w:val="18"/>
          <w:lang w:eastAsia="en-US"/>
        </w:rPr>
        <w:t xml:space="preserve">As per contractual requirements, the SRAT is designed to provide a risk rating on an individual in relation to the security risks posed by that individual against the IDN, including other detainees and stakeholders. By elevating the risk rating for detainees who pose a threat to the IDN (including detainees and staff) the SRAT identifies those detainees that require further mitigation </w:t>
      </w:r>
      <w:r w:rsidRPr="005C4A87">
        <w:rPr>
          <w:rFonts w:eastAsia="Times New Roman" w:cs="Open Sans"/>
          <w:spacing w:val="-5"/>
          <w:sz w:val="22"/>
          <w:szCs w:val="18"/>
          <w:lang w:eastAsia="en-US"/>
        </w:rPr>
        <w:lastRenderedPageBreak/>
        <w:t xml:space="preserve">strategies to ensure the safety, security and good order of the IDF, and the detainees and staff within. The SRAT identifies risks including escape, demonstration, violence and aggression, self-harm and criminality. </w:t>
      </w:r>
    </w:p>
    <w:p w14:paraId="4152DEC3" w14:textId="77777777" w:rsidR="00030E0E" w:rsidRDefault="005C4A87" w:rsidP="007F1E6B">
      <w:pPr>
        <w:tabs>
          <w:tab w:val="left" w:pos="1453"/>
        </w:tabs>
        <w:ind w:left="1440"/>
        <w:rPr>
          <w:rFonts w:eastAsia="Times New Roman" w:cs="Open Sans"/>
          <w:spacing w:val="-5"/>
          <w:sz w:val="22"/>
          <w:szCs w:val="18"/>
          <w:lang w:eastAsia="en-US"/>
        </w:rPr>
      </w:pPr>
      <w:r w:rsidRPr="005C4A87">
        <w:rPr>
          <w:rFonts w:eastAsia="Times New Roman" w:cs="Open Sans"/>
          <w:spacing w:val="-5"/>
          <w:sz w:val="22"/>
          <w:szCs w:val="18"/>
          <w:lang w:eastAsia="en-US"/>
        </w:rPr>
        <w:t xml:space="preserve">The purpose of, and capability of, the SRAT is not to risk assess the vulnerability of harm to other detainees. When a detainee is involved in an incident of violence/harm or when there is information to suggest a detainee presents a risk to others, or a detainee is vulnerable to harm; consideration is made to update a detainee’s IMP and/or create/update a BMP. The considerations are conducted through IMPRC Meetings, where stakeholders consider: • Review, update and action IMPs. </w:t>
      </w:r>
    </w:p>
    <w:p w14:paraId="1AF80D79" w14:textId="77777777" w:rsidR="00030E0E" w:rsidRPr="00030E0E" w:rsidRDefault="005C4A87" w:rsidP="000F7824">
      <w:pPr>
        <w:pStyle w:val="ListParagraph"/>
        <w:numPr>
          <w:ilvl w:val="0"/>
          <w:numId w:val="36"/>
        </w:numPr>
        <w:tabs>
          <w:tab w:val="left" w:pos="1453"/>
        </w:tabs>
        <w:rPr>
          <w:rFonts w:eastAsia="Times New Roman" w:cs="Open Sans"/>
          <w:spacing w:val="-5"/>
          <w:sz w:val="22"/>
          <w:szCs w:val="18"/>
          <w:lang w:eastAsia="en-US"/>
        </w:rPr>
      </w:pPr>
      <w:r w:rsidRPr="00030E0E">
        <w:rPr>
          <w:rFonts w:eastAsia="Times New Roman" w:cs="Open Sans"/>
          <w:spacing w:val="-5"/>
          <w:sz w:val="22"/>
          <w:szCs w:val="18"/>
          <w:lang w:eastAsia="en-US"/>
        </w:rPr>
        <w:t xml:space="preserve">Develop and implement prevention strategies for detainees at risk. </w:t>
      </w:r>
    </w:p>
    <w:p w14:paraId="2BB4464C" w14:textId="77777777" w:rsidR="00030E0E" w:rsidRPr="00030E0E" w:rsidRDefault="005C4A87" w:rsidP="000F7824">
      <w:pPr>
        <w:pStyle w:val="ListParagraph"/>
        <w:numPr>
          <w:ilvl w:val="0"/>
          <w:numId w:val="36"/>
        </w:numPr>
        <w:tabs>
          <w:tab w:val="left" w:pos="1453"/>
        </w:tabs>
        <w:rPr>
          <w:rFonts w:eastAsia="Times New Roman" w:cs="Open Sans"/>
          <w:spacing w:val="-5"/>
          <w:sz w:val="22"/>
          <w:szCs w:val="18"/>
          <w:lang w:eastAsia="en-US"/>
        </w:rPr>
      </w:pPr>
      <w:r w:rsidRPr="00030E0E">
        <w:rPr>
          <w:rFonts w:eastAsia="Times New Roman" w:cs="Open Sans"/>
          <w:spacing w:val="-5"/>
          <w:sz w:val="22"/>
          <w:szCs w:val="18"/>
          <w:lang w:eastAsia="en-US"/>
        </w:rPr>
        <w:t xml:space="preserve">Review detainee placement options for those at risk to harm from other detainees, and detainees who present a risk to the safety of others. </w:t>
      </w:r>
    </w:p>
    <w:p w14:paraId="2917474B" w14:textId="77777777" w:rsidR="00030E0E" w:rsidRPr="00030E0E" w:rsidRDefault="005C4A87" w:rsidP="000F7824">
      <w:pPr>
        <w:pStyle w:val="ListParagraph"/>
        <w:numPr>
          <w:ilvl w:val="0"/>
          <w:numId w:val="36"/>
        </w:numPr>
        <w:tabs>
          <w:tab w:val="left" w:pos="1453"/>
        </w:tabs>
        <w:rPr>
          <w:rFonts w:eastAsia="Times New Roman" w:cs="Open Sans"/>
          <w:spacing w:val="-5"/>
          <w:sz w:val="22"/>
          <w:szCs w:val="18"/>
          <w:lang w:eastAsia="en-US"/>
        </w:rPr>
      </w:pPr>
      <w:r w:rsidRPr="00030E0E">
        <w:rPr>
          <w:rFonts w:eastAsia="Times New Roman" w:cs="Open Sans"/>
          <w:spacing w:val="-5"/>
          <w:sz w:val="22"/>
          <w:szCs w:val="18"/>
          <w:lang w:eastAsia="en-US"/>
        </w:rPr>
        <w:t xml:space="preserve">Review, update and action BMPs for detainees conducting in inappropriate behaviours and actions. </w:t>
      </w:r>
    </w:p>
    <w:p w14:paraId="2CC87E38" w14:textId="3DF9895B" w:rsidR="00F41E2F" w:rsidRPr="007F1E6B" w:rsidRDefault="005C4A87" w:rsidP="007F1E6B">
      <w:pPr>
        <w:tabs>
          <w:tab w:val="left" w:pos="1453"/>
        </w:tabs>
        <w:ind w:left="1440"/>
        <w:rPr>
          <w:rFonts w:eastAsia="Times New Roman" w:cs="Open Sans"/>
          <w:sz w:val="22"/>
          <w:szCs w:val="18"/>
          <w:lang w:eastAsia="en-US"/>
        </w:rPr>
      </w:pPr>
      <w:r w:rsidRPr="005C4A87">
        <w:rPr>
          <w:rFonts w:eastAsia="Times New Roman" w:cs="Open Sans"/>
          <w:spacing w:val="-5"/>
          <w:sz w:val="22"/>
          <w:szCs w:val="18"/>
          <w:lang w:eastAsia="en-US"/>
        </w:rPr>
        <w:t>The Department continues to review the functionality of the SRAT to ensure the safety and security of the IDN, detainees, and staff.</w:t>
      </w:r>
    </w:p>
    <w:p w14:paraId="4A16E8E5" w14:textId="003CD322" w:rsidR="00030E0E" w:rsidRDefault="00E375C5" w:rsidP="00030E0E">
      <w:pPr>
        <w:keepLines/>
        <w:ind w:left="1440"/>
        <w:rPr>
          <w:rFonts w:eastAsia="Times New Roman" w:cs="Open Sans"/>
          <w:b/>
          <w:bCs/>
          <w:spacing w:val="-5"/>
          <w:sz w:val="22"/>
          <w:szCs w:val="18"/>
          <w:lang w:eastAsia="en-US"/>
        </w:rPr>
      </w:pPr>
      <w:r w:rsidRPr="00E94DC5">
        <w:rPr>
          <w:rFonts w:eastAsia="Times New Roman" w:cs="Open Sans"/>
          <w:b/>
          <w:bCs/>
          <w:spacing w:val="-5"/>
          <w:sz w:val="22"/>
          <w:szCs w:val="18"/>
          <w:lang w:eastAsia="en-US"/>
        </w:rPr>
        <w:t>Alternative Detention Arrangements</w:t>
      </w:r>
      <w:r w:rsidR="00030E0E">
        <w:rPr>
          <w:rFonts w:eastAsia="Times New Roman" w:cs="Open Sans"/>
          <w:b/>
          <w:bCs/>
          <w:spacing w:val="-5"/>
          <w:sz w:val="22"/>
          <w:szCs w:val="18"/>
          <w:lang w:eastAsia="en-US"/>
        </w:rPr>
        <w:t xml:space="preserve"> </w:t>
      </w:r>
    </w:p>
    <w:p w14:paraId="02B876E4" w14:textId="7B75A157" w:rsidR="00C63C53" w:rsidRDefault="00E375C5" w:rsidP="00D33476">
      <w:pPr>
        <w:keepLines/>
        <w:ind w:left="1440"/>
        <w:rPr>
          <w:rFonts w:eastAsia="Times New Roman" w:cs="Open Sans"/>
          <w:spacing w:val="-5"/>
          <w:sz w:val="22"/>
          <w:szCs w:val="18"/>
          <w:lang w:eastAsia="en-US"/>
        </w:rPr>
      </w:pPr>
      <w:r w:rsidRPr="00E375C5">
        <w:rPr>
          <w:rFonts w:eastAsia="Times New Roman" w:cs="Open Sans"/>
          <w:spacing w:val="-5"/>
          <w:sz w:val="22"/>
          <w:szCs w:val="18"/>
          <w:lang w:eastAsia="en-US"/>
        </w:rPr>
        <w:t xml:space="preserve">The Department notes recommendation four. The Department has previously provided advice to the Commission that the Department has a framework in place of regular reviews, escalations and referral points to ensure that people are detained in the most appropriate placement to manage their health and welfare, and to manage the resolution of their immigration status. The Department maintains that review mechanisms regularly consider the necessity of detention and where appropriate, the identification of alternate means of detention or the grant of a visa, including through Ministerial Intervention. </w:t>
      </w:r>
    </w:p>
    <w:p w14:paraId="6530EFC4" w14:textId="77777777" w:rsidR="000B3194" w:rsidRDefault="00E375C5" w:rsidP="000B3194">
      <w:pPr>
        <w:keepLines/>
        <w:ind w:left="1440"/>
        <w:rPr>
          <w:rFonts w:eastAsia="Times New Roman" w:cs="Open Sans"/>
          <w:spacing w:val="-5"/>
          <w:sz w:val="22"/>
          <w:szCs w:val="18"/>
          <w:lang w:eastAsia="en-US"/>
        </w:rPr>
      </w:pPr>
      <w:r w:rsidRPr="00E375C5">
        <w:rPr>
          <w:rFonts w:eastAsia="Times New Roman" w:cs="Open Sans"/>
          <w:spacing w:val="-5"/>
          <w:sz w:val="22"/>
          <w:szCs w:val="18"/>
          <w:lang w:eastAsia="en-US"/>
        </w:rPr>
        <w:t xml:space="preserve">Escalation and referral points include the IMPRC and regular morning meetings (discussed above). Attendance at these forums includes all key stakeholders within the relevant immigration detention facility, including departmental Status Resolution Officers (SRO). If detainees are raised in these meetings where concerns exist with regard to safety or violence, the case may be reviewed by SROs to determine if their current placement (detention or community) is appropriate. The Department also reviews every detainee in held immigration detention each month, through Detention Review Committee (DRC) meetings, to ensure efforts are directed towards resolving the status of people in detention and considering the most appropriate placement pending status resolution. </w:t>
      </w:r>
    </w:p>
    <w:p w14:paraId="426E3CBD" w14:textId="1A1CFD5F" w:rsidR="000B3194" w:rsidRDefault="00E375C5" w:rsidP="000B3194">
      <w:pPr>
        <w:keepLines/>
        <w:ind w:left="1440"/>
        <w:rPr>
          <w:rFonts w:eastAsia="Times New Roman" w:cs="Open Sans"/>
          <w:spacing w:val="-5"/>
          <w:sz w:val="22"/>
          <w:szCs w:val="18"/>
          <w:lang w:eastAsia="en-US"/>
        </w:rPr>
      </w:pPr>
      <w:r w:rsidRPr="00E375C5">
        <w:rPr>
          <w:rFonts w:eastAsia="Times New Roman" w:cs="Open Sans"/>
          <w:spacing w:val="-5"/>
          <w:sz w:val="22"/>
          <w:szCs w:val="18"/>
          <w:lang w:eastAsia="en-US"/>
        </w:rPr>
        <w:lastRenderedPageBreak/>
        <w:t xml:space="preserve">Detainees that may be identified as victims of violence can also be raised through the DRC to consider if their current placement is appropriate. </w:t>
      </w:r>
    </w:p>
    <w:p w14:paraId="46764278" w14:textId="273BF68D" w:rsidR="003C5DD4" w:rsidRDefault="00E375C5" w:rsidP="000B3194">
      <w:pPr>
        <w:keepLines/>
        <w:ind w:left="1440"/>
        <w:rPr>
          <w:rFonts w:eastAsia="Times New Roman" w:cs="Open Sans"/>
          <w:spacing w:val="-5"/>
          <w:sz w:val="22"/>
          <w:szCs w:val="18"/>
          <w:lang w:eastAsia="en-US"/>
        </w:rPr>
      </w:pPr>
      <w:r w:rsidRPr="00E375C5">
        <w:rPr>
          <w:rFonts w:eastAsia="Times New Roman" w:cs="Open Sans"/>
          <w:spacing w:val="-5"/>
          <w:sz w:val="22"/>
          <w:szCs w:val="18"/>
          <w:lang w:eastAsia="en-US"/>
        </w:rPr>
        <w:t>The Department also uses the Community Protection Assessment Tool (CPAT), which is a decision support tool to assist the Department in assessing the most appropriate placement of a non-citizen while status resolution is pursued. In this context, placement refers to whether the non-citizen should reside in the community on a bridging visa or under a residence determination arrangement, or placed in held immigration detention.</w:t>
      </w:r>
    </w:p>
    <w:p w14:paraId="66FC2976" w14:textId="77777777" w:rsidR="00F961B0" w:rsidRDefault="00E375C5" w:rsidP="00D33476">
      <w:pPr>
        <w:keepLines/>
        <w:ind w:left="1440"/>
        <w:rPr>
          <w:rFonts w:eastAsia="Times New Roman" w:cs="Open Sans"/>
          <w:spacing w:val="-5"/>
          <w:sz w:val="22"/>
          <w:szCs w:val="18"/>
          <w:lang w:eastAsia="en-US"/>
        </w:rPr>
      </w:pPr>
      <w:r w:rsidRPr="00E375C5">
        <w:rPr>
          <w:rFonts w:eastAsia="Times New Roman" w:cs="Open Sans"/>
          <w:spacing w:val="-5"/>
          <w:sz w:val="22"/>
          <w:szCs w:val="18"/>
          <w:lang w:eastAsia="en-US"/>
        </w:rPr>
        <w:t>The CPAT provides a placement recommendation (detention or community) based on a point in time assessment of the level of risk a person poses to the community, through a set of defined parameters. Within the CPAT, SROs also consider additional factors as part of the placement assessment, including potential vulnerabilities such as the non-citizen’s age, health, if they have been, or are at, a higher risk of</w:t>
      </w:r>
      <w:r w:rsidR="00E94DC5">
        <w:rPr>
          <w:rFonts w:eastAsia="Times New Roman" w:cs="Open Sans"/>
          <w:spacing w:val="-5"/>
          <w:sz w:val="22"/>
          <w:szCs w:val="18"/>
          <w:lang w:eastAsia="en-US"/>
        </w:rPr>
        <w:t xml:space="preserve"> </w:t>
      </w:r>
      <w:r w:rsidR="00E94DC5" w:rsidRPr="00E94DC5">
        <w:rPr>
          <w:rFonts w:eastAsia="Times New Roman" w:cs="Open Sans"/>
          <w:spacing w:val="-5"/>
          <w:sz w:val="22"/>
          <w:szCs w:val="18"/>
          <w:lang w:eastAsia="en-US"/>
        </w:rPr>
        <w:t xml:space="preserve">being the victim of a crime, and any behaviour impacting their own wellbeing. SROs can also record and consider strength based factors, such as community support and employable skills, which would support a community placement, noting that non-citizens on bridging visas may have permission to work. </w:t>
      </w:r>
    </w:p>
    <w:p w14:paraId="57EEF29B" w14:textId="77777777" w:rsidR="00A752BE" w:rsidRDefault="00E94DC5" w:rsidP="00D33476">
      <w:pPr>
        <w:keepLines/>
        <w:ind w:left="1440"/>
        <w:rPr>
          <w:rFonts w:eastAsia="Times New Roman" w:cs="Open Sans"/>
          <w:spacing w:val="-5"/>
          <w:sz w:val="22"/>
          <w:szCs w:val="18"/>
          <w:lang w:eastAsia="en-US"/>
        </w:rPr>
      </w:pPr>
      <w:r w:rsidRPr="00E94DC5">
        <w:rPr>
          <w:rFonts w:eastAsia="Times New Roman" w:cs="Open Sans"/>
          <w:spacing w:val="-5"/>
          <w:sz w:val="22"/>
          <w:szCs w:val="18"/>
          <w:lang w:eastAsia="en-US"/>
        </w:rPr>
        <w:t xml:space="preserve">Where a detainee’s status cannot be resolved by a Departmental delegate (for example, where legislative bars prevent a person from making a valid visa application), Ministerial intervention may be required to enable a non-citizen to reside in the community while their status is resolved. </w:t>
      </w:r>
    </w:p>
    <w:p w14:paraId="566E26D1" w14:textId="77777777" w:rsidR="00A752BE" w:rsidRDefault="00E94DC5" w:rsidP="00D33476">
      <w:pPr>
        <w:keepLines/>
        <w:ind w:left="1440"/>
        <w:rPr>
          <w:rFonts w:eastAsia="Times New Roman" w:cs="Open Sans"/>
          <w:spacing w:val="-5"/>
          <w:sz w:val="22"/>
          <w:szCs w:val="18"/>
          <w:lang w:eastAsia="en-US"/>
        </w:rPr>
      </w:pPr>
      <w:r w:rsidRPr="00E94DC5">
        <w:rPr>
          <w:rFonts w:eastAsia="Times New Roman" w:cs="Open Sans"/>
          <w:spacing w:val="-5"/>
          <w:sz w:val="22"/>
          <w:szCs w:val="18"/>
          <w:lang w:eastAsia="en-US"/>
        </w:rPr>
        <w:t xml:space="preserve">The Minister’s personal powers under sections 195A and 197AB of the Migration Act 1958 (the Act) are non-delegable and non-compellable. The Minister is under no obligation to consider a case or to make a decision on a case. Ministerial intervention does not provide for automatic assessment, or assessment at certain intervals, against the ministerial intervention guidelines, or referral of detainees in immigration detention for possible Ministerial intervention. </w:t>
      </w:r>
    </w:p>
    <w:p w14:paraId="1B3E60E0" w14:textId="04DE123B" w:rsidR="00E375C5" w:rsidRPr="00030E0E" w:rsidRDefault="00E94DC5" w:rsidP="00D33476">
      <w:pPr>
        <w:keepLines/>
        <w:ind w:left="1440"/>
        <w:rPr>
          <w:rFonts w:eastAsia="Times New Roman" w:cs="Open Sans"/>
          <w:spacing w:val="-5"/>
          <w:sz w:val="22"/>
          <w:szCs w:val="18"/>
          <w:lang w:eastAsia="en-US"/>
        </w:rPr>
      </w:pPr>
      <w:r w:rsidRPr="00E94DC5">
        <w:rPr>
          <w:rFonts w:eastAsia="Times New Roman" w:cs="Open Sans"/>
          <w:spacing w:val="-5"/>
          <w:sz w:val="22"/>
          <w:szCs w:val="18"/>
          <w:lang w:eastAsia="en-US"/>
        </w:rPr>
        <w:t xml:space="preserve">The Department notes that in Mr </w:t>
      </w:r>
      <w:proofErr w:type="spellStart"/>
      <w:r w:rsidRPr="00E94DC5">
        <w:rPr>
          <w:rFonts w:eastAsia="Times New Roman" w:cs="Open Sans"/>
          <w:spacing w:val="-5"/>
          <w:sz w:val="22"/>
          <w:szCs w:val="18"/>
          <w:lang w:eastAsia="en-US"/>
        </w:rPr>
        <w:t>Andrwas’s</w:t>
      </w:r>
      <w:proofErr w:type="spellEnd"/>
      <w:r w:rsidRPr="00E94DC5">
        <w:rPr>
          <w:rFonts w:eastAsia="Times New Roman" w:cs="Open Sans"/>
          <w:spacing w:val="-5"/>
          <w:sz w:val="22"/>
          <w:szCs w:val="18"/>
          <w:lang w:eastAsia="en-US"/>
        </w:rPr>
        <w:t xml:space="preserve"> case, and as outlined in the response to the Commission on 16 June 2022, Mr </w:t>
      </w:r>
      <w:proofErr w:type="spellStart"/>
      <w:r w:rsidRPr="00E94DC5">
        <w:rPr>
          <w:rFonts w:eastAsia="Times New Roman" w:cs="Open Sans"/>
          <w:spacing w:val="-5"/>
          <w:sz w:val="22"/>
          <w:szCs w:val="18"/>
          <w:lang w:eastAsia="en-US"/>
        </w:rPr>
        <w:t>Andrwas</w:t>
      </w:r>
      <w:proofErr w:type="spellEnd"/>
      <w:r w:rsidRPr="00E94DC5">
        <w:rPr>
          <w:rFonts w:eastAsia="Times New Roman" w:cs="Open Sans"/>
          <w:spacing w:val="-5"/>
          <w:sz w:val="22"/>
          <w:szCs w:val="18"/>
          <w:lang w:eastAsia="en-US"/>
        </w:rPr>
        <w:t xml:space="preserve"> did not raise any specific concerns for his ongoing safety following the incidents at Villawood Immigration Detention Centre (VIDC). There were no other circumstances identified by Mr </w:t>
      </w:r>
      <w:proofErr w:type="spellStart"/>
      <w:r w:rsidRPr="00E94DC5">
        <w:rPr>
          <w:rFonts w:eastAsia="Times New Roman" w:cs="Open Sans"/>
          <w:spacing w:val="-5"/>
          <w:sz w:val="22"/>
          <w:szCs w:val="18"/>
          <w:lang w:eastAsia="en-US"/>
        </w:rPr>
        <w:t>Andrwas’s</w:t>
      </w:r>
      <w:proofErr w:type="spellEnd"/>
      <w:r w:rsidRPr="00E94DC5">
        <w:rPr>
          <w:rFonts w:eastAsia="Times New Roman" w:cs="Open Sans"/>
          <w:spacing w:val="-5"/>
          <w:sz w:val="22"/>
          <w:szCs w:val="18"/>
          <w:lang w:eastAsia="en-US"/>
        </w:rPr>
        <w:t xml:space="preserve"> SRO that warranted a change of Mr </w:t>
      </w:r>
      <w:proofErr w:type="spellStart"/>
      <w:r w:rsidRPr="00E94DC5">
        <w:rPr>
          <w:rFonts w:eastAsia="Times New Roman" w:cs="Open Sans"/>
          <w:spacing w:val="-5"/>
          <w:sz w:val="22"/>
          <w:szCs w:val="18"/>
          <w:lang w:eastAsia="en-US"/>
        </w:rPr>
        <w:t>Andrwas’s</w:t>
      </w:r>
      <w:proofErr w:type="spellEnd"/>
      <w:r w:rsidRPr="00E94DC5">
        <w:rPr>
          <w:rFonts w:eastAsia="Times New Roman" w:cs="Open Sans"/>
          <w:spacing w:val="-5"/>
          <w:sz w:val="22"/>
          <w:szCs w:val="18"/>
          <w:lang w:eastAsia="en-US"/>
        </w:rPr>
        <w:t xml:space="preserve"> current placement.</w:t>
      </w:r>
    </w:p>
    <w:p w14:paraId="06395734" w14:textId="2F76E35A" w:rsidR="00E94DC5" w:rsidRDefault="00E94DC5" w:rsidP="00711744">
      <w:pPr>
        <w:keepLines/>
        <w:ind w:left="1440"/>
        <w:rPr>
          <w:rFonts w:eastAsia="Times New Roman" w:cs="Open Sans"/>
          <w:b/>
          <w:bCs/>
          <w:spacing w:val="-5"/>
          <w:sz w:val="22"/>
          <w:szCs w:val="18"/>
          <w:lang w:eastAsia="en-US"/>
        </w:rPr>
      </w:pPr>
      <w:r w:rsidRPr="00E94DC5">
        <w:rPr>
          <w:rFonts w:eastAsia="Times New Roman" w:cs="Open Sans"/>
          <w:b/>
          <w:bCs/>
          <w:spacing w:val="-5"/>
          <w:sz w:val="22"/>
          <w:szCs w:val="18"/>
          <w:lang w:eastAsia="en-US"/>
        </w:rPr>
        <w:t xml:space="preserve">Independent Review </w:t>
      </w:r>
    </w:p>
    <w:p w14:paraId="06AFA4BC" w14:textId="1AC2D735" w:rsidR="00B57DAD" w:rsidRPr="00B57DAD" w:rsidRDefault="00B57DAD" w:rsidP="00711744">
      <w:pPr>
        <w:keepLines/>
        <w:ind w:left="1440"/>
        <w:rPr>
          <w:rFonts w:eastAsia="Times New Roman" w:cs="Open Sans"/>
          <w:spacing w:val="-5"/>
          <w:sz w:val="22"/>
          <w:szCs w:val="18"/>
          <w:lang w:eastAsia="en-US"/>
        </w:rPr>
      </w:pPr>
      <w:r w:rsidRPr="00B57DAD">
        <w:rPr>
          <w:rFonts w:eastAsia="Times New Roman" w:cs="Open Sans"/>
          <w:spacing w:val="-5"/>
          <w:sz w:val="22"/>
          <w:szCs w:val="18"/>
          <w:lang w:eastAsia="en-US"/>
        </w:rPr>
        <w:t>The Department notes recommendation five, that an independent review of the management of risk at the VIDC is warranted, given current procedures and ongoing program governance arrangements.</w:t>
      </w:r>
    </w:p>
    <w:p w14:paraId="79505F25" w14:textId="7A23DAE0" w:rsidR="008A0318" w:rsidRDefault="00E94DC5" w:rsidP="00711744">
      <w:pPr>
        <w:keepLines/>
        <w:ind w:left="1440"/>
        <w:rPr>
          <w:rFonts w:eastAsia="Times New Roman" w:cs="Open Sans"/>
          <w:spacing w:val="-5"/>
          <w:sz w:val="22"/>
          <w:szCs w:val="18"/>
          <w:lang w:eastAsia="en-US"/>
        </w:rPr>
      </w:pPr>
      <w:r w:rsidRPr="00E94DC5">
        <w:rPr>
          <w:rFonts w:eastAsia="Times New Roman" w:cs="Open Sans"/>
          <w:spacing w:val="-5"/>
          <w:sz w:val="22"/>
          <w:szCs w:val="18"/>
          <w:lang w:eastAsia="en-US"/>
        </w:rPr>
        <w:lastRenderedPageBreak/>
        <w:t>The Department has a number of mechanisms in place to assess risk of harm to immigration detainees, visitors and personnel, as described in the response to recommendation two. These policies and procedures are subject to regular review by process owners to assess their effectiveness in proportion to identified or foreseeable threats within IDFs.</w:t>
      </w:r>
    </w:p>
    <w:p w14:paraId="269C9A51" w14:textId="77777777" w:rsidR="008A0318" w:rsidRDefault="00E94DC5" w:rsidP="00711744">
      <w:pPr>
        <w:keepLines/>
        <w:ind w:left="1440"/>
        <w:rPr>
          <w:rFonts w:eastAsia="Times New Roman" w:cs="Open Sans"/>
          <w:spacing w:val="-5"/>
          <w:sz w:val="22"/>
          <w:szCs w:val="18"/>
          <w:lang w:eastAsia="en-US"/>
        </w:rPr>
      </w:pPr>
      <w:r w:rsidRPr="00E94DC5">
        <w:rPr>
          <w:rFonts w:eastAsia="Times New Roman" w:cs="Open Sans"/>
          <w:spacing w:val="-5"/>
          <w:sz w:val="22"/>
          <w:szCs w:val="18"/>
          <w:lang w:eastAsia="en-US"/>
        </w:rPr>
        <w:t xml:space="preserve">In addition to the Commission, independent oversight of the immigration detention program, including the management of safety and security, is conducted by the Commonwealth Ombudsman and Comcare. The Department maintains a number of internal assurance processes in relation to the management of immigration detention separate to and independent from, operational areas of the ABF through the Detention Assurance Team and the Department’s Clinical Assurance Team. Internal assurance and external oversight processes are in place to ensure that the health, safety and wellbeing of all detainees is maintained. </w:t>
      </w:r>
    </w:p>
    <w:p w14:paraId="57F7C4A1" w14:textId="77777777" w:rsidR="008A0318" w:rsidRDefault="00E94DC5" w:rsidP="00711744">
      <w:pPr>
        <w:keepLines/>
        <w:ind w:left="1440"/>
        <w:rPr>
          <w:rFonts w:eastAsia="Times New Roman" w:cs="Open Sans"/>
          <w:spacing w:val="-5"/>
          <w:sz w:val="22"/>
          <w:szCs w:val="18"/>
          <w:lang w:eastAsia="en-US"/>
        </w:rPr>
      </w:pPr>
      <w:r w:rsidRPr="00E94DC5">
        <w:rPr>
          <w:rFonts w:eastAsia="Times New Roman" w:cs="Open Sans"/>
          <w:spacing w:val="-5"/>
          <w:sz w:val="22"/>
          <w:szCs w:val="18"/>
          <w:lang w:eastAsia="en-US"/>
        </w:rPr>
        <w:t xml:space="preserve">The Department uses three lines of assurance to assess, analyse and mitigate risks in immigration detention. These include: </w:t>
      </w:r>
    </w:p>
    <w:p w14:paraId="1513E471" w14:textId="77777777" w:rsidR="008A0318" w:rsidRPr="008A0318" w:rsidRDefault="00E94DC5" w:rsidP="000F7824">
      <w:pPr>
        <w:pStyle w:val="ListParagraph"/>
        <w:keepLines/>
        <w:numPr>
          <w:ilvl w:val="0"/>
          <w:numId w:val="37"/>
        </w:numPr>
        <w:rPr>
          <w:rFonts w:eastAsia="Times New Roman" w:cs="Open Sans"/>
          <w:spacing w:val="-5"/>
          <w:sz w:val="22"/>
          <w:szCs w:val="18"/>
          <w:lang w:eastAsia="en-US"/>
        </w:rPr>
      </w:pPr>
      <w:r w:rsidRPr="008A0318">
        <w:rPr>
          <w:rFonts w:eastAsia="Times New Roman" w:cs="Open Sans"/>
          <w:spacing w:val="-5"/>
          <w:sz w:val="22"/>
          <w:szCs w:val="18"/>
          <w:lang w:eastAsia="en-US"/>
        </w:rPr>
        <w:t xml:space="preserve">security risk assessments with controls identified to mitigate risks; </w:t>
      </w:r>
    </w:p>
    <w:p w14:paraId="37F296E9" w14:textId="77777777" w:rsidR="008A0318" w:rsidRPr="008A0318" w:rsidRDefault="00E94DC5" w:rsidP="000F7824">
      <w:pPr>
        <w:pStyle w:val="ListParagraph"/>
        <w:keepLines/>
        <w:numPr>
          <w:ilvl w:val="0"/>
          <w:numId w:val="37"/>
        </w:numPr>
        <w:rPr>
          <w:rFonts w:eastAsia="Times New Roman" w:cs="Open Sans"/>
          <w:spacing w:val="-5"/>
          <w:sz w:val="22"/>
          <w:szCs w:val="18"/>
          <w:lang w:eastAsia="en-US"/>
        </w:rPr>
      </w:pPr>
      <w:r w:rsidRPr="008A0318">
        <w:rPr>
          <w:rFonts w:eastAsia="Times New Roman" w:cs="Open Sans"/>
          <w:spacing w:val="-5"/>
          <w:sz w:val="22"/>
          <w:szCs w:val="18"/>
          <w:lang w:eastAsia="en-US"/>
        </w:rPr>
        <w:t xml:space="preserve">independent assurance to review immigration detention practices, polices and detention-related decision-making; and </w:t>
      </w:r>
    </w:p>
    <w:p w14:paraId="499E4174" w14:textId="6F5C032C" w:rsidR="00E94DC5" w:rsidRPr="008A0318" w:rsidRDefault="00E94DC5" w:rsidP="000F7824">
      <w:pPr>
        <w:pStyle w:val="ListParagraph"/>
        <w:keepLines/>
        <w:numPr>
          <w:ilvl w:val="0"/>
          <w:numId w:val="37"/>
        </w:numPr>
        <w:rPr>
          <w:rFonts w:eastAsia="Times New Roman" w:cs="Open Sans"/>
          <w:spacing w:val="-5"/>
          <w:sz w:val="22"/>
          <w:szCs w:val="18"/>
          <w:lang w:eastAsia="en-US"/>
        </w:rPr>
      </w:pPr>
      <w:r w:rsidRPr="008A0318">
        <w:rPr>
          <w:rFonts w:eastAsia="Times New Roman" w:cs="Open Sans"/>
          <w:spacing w:val="-5"/>
          <w:sz w:val="22"/>
          <w:szCs w:val="18"/>
          <w:lang w:eastAsia="en-US"/>
        </w:rPr>
        <w:t>post incident reviews to identify measures to prevent similar incidents occurring and enhance processes such as police referrals.</w:t>
      </w:r>
    </w:p>
    <w:p w14:paraId="371313C8" w14:textId="27251D7A" w:rsidR="005D49FB" w:rsidRPr="00AA4CAC" w:rsidRDefault="005D49FB" w:rsidP="00711744">
      <w:pPr>
        <w:keepLines/>
        <w:ind w:left="1440"/>
        <w:rPr>
          <w:rFonts w:eastAsia="Times New Roman" w:cs="Open Sans"/>
          <w:b/>
          <w:bCs/>
          <w:spacing w:val="-5"/>
          <w:sz w:val="22"/>
          <w:szCs w:val="18"/>
          <w:lang w:eastAsia="en-US"/>
        </w:rPr>
      </w:pPr>
      <w:r w:rsidRPr="00AA4CAC">
        <w:rPr>
          <w:rFonts w:eastAsia="Times New Roman" w:cs="Open Sans"/>
          <w:b/>
          <w:bCs/>
          <w:spacing w:val="-5"/>
          <w:sz w:val="22"/>
          <w:szCs w:val="18"/>
          <w:lang w:eastAsia="en-US"/>
        </w:rPr>
        <w:t>Table 1 – Summary of Department’s response to recommendations</w:t>
      </w:r>
    </w:p>
    <w:tbl>
      <w:tblPr>
        <w:tblStyle w:val="TableGrid"/>
        <w:tblW w:w="8048" w:type="dxa"/>
        <w:tblInd w:w="1327" w:type="dxa"/>
        <w:tblLayout w:type="fixed"/>
        <w:tblLook w:val="0000" w:firstRow="0" w:lastRow="0" w:firstColumn="0" w:lastColumn="0" w:noHBand="0" w:noVBand="0"/>
      </w:tblPr>
      <w:tblGrid>
        <w:gridCol w:w="4024"/>
        <w:gridCol w:w="4024"/>
      </w:tblGrid>
      <w:tr w:rsidR="0069036B" w:rsidRPr="00E44E38" w14:paraId="6E066C96" w14:textId="77777777" w:rsidTr="005D49FB">
        <w:trPr>
          <w:trHeight w:hRule="exact" w:val="624"/>
        </w:trPr>
        <w:tc>
          <w:tcPr>
            <w:tcW w:w="4024" w:type="dxa"/>
            <w:shd w:val="clear" w:color="auto" w:fill="BFBFBF" w:themeFill="background1" w:themeFillShade="BF"/>
            <w:vAlign w:val="center"/>
          </w:tcPr>
          <w:p w14:paraId="6AC9C418" w14:textId="77777777" w:rsidR="0069036B" w:rsidRPr="00E44E38" w:rsidRDefault="0069036B" w:rsidP="00234907">
            <w:pPr>
              <w:autoSpaceDE w:val="0"/>
              <w:autoSpaceDN w:val="0"/>
              <w:adjustRightInd w:val="0"/>
              <w:rPr>
                <w:rFonts w:eastAsia="Times New Roman" w:cs="Open Sans"/>
                <w:color w:val="000000"/>
                <w:sz w:val="22"/>
                <w:szCs w:val="22"/>
              </w:rPr>
            </w:pPr>
            <w:r w:rsidRPr="00E44E38">
              <w:rPr>
                <w:rFonts w:eastAsia="Times New Roman" w:cs="Open Sans"/>
                <w:color w:val="000000"/>
                <w:sz w:val="22"/>
                <w:szCs w:val="22"/>
              </w:rPr>
              <w:t xml:space="preserve">Recommendation number </w:t>
            </w:r>
          </w:p>
        </w:tc>
        <w:tc>
          <w:tcPr>
            <w:tcW w:w="4024" w:type="dxa"/>
            <w:shd w:val="clear" w:color="auto" w:fill="BFBFBF" w:themeFill="background1" w:themeFillShade="BF"/>
            <w:vAlign w:val="center"/>
          </w:tcPr>
          <w:p w14:paraId="5974B9BD" w14:textId="77777777" w:rsidR="0069036B" w:rsidRPr="00E44E38" w:rsidRDefault="0069036B" w:rsidP="00234907">
            <w:pPr>
              <w:autoSpaceDE w:val="0"/>
              <w:autoSpaceDN w:val="0"/>
              <w:adjustRightInd w:val="0"/>
              <w:rPr>
                <w:rFonts w:eastAsia="Times New Roman" w:cs="Open Sans"/>
                <w:color w:val="000000"/>
                <w:sz w:val="22"/>
                <w:szCs w:val="22"/>
              </w:rPr>
            </w:pPr>
            <w:r w:rsidRPr="00E44E38">
              <w:rPr>
                <w:rFonts w:eastAsia="Times New Roman" w:cs="Open Sans"/>
                <w:color w:val="000000"/>
                <w:sz w:val="22"/>
                <w:szCs w:val="22"/>
              </w:rPr>
              <w:t xml:space="preserve">Department’s response </w:t>
            </w:r>
          </w:p>
        </w:tc>
      </w:tr>
      <w:tr w:rsidR="0069036B" w:rsidRPr="00E44E38" w14:paraId="3D1D40DA" w14:textId="77777777" w:rsidTr="005D49FB">
        <w:trPr>
          <w:trHeight w:hRule="exact" w:val="624"/>
        </w:trPr>
        <w:tc>
          <w:tcPr>
            <w:tcW w:w="4024" w:type="dxa"/>
            <w:vAlign w:val="center"/>
          </w:tcPr>
          <w:p w14:paraId="0780AA09" w14:textId="77777777" w:rsidR="0069036B" w:rsidRPr="00E44E38" w:rsidRDefault="0069036B" w:rsidP="00234907">
            <w:pPr>
              <w:autoSpaceDE w:val="0"/>
              <w:autoSpaceDN w:val="0"/>
              <w:adjustRightInd w:val="0"/>
              <w:rPr>
                <w:rFonts w:eastAsia="Times New Roman" w:cs="Open Sans"/>
                <w:color w:val="000000"/>
                <w:sz w:val="22"/>
                <w:szCs w:val="22"/>
              </w:rPr>
            </w:pPr>
            <w:r w:rsidRPr="00E44E38">
              <w:rPr>
                <w:rFonts w:eastAsia="Times New Roman" w:cs="Open Sans"/>
                <w:color w:val="000000"/>
                <w:sz w:val="22"/>
                <w:szCs w:val="22"/>
              </w:rPr>
              <w:t xml:space="preserve">1 </w:t>
            </w:r>
          </w:p>
        </w:tc>
        <w:tc>
          <w:tcPr>
            <w:tcW w:w="4024" w:type="dxa"/>
            <w:vAlign w:val="center"/>
          </w:tcPr>
          <w:p w14:paraId="6E07D257" w14:textId="57E46D9F" w:rsidR="0069036B" w:rsidRPr="00E44E38" w:rsidRDefault="0069036B" w:rsidP="00234907">
            <w:pPr>
              <w:autoSpaceDE w:val="0"/>
              <w:autoSpaceDN w:val="0"/>
              <w:adjustRightInd w:val="0"/>
              <w:rPr>
                <w:rFonts w:eastAsia="Times New Roman" w:cs="Open Sans"/>
                <w:color w:val="000000"/>
                <w:sz w:val="22"/>
                <w:szCs w:val="22"/>
              </w:rPr>
            </w:pPr>
            <w:r>
              <w:rPr>
                <w:rFonts w:eastAsia="Times New Roman" w:cs="Open Sans"/>
                <w:color w:val="000000"/>
                <w:sz w:val="22"/>
                <w:szCs w:val="22"/>
              </w:rPr>
              <w:t>Note</w:t>
            </w:r>
            <w:r w:rsidR="005D49FB">
              <w:rPr>
                <w:rFonts w:eastAsia="Times New Roman" w:cs="Open Sans"/>
                <w:color w:val="000000"/>
                <w:sz w:val="22"/>
                <w:szCs w:val="22"/>
              </w:rPr>
              <w:t>d</w:t>
            </w:r>
          </w:p>
        </w:tc>
      </w:tr>
      <w:tr w:rsidR="0069036B" w:rsidRPr="00E44E38" w14:paraId="52F82720" w14:textId="77777777" w:rsidTr="005D49FB">
        <w:trPr>
          <w:trHeight w:hRule="exact" w:val="624"/>
        </w:trPr>
        <w:tc>
          <w:tcPr>
            <w:tcW w:w="4024" w:type="dxa"/>
            <w:vAlign w:val="center"/>
          </w:tcPr>
          <w:p w14:paraId="264DBEBE" w14:textId="77777777" w:rsidR="0069036B" w:rsidRPr="00E44E38" w:rsidRDefault="0069036B" w:rsidP="00234907">
            <w:pPr>
              <w:autoSpaceDE w:val="0"/>
              <w:autoSpaceDN w:val="0"/>
              <w:adjustRightInd w:val="0"/>
              <w:rPr>
                <w:rFonts w:eastAsia="Times New Roman" w:cs="Open Sans"/>
                <w:color w:val="000000"/>
                <w:sz w:val="22"/>
                <w:szCs w:val="22"/>
              </w:rPr>
            </w:pPr>
            <w:r w:rsidRPr="00E44E38">
              <w:rPr>
                <w:rFonts w:eastAsia="Times New Roman" w:cs="Open Sans"/>
                <w:color w:val="000000"/>
                <w:sz w:val="22"/>
                <w:szCs w:val="22"/>
              </w:rPr>
              <w:t xml:space="preserve">2 </w:t>
            </w:r>
          </w:p>
        </w:tc>
        <w:tc>
          <w:tcPr>
            <w:tcW w:w="4024" w:type="dxa"/>
            <w:vAlign w:val="center"/>
          </w:tcPr>
          <w:p w14:paraId="0F9B46CF" w14:textId="2263464E" w:rsidR="0069036B" w:rsidRPr="00E44E38" w:rsidRDefault="0069036B" w:rsidP="00234907">
            <w:pPr>
              <w:autoSpaceDE w:val="0"/>
              <w:autoSpaceDN w:val="0"/>
              <w:adjustRightInd w:val="0"/>
              <w:rPr>
                <w:rFonts w:eastAsia="Times New Roman" w:cs="Open Sans"/>
                <w:color w:val="000000"/>
                <w:sz w:val="22"/>
                <w:szCs w:val="22"/>
              </w:rPr>
            </w:pPr>
            <w:r w:rsidRPr="00E44E38">
              <w:rPr>
                <w:rFonts w:eastAsia="Times New Roman" w:cs="Open Sans"/>
                <w:color w:val="000000"/>
                <w:sz w:val="22"/>
                <w:szCs w:val="22"/>
              </w:rPr>
              <w:t>Note</w:t>
            </w:r>
            <w:r w:rsidR="005D49FB">
              <w:rPr>
                <w:rFonts w:eastAsia="Times New Roman" w:cs="Open Sans"/>
                <w:color w:val="000000"/>
                <w:sz w:val="22"/>
                <w:szCs w:val="22"/>
              </w:rPr>
              <w:t>d</w:t>
            </w:r>
          </w:p>
        </w:tc>
      </w:tr>
      <w:tr w:rsidR="0069036B" w:rsidRPr="00E44E38" w14:paraId="639E0632" w14:textId="77777777" w:rsidTr="005D49FB">
        <w:trPr>
          <w:trHeight w:hRule="exact" w:val="624"/>
        </w:trPr>
        <w:tc>
          <w:tcPr>
            <w:tcW w:w="4024" w:type="dxa"/>
            <w:vAlign w:val="center"/>
          </w:tcPr>
          <w:p w14:paraId="1501CBBF" w14:textId="77777777" w:rsidR="0069036B" w:rsidRPr="00E44E38" w:rsidRDefault="0069036B" w:rsidP="00234907">
            <w:pPr>
              <w:autoSpaceDE w:val="0"/>
              <w:autoSpaceDN w:val="0"/>
              <w:adjustRightInd w:val="0"/>
              <w:rPr>
                <w:rFonts w:eastAsia="Times New Roman" w:cs="Open Sans"/>
                <w:color w:val="000000"/>
                <w:sz w:val="22"/>
                <w:szCs w:val="22"/>
              </w:rPr>
            </w:pPr>
            <w:r w:rsidRPr="00E44E38">
              <w:rPr>
                <w:rFonts w:eastAsia="Times New Roman" w:cs="Open Sans"/>
                <w:color w:val="000000"/>
                <w:sz w:val="22"/>
                <w:szCs w:val="22"/>
              </w:rPr>
              <w:t xml:space="preserve">3 </w:t>
            </w:r>
          </w:p>
        </w:tc>
        <w:tc>
          <w:tcPr>
            <w:tcW w:w="4024" w:type="dxa"/>
            <w:vAlign w:val="center"/>
          </w:tcPr>
          <w:p w14:paraId="00F21F0E" w14:textId="23F73515" w:rsidR="0069036B" w:rsidRPr="00E44E38" w:rsidRDefault="0069036B" w:rsidP="00234907">
            <w:pPr>
              <w:autoSpaceDE w:val="0"/>
              <w:autoSpaceDN w:val="0"/>
              <w:adjustRightInd w:val="0"/>
              <w:rPr>
                <w:rFonts w:eastAsia="Times New Roman" w:cs="Open Sans"/>
                <w:color w:val="000000"/>
                <w:sz w:val="22"/>
                <w:szCs w:val="22"/>
              </w:rPr>
            </w:pPr>
            <w:r w:rsidRPr="00E44E38">
              <w:rPr>
                <w:rFonts w:eastAsia="Times New Roman" w:cs="Open Sans"/>
                <w:color w:val="000000"/>
                <w:sz w:val="22"/>
                <w:szCs w:val="22"/>
              </w:rPr>
              <w:t>Note</w:t>
            </w:r>
            <w:r w:rsidR="005D49FB">
              <w:rPr>
                <w:rFonts w:eastAsia="Times New Roman" w:cs="Open Sans"/>
                <w:color w:val="000000"/>
                <w:sz w:val="22"/>
                <w:szCs w:val="22"/>
              </w:rPr>
              <w:t>d</w:t>
            </w:r>
          </w:p>
        </w:tc>
      </w:tr>
      <w:tr w:rsidR="0069036B" w:rsidRPr="00E44E38" w14:paraId="76FFB4D8" w14:textId="77777777" w:rsidTr="005D49FB">
        <w:trPr>
          <w:trHeight w:hRule="exact" w:val="624"/>
        </w:trPr>
        <w:tc>
          <w:tcPr>
            <w:tcW w:w="4024" w:type="dxa"/>
            <w:vAlign w:val="center"/>
          </w:tcPr>
          <w:p w14:paraId="710A4A5B" w14:textId="5DBC3ED1" w:rsidR="0069036B" w:rsidRPr="00E44E38" w:rsidRDefault="005D49FB" w:rsidP="00234907">
            <w:pPr>
              <w:autoSpaceDE w:val="0"/>
              <w:autoSpaceDN w:val="0"/>
              <w:adjustRightInd w:val="0"/>
              <w:rPr>
                <w:rFonts w:eastAsia="Times New Roman" w:cs="Open Sans"/>
                <w:color w:val="000000"/>
                <w:sz w:val="22"/>
                <w:szCs w:val="22"/>
              </w:rPr>
            </w:pPr>
            <w:r>
              <w:rPr>
                <w:rFonts w:eastAsia="Times New Roman" w:cs="Open Sans"/>
                <w:color w:val="000000"/>
                <w:sz w:val="22"/>
                <w:szCs w:val="22"/>
              </w:rPr>
              <w:t>4</w:t>
            </w:r>
          </w:p>
        </w:tc>
        <w:tc>
          <w:tcPr>
            <w:tcW w:w="4024" w:type="dxa"/>
            <w:vAlign w:val="center"/>
          </w:tcPr>
          <w:p w14:paraId="32D380C4" w14:textId="74C20427" w:rsidR="0069036B" w:rsidRPr="00E44E38" w:rsidRDefault="005D49FB" w:rsidP="00234907">
            <w:pPr>
              <w:autoSpaceDE w:val="0"/>
              <w:autoSpaceDN w:val="0"/>
              <w:adjustRightInd w:val="0"/>
              <w:rPr>
                <w:rFonts w:eastAsia="Times New Roman" w:cs="Open Sans"/>
                <w:color w:val="000000"/>
                <w:sz w:val="22"/>
                <w:szCs w:val="22"/>
              </w:rPr>
            </w:pPr>
            <w:r>
              <w:rPr>
                <w:rFonts w:eastAsia="Times New Roman" w:cs="Open Sans"/>
                <w:color w:val="000000"/>
                <w:sz w:val="22"/>
                <w:szCs w:val="22"/>
              </w:rPr>
              <w:t>Noted</w:t>
            </w:r>
          </w:p>
        </w:tc>
      </w:tr>
      <w:tr w:rsidR="005D49FB" w:rsidRPr="00E44E38" w14:paraId="342E4E20" w14:textId="77777777" w:rsidTr="005D49FB">
        <w:trPr>
          <w:trHeight w:hRule="exact" w:val="624"/>
        </w:trPr>
        <w:tc>
          <w:tcPr>
            <w:tcW w:w="4024" w:type="dxa"/>
            <w:vAlign w:val="center"/>
          </w:tcPr>
          <w:p w14:paraId="1193B037" w14:textId="6F77E715" w:rsidR="005D49FB" w:rsidRDefault="005D49FB" w:rsidP="00234907">
            <w:pPr>
              <w:autoSpaceDE w:val="0"/>
              <w:autoSpaceDN w:val="0"/>
              <w:adjustRightInd w:val="0"/>
              <w:rPr>
                <w:rFonts w:eastAsia="Times New Roman" w:cs="Open Sans"/>
                <w:color w:val="000000"/>
                <w:sz w:val="22"/>
                <w:szCs w:val="22"/>
              </w:rPr>
            </w:pPr>
            <w:r>
              <w:rPr>
                <w:rFonts w:eastAsia="Times New Roman" w:cs="Open Sans"/>
                <w:color w:val="000000"/>
                <w:sz w:val="22"/>
                <w:szCs w:val="22"/>
              </w:rPr>
              <w:t>5</w:t>
            </w:r>
          </w:p>
        </w:tc>
        <w:tc>
          <w:tcPr>
            <w:tcW w:w="4024" w:type="dxa"/>
            <w:vAlign w:val="center"/>
          </w:tcPr>
          <w:p w14:paraId="69DBE6B3" w14:textId="67EEB006" w:rsidR="005D49FB" w:rsidRDefault="005D49FB" w:rsidP="00234907">
            <w:pPr>
              <w:autoSpaceDE w:val="0"/>
              <w:autoSpaceDN w:val="0"/>
              <w:adjustRightInd w:val="0"/>
              <w:rPr>
                <w:rFonts w:eastAsia="Times New Roman" w:cs="Open Sans"/>
                <w:color w:val="000000"/>
                <w:sz w:val="22"/>
                <w:szCs w:val="22"/>
              </w:rPr>
            </w:pPr>
            <w:r>
              <w:rPr>
                <w:rFonts w:eastAsia="Times New Roman" w:cs="Open Sans"/>
                <w:color w:val="000000"/>
                <w:sz w:val="22"/>
                <w:szCs w:val="22"/>
              </w:rPr>
              <w:t>Noted</w:t>
            </w:r>
          </w:p>
        </w:tc>
      </w:tr>
    </w:tbl>
    <w:p w14:paraId="3C37975F" w14:textId="77777777" w:rsidR="004C7D42" w:rsidRDefault="004C7D42" w:rsidP="005D49FB">
      <w:pPr>
        <w:keepLines/>
        <w:rPr>
          <w:rFonts w:eastAsia="Times New Roman" w:cs="Open Sans"/>
          <w:spacing w:val="-5"/>
          <w:sz w:val="22"/>
          <w:szCs w:val="18"/>
          <w:lang w:eastAsia="en-US"/>
        </w:rPr>
      </w:pPr>
    </w:p>
    <w:p w14:paraId="7E57A675" w14:textId="77777777" w:rsidR="00AA4CAC" w:rsidRDefault="00AA4CAC" w:rsidP="005D49FB">
      <w:pPr>
        <w:keepLines/>
        <w:rPr>
          <w:rFonts w:eastAsia="Times New Roman" w:cs="Open Sans"/>
          <w:spacing w:val="-5"/>
          <w:sz w:val="22"/>
          <w:szCs w:val="18"/>
          <w:lang w:eastAsia="en-US"/>
        </w:rPr>
      </w:pPr>
    </w:p>
    <w:p w14:paraId="3D5EEBA4" w14:textId="77777777" w:rsidR="00AA4CAC" w:rsidRDefault="00AA4CAC" w:rsidP="005D49FB">
      <w:pPr>
        <w:keepLines/>
        <w:rPr>
          <w:rFonts w:eastAsia="Times New Roman" w:cs="Open Sans"/>
          <w:spacing w:val="-5"/>
          <w:sz w:val="22"/>
          <w:szCs w:val="18"/>
          <w:lang w:eastAsia="en-US"/>
        </w:rPr>
      </w:pPr>
    </w:p>
    <w:p w14:paraId="1BF7ACEB" w14:textId="77777777" w:rsidR="00AA4CAC" w:rsidRDefault="00AA4CAC" w:rsidP="005D49FB">
      <w:pPr>
        <w:keepLines/>
        <w:rPr>
          <w:rFonts w:eastAsia="Times New Roman" w:cs="Open Sans"/>
          <w:spacing w:val="-5"/>
          <w:sz w:val="22"/>
          <w:szCs w:val="18"/>
          <w:lang w:eastAsia="en-US"/>
        </w:rPr>
      </w:pPr>
    </w:p>
    <w:p w14:paraId="3F107E7C" w14:textId="77777777" w:rsidR="00AA4CAC" w:rsidRPr="00711744" w:rsidRDefault="00AA4CAC" w:rsidP="005D49FB">
      <w:pPr>
        <w:keepLines/>
        <w:rPr>
          <w:rFonts w:eastAsia="Times New Roman" w:cs="Open Sans"/>
          <w:spacing w:val="-5"/>
          <w:sz w:val="22"/>
          <w:szCs w:val="18"/>
          <w:lang w:eastAsia="en-US"/>
        </w:rPr>
      </w:pPr>
    </w:p>
    <w:p w14:paraId="7922D6C2" w14:textId="77777777" w:rsidR="003A4709" w:rsidRPr="00D8461E" w:rsidRDefault="003A4709" w:rsidP="000F7824">
      <w:pPr>
        <w:pStyle w:val="ListParagraph"/>
        <w:numPr>
          <w:ilvl w:val="0"/>
          <w:numId w:val="27"/>
        </w:numPr>
        <w:contextualSpacing/>
        <w:rPr>
          <w:rFonts w:cs="Open Sans"/>
        </w:rPr>
      </w:pPr>
      <w:r w:rsidRPr="00D8461E">
        <w:rPr>
          <w:rFonts w:cs="Open Sans"/>
        </w:rPr>
        <w:t>I report accordingly to the Attorney General.</w:t>
      </w:r>
    </w:p>
    <w:p w14:paraId="7F12A58C" w14:textId="6FF398B4" w:rsidR="00FC10F9" w:rsidRPr="003A4709" w:rsidRDefault="0010551E" w:rsidP="003A4709">
      <w:pPr>
        <w:rPr>
          <w:rFonts w:eastAsia="Times New Roman" w:cs="Open Sans"/>
          <w:spacing w:val="-5"/>
        </w:rPr>
      </w:pPr>
      <w:r w:rsidRPr="00CD5013">
        <w:rPr>
          <w:rFonts w:cs="Open Sans"/>
          <w:noProof/>
          <w:sz w:val="22"/>
          <w:szCs w:val="22"/>
        </w:rPr>
        <w:drawing>
          <wp:inline distT="0" distB="0" distL="0" distR="0" wp14:anchorId="6F3629A6" wp14:editId="0BE8B3AD">
            <wp:extent cx="1828800" cy="681187"/>
            <wp:effectExtent l="0" t="0" r="0" b="508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55953" cy="691301"/>
                    </a:xfrm>
                    <a:prstGeom prst="rect">
                      <a:avLst/>
                    </a:prstGeom>
                    <a:noFill/>
                    <a:ln>
                      <a:noFill/>
                    </a:ln>
                  </pic:spPr>
                </pic:pic>
              </a:graphicData>
            </a:graphic>
          </wp:inline>
        </w:drawing>
      </w:r>
    </w:p>
    <w:p w14:paraId="6095E689" w14:textId="07B9CFF5" w:rsidR="009F2B50" w:rsidRDefault="009F2B50" w:rsidP="009F2B50">
      <w:pPr>
        <w:autoSpaceDE w:val="0"/>
        <w:autoSpaceDN w:val="0"/>
        <w:adjustRightInd w:val="0"/>
        <w:spacing w:after="0"/>
        <w:rPr>
          <w:rFonts w:cs="Open Sans"/>
          <w:color w:val="000000"/>
        </w:rPr>
      </w:pPr>
      <w:r w:rsidRPr="00FC10F9">
        <w:rPr>
          <w:rFonts w:cs="Open Sans"/>
          <w:color w:val="000000"/>
        </w:rPr>
        <w:t>Emeritus Professor Rosalind Croucher AM</w:t>
      </w:r>
      <w:r w:rsidRPr="00FC10F9">
        <w:rPr>
          <w:rFonts w:cs="Open Sans"/>
          <w:color w:val="000000"/>
        </w:rPr>
        <w:br/>
      </w:r>
      <w:r w:rsidRPr="00FC10F9">
        <w:rPr>
          <w:rFonts w:cs="Open Sans"/>
          <w:b/>
          <w:bCs/>
          <w:color w:val="000000"/>
        </w:rPr>
        <w:t>President</w:t>
      </w:r>
      <w:r w:rsidRPr="00FC10F9">
        <w:rPr>
          <w:rFonts w:cs="Open Sans"/>
          <w:color w:val="000000"/>
        </w:rPr>
        <w:br/>
        <w:t>Australian Human Rights Commission</w:t>
      </w:r>
      <w:r w:rsidRPr="00FC10F9">
        <w:rPr>
          <w:rFonts w:cs="Open Sans"/>
          <w:color w:val="000000"/>
        </w:rPr>
        <w:br/>
      </w:r>
      <w:r w:rsidR="00FC10F9">
        <w:rPr>
          <w:rFonts w:cs="Open Sans"/>
          <w:color w:val="000000"/>
        </w:rPr>
        <w:t xml:space="preserve">3 </w:t>
      </w:r>
      <w:r w:rsidR="00FC10F9" w:rsidRPr="00FC10F9">
        <w:rPr>
          <w:rFonts w:cs="Open Sans"/>
          <w:color w:val="000000"/>
        </w:rPr>
        <w:t>March</w:t>
      </w:r>
      <w:r w:rsidRPr="00FC10F9">
        <w:rPr>
          <w:rFonts w:cs="Open Sans"/>
          <w:color w:val="000000"/>
        </w:rPr>
        <w:t xml:space="preserve"> 2023</w:t>
      </w:r>
      <w:r>
        <w:rPr>
          <w:rFonts w:cs="Open Sans"/>
          <w:color w:val="000000"/>
        </w:rPr>
        <w:t xml:space="preserve"> </w:t>
      </w:r>
    </w:p>
    <w:p w14:paraId="5C721418" w14:textId="77777777" w:rsidR="00201C9D" w:rsidRPr="00937A33" w:rsidRDefault="00201C9D" w:rsidP="00201C9D">
      <w:pPr>
        <w:rPr>
          <w:rFonts w:eastAsia="Times New Roman" w:cs="Open Sans"/>
          <w:spacing w:val="-5"/>
        </w:rPr>
      </w:pPr>
    </w:p>
    <w:p w14:paraId="1F79CED6" w14:textId="77777777" w:rsidR="00201C9D" w:rsidRPr="00937A33" w:rsidRDefault="00201C9D" w:rsidP="00201C9D">
      <w:pPr>
        <w:pStyle w:val="ListParagraph"/>
        <w:rPr>
          <w:rFonts w:eastAsia="Times New Roman" w:cs="Open Sans"/>
          <w:spacing w:val="-5"/>
        </w:rPr>
      </w:pPr>
    </w:p>
    <w:p w14:paraId="1F00B3B9" w14:textId="77777777" w:rsidR="00201C9D" w:rsidRPr="005635D7" w:rsidRDefault="00201C9D" w:rsidP="00201C9D">
      <w:pPr>
        <w:rPr>
          <w:rFonts w:cs="Open Sans"/>
        </w:rPr>
      </w:pPr>
    </w:p>
    <w:p w14:paraId="78FB7AB9" w14:textId="77777777" w:rsidR="00201C9D" w:rsidRPr="005635D7" w:rsidRDefault="00201C9D" w:rsidP="00201C9D">
      <w:pPr>
        <w:rPr>
          <w:rFonts w:cs="Open Sans"/>
        </w:rPr>
      </w:pPr>
    </w:p>
    <w:p w14:paraId="62A00616" w14:textId="77777777" w:rsidR="00201C9D" w:rsidRPr="00937A33" w:rsidRDefault="00201C9D" w:rsidP="00201C9D">
      <w:pPr>
        <w:spacing w:after="0"/>
        <w:rPr>
          <w:rFonts w:eastAsia="Times New Roman" w:cs="Open Sans"/>
          <w:spacing w:val="-5"/>
        </w:rPr>
      </w:pPr>
    </w:p>
    <w:p w14:paraId="30167600" w14:textId="77777777" w:rsidR="00201C9D" w:rsidRPr="00937A33" w:rsidRDefault="00201C9D" w:rsidP="00201C9D">
      <w:pPr>
        <w:spacing w:after="0"/>
        <w:rPr>
          <w:rFonts w:eastAsia="Times New Roman" w:cs="Open Sans"/>
          <w:spacing w:val="-5"/>
        </w:rPr>
      </w:pPr>
    </w:p>
    <w:p w14:paraId="68B9A913" w14:textId="77777777" w:rsidR="00201C9D" w:rsidRPr="005635D7" w:rsidRDefault="00201C9D" w:rsidP="00201C9D">
      <w:pPr>
        <w:rPr>
          <w:rFonts w:cs="Open Sans"/>
        </w:rPr>
      </w:pPr>
    </w:p>
    <w:p w14:paraId="7822655C" w14:textId="2F95FD30" w:rsidR="00371F6C" w:rsidRPr="00A87965" w:rsidRDefault="00371F6C">
      <w:pPr>
        <w:spacing w:before="0" w:after="0"/>
        <w:rPr>
          <w:b/>
          <w:bCs/>
          <w:noProof/>
        </w:rPr>
      </w:pPr>
      <w:r>
        <w:br w:type="page"/>
      </w:r>
      <w:r w:rsidR="00A87965" w:rsidRPr="00A87965">
        <w:rPr>
          <w:b/>
          <w:bCs/>
        </w:rPr>
        <w:lastRenderedPageBreak/>
        <w:t>Endnotes</w:t>
      </w:r>
    </w:p>
    <w:sectPr w:rsidR="00371F6C" w:rsidRPr="00A87965" w:rsidSect="00E16DDD">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1134" w:right="1418" w:bottom="1134" w:left="1418" w:header="907" w:footer="283"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CE952" w14:textId="77777777" w:rsidR="006C3083" w:rsidRDefault="006C3083" w:rsidP="00F14C6D">
      <w:r>
        <w:separator/>
      </w:r>
    </w:p>
  </w:endnote>
  <w:endnote w:type="continuationSeparator" w:id="0">
    <w:p w14:paraId="61C0C3D8" w14:textId="77777777" w:rsidR="006C3083" w:rsidRDefault="006C3083" w:rsidP="00F14C6D">
      <w:r>
        <w:continuationSeparator/>
      </w:r>
    </w:p>
  </w:endnote>
  <w:endnote w:id="1">
    <w:p w14:paraId="08BD8E7C" w14:textId="77777777" w:rsidR="00201C9D" w:rsidRPr="009A2C59" w:rsidRDefault="00201C9D" w:rsidP="00201C9D">
      <w:pPr>
        <w:pStyle w:val="EndnoteText"/>
        <w:ind w:left="284" w:hanging="284"/>
        <w:rPr>
          <w:rFonts w:cs="Open Sans"/>
          <w:iCs/>
          <w:lang w:val="en-GB"/>
        </w:rPr>
      </w:pPr>
      <w:r w:rsidRPr="009A2C59">
        <w:rPr>
          <w:rStyle w:val="EndnoteReference"/>
          <w:rFonts w:cs="Open Sans"/>
        </w:rPr>
        <w:endnoteRef/>
      </w:r>
      <w:r w:rsidRPr="009A2C59">
        <w:rPr>
          <w:rFonts w:cs="Open Sans"/>
        </w:rPr>
        <w:t xml:space="preserve"> </w:t>
      </w:r>
      <w:r w:rsidRPr="009A2C59">
        <w:rPr>
          <w:rFonts w:cs="Open Sans"/>
        </w:rPr>
        <w:tab/>
      </w:r>
      <w:r w:rsidRPr="00373DB0">
        <w:rPr>
          <w:rFonts w:cs="Open Sans"/>
        </w:rPr>
        <w:t xml:space="preserve">Australian Human Rights Commission, </w:t>
      </w:r>
      <w:r w:rsidRPr="00373DB0">
        <w:rPr>
          <w:rFonts w:cs="Open Sans"/>
          <w:i/>
          <w:iCs/>
        </w:rPr>
        <w:t>Inspection of Villawood Immigration Detention Centre: Report</w:t>
      </w:r>
      <w:r w:rsidRPr="000A5D18">
        <w:rPr>
          <w:rFonts w:cs="Open Sans"/>
        </w:rPr>
        <w:t xml:space="preserve"> </w:t>
      </w:r>
      <w:r w:rsidRPr="002C16EF">
        <w:rPr>
          <w:rFonts w:cs="Open Sans"/>
        </w:rPr>
        <w:t>(10-12 April 2017), at page 11.</w:t>
      </w:r>
      <w:r w:rsidRPr="002C16EF">
        <w:rPr>
          <w:rFonts w:cs="Open Sans"/>
          <w:iCs/>
        </w:rPr>
        <w:t xml:space="preserve"> </w:t>
      </w:r>
    </w:p>
  </w:endnote>
  <w:endnote w:id="2">
    <w:p w14:paraId="6B0FCDD0" w14:textId="77777777" w:rsidR="00201C9D" w:rsidRPr="002C16EF" w:rsidRDefault="00201C9D" w:rsidP="00201C9D">
      <w:pPr>
        <w:pStyle w:val="EndnoteText"/>
        <w:ind w:left="284" w:hanging="284"/>
        <w:rPr>
          <w:rFonts w:cs="Open Sans"/>
        </w:rPr>
      </w:pPr>
      <w:r w:rsidRPr="00373DB0">
        <w:rPr>
          <w:rStyle w:val="EndnoteReference"/>
          <w:rFonts w:cs="Open Sans"/>
        </w:rPr>
        <w:endnoteRef/>
      </w:r>
      <w:r w:rsidRPr="00373DB0">
        <w:rPr>
          <w:rFonts w:cs="Open Sans"/>
        </w:rPr>
        <w:t xml:space="preserve"> </w:t>
      </w:r>
      <w:r w:rsidRPr="00373DB0">
        <w:rPr>
          <w:rFonts w:cs="Open Sans"/>
        </w:rPr>
        <w:tab/>
        <w:t xml:space="preserve">See </w:t>
      </w:r>
      <w:r w:rsidRPr="00373DB0">
        <w:rPr>
          <w:rFonts w:cs="Open Sans"/>
          <w:i/>
        </w:rPr>
        <w:t>Secretary of the Department of Defence v Human Rights and Equal Opportunity Commission, Burgess &amp; Ors</w:t>
      </w:r>
      <w:r w:rsidRPr="000A5D18">
        <w:rPr>
          <w:rFonts w:cs="Open Sans"/>
        </w:rPr>
        <w:t xml:space="preserve"> (1997) 78 FCR 208.</w:t>
      </w:r>
    </w:p>
  </w:endnote>
  <w:endnote w:id="3">
    <w:p w14:paraId="58578931" w14:textId="77777777" w:rsidR="00201C9D" w:rsidRPr="002C16EF" w:rsidRDefault="00201C9D" w:rsidP="00201C9D">
      <w:pPr>
        <w:pStyle w:val="EndnoteText"/>
        <w:ind w:left="284" w:hanging="284"/>
        <w:rPr>
          <w:rFonts w:cs="Open Sans"/>
        </w:rPr>
      </w:pPr>
      <w:r w:rsidRPr="00373DB0">
        <w:rPr>
          <w:rStyle w:val="EndnoteReference"/>
          <w:rFonts w:cs="Open Sans"/>
        </w:rPr>
        <w:endnoteRef/>
      </w:r>
      <w:r w:rsidRPr="00373DB0">
        <w:rPr>
          <w:rFonts w:cs="Open Sans"/>
        </w:rPr>
        <w:t xml:space="preserve"> </w:t>
      </w:r>
      <w:r w:rsidRPr="00373DB0">
        <w:rPr>
          <w:rFonts w:cs="Open Sans"/>
        </w:rPr>
        <w:tab/>
        <w:t xml:space="preserve">Human Rights Committee, </w:t>
      </w:r>
      <w:r w:rsidRPr="00373DB0">
        <w:rPr>
          <w:rFonts w:cs="Open Sans"/>
          <w:i/>
        </w:rPr>
        <w:t>General Comment No 21: Article 10 (Humane treatment of persons deprived of their liberty)</w:t>
      </w:r>
      <w:r w:rsidRPr="000A5D18">
        <w:rPr>
          <w:rFonts w:cs="Open Sans"/>
        </w:rPr>
        <w:t>, 44</w:t>
      </w:r>
      <w:r w:rsidRPr="002C16EF">
        <w:rPr>
          <w:rFonts w:cs="Open Sans"/>
          <w:vertAlign w:val="superscript"/>
        </w:rPr>
        <w:t>th</w:t>
      </w:r>
      <w:r w:rsidRPr="002C16EF">
        <w:rPr>
          <w:rFonts w:cs="Open Sans"/>
        </w:rPr>
        <w:t xml:space="preserve"> sess, UN Doc HRI/GEN/1/Rev.1 at 33 (10 April 1992) [3].</w:t>
      </w:r>
    </w:p>
  </w:endnote>
  <w:endnote w:id="4">
    <w:p w14:paraId="3136F48B" w14:textId="77777777" w:rsidR="00201C9D" w:rsidRPr="00373DB0" w:rsidRDefault="00201C9D" w:rsidP="00201C9D">
      <w:pPr>
        <w:pStyle w:val="EndnoteText"/>
        <w:ind w:left="284" w:hanging="284"/>
        <w:rPr>
          <w:rFonts w:cs="Open Sans"/>
        </w:rPr>
      </w:pPr>
      <w:r w:rsidRPr="00373DB0">
        <w:rPr>
          <w:rStyle w:val="EndnoteReference"/>
          <w:rFonts w:cs="Open Sans"/>
        </w:rPr>
        <w:endnoteRef/>
      </w:r>
      <w:r w:rsidRPr="00373DB0">
        <w:rPr>
          <w:rFonts w:cs="Open Sans"/>
        </w:rPr>
        <w:t xml:space="preserve"> </w:t>
      </w:r>
      <w:r w:rsidRPr="00373DB0">
        <w:rPr>
          <w:rFonts w:cs="Open Sans"/>
        </w:rPr>
        <w:tab/>
        <w:t xml:space="preserve">Human Rights Committee, </w:t>
      </w:r>
      <w:r w:rsidRPr="00373DB0">
        <w:rPr>
          <w:rFonts w:cs="Open Sans"/>
          <w:i/>
        </w:rPr>
        <w:t>General Comment No 21: Article</w:t>
      </w:r>
      <w:r w:rsidRPr="000A5D18">
        <w:rPr>
          <w:rFonts w:cs="Open Sans"/>
          <w:i/>
        </w:rPr>
        <w:t xml:space="preserve"> 10 (Humane treatment of persons deprived of their liberty)</w:t>
      </w:r>
      <w:r w:rsidRPr="00373DB0">
        <w:rPr>
          <w:rFonts w:cs="Open Sans"/>
        </w:rPr>
        <w:t>, 44</w:t>
      </w:r>
      <w:r w:rsidRPr="00373DB0">
        <w:rPr>
          <w:rFonts w:cs="Open Sans"/>
          <w:vertAlign w:val="superscript"/>
        </w:rPr>
        <w:t>th</w:t>
      </w:r>
      <w:r w:rsidRPr="00373DB0">
        <w:rPr>
          <w:rFonts w:cs="Open Sans"/>
        </w:rPr>
        <w:t xml:space="preserve"> sess, UN Doc HRI/GEN/1/Rev.1 at 33 (10 April 1992) [3].</w:t>
      </w:r>
    </w:p>
  </w:endnote>
  <w:endnote w:id="5">
    <w:p w14:paraId="245046E0" w14:textId="77777777" w:rsidR="00201C9D" w:rsidRPr="000A5D18" w:rsidRDefault="00201C9D" w:rsidP="00201C9D">
      <w:pPr>
        <w:pStyle w:val="EndnoteText"/>
        <w:ind w:left="284" w:hanging="284"/>
        <w:rPr>
          <w:rFonts w:cs="Open Sans"/>
        </w:rPr>
      </w:pPr>
      <w:r w:rsidRPr="00373DB0">
        <w:rPr>
          <w:rStyle w:val="EndnoteReference"/>
          <w:rFonts w:cs="Open Sans"/>
        </w:rPr>
        <w:endnoteRef/>
      </w:r>
      <w:r w:rsidRPr="00373DB0">
        <w:rPr>
          <w:rFonts w:cs="Open Sans"/>
        </w:rPr>
        <w:t xml:space="preserve"> </w:t>
      </w:r>
      <w:r w:rsidRPr="00373DB0">
        <w:rPr>
          <w:rFonts w:cs="Open Sans"/>
        </w:rPr>
        <w:tab/>
        <w:t xml:space="preserve">UN Human Rights Committee, </w:t>
      </w:r>
      <w:r w:rsidRPr="00373DB0">
        <w:rPr>
          <w:rFonts w:cs="Open Sans"/>
          <w:i/>
        </w:rPr>
        <w:t>General Comment No 21: Article 10 (Humane treatment of persons deprived of their liberty)</w:t>
      </w:r>
      <w:r w:rsidRPr="000A5D18">
        <w:rPr>
          <w:rFonts w:cs="Open Sans"/>
        </w:rPr>
        <w:t>, 44</w:t>
      </w:r>
      <w:r w:rsidRPr="000A5D18">
        <w:rPr>
          <w:rFonts w:cs="Open Sans"/>
          <w:vertAlign w:val="superscript"/>
        </w:rPr>
        <w:t>th</w:t>
      </w:r>
      <w:r w:rsidRPr="000A5D18">
        <w:rPr>
          <w:rFonts w:cs="Open Sans"/>
        </w:rPr>
        <w:t xml:space="preserve"> sess, UN Doc HRI/GEN/1/Rev.9 (10 April 1992) 1 [3].</w:t>
      </w:r>
    </w:p>
  </w:endnote>
  <w:endnote w:id="6">
    <w:p w14:paraId="36BBB2B4" w14:textId="77777777" w:rsidR="00201C9D" w:rsidRPr="000A5D18" w:rsidRDefault="00201C9D" w:rsidP="00201C9D">
      <w:pPr>
        <w:pStyle w:val="EndnoteText"/>
        <w:ind w:left="284" w:hanging="284"/>
        <w:rPr>
          <w:rFonts w:cs="Open Sans"/>
        </w:rPr>
      </w:pPr>
      <w:r w:rsidRPr="00373DB0">
        <w:rPr>
          <w:rStyle w:val="EndnoteReference"/>
          <w:rFonts w:cs="Open Sans"/>
        </w:rPr>
        <w:endnoteRef/>
      </w:r>
      <w:r w:rsidRPr="00373DB0">
        <w:rPr>
          <w:rFonts w:cs="Open Sans"/>
        </w:rPr>
        <w:t xml:space="preserve"> </w:t>
      </w:r>
      <w:r w:rsidRPr="00373DB0">
        <w:rPr>
          <w:rFonts w:cs="Open Sans"/>
        </w:rPr>
        <w:tab/>
        <w:t>Manfred Nowak, UN Covenant on Civil and Political Rights CCPR Commentary, MP Engel, Germany, 1993, at page 186.</w:t>
      </w:r>
    </w:p>
  </w:endnote>
  <w:endnote w:id="7">
    <w:p w14:paraId="59C36720" w14:textId="77777777" w:rsidR="00201C9D" w:rsidRPr="00373DB0" w:rsidRDefault="00201C9D" w:rsidP="00201C9D">
      <w:pPr>
        <w:pStyle w:val="EndnoteText"/>
        <w:ind w:left="284" w:hanging="284"/>
        <w:rPr>
          <w:rFonts w:cs="Open Sans"/>
        </w:rPr>
      </w:pPr>
      <w:r w:rsidRPr="00373DB0">
        <w:rPr>
          <w:rStyle w:val="EndnoteReference"/>
          <w:rFonts w:cs="Open Sans"/>
        </w:rPr>
        <w:endnoteRef/>
      </w:r>
      <w:r w:rsidRPr="00373DB0">
        <w:rPr>
          <w:rFonts w:cs="Open Sans"/>
        </w:rPr>
        <w:t xml:space="preserve"> </w:t>
      </w:r>
      <w:r w:rsidRPr="00373DB0">
        <w:rPr>
          <w:rFonts w:cs="Open Sans"/>
        </w:rPr>
        <w:tab/>
        <w:t xml:space="preserve">UN Human Rights Committee, </w:t>
      </w:r>
      <w:r w:rsidRPr="00373DB0">
        <w:rPr>
          <w:rFonts w:cs="Open Sans"/>
          <w:i/>
        </w:rPr>
        <w:t xml:space="preserve">Views: </w:t>
      </w:r>
      <w:r w:rsidRPr="00373DB0">
        <w:rPr>
          <w:rFonts w:cs="Open Sans"/>
          <w:bCs/>
          <w:i/>
          <w:iCs/>
        </w:rPr>
        <w:t>Communication No. 529/1993</w:t>
      </w:r>
      <w:r w:rsidRPr="00373DB0">
        <w:rPr>
          <w:rFonts w:cs="Open Sans"/>
          <w:bCs/>
          <w:iCs/>
        </w:rPr>
        <w:t>, 60</w:t>
      </w:r>
      <w:r w:rsidRPr="00373DB0">
        <w:rPr>
          <w:rFonts w:cs="Open Sans"/>
          <w:bCs/>
          <w:iCs/>
          <w:vertAlign w:val="superscript"/>
        </w:rPr>
        <w:t>th</w:t>
      </w:r>
      <w:r w:rsidRPr="00373DB0">
        <w:rPr>
          <w:rFonts w:cs="Open Sans"/>
          <w:bCs/>
          <w:iCs/>
        </w:rPr>
        <w:t xml:space="preserve"> sess,</w:t>
      </w:r>
      <w:r w:rsidRPr="000A5D18">
        <w:rPr>
          <w:rFonts w:cs="Open Sans"/>
          <w:b/>
          <w:bCs/>
          <w:iCs/>
        </w:rPr>
        <w:t xml:space="preserve"> </w:t>
      </w:r>
      <w:r w:rsidRPr="000A5D18">
        <w:rPr>
          <w:rFonts w:cs="Open Sans"/>
        </w:rPr>
        <w:t>UN Doc CCPR/</w:t>
      </w:r>
      <w:r w:rsidRPr="00373DB0">
        <w:rPr>
          <w:rFonts w:cs="Open Sans"/>
        </w:rPr>
        <w:t>C/60/D/639/1995 (19 August 1997) (‘</w:t>
      </w:r>
      <w:r w:rsidRPr="00373DB0">
        <w:rPr>
          <w:rFonts w:cs="Open Sans"/>
          <w:i/>
        </w:rPr>
        <w:t>Walker and Richards v Jamaica’)</w:t>
      </w:r>
      <w:r w:rsidRPr="00373DB0">
        <w:rPr>
          <w:rFonts w:cs="Open Sans"/>
        </w:rPr>
        <w:t xml:space="preserve">; UN Human Rights Committee, </w:t>
      </w:r>
      <w:r w:rsidRPr="00373DB0">
        <w:rPr>
          <w:rFonts w:cs="Open Sans"/>
          <w:i/>
        </w:rPr>
        <w:t>Views:</w:t>
      </w:r>
      <w:r w:rsidRPr="00373DB0">
        <w:rPr>
          <w:rFonts w:cs="Open Sans"/>
        </w:rPr>
        <w:t xml:space="preserve"> </w:t>
      </w:r>
      <w:r w:rsidRPr="00373DB0">
        <w:rPr>
          <w:rFonts w:cs="Open Sans"/>
          <w:bCs/>
          <w:i/>
          <w:iCs/>
        </w:rPr>
        <w:t>Communication No 845/1998</w:t>
      </w:r>
      <w:r w:rsidRPr="00373DB0">
        <w:rPr>
          <w:rFonts w:cs="Open Sans"/>
          <w:bCs/>
          <w:iCs/>
        </w:rPr>
        <w:t>,</w:t>
      </w:r>
      <w:r w:rsidRPr="00373DB0">
        <w:rPr>
          <w:rFonts w:cs="Open Sans"/>
        </w:rPr>
        <w:t xml:space="preserve"> 74</w:t>
      </w:r>
      <w:r w:rsidRPr="00373DB0">
        <w:rPr>
          <w:rFonts w:cs="Open Sans"/>
          <w:vertAlign w:val="superscript"/>
        </w:rPr>
        <w:t>th</w:t>
      </w:r>
      <w:r w:rsidRPr="00373DB0">
        <w:rPr>
          <w:rFonts w:cs="Open Sans"/>
        </w:rPr>
        <w:t xml:space="preserve"> sess, UN Doc CCPR/C/74/D/845/1998 (‘</w:t>
      </w:r>
      <w:r w:rsidRPr="00373DB0">
        <w:rPr>
          <w:rFonts w:cs="Open Sans"/>
          <w:i/>
        </w:rPr>
        <w:t>Kennedy v Trinidad and Tobago’</w:t>
      </w:r>
      <w:r w:rsidRPr="00373DB0">
        <w:rPr>
          <w:rFonts w:cs="Open Sans"/>
          <w:bCs/>
          <w:iCs/>
        </w:rPr>
        <w:t>)</w:t>
      </w:r>
      <w:r w:rsidRPr="00373DB0">
        <w:rPr>
          <w:rFonts w:cs="Open Sans"/>
        </w:rPr>
        <w:t xml:space="preserve">; UN Human Rights Committee, </w:t>
      </w:r>
      <w:r w:rsidRPr="00373DB0">
        <w:rPr>
          <w:rFonts w:cs="Open Sans"/>
          <w:i/>
        </w:rPr>
        <w:t xml:space="preserve">Views: </w:t>
      </w:r>
      <w:r w:rsidRPr="00373DB0">
        <w:rPr>
          <w:rFonts w:cs="Open Sans"/>
          <w:bCs/>
          <w:i/>
          <w:iCs/>
        </w:rPr>
        <w:t>Communication No 684/1996</w:t>
      </w:r>
      <w:r w:rsidRPr="00373DB0">
        <w:rPr>
          <w:rFonts w:cs="Open Sans"/>
          <w:bCs/>
          <w:iCs/>
        </w:rPr>
        <w:t>,</w:t>
      </w:r>
      <w:r w:rsidRPr="00373DB0">
        <w:rPr>
          <w:rFonts w:cs="Open Sans"/>
          <w:bCs/>
          <w:i/>
          <w:iCs/>
        </w:rPr>
        <w:t xml:space="preserve"> </w:t>
      </w:r>
      <w:r w:rsidRPr="00373DB0">
        <w:rPr>
          <w:rFonts w:cs="Open Sans"/>
          <w:bCs/>
          <w:iCs/>
        </w:rPr>
        <w:t>57</w:t>
      </w:r>
      <w:r w:rsidRPr="00373DB0">
        <w:rPr>
          <w:rFonts w:cs="Open Sans"/>
          <w:bCs/>
          <w:iCs/>
          <w:vertAlign w:val="superscript"/>
        </w:rPr>
        <w:t>th</w:t>
      </w:r>
      <w:r w:rsidRPr="00373DB0">
        <w:rPr>
          <w:rFonts w:cs="Open Sans"/>
          <w:bCs/>
          <w:iCs/>
        </w:rPr>
        <w:t xml:space="preserve"> sess, UN Doc </w:t>
      </w:r>
      <w:r w:rsidRPr="00373DB0">
        <w:rPr>
          <w:rFonts w:cs="Open Sans"/>
        </w:rPr>
        <w:t>CCPR/C/74/D/684/1996 (‘</w:t>
      </w:r>
      <w:r w:rsidRPr="00373DB0">
        <w:rPr>
          <w:rFonts w:cs="Open Sans"/>
          <w:i/>
        </w:rPr>
        <w:t>R.S. v Trinidad and Tobago</w:t>
      </w:r>
      <w:r w:rsidRPr="00373DB0">
        <w:rPr>
          <w:rFonts w:cs="Open Sans"/>
        </w:rPr>
        <w:t>’).</w:t>
      </w:r>
    </w:p>
  </w:endnote>
  <w:endnote w:id="8">
    <w:p w14:paraId="38581842" w14:textId="77777777" w:rsidR="00201C9D" w:rsidRPr="000A5D18" w:rsidRDefault="00201C9D" w:rsidP="00201C9D">
      <w:pPr>
        <w:pStyle w:val="EndnoteText"/>
        <w:ind w:left="284" w:hanging="284"/>
        <w:rPr>
          <w:rFonts w:cs="Open Sans"/>
        </w:rPr>
      </w:pPr>
      <w:r w:rsidRPr="00373DB0">
        <w:rPr>
          <w:rStyle w:val="EndnoteReference"/>
          <w:rFonts w:cs="Open Sans"/>
        </w:rPr>
        <w:endnoteRef/>
      </w:r>
      <w:r w:rsidRPr="00373DB0">
        <w:rPr>
          <w:rFonts w:cs="Open Sans"/>
        </w:rPr>
        <w:t xml:space="preserve"> </w:t>
      </w:r>
      <w:r w:rsidRPr="00373DB0">
        <w:rPr>
          <w:rFonts w:cs="Open Sans"/>
        </w:rPr>
        <w:tab/>
        <w:t xml:space="preserve">Joseph S, Schultz J, Castan M, </w:t>
      </w:r>
      <w:r w:rsidRPr="00373DB0">
        <w:rPr>
          <w:rFonts w:cs="Open Sans"/>
          <w:i/>
          <w:iCs/>
        </w:rPr>
        <w:t>The International Covenant on Civil and Political Rights</w:t>
      </w:r>
      <w:r w:rsidRPr="00373DB0">
        <w:rPr>
          <w:rFonts w:cs="Open Sans"/>
        </w:rPr>
        <w:t>, 2nd Edition, (OUP 2004) 284.</w:t>
      </w:r>
    </w:p>
  </w:endnote>
  <w:endnote w:id="9">
    <w:p w14:paraId="26A76974" w14:textId="77777777" w:rsidR="00201C9D" w:rsidRPr="00373DB0" w:rsidRDefault="00201C9D" w:rsidP="00201C9D">
      <w:pPr>
        <w:pStyle w:val="EndnoteText"/>
        <w:ind w:left="284" w:hanging="284"/>
        <w:rPr>
          <w:rFonts w:cs="Open Sans"/>
        </w:rPr>
      </w:pPr>
      <w:r w:rsidRPr="00373DB0">
        <w:rPr>
          <w:rStyle w:val="EndnoteReference"/>
          <w:rFonts w:cs="Open Sans"/>
        </w:rPr>
        <w:endnoteRef/>
      </w:r>
      <w:r w:rsidRPr="00373DB0">
        <w:rPr>
          <w:rFonts w:cs="Open Sans"/>
        </w:rPr>
        <w:t xml:space="preserve"> </w:t>
      </w:r>
      <w:r w:rsidRPr="00373DB0">
        <w:rPr>
          <w:rFonts w:cs="Open Sans"/>
        </w:rPr>
        <w:tab/>
        <w:t xml:space="preserve">(2001) U.N. Doc. CCPR/CO/71/HRV, para 14 </w:t>
      </w:r>
      <w:hyperlink r:id="rId1" w:history="1">
        <w:r w:rsidRPr="009A2C59">
          <w:rPr>
            <w:rStyle w:val="Hyperlink"/>
            <w:rFonts w:eastAsiaTheme="majorEastAsia" w:cs="Open Sans"/>
          </w:rPr>
          <w:t>http://www.unhchr.ch/tbs/doc.nsf/(Symbol)/7c3306a53f34ff43c1256a2a0036d955?Opendocument</w:t>
        </w:r>
      </w:hyperlink>
      <w:r w:rsidRPr="00373DB0">
        <w:rPr>
          <w:rFonts w:cs="Open Sans"/>
        </w:rPr>
        <w:t xml:space="preserve"> </w:t>
      </w:r>
    </w:p>
  </w:endnote>
  <w:endnote w:id="10">
    <w:p w14:paraId="7F8559EF" w14:textId="77777777" w:rsidR="00201C9D" w:rsidRPr="00373DB0" w:rsidRDefault="00201C9D" w:rsidP="00201C9D">
      <w:pPr>
        <w:pStyle w:val="EndnoteText"/>
        <w:ind w:left="284" w:hanging="284"/>
        <w:rPr>
          <w:rFonts w:cs="Open Sans"/>
        </w:rPr>
      </w:pPr>
      <w:r w:rsidRPr="00373DB0">
        <w:rPr>
          <w:rStyle w:val="EndnoteReference"/>
          <w:rFonts w:cs="Open Sans"/>
        </w:rPr>
        <w:endnoteRef/>
      </w:r>
      <w:r w:rsidRPr="00373DB0">
        <w:rPr>
          <w:rFonts w:cs="Open Sans"/>
        </w:rPr>
        <w:t xml:space="preserve"> </w:t>
      </w:r>
      <w:r w:rsidRPr="00373DB0">
        <w:rPr>
          <w:rFonts w:cs="Open Sans"/>
        </w:rPr>
        <w:tab/>
        <w:t xml:space="preserve">The Standard Minimum Rules were approved by the UN Economic and Social Council by its resolutions ESC Res 663C (XXIV) 24 UN ESCOR Supp 1 UN Doc E/3048 (31 July 1957) and ESC Res 2076 (LXII) 62 UN ESCPR Supp 1 UN Doc E/5988 (13 May 1977). They were adopted by the UN General Assembly in resolutions </w:t>
      </w:r>
      <w:r w:rsidRPr="000A5D18">
        <w:rPr>
          <w:rFonts w:cs="Open Sans"/>
          <w:i/>
        </w:rPr>
        <w:t>Human Rights in the Administration of Justice</w:t>
      </w:r>
      <w:r w:rsidRPr="000A5D18">
        <w:rPr>
          <w:rFonts w:cs="Open Sans"/>
        </w:rPr>
        <w:t>, GA Res 2858 (XXVI), UN GAOR, 3</w:t>
      </w:r>
      <w:r w:rsidRPr="00373DB0">
        <w:rPr>
          <w:rFonts w:cs="Open Sans"/>
          <w:vertAlign w:val="superscript"/>
        </w:rPr>
        <w:t>rd</w:t>
      </w:r>
      <w:r w:rsidRPr="00373DB0">
        <w:rPr>
          <w:rFonts w:cs="Open Sans"/>
        </w:rPr>
        <w:t xml:space="preserve"> Comm, 26</w:t>
      </w:r>
      <w:r w:rsidRPr="00373DB0">
        <w:rPr>
          <w:rFonts w:cs="Open Sans"/>
          <w:vertAlign w:val="superscript"/>
        </w:rPr>
        <w:t>th</w:t>
      </w:r>
      <w:r w:rsidRPr="00373DB0">
        <w:rPr>
          <w:rFonts w:cs="Open Sans"/>
        </w:rPr>
        <w:t xml:space="preserve"> sess, 2027</w:t>
      </w:r>
      <w:r w:rsidRPr="00373DB0">
        <w:rPr>
          <w:rFonts w:cs="Open Sans"/>
          <w:vertAlign w:val="superscript"/>
        </w:rPr>
        <w:t>th</w:t>
      </w:r>
      <w:r w:rsidRPr="00373DB0">
        <w:rPr>
          <w:rFonts w:cs="Open Sans"/>
        </w:rPr>
        <w:t xml:space="preserve"> plen mtg, Agenda Item 12, UN Doc A/8588 (20 December 1971) and 3144 of 1983: UN Doc A/CONF/611, Annex 1. The Rules were revised, adopted and approved to be known as the “Nelson Mandela Rules” by the seventieth session of the United Nations General Assembly on 17 December 2015, agenda item 106, on the report of the Third Committee (A/70/490), UN Doc A/RES/70/175.</w:t>
      </w:r>
    </w:p>
  </w:endnote>
  <w:endnote w:id="11">
    <w:p w14:paraId="39D81B03" w14:textId="77777777" w:rsidR="00201C9D" w:rsidRPr="00373DB0" w:rsidRDefault="00201C9D" w:rsidP="00201C9D">
      <w:pPr>
        <w:pStyle w:val="EndnoteText"/>
        <w:ind w:left="284" w:hanging="284"/>
        <w:rPr>
          <w:rFonts w:cs="Open Sans"/>
        </w:rPr>
      </w:pPr>
      <w:r w:rsidRPr="00373DB0">
        <w:rPr>
          <w:rStyle w:val="EndnoteReference"/>
          <w:rFonts w:cs="Open Sans"/>
        </w:rPr>
        <w:endnoteRef/>
      </w:r>
      <w:r w:rsidRPr="00373DB0">
        <w:rPr>
          <w:rFonts w:cs="Open Sans"/>
        </w:rPr>
        <w:t xml:space="preserve"> </w:t>
      </w:r>
      <w:r w:rsidRPr="00373DB0">
        <w:rPr>
          <w:rFonts w:cs="Open Sans"/>
        </w:rPr>
        <w:tab/>
        <w:t xml:space="preserve">The Body of Principles were adopted by the UN General Assembly in </w:t>
      </w:r>
      <w:r w:rsidRPr="00373DB0">
        <w:rPr>
          <w:rFonts w:cs="Open Sans"/>
          <w:i/>
        </w:rPr>
        <w:t>Body of Principles for the Protection of all Persons Under Any Form of Detent</w:t>
      </w:r>
      <w:r w:rsidRPr="000A5D18">
        <w:rPr>
          <w:rFonts w:cs="Open Sans"/>
          <w:i/>
        </w:rPr>
        <w:t>ion or Imprisonment</w:t>
      </w:r>
      <w:r w:rsidRPr="000A5D18">
        <w:rPr>
          <w:rFonts w:cs="Open Sans"/>
        </w:rPr>
        <w:t>, GA Res 43/173, UN GAOR,</w:t>
      </w:r>
      <w:r w:rsidRPr="000A5D18">
        <w:rPr>
          <w:rFonts w:cs="Open Sans"/>
          <w:i/>
        </w:rPr>
        <w:t xml:space="preserve"> </w:t>
      </w:r>
      <w:r w:rsidRPr="000A5D18">
        <w:rPr>
          <w:rFonts w:cs="Open Sans"/>
        </w:rPr>
        <w:t>6</w:t>
      </w:r>
      <w:r w:rsidRPr="002C16EF">
        <w:rPr>
          <w:rFonts w:cs="Open Sans"/>
          <w:vertAlign w:val="superscript"/>
        </w:rPr>
        <w:t>th</w:t>
      </w:r>
      <w:r w:rsidRPr="002C16EF">
        <w:rPr>
          <w:rFonts w:cs="Open Sans"/>
        </w:rPr>
        <w:t xml:space="preserve"> Comm, 43</w:t>
      </w:r>
      <w:r w:rsidRPr="00373DB0">
        <w:rPr>
          <w:rFonts w:cs="Open Sans"/>
          <w:vertAlign w:val="superscript"/>
        </w:rPr>
        <w:t>rd</w:t>
      </w:r>
      <w:r w:rsidRPr="00373DB0">
        <w:rPr>
          <w:rFonts w:cs="Open Sans"/>
        </w:rPr>
        <w:t xml:space="preserve"> sess, 76</w:t>
      </w:r>
      <w:r w:rsidRPr="00373DB0">
        <w:rPr>
          <w:rFonts w:cs="Open Sans"/>
          <w:vertAlign w:val="superscript"/>
        </w:rPr>
        <w:t>th</w:t>
      </w:r>
      <w:r w:rsidRPr="00373DB0">
        <w:rPr>
          <w:rFonts w:cs="Open Sans"/>
        </w:rPr>
        <w:t xml:space="preserve"> plen mtg, Agenda Item 138, UN Doc A/43/49 (9 December 1988).</w:t>
      </w:r>
    </w:p>
  </w:endnote>
  <w:endnote w:id="12">
    <w:p w14:paraId="32911F3A" w14:textId="77777777" w:rsidR="00201C9D" w:rsidRPr="000A5D18" w:rsidRDefault="00201C9D" w:rsidP="00201C9D">
      <w:pPr>
        <w:pStyle w:val="EndnoteText"/>
        <w:ind w:left="284" w:hanging="284"/>
        <w:rPr>
          <w:rFonts w:cs="Open Sans"/>
        </w:rPr>
      </w:pPr>
      <w:r w:rsidRPr="00373DB0">
        <w:rPr>
          <w:rStyle w:val="EndnoteReference"/>
          <w:rFonts w:cs="Open Sans"/>
        </w:rPr>
        <w:endnoteRef/>
      </w:r>
      <w:r w:rsidRPr="00373DB0">
        <w:rPr>
          <w:rFonts w:cs="Open Sans"/>
        </w:rPr>
        <w:t xml:space="preserve"> </w:t>
      </w:r>
      <w:r w:rsidRPr="00373DB0">
        <w:rPr>
          <w:rFonts w:cs="Open Sans"/>
        </w:rPr>
        <w:tab/>
        <w:t xml:space="preserve">Human Rights and Equal Opportunity Commission, </w:t>
      </w:r>
      <w:r w:rsidRPr="00373DB0">
        <w:rPr>
          <w:rFonts w:cs="Open Sans"/>
          <w:i/>
          <w:iCs/>
        </w:rPr>
        <w:t>CD v Commonwealth (Department of Immigration and Multicultural Affairs</w:t>
      </w:r>
      <w:r w:rsidRPr="000A5D18">
        <w:rPr>
          <w:rFonts w:cs="Open Sans"/>
        </w:rPr>
        <w:t xml:space="preserve">), [2006] AusHRC 36 (1 August 2006). </w:t>
      </w:r>
    </w:p>
  </w:endnote>
  <w:endnote w:id="13">
    <w:p w14:paraId="0467C572" w14:textId="77777777" w:rsidR="00201C9D" w:rsidRPr="000A5D18" w:rsidRDefault="00201C9D" w:rsidP="00201C9D">
      <w:pPr>
        <w:pStyle w:val="EndnoteText"/>
        <w:ind w:left="284" w:hanging="284"/>
        <w:rPr>
          <w:rFonts w:cs="Open Sans"/>
        </w:rPr>
      </w:pPr>
      <w:r w:rsidRPr="00373DB0">
        <w:rPr>
          <w:rStyle w:val="EndnoteReference"/>
          <w:rFonts w:cs="Open Sans"/>
        </w:rPr>
        <w:endnoteRef/>
      </w:r>
      <w:r w:rsidRPr="00373DB0">
        <w:rPr>
          <w:rFonts w:cs="Open Sans"/>
        </w:rPr>
        <w:t xml:space="preserve"> </w:t>
      </w:r>
      <w:r w:rsidRPr="00373DB0">
        <w:rPr>
          <w:rFonts w:cs="Open Sans"/>
        </w:rPr>
        <w:tab/>
        <w:t xml:space="preserve">Immigration Detention Facilities and Detainee Services Contract between the Commonwealth of Australia and Serco Australia Pty Ltd dated 10 December 2014 (Serco Contract), cl 13(a) &amp; (b), 3.9.  </w:t>
      </w:r>
    </w:p>
  </w:endnote>
  <w:endnote w:id="14">
    <w:p w14:paraId="1C0E63EF" w14:textId="77777777" w:rsidR="00201C9D" w:rsidRPr="00373DB0" w:rsidRDefault="00201C9D" w:rsidP="00201C9D">
      <w:pPr>
        <w:pStyle w:val="EndnoteText"/>
        <w:ind w:left="284" w:hanging="284"/>
        <w:rPr>
          <w:rFonts w:cs="Open Sans"/>
        </w:rPr>
      </w:pPr>
      <w:r w:rsidRPr="00373DB0">
        <w:rPr>
          <w:rStyle w:val="EndnoteReference"/>
          <w:rFonts w:cs="Open Sans"/>
        </w:rPr>
        <w:endnoteRef/>
      </w:r>
      <w:r w:rsidRPr="00373DB0">
        <w:rPr>
          <w:rFonts w:cs="Open Sans"/>
        </w:rPr>
        <w:t xml:space="preserve"> </w:t>
      </w:r>
      <w:r w:rsidRPr="00373DB0">
        <w:rPr>
          <w:rFonts w:cs="Open Sans"/>
        </w:rPr>
        <w:tab/>
        <w:t>Serco Contract, cl 2.1 of Annexure C to Schedule 2.</w:t>
      </w:r>
    </w:p>
  </w:endnote>
  <w:endnote w:id="15">
    <w:p w14:paraId="6F1C802B" w14:textId="77777777" w:rsidR="00201C9D" w:rsidRPr="000A5D18" w:rsidRDefault="00201C9D" w:rsidP="00201C9D">
      <w:pPr>
        <w:pStyle w:val="EndnoteText"/>
        <w:ind w:left="284" w:hanging="284"/>
        <w:rPr>
          <w:rFonts w:cs="Open Sans"/>
        </w:rPr>
      </w:pPr>
      <w:r w:rsidRPr="00373DB0">
        <w:rPr>
          <w:rStyle w:val="EndnoteReference"/>
          <w:rFonts w:cs="Open Sans"/>
        </w:rPr>
        <w:endnoteRef/>
      </w:r>
      <w:r w:rsidRPr="00373DB0">
        <w:rPr>
          <w:rFonts w:cs="Open Sans"/>
        </w:rPr>
        <w:t xml:space="preserve"> </w:t>
      </w:r>
      <w:r w:rsidRPr="00373DB0">
        <w:rPr>
          <w:rFonts w:cs="Open Sans"/>
        </w:rPr>
        <w:tab/>
        <w:t>Serco Contract, cl 1.1(a), 3.1(a)(i) &amp; 3.6(a) of Section 4 of Schedule 2; cl 7(a) of Section 2 of Schedule 2.</w:t>
      </w:r>
    </w:p>
  </w:endnote>
  <w:endnote w:id="16">
    <w:p w14:paraId="336DE23D" w14:textId="77777777" w:rsidR="00201C9D" w:rsidRPr="00373DB0" w:rsidRDefault="00201C9D" w:rsidP="00201C9D">
      <w:pPr>
        <w:pStyle w:val="EndnoteText"/>
        <w:ind w:left="284" w:hanging="284"/>
        <w:rPr>
          <w:rFonts w:cs="Open Sans"/>
        </w:rPr>
      </w:pPr>
      <w:r w:rsidRPr="00373DB0">
        <w:rPr>
          <w:rStyle w:val="EndnoteReference"/>
          <w:rFonts w:cs="Open Sans"/>
        </w:rPr>
        <w:endnoteRef/>
      </w:r>
      <w:r w:rsidRPr="00373DB0">
        <w:rPr>
          <w:rFonts w:cs="Open Sans"/>
        </w:rPr>
        <w:t xml:space="preserve"> </w:t>
      </w:r>
      <w:r w:rsidRPr="00373DB0">
        <w:rPr>
          <w:rFonts w:cs="Open Sans"/>
        </w:rPr>
        <w:tab/>
        <w:t>Serco Contract, cl 6(b) of Section 2 (Statement of Work); cl 1.2(d) &amp; 7.1(a) of Section 6 of Schedule 2.</w:t>
      </w:r>
    </w:p>
  </w:endnote>
  <w:endnote w:id="17">
    <w:p w14:paraId="198D184D" w14:textId="77777777" w:rsidR="00201C9D" w:rsidRPr="00373DB0" w:rsidRDefault="00201C9D" w:rsidP="00201C9D">
      <w:pPr>
        <w:pStyle w:val="EndnoteText"/>
        <w:ind w:left="284" w:hanging="284"/>
        <w:rPr>
          <w:rFonts w:cs="Open Sans"/>
        </w:rPr>
      </w:pPr>
      <w:r w:rsidRPr="00373DB0">
        <w:rPr>
          <w:rStyle w:val="EndnoteReference"/>
          <w:rFonts w:cs="Open Sans"/>
        </w:rPr>
        <w:endnoteRef/>
      </w:r>
      <w:r w:rsidRPr="00373DB0">
        <w:rPr>
          <w:rFonts w:cs="Open Sans"/>
        </w:rPr>
        <w:t xml:space="preserve"> </w:t>
      </w:r>
      <w:r w:rsidRPr="00373DB0">
        <w:rPr>
          <w:rFonts w:cs="Open Sans"/>
        </w:rPr>
        <w:tab/>
        <w:t>Serco Contract, cl 6.12(a) and (b)(i) &amp; (iii) of Section 6 of Schedule 2.</w:t>
      </w:r>
    </w:p>
  </w:endnote>
  <w:endnote w:id="18">
    <w:p w14:paraId="54EA0927" w14:textId="77777777" w:rsidR="00201C9D" w:rsidRPr="00373DB0" w:rsidRDefault="00201C9D" w:rsidP="00201C9D">
      <w:pPr>
        <w:pStyle w:val="EndnoteText"/>
        <w:ind w:left="284" w:hanging="284"/>
        <w:rPr>
          <w:rFonts w:cs="Open Sans"/>
        </w:rPr>
      </w:pPr>
      <w:r w:rsidRPr="00373DB0">
        <w:rPr>
          <w:rStyle w:val="EndnoteReference"/>
          <w:rFonts w:cs="Open Sans"/>
        </w:rPr>
        <w:endnoteRef/>
      </w:r>
      <w:r w:rsidRPr="00373DB0">
        <w:rPr>
          <w:rFonts w:cs="Open Sans"/>
        </w:rPr>
        <w:t xml:space="preserve"> </w:t>
      </w:r>
      <w:r w:rsidRPr="00373DB0">
        <w:rPr>
          <w:rFonts w:cs="Open Sans"/>
        </w:rPr>
        <w:tab/>
        <w:t>Serco Contract, cl 6.13 of Section 6 of Schedule 2.</w:t>
      </w:r>
    </w:p>
  </w:endnote>
  <w:endnote w:id="19">
    <w:p w14:paraId="316E0C70" w14:textId="77777777" w:rsidR="00201C9D" w:rsidRPr="00373DB0" w:rsidRDefault="00201C9D" w:rsidP="00201C9D">
      <w:pPr>
        <w:pStyle w:val="EndnoteText"/>
        <w:ind w:left="284" w:hanging="284"/>
        <w:rPr>
          <w:rFonts w:cs="Open Sans"/>
        </w:rPr>
      </w:pPr>
      <w:r w:rsidRPr="00373DB0">
        <w:rPr>
          <w:rStyle w:val="EndnoteReference"/>
          <w:rFonts w:cs="Open Sans"/>
        </w:rPr>
        <w:endnoteRef/>
      </w:r>
      <w:r w:rsidRPr="00373DB0">
        <w:rPr>
          <w:rFonts w:cs="Open Sans"/>
        </w:rPr>
        <w:t xml:space="preserve"> </w:t>
      </w:r>
      <w:r w:rsidRPr="00373DB0">
        <w:rPr>
          <w:rFonts w:cs="Open Sans"/>
        </w:rPr>
        <w:tab/>
        <w:t>Serco Contract, cl 3.6(d) of Section 4 of Schedule 2.</w:t>
      </w:r>
    </w:p>
  </w:endnote>
  <w:endnote w:id="20">
    <w:p w14:paraId="65DFF469" w14:textId="77777777" w:rsidR="00201C9D" w:rsidRPr="00373DB0" w:rsidRDefault="00201C9D" w:rsidP="00201C9D">
      <w:pPr>
        <w:pStyle w:val="EndnoteText"/>
        <w:ind w:left="284" w:hanging="284"/>
        <w:rPr>
          <w:rFonts w:cs="Open Sans"/>
        </w:rPr>
      </w:pPr>
      <w:r w:rsidRPr="00373DB0">
        <w:rPr>
          <w:rStyle w:val="EndnoteReference"/>
          <w:rFonts w:cs="Open Sans"/>
        </w:rPr>
        <w:endnoteRef/>
      </w:r>
      <w:r w:rsidRPr="00373DB0">
        <w:rPr>
          <w:rFonts w:cs="Open Sans"/>
        </w:rPr>
        <w:t xml:space="preserve"> </w:t>
      </w:r>
      <w:r w:rsidRPr="00373DB0">
        <w:rPr>
          <w:rFonts w:cs="Open Sans"/>
        </w:rPr>
        <w:tab/>
        <w:t>Serco Contract, cl 1.2(e) of Section 6 of Schedule 2.</w:t>
      </w:r>
    </w:p>
  </w:endnote>
  <w:endnote w:id="21">
    <w:p w14:paraId="5BB0442C" w14:textId="77777777" w:rsidR="00201C9D" w:rsidRPr="00373DB0" w:rsidRDefault="00201C9D" w:rsidP="00201C9D">
      <w:pPr>
        <w:pStyle w:val="EndnoteText"/>
        <w:ind w:left="284" w:hanging="284"/>
        <w:rPr>
          <w:rFonts w:cs="Open Sans"/>
        </w:rPr>
      </w:pPr>
      <w:r w:rsidRPr="00373DB0">
        <w:rPr>
          <w:rStyle w:val="EndnoteReference"/>
          <w:rFonts w:cs="Open Sans"/>
        </w:rPr>
        <w:endnoteRef/>
      </w:r>
      <w:r w:rsidRPr="00373DB0">
        <w:rPr>
          <w:rFonts w:cs="Open Sans"/>
        </w:rPr>
        <w:t xml:space="preserve"> </w:t>
      </w:r>
      <w:r w:rsidRPr="00373DB0">
        <w:rPr>
          <w:rFonts w:cs="Open Sans"/>
        </w:rPr>
        <w:tab/>
        <w:t>Serco Contract, cl 7.1(a)(iii), 7.9(a)(ii) &amp; 7.10(a) of Section 6 of Schedule 2.</w:t>
      </w:r>
    </w:p>
  </w:endnote>
  <w:endnote w:id="22">
    <w:p w14:paraId="143438A2" w14:textId="77777777" w:rsidR="00201C9D" w:rsidRPr="00373DB0" w:rsidRDefault="00201C9D" w:rsidP="00201C9D">
      <w:pPr>
        <w:pStyle w:val="EndnoteText"/>
        <w:ind w:left="284" w:hanging="284"/>
        <w:rPr>
          <w:rFonts w:cs="Open Sans"/>
        </w:rPr>
      </w:pPr>
      <w:r w:rsidRPr="00373DB0">
        <w:rPr>
          <w:rStyle w:val="EndnoteReference"/>
          <w:rFonts w:cs="Open Sans"/>
        </w:rPr>
        <w:endnoteRef/>
      </w:r>
      <w:r w:rsidRPr="00373DB0">
        <w:rPr>
          <w:rFonts w:cs="Open Sans"/>
        </w:rPr>
        <w:t xml:space="preserve"> </w:t>
      </w:r>
      <w:r w:rsidRPr="00373DB0">
        <w:rPr>
          <w:rFonts w:cs="Open Sans"/>
        </w:rPr>
        <w:tab/>
        <w:t>Serco Contract, cl 7.9(a)(ii) of Section 6 of Schedule 2.</w:t>
      </w:r>
    </w:p>
  </w:endnote>
  <w:endnote w:id="23">
    <w:p w14:paraId="326D60DD" w14:textId="77777777" w:rsidR="00201C9D" w:rsidRPr="00373DB0" w:rsidRDefault="00201C9D" w:rsidP="00201C9D">
      <w:pPr>
        <w:pStyle w:val="EndnoteText"/>
        <w:ind w:left="284" w:hanging="284"/>
        <w:rPr>
          <w:rFonts w:cs="Open Sans"/>
        </w:rPr>
      </w:pPr>
      <w:r w:rsidRPr="00373DB0">
        <w:rPr>
          <w:rStyle w:val="EndnoteReference"/>
          <w:rFonts w:cs="Open Sans"/>
        </w:rPr>
        <w:endnoteRef/>
      </w:r>
      <w:r w:rsidRPr="00373DB0">
        <w:rPr>
          <w:rFonts w:cs="Open Sans"/>
        </w:rPr>
        <w:t xml:space="preserve"> </w:t>
      </w:r>
      <w:r w:rsidRPr="00373DB0">
        <w:rPr>
          <w:rFonts w:cs="Open Sans"/>
        </w:rPr>
        <w:tab/>
        <w:t>Serco Contract, cl 7.13(a) of Section 6 of Schedule 2.</w:t>
      </w:r>
    </w:p>
  </w:endnote>
  <w:endnote w:id="24">
    <w:p w14:paraId="2929D91A" w14:textId="77777777" w:rsidR="00201C9D" w:rsidRPr="00373DB0" w:rsidRDefault="00201C9D" w:rsidP="00201C9D">
      <w:pPr>
        <w:pStyle w:val="EndnoteText"/>
        <w:ind w:left="284" w:hanging="284"/>
        <w:rPr>
          <w:rFonts w:cs="Open Sans"/>
        </w:rPr>
      </w:pPr>
      <w:r w:rsidRPr="00373DB0">
        <w:rPr>
          <w:rStyle w:val="EndnoteReference"/>
          <w:rFonts w:cs="Open Sans"/>
        </w:rPr>
        <w:endnoteRef/>
      </w:r>
      <w:r w:rsidRPr="00373DB0">
        <w:rPr>
          <w:rFonts w:cs="Open Sans"/>
        </w:rPr>
        <w:t xml:space="preserve"> </w:t>
      </w:r>
      <w:r w:rsidRPr="00373DB0">
        <w:rPr>
          <w:rFonts w:cs="Open Sans"/>
        </w:rPr>
        <w:tab/>
        <w:t>Serco Contract, cl 4.1(a)(i) of Section 4 of Schedule 2.</w:t>
      </w:r>
    </w:p>
  </w:endnote>
  <w:endnote w:id="25">
    <w:p w14:paraId="457A739E" w14:textId="77777777" w:rsidR="00201C9D" w:rsidRPr="00373DB0" w:rsidRDefault="00201C9D" w:rsidP="00201C9D">
      <w:pPr>
        <w:pStyle w:val="EndnoteText"/>
        <w:ind w:left="284" w:hanging="284"/>
        <w:rPr>
          <w:rFonts w:cs="Open Sans"/>
        </w:rPr>
      </w:pPr>
      <w:r w:rsidRPr="00373DB0">
        <w:rPr>
          <w:rStyle w:val="EndnoteReference"/>
          <w:rFonts w:cs="Open Sans"/>
        </w:rPr>
        <w:endnoteRef/>
      </w:r>
      <w:r w:rsidRPr="00373DB0">
        <w:rPr>
          <w:rFonts w:cs="Open Sans"/>
        </w:rPr>
        <w:t xml:space="preserve"> </w:t>
      </w:r>
      <w:r w:rsidRPr="00373DB0">
        <w:rPr>
          <w:rFonts w:cs="Open Sans"/>
        </w:rPr>
        <w:tab/>
        <w:t xml:space="preserve">Serco Contract, cl 4.1(d) of Section 4 of Schedule 2. </w:t>
      </w:r>
    </w:p>
  </w:endnote>
  <w:endnote w:id="26">
    <w:p w14:paraId="05B23E95" w14:textId="77777777" w:rsidR="00201C9D" w:rsidRPr="00373DB0" w:rsidRDefault="00201C9D" w:rsidP="00201C9D">
      <w:pPr>
        <w:pStyle w:val="EndnoteText"/>
        <w:ind w:left="284" w:hanging="284"/>
        <w:rPr>
          <w:rFonts w:cs="Open Sans"/>
        </w:rPr>
      </w:pPr>
      <w:r w:rsidRPr="00373DB0">
        <w:rPr>
          <w:rStyle w:val="EndnoteReference"/>
          <w:rFonts w:cs="Open Sans"/>
        </w:rPr>
        <w:endnoteRef/>
      </w:r>
      <w:r w:rsidRPr="00373DB0">
        <w:rPr>
          <w:rFonts w:cs="Open Sans"/>
        </w:rPr>
        <w:t xml:space="preserve"> </w:t>
      </w:r>
      <w:r w:rsidRPr="00373DB0">
        <w:rPr>
          <w:rFonts w:cs="Open Sans"/>
        </w:rPr>
        <w:tab/>
        <w:t>Serco Contract, cl 7.10(b) &amp; (d)(i) of Section 6 of Schedule 2.</w:t>
      </w:r>
    </w:p>
  </w:endnote>
  <w:endnote w:id="27">
    <w:p w14:paraId="221786DD" w14:textId="77777777" w:rsidR="00201C9D" w:rsidRPr="00373DB0" w:rsidRDefault="00201C9D" w:rsidP="00201C9D">
      <w:pPr>
        <w:pStyle w:val="EndnoteText"/>
        <w:ind w:left="284" w:hanging="284"/>
        <w:rPr>
          <w:rFonts w:cs="Open Sans"/>
        </w:rPr>
      </w:pPr>
      <w:r w:rsidRPr="00373DB0">
        <w:rPr>
          <w:rStyle w:val="EndnoteReference"/>
          <w:rFonts w:cs="Open Sans"/>
        </w:rPr>
        <w:endnoteRef/>
      </w:r>
      <w:r w:rsidRPr="00373DB0">
        <w:rPr>
          <w:rFonts w:cs="Open Sans"/>
        </w:rPr>
        <w:t xml:space="preserve"> </w:t>
      </w:r>
      <w:r w:rsidRPr="00373DB0">
        <w:rPr>
          <w:rFonts w:cs="Open Sans"/>
        </w:rPr>
        <w:tab/>
        <w:t>Serco Contract, cl 7.10(f) of Section 6 of Schedule 2.</w:t>
      </w:r>
    </w:p>
  </w:endnote>
  <w:endnote w:id="28">
    <w:p w14:paraId="7B9D909E" w14:textId="77777777" w:rsidR="00201C9D" w:rsidRPr="009A2C59" w:rsidRDefault="00201C9D" w:rsidP="00201C9D">
      <w:pPr>
        <w:pStyle w:val="EndnoteText"/>
        <w:ind w:left="284" w:hanging="284"/>
        <w:rPr>
          <w:rFonts w:cs="Open Sans"/>
        </w:rPr>
      </w:pPr>
      <w:r w:rsidRPr="009A2C59">
        <w:rPr>
          <w:rStyle w:val="EndnoteReference"/>
          <w:rFonts w:cs="Open Sans"/>
        </w:rPr>
        <w:endnoteRef/>
      </w:r>
      <w:r w:rsidRPr="009A2C59">
        <w:rPr>
          <w:rFonts w:cs="Open Sans"/>
        </w:rPr>
        <w:t xml:space="preserve"> </w:t>
      </w:r>
      <w:r w:rsidRPr="009A2C59">
        <w:rPr>
          <w:rFonts w:cs="Open Sans"/>
        </w:rPr>
        <w:tab/>
      </w:r>
      <w:r w:rsidRPr="00373DB0">
        <w:rPr>
          <w:rFonts w:cs="Open Sans"/>
        </w:rPr>
        <w:t xml:space="preserve">Department of Immigration and Border Protection, </w:t>
      </w:r>
      <w:r w:rsidRPr="00373DB0">
        <w:rPr>
          <w:rFonts w:cs="Open Sans"/>
          <w:i/>
        </w:rPr>
        <w:t>Incident Response and Management: Detention Standard Operating Procedure</w:t>
      </w:r>
      <w:r w:rsidRPr="00373DB0">
        <w:rPr>
          <w:rFonts w:cs="Open Sans"/>
        </w:rPr>
        <w:t xml:space="preserve"> (September 2016) 4.</w:t>
      </w:r>
    </w:p>
  </w:endnote>
  <w:endnote w:id="29">
    <w:p w14:paraId="66C1F069" w14:textId="54822412" w:rsidR="00201C9D" w:rsidRPr="009A2C59" w:rsidRDefault="00201C9D" w:rsidP="00201C9D">
      <w:pPr>
        <w:pStyle w:val="EndnoteText"/>
        <w:ind w:left="284" w:hanging="284"/>
        <w:rPr>
          <w:rFonts w:cs="Open Sans"/>
        </w:rPr>
      </w:pPr>
      <w:r w:rsidRPr="009A2C59">
        <w:rPr>
          <w:rStyle w:val="EndnoteReference"/>
          <w:rFonts w:cs="Open Sans"/>
        </w:rPr>
        <w:endnoteRef/>
      </w:r>
      <w:r w:rsidRPr="009A2C59">
        <w:rPr>
          <w:rFonts w:cs="Open Sans"/>
        </w:rPr>
        <w:t xml:space="preserve"> </w:t>
      </w:r>
      <w:r w:rsidRPr="009A2C59">
        <w:rPr>
          <w:rFonts w:cs="Open Sans"/>
        </w:rPr>
        <w:tab/>
      </w:r>
      <w:r w:rsidRPr="00373DB0">
        <w:rPr>
          <w:rFonts w:cs="Open Sans"/>
        </w:rPr>
        <w:t xml:space="preserve">Department of Immigration and Border Protection, </w:t>
      </w:r>
      <w:r w:rsidRPr="00373DB0">
        <w:rPr>
          <w:rFonts w:cs="Open Sans"/>
          <w:i/>
        </w:rPr>
        <w:t>Incident Response and Management: Detention Standard Operating Procedure</w:t>
      </w:r>
      <w:r w:rsidRPr="00373DB0">
        <w:rPr>
          <w:rFonts w:cs="Open Sans"/>
        </w:rPr>
        <w:t xml:space="preserve"> (September 2016) 7.</w:t>
      </w:r>
    </w:p>
  </w:endnote>
  <w:endnote w:id="30">
    <w:p w14:paraId="3930E574" w14:textId="1FAE9D29" w:rsidR="00201C9D" w:rsidRPr="009A2C59" w:rsidRDefault="00201C9D" w:rsidP="00201C9D">
      <w:pPr>
        <w:pStyle w:val="EndnoteText"/>
        <w:ind w:left="284" w:hanging="284"/>
        <w:rPr>
          <w:rFonts w:cs="Open Sans"/>
        </w:rPr>
      </w:pPr>
      <w:r w:rsidRPr="009A2C59">
        <w:rPr>
          <w:rStyle w:val="EndnoteReference"/>
          <w:rFonts w:cs="Open Sans"/>
        </w:rPr>
        <w:endnoteRef/>
      </w:r>
      <w:r w:rsidRPr="009A2C59">
        <w:rPr>
          <w:rFonts w:cs="Open Sans"/>
        </w:rPr>
        <w:t xml:space="preserve"> </w:t>
      </w:r>
      <w:r w:rsidRPr="009A2C59">
        <w:rPr>
          <w:rFonts w:cs="Open Sans"/>
        </w:rPr>
        <w:tab/>
      </w:r>
      <w:r w:rsidRPr="00373DB0">
        <w:rPr>
          <w:rFonts w:cs="Open Sans"/>
        </w:rPr>
        <w:t xml:space="preserve">Department of Immigration and Border Protection, </w:t>
      </w:r>
      <w:r w:rsidRPr="00373DB0">
        <w:rPr>
          <w:rFonts w:cs="Open Sans"/>
          <w:i/>
        </w:rPr>
        <w:t>Incident Response and Management: Detention Standard Operating Procedure</w:t>
      </w:r>
      <w:r w:rsidRPr="00373DB0">
        <w:rPr>
          <w:rFonts w:cs="Open Sans"/>
        </w:rPr>
        <w:t xml:space="preserve"> (September 2016) 13, 14.</w:t>
      </w:r>
    </w:p>
  </w:endnote>
  <w:endnote w:id="31">
    <w:p w14:paraId="23DF6FE7" w14:textId="77777777" w:rsidR="00201C9D" w:rsidRPr="009A2C59" w:rsidRDefault="00201C9D" w:rsidP="00201C9D">
      <w:pPr>
        <w:pStyle w:val="EndnoteText"/>
        <w:ind w:left="284" w:hanging="284"/>
        <w:rPr>
          <w:rFonts w:cs="Open Sans"/>
        </w:rPr>
      </w:pPr>
      <w:r w:rsidRPr="009A2C59">
        <w:rPr>
          <w:rStyle w:val="EndnoteReference"/>
          <w:rFonts w:cs="Open Sans"/>
        </w:rPr>
        <w:endnoteRef/>
      </w:r>
      <w:r w:rsidRPr="009A2C59">
        <w:rPr>
          <w:rFonts w:cs="Open Sans"/>
        </w:rPr>
        <w:t xml:space="preserve"> </w:t>
      </w:r>
      <w:r w:rsidRPr="009A2C59">
        <w:rPr>
          <w:rFonts w:cs="Open Sans"/>
        </w:rPr>
        <w:tab/>
      </w:r>
      <w:r w:rsidRPr="00373DB0">
        <w:rPr>
          <w:rFonts w:cs="Open Sans"/>
        </w:rPr>
        <w:t xml:space="preserve">Griffith Criminology Institute, Final Report: Improving Risk Assessment of Immigration Detainees (November 2019) 334 at </w:t>
      </w:r>
      <w:hyperlink r:id="rId2" w:history="1">
        <w:r w:rsidRPr="00373DB0">
          <w:rPr>
            <w:rStyle w:val="Hyperlink"/>
            <w:rFonts w:cs="Open Sans"/>
          </w:rPr>
          <w:t>https://www.homeaffairs.gov.au/foi/files/2020/fa-200200255-document-released.PDF</w:t>
        </w:r>
      </w:hyperlink>
      <w:r w:rsidRPr="00373DB0">
        <w:rPr>
          <w:rFonts w:cs="Open Sans"/>
        </w:rPr>
        <w:t>.</w:t>
      </w:r>
    </w:p>
  </w:endnote>
  <w:endnote w:id="32">
    <w:p w14:paraId="4DD4C5D0" w14:textId="77777777" w:rsidR="00201C9D" w:rsidRPr="001360ED" w:rsidRDefault="00201C9D" w:rsidP="00201C9D">
      <w:pPr>
        <w:pStyle w:val="EndnoteText"/>
        <w:tabs>
          <w:tab w:val="left" w:pos="284"/>
        </w:tabs>
        <w:ind w:left="284" w:hanging="284"/>
        <w:rPr>
          <w:rStyle w:val="EndnoteReference"/>
          <w:rFonts w:cs="Open Sans"/>
          <w:sz w:val="22"/>
          <w:szCs w:val="22"/>
        </w:rPr>
      </w:pPr>
      <w:r w:rsidRPr="001360ED">
        <w:rPr>
          <w:rStyle w:val="EndnoteReference"/>
          <w:rFonts w:cs="Open Sans"/>
          <w:sz w:val="22"/>
          <w:szCs w:val="22"/>
        </w:rPr>
        <w:endnoteRef/>
      </w:r>
      <w:r w:rsidRPr="001360ED">
        <w:rPr>
          <w:rStyle w:val="EndnoteReference"/>
          <w:rFonts w:cs="Open Sans"/>
          <w:sz w:val="22"/>
          <w:szCs w:val="22"/>
        </w:rPr>
        <w:t xml:space="preserve"> </w:t>
      </w:r>
      <w:r w:rsidRPr="001360ED">
        <w:rPr>
          <w:rStyle w:val="EndnoteReference"/>
          <w:rFonts w:cs="Open Sans"/>
          <w:sz w:val="22"/>
          <w:szCs w:val="22"/>
        </w:rPr>
        <w:tab/>
      </w:r>
      <w:r w:rsidRPr="001360ED">
        <w:rPr>
          <w:rFonts w:cs="Open Sans"/>
          <w:i/>
          <w:sz w:val="22"/>
          <w:szCs w:val="22"/>
        </w:rPr>
        <w:t xml:space="preserve">Australian Human Rights Commission Act 1986 </w:t>
      </w:r>
      <w:r w:rsidRPr="000F2DFF">
        <w:rPr>
          <w:rFonts w:cs="Open Sans"/>
          <w:iCs/>
          <w:sz w:val="22"/>
          <w:szCs w:val="22"/>
        </w:rPr>
        <w:t>(Cth) s</w:t>
      </w:r>
      <w:r w:rsidRPr="000F2DFF">
        <w:rPr>
          <w:rStyle w:val="EndnoteReference"/>
          <w:rFonts w:cs="Open Sans"/>
          <w:iCs/>
          <w:sz w:val="22"/>
          <w:szCs w:val="22"/>
        </w:rPr>
        <w:t xml:space="preserve"> </w:t>
      </w:r>
      <w:r w:rsidRPr="001360ED">
        <w:rPr>
          <w:rFonts w:cs="Open Sans"/>
          <w:sz w:val="22"/>
          <w:szCs w:val="22"/>
        </w:rPr>
        <w:t>29(2)(a).</w:t>
      </w:r>
    </w:p>
  </w:endnote>
  <w:endnote w:id="33">
    <w:p w14:paraId="76B58EAE" w14:textId="77777777" w:rsidR="00201C9D" w:rsidRPr="001360ED" w:rsidRDefault="00201C9D" w:rsidP="00201C9D">
      <w:pPr>
        <w:pStyle w:val="EndnoteText"/>
        <w:tabs>
          <w:tab w:val="left" w:pos="284"/>
        </w:tabs>
        <w:ind w:left="284" w:hanging="284"/>
        <w:rPr>
          <w:rStyle w:val="EndnoteReference"/>
          <w:rFonts w:cs="Open Sans"/>
          <w:sz w:val="22"/>
          <w:szCs w:val="22"/>
        </w:rPr>
      </w:pPr>
      <w:r w:rsidRPr="001360ED">
        <w:rPr>
          <w:rStyle w:val="EndnoteReference"/>
          <w:rFonts w:cs="Open Sans"/>
          <w:sz w:val="22"/>
          <w:szCs w:val="22"/>
        </w:rPr>
        <w:endnoteRef/>
      </w:r>
      <w:r w:rsidRPr="001360ED">
        <w:rPr>
          <w:rStyle w:val="EndnoteReference"/>
          <w:rFonts w:cs="Open Sans"/>
          <w:sz w:val="22"/>
          <w:szCs w:val="22"/>
        </w:rPr>
        <w:t xml:space="preserve"> </w:t>
      </w:r>
      <w:r w:rsidRPr="001360ED">
        <w:rPr>
          <w:rStyle w:val="EndnoteReference"/>
          <w:rFonts w:cs="Open Sans"/>
          <w:sz w:val="22"/>
          <w:szCs w:val="22"/>
        </w:rPr>
        <w:tab/>
      </w:r>
      <w:r w:rsidRPr="001360ED">
        <w:rPr>
          <w:rFonts w:cs="Open Sans"/>
          <w:i/>
          <w:sz w:val="22"/>
          <w:szCs w:val="22"/>
        </w:rPr>
        <w:t>Australian Human Rights Commission Act 1986</w:t>
      </w:r>
      <w:r w:rsidRPr="000F2DFF">
        <w:rPr>
          <w:rFonts w:cs="Open Sans"/>
          <w:iCs/>
          <w:sz w:val="22"/>
          <w:szCs w:val="22"/>
        </w:rPr>
        <w:t xml:space="preserve"> (Cth)</w:t>
      </w:r>
      <w:r w:rsidRPr="001360ED">
        <w:rPr>
          <w:rFonts w:cs="Open Sans"/>
          <w:i/>
          <w:sz w:val="22"/>
          <w:szCs w:val="22"/>
        </w:rPr>
        <w:t xml:space="preserve"> </w:t>
      </w:r>
      <w:r w:rsidRPr="001360ED">
        <w:rPr>
          <w:rFonts w:cs="Open Sans"/>
          <w:sz w:val="22"/>
          <w:szCs w:val="22"/>
        </w:rPr>
        <w:t>s 29(2)(b).</w:t>
      </w:r>
    </w:p>
  </w:endnote>
  <w:endnote w:id="34">
    <w:p w14:paraId="2E2FAC69" w14:textId="77777777" w:rsidR="00201C9D" w:rsidRPr="001360ED" w:rsidRDefault="00201C9D" w:rsidP="00201C9D">
      <w:pPr>
        <w:pStyle w:val="EndnoteText"/>
        <w:tabs>
          <w:tab w:val="left" w:pos="284"/>
        </w:tabs>
        <w:ind w:left="284" w:hanging="284"/>
        <w:rPr>
          <w:rFonts w:cs="Open Sans"/>
          <w:sz w:val="22"/>
          <w:szCs w:val="22"/>
        </w:rPr>
      </w:pPr>
      <w:r w:rsidRPr="001360ED">
        <w:rPr>
          <w:rStyle w:val="EndnoteReference"/>
          <w:rFonts w:cs="Open Sans"/>
          <w:sz w:val="22"/>
          <w:szCs w:val="22"/>
        </w:rPr>
        <w:endnoteRef/>
      </w:r>
      <w:r w:rsidRPr="001360ED">
        <w:rPr>
          <w:rStyle w:val="EndnoteReference"/>
          <w:rFonts w:cs="Open Sans"/>
          <w:sz w:val="22"/>
          <w:szCs w:val="22"/>
        </w:rPr>
        <w:t xml:space="preserve"> </w:t>
      </w:r>
      <w:r w:rsidRPr="001360ED">
        <w:rPr>
          <w:rStyle w:val="EndnoteReference"/>
          <w:rFonts w:cs="Open Sans"/>
          <w:sz w:val="22"/>
          <w:szCs w:val="22"/>
        </w:rPr>
        <w:tab/>
      </w:r>
      <w:r w:rsidRPr="001360ED">
        <w:rPr>
          <w:rFonts w:cs="Open Sans"/>
          <w:i/>
          <w:sz w:val="22"/>
          <w:szCs w:val="22"/>
        </w:rPr>
        <w:t>Australian Human Rights Commission Act 1986</w:t>
      </w:r>
      <w:r w:rsidRPr="001360ED">
        <w:rPr>
          <w:rFonts w:cs="Open Sans"/>
          <w:sz w:val="22"/>
          <w:szCs w:val="22"/>
        </w:rPr>
        <w:t xml:space="preserve"> (Cth) s 29(2)(c). </w:t>
      </w:r>
    </w:p>
  </w:endnote>
  <w:endnote w:id="35">
    <w:p w14:paraId="75F61414" w14:textId="77777777" w:rsidR="00201C9D" w:rsidRPr="009F7E01" w:rsidRDefault="00201C9D" w:rsidP="00201C9D">
      <w:pPr>
        <w:pStyle w:val="EndnoteText"/>
        <w:ind w:left="284" w:hanging="284"/>
        <w:rPr>
          <w:rFonts w:cs="Arial"/>
          <w:iCs/>
        </w:rPr>
      </w:pPr>
      <w:r w:rsidRPr="00F70311">
        <w:rPr>
          <w:rStyle w:val="EndnoteReference"/>
        </w:rPr>
        <w:endnoteRef/>
      </w:r>
      <w:r w:rsidRPr="00F70311">
        <w:rPr>
          <w:rFonts w:cs="Arial"/>
          <w:iCs/>
        </w:rPr>
        <w:t xml:space="preserve"> </w:t>
      </w:r>
      <w:r w:rsidRPr="00F70311">
        <w:rPr>
          <w:rFonts w:cs="Arial"/>
          <w:iCs/>
        </w:rPr>
        <w:tab/>
      </w:r>
      <w:r w:rsidRPr="009F7E01">
        <w:t xml:space="preserve">Australian Human Rights Commission Inspection of Villawood Immigration Detention Centre: Report </w:t>
      </w:r>
      <w:r>
        <w:t>(</w:t>
      </w:r>
      <w:r w:rsidRPr="009F7E01">
        <w:t xml:space="preserve">10-12 April </w:t>
      </w:r>
      <w:r w:rsidRPr="009F7E01">
        <w:rPr>
          <w:rFonts w:cs="Arial"/>
          <w:iCs/>
        </w:rPr>
        <w:t>2017</w:t>
      </w:r>
      <w:r>
        <w:rPr>
          <w:rFonts w:cs="Arial"/>
          <w:iCs/>
        </w:rPr>
        <w:t>) available at</w:t>
      </w:r>
      <w:r w:rsidRPr="009F7E01">
        <w:rPr>
          <w:rFonts w:cs="Arial"/>
          <w:iCs/>
        </w:rPr>
        <w:t xml:space="preserve"> https://humanrights.gov.au/our-work/asylum-seekers-and-refugees/publications/inspection-villawood-immigration-detention-centre</w:t>
      </w:r>
    </w:p>
  </w:endnote>
  <w:endnote w:id="36">
    <w:p w14:paraId="7C6D3E98" w14:textId="77777777" w:rsidR="00201C9D" w:rsidRPr="009F7E01" w:rsidRDefault="00201C9D" w:rsidP="00201C9D">
      <w:pPr>
        <w:pStyle w:val="EndnoteText"/>
        <w:ind w:left="284" w:hanging="284"/>
        <w:rPr>
          <w:rFonts w:cs="Arial"/>
          <w:iCs/>
        </w:rPr>
      </w:pPr>
      <w:r w:rsidRPr="009F7E01">
        <w:rPr>
          <w:rStyle w:val="EndnoteReference"/>
        </w:rPr>
        <w:endnoteRef/>
      </w:r>
      <w:r w:rsidRPr="009F7E01">
        <w:rPr>
          <w:rStyle w:val="EndnoteReference"/>
        </w:rPr>
        <w:t xml:space="preserve"> </w:t>
      </w:r>
      <w:r w:rsidRPr="009F7E01">
        <w:rPr>
          <w:rStyle w:val="EndnoteReference"/>
        </w:rPr>
        <w:tab/>
      </w:r>
      <w:r w:rsidRPr="009F7E01">
        <w:t xml:space="preserve">Australian Human Rights Commission Inspection of Villawood Immigration Detention Centre: Report </w:t>
      </w:r>
      <w:r>
        <w:t>(</w:t>
      </w:r>
      <w:r w:rsidRPr="009F7E01">
        <w:t xml:space="preserve">10-12 April </w:t>
      </w:r>
      <w:r w:rsidRPr="009F7E01">
        <w:rPr>
          <w:rFonts w:cs="Arial"/>
          <w:iCs/>
        </w:rPr>
        <w:t>2017</w:t>
      </w:r>
      <w:r>
        <w:rPr>
          <w:rFonts w:cs="Arial"/>
          <w:iCs/>
        </w:rPr>
        <w:t>) available at</w:t>
      </w:r>
      <w:r w:rsidRPr="009F7E01">
        <w:rPr>
          <w:rFonts w:cs="Arial"/>
          <w:iCs/>
        </w:rPr>
        <w:t xml:space="preserve"> https://humanrights.gov.au/our-work/asylum-seekers-and-refugees/publications/inspection-villawood-immigration-detention-centre</w:t>
      </w:r>
      <w:r>
        <w:rPr>
          <w:rFonts w:cs="Arial"/>
          <w:iCs/>
        </w:rPr>
        <w:t xml:space="preserve"> </w:t>
      </w:r>
      <w:r w:rsidRPr="009F7E01">
        <w:rPr>
          <w:rFonts w:cs="Arial"/>
          <w:iCs/>
        </w:rPr>
        <w:t>at [12]</w:t>
      </w:r>
    </w:p>
  </w:endnote>
  <w:endnote w:id="37">
    <w:p w14:paraId="06074CD3" w14:textId="08CFE07A" w:rsidR="00201C9D" w:rsidRDefault="00201C9D" w:rsidP="00201C9D">
      <w:pPr>
        <w:pStyle w:val="EndnoteText"/>
      </w:pPr>
      <w:r w:rsidRPr="009F7E01">
        <w:rPr>
          <w:rStyle w:val="EndnoteReference"/>
        </w:rPr>
        <w:endnoteRef/>
      </w:r>
      <w:r w:rsidRPr="009F7E01">
        <w:t xml:space="preserve">  </w:t>
      </w:r>
      <w:r w:rsidRPr="009F7E01">
        <w:rPr>
          <w:rFonts w:cs="Open Sans"/>
          <w:sz w:val="24"/>
          <w:szCs w:val="24"/>
        </w:rPr>
        <w:t>[</w:t>
      </w:r>
      <w:r w:rsidRPr="009F7E01">
        <w:rPr>
          <w:rFonts w:cs="Arial"/>
          <w:iCs/>
        </w:rPr>
        <w:t>2019] AusHRC 130</w:t>
      </w:r>
      <w:r w:rsidR="000F2DFF">
        <w:rPr>
          <w:rFonts w:cs="Arial"/>
          <w:iCs/>
        </w:rPr>
        <w:t>.</w:t>
      </w:r>
    </w:p>
  </w:endnote>
  <w:endnote w:id="38">
    <w:p w14:paraId="611AFB04" w14:textId="77777777" w:rsidR="00201C9D" w:rsidRPr="00F70311" w:rsidRDefault="00201C9D" w:rsidP="00201C9D">
      <w:pPr>
        <w:pStyle w:val="EndnoteText"/>
        <w:ind w:left="284" w:hanging="284"/>
        <w:rPr>
          <w:rFonts w:cs="Arial"/>
          <w:iCs/>
        </w:rPr>
      </w:pPr>
      <w:r w:rsidRPr="00F70311">
        <w:rPr>
          <w:rStyle w:val="EndnoteReference"/>
        </w:rPr>
        <w:endnoteRef/>
      </w:r>
      <w:r w:rsidRPr="00F70311">
        <w:rPr>
          <w:rStyle w:val="EndnoteReference"/>
        </w:rPr>
        <w:t xml:space="preserve"> </w:t>
      </w:r>
      <w:r w:rsidRPr="00F70311">
        <w:rPr>
          <w:rStyle w:val="EndnoteReference"/>
        </w:rPr>
        <w:tab/>
      </w:r>
      <w:r w:rsidRPr="00F70311">
        <w:rPr>
          <w:rFonts w:cs="Arial"/>
          <w:iCs/>
        </w:rPr>
        <w:t xml:space="preserve">Griffith University, Griffith Criminology Institute, Final Report: Improving Risk Assessment of Immigration Detainees (November 2019), FA 20/02/00255, released under FOI on 20 August 2020 at </w:t>
      </w:r>
      <w:hyperlink r:id="rId3" w:history="1">
        <w:r w:rsidRPr="00F70311">
          <w:rPr>
            <w:rFonts w:cs="Arial"/>
            <w:iCs/>
          </w:rPr>
          <w:t>https://www.homeaffairs.gov.au/foi/files/2020/fa-200200255-document-released.PDF</w:t>
        </w:r>
      </w:hyperlink>
      <w:r w:rsidRPr="00F70311">
        <w:rPr>
          <w:rFonts w:cs="Arial"/>
          <w:iC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D6F6F" w14:textId="77777777" w:rsidR="00AC636D" w:rsidRPr="000465F1" w:rsidRDefault="00AC636D" w:rsidP="000465F1">
    <w:pPr>
      <w:pStyle w:val="Footer"/>
    </w:pPr>
    <w:r w:rsidRPr="000465F1">
      <w:t>ABN 47 996 232 602</w:t>
    </w:r>
  </w:p>
  <w:p w14:paraId="5018AA99" w14:textId="77777777" w:rsidR="00AC636D" w:rsidRPr="000465F1" w:rsidRDefault="00AC636D" w:rsidP="000465F1">
    <w:pPr>
      <w:pStyle w:val="Footer"/>
    </w:pPr>
    <w:r w:rsidRPr="000465F1">
      <w:t>GPO Box 5218, Sydney NSW 2001</w:t>
    </w:r>
  </w:p>
  <w:p w14:paraId="5D558F0A" w14:textId="77777777" w:rsidR="00AC636D" w:rsidRPr="000465F1" w:rsidRDefault="00AC636D" w:rsidP="000465F1">
    <w:pPr>
      <w:pStyle w:val="Footer"/>
    </w:pPr>
    <w:r w:rsidRPr="000465F1">
      <w:t>General enquiries 1300 369 711</w:t>
    </w:r>
  </w:p>
  <w:p w14:paraId="365D5C35" w14:textId="77777777" w:rsidR="00AC636D" w:rsidRPr="000465F1" w:rsidRDefault="00990B81" w:rsidP="000465F1">
    <w:pPr>
      <w:pStyle w:val="Footer"/>
    </w:pPr>
    <w:r>
      <w:t>National Info Service</w:t>
    </w:r>
    <w:r w:rsidR="00AC636D" w:rsidRPr="000465F1">
      <w:t xml:space="preserve"> 1300 656 419</w:t>
    </w:r>
  </w:p>
  <w:p w14:paraId="36A73479" w14:textId="77777777" w:rsidR="00B34946" w:rsidRPr="000465F1" w:rsidRDefault="000465F1" w:rsidP="000465F1">
    <w:pPr>
      <w:pStyle w:val="Footer"/>
    </w:pPr>
    <w:r w:rsidRPr="000465F1">
      <w:t>TTY 1800 620 241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14901"/>
      <w:docPartObj>
        <w:docPartGallery w:val="Page Numbers (Bottom of Page)"/>
        <w:docPartUnique/>
      </w:docPartObj>
    </w:sdtPr>
    <w:sdtEndPr>
      <w:rPr>
        <w:noProof/>
      </w:rPr>
    </w:sdtEndPr>
    <w:sdtContent>
      <w:p w14:paraId="10837612" w14:textId="77777777" w:rsidR="00664316" w:rsidRDefault="006643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553F99" w14:textId="77777777" w:rsidR="00DC343B" w:rsidRDefault="00DC34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F8078" w14:textId="77777777" w:rsidR="00DA1D32" w:rsidRDefault="00DA1D32" w:rsidP="00E53546">
    <w:pPr>
      <w:pStyle w:val="FooterOddPageNumber"/>
    </w:pPr>
    <w:r w:rsidRPr="00AB7C8F">
      <w:fldChar w:fldCharType="begin"/>
    </w:r>
    <w:r>
      <w:instrText xml:space="preserve"> PAGE   \* MERGEFORMAT </w:instrText>
    </w:r>
    <w:r w:rsidRPr="00AB7C8F">
      <w:fldChar w:fldCharType="separate"/>
    </w:r>
    <w:r w:rsidR="008E78F0">
      <w:rPr>
        <w:noProof/>
      </w:rPr>
      <w:t>3</w:t>
    </w:r>
    <w:r w:rsidRPr="00AB7C8F">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183178"/>
      <w:docPartObj>
        <w:docPartGallery w:val="Page Numbers (Bottom of Page)"/>
        <w:docPartUnique/>
      </w:docPartObj>
    </w:sdtPr>
    <w:sdtEndPr>
      <w:rPr>
        <w:noProof/>
      </w:rPr>
    </w:sdtEndPr>
    <w:sdtContent>
      <w:p w14:paraId="30F7AE74" w14:textId="77777777" w:rsidR="00CF52CF" w:rsidRDefault="00CF52C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EC6654" w14:textId="77777777" w:rsidR="0063009F" w:rsidRDefault="0063009F" w:rsidP="00E53546">
    <w:pPr>
      <w:pStyle w:val="FooterEvenPageNumb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9F5BB" w14:textId="77777777" w:rsidR="006C3083" w:rsidRDefault="006C3083" w:rsidP="00F14C6D">
      <w:r>
        <w:separator/>
      </w:r>
    </w:p>
  </w:footnote>
  <w:footnote w:type="continuationSeparator" w:id="0">
    <w:p w14:paraId="341C90FF" w14:textId="77777777" w:rsidR="006C3083" w:rsidRDefault="006C3083"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0B0CF" w14:textId="77777777" w:rsidR="00BF6406" w:rsidRPr="000465F1" w:rsidRDefault="00000000" w:rsidP="000465F1">
    <w:pPr>
      <w:pStyle w:val="Header"/>
    </w:pPr>
    <w:r>
      <w:pict w14:anchorId="50DDD5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1043" type="#_x0000_t75" style="position:absolute;left:0;text-align:left;margin-left:0;margin-top:0;width:930.9pt;height:1359.95pt;z-index:-251658752;mso-position-horizontal:center;mso-position-horizontal-relative:margin;mso-position-vertical:center;mso-position-vertical-relative:margin" o:allowincell="f">
          <v:imagedata r:id="rId1" o:title="report watermark"/>
          <w10:wrap anchorx="margin" anchory="margin"/>
        </v:shape>
      </w:pict>
    </w:r>
    <w:r w:rsidR="00BF6406" w:rsidRPr="000465F1">
      <w:t>Australian Human Rights Commission</w:t>
    </w:r>
  </w:p>
  <w:p w14:paraId="584B9531" w14:textId="77777777" w:rsidR="00B34946" w:rsidRPr="00622508" w:rsidRDefault="00BF6406" w:rsidP="00622508">
    <w:pPr>
      <w:pStyle w:val="Footer"/>
    </w:pPr>
    <w:r w:rsidRPr="001F62CC">
      <w:rPr>
        <w:rStyle w:val="Reporttitleinheader"/>
      </w:rPr>
      <w:t>Short title</w:t>
    </w:r>
    <w:r w:rsidRPr="00622508">
      <w:rPr>
        <w:rStyle w:val="Reporttitleinheader"/>
      </w:rPr>
      <w:t>, report name</w:t>
    </w:r>
    <w:r w:rsidR="001F62CC" w:rsidRPr="00622508">
      <w:rPr>
        <w:rStyle w:val="Reporttitleinheader"/>
      </w:rPr>
      <w:t>,</w:t>
    </w:r>
    <w:r w:rsidR="001F62CC" w:rsidRPr="00622508">
      <w:t xml:space="preserve"> </w:t>
    </w:r>
    <w:r w:rsidRPr="00622508">
      <w:t>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34123" w14:textId="77777777" w:rsidR="00B34946" w:rsidRPr="000465F1" w:rsidRDefault="00000000" w:rsidP="000465F1">
    <w:r>
      <w:pict w14:anchorId="696687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1044" type="#_x0000_t75" style="position:absolute;margin-left:0;margin-top:0;width:930.9pt;height:1359.95pt;z-index:-251657728;mso-position-horizontal:center;mso-position-horizontal-relative:margin;mso-position-vertical:center;mso-position-vertical-relative:margin" o:allowincell="f">
          <v:imagedata r:id="rId1" o:title="report watermark"/>
          <w10:wrap anchorx="margin" anchory="margin"/>
        </v:shape>
      </w:pict>
    </w:r>
    <w:r w:rsidR="00B34946" w:rsidRPr="000465F1">
      <w:t>Australian Human Rights Commission</w:t>
    </w:r>
  </w:p>
  <w:p w14:paraId="77F6B28E" w14:textId="77777777" w:rsidR="00B34946" w:rsidRPr="000465F1" w:rsidRDefault="00B34946" w:rsidP="000465F1">
    <w:pPr>
      <w:pStyle w:val="Footer"/>
    </w:pPr>
    <w:r w:rsidRPr="000465F1">
      <w:t>Short document title, 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7CBAD" w14:textId="77777777" w:rsidR="00CC2AA0" w:rsidRDefault="00000000" w:rsidP="002012F7">
    <w:pPr>
      <w:pStyle w:val="Header"/>
    </w:pPr>
    <w:r>
      <w:pict w14:anchorId="1D767A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1047" type="#_x0000_t75" style="position:absolute;left:0;text-align:left;margin-left:-71.45pt;margin-top:-99.5pt;width:595.65pt;height:870.15pt;z-index:-251656704;mso-position-horizontal-relative:margin;mso-position-vertical-relative:margin" o:allowincell="f">
          <v:imagedata r:id="rId1" o:title="MS word cover1"/>
          <w10:wrap anchorx="margin" anchory="margin"/>
        </v:shape>
      </w:pict>
    </w:r>
    <w:r>
      <w:pict w14:anchorId="653C0093">
        <v:shape id="WordPictureWatermark1034832" o:spid="_x0000_s1042" type="#_x0000_t75" style="position:absolute;left:0;text-align:left;margin-left:-70.9pt;margin-top:-109.05pt;width:595.1pt;height:869.4pt;z-index:-251659776;mso-position-horizontal-relative:margin;mso-position-vertical-relative:margin" o:allowincell="f">
          <v:imagedata r:id="rId2" o:title="report watermark"/>
          <w10:wrap anchorx="margin" anchory="margin"/>
        </v:shape>
      </w:pict>
    </w:r>
  </w:p>
  <w:p w14:paraId="2E8D64F2" w14:textId="77777777" w:rsidR="008B3899" w:rsidRDefault="008B3899" w:rsidP="002012F7">
    <w:pPr>
      <w:pStyle w:val="Header"/>
    </w:pPr>
  </w:p>
  <w:p w14:paraId="01665B21" w14:textId="77777777" w:rsidR="008B3899" w:rsidRDefault="008B3899"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30C8C" w14:textId="77777777" w:rsidR="0015239E" w:rsidRPr="000465F1" w:rsidRDefault="0015239E" w:rsidP="0015239E">
    <w:pPr>
      <w:pStyle w:val="HeaderDocumentDa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57F60" w14:textId="77777777" w:rsidR="00BF6406" w:rsidRPr="00902EC3" w:rsidRDefault="00BF6406" w:rsidP="00902EC3">
    <w:pPr>
      <w:pStyle w:val="Header"/>
    </w:pPr>
    <w:bookmarkStart w:id="55" w:name="_Hlk514672172"/>
    <w:bookmarkStart w:id="56" w:name="_Hlk514672173"/>
    <w:r w:rsidRPr="00902EC3">
      <w:t>Australian Human Rights Commission</w:t>
    </w:r>
  </w:p>
  <w:bookmarkEnd w:id="55"/>
  <w:bookmarkEnd w:id="56"/>
  <w:p w14:paraId="66F4707F" w14:textId="728F0A7A" w:rsidR="002F5E96" w:rsidRPr="000465F1" w:rsidRDefault="00C524BE" w:rsidP="002F5E96">
    <w:pPr>
      <w:pStyle w:val="HeaderDocumentDate"/>
    </w:pPr>
    <w:r w:rsidRPr="00273A89">
      <w:rPr>
        <w:rStyle w:val="Reporttitleinheader"/>
        <w:i/>
        <w:iCs/>
      </w:rPr>
      <w:t xml:space="preserve">Mr </w:t>
    </w:r>
    <w:r w:rsidR="008D4B9F" w:rsidRPr="00273A89">
      <w:rPr>
        <w:rStyle w:val="Reporttitleinheader"/>
        <w:i/>
        <w:iCs/>
      </w:rPr>
      <w:t>Andrwas v Commonwealth of Australia (Department of Home Affairs)</w:t>
    </w:r>
    <w:r w:rsidR="008D4B9F">
      <w:rPr>
        <w:rStyle w:val="Reporttitleinheader"/>
      </w:rPr>
      <w:t xml:space="preserve"> [2023] AusHRC 147 </w:t>
    </w:r>
    <w:r w:rsidR="009B1CCE">
      <w:fldChar w:fldCharType="begin"/>
    </w:r>
    <w:r w:rsidR="009B1CCE">
      <w:instrText xml:space="preserve"> CREATEDATE  \@ "MMMM yyyy"  \* MERGEFORMAT </w:instrText>
    </w:r>
    <w:r w:rsidR="009B1CCE">
      <w:fldChar w:fldCharType="separate"/>
    </w:r>
    <w:r w:rsidR="00FC10F9">
      <w:rPr>
        <w:noProof/>
      </w:rPr>
      <w:t>March</w:t>
    </w:r>
    <w:r w:rsidR="00D53DC7">
      <w:rPr>
        <w:noProof/>
      </w:rPr>
      <w:t xml:space="preserve"> 2023</w:t>
    </w:r>
    <w:r w:rsidR="009B1CCE">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CCF33" w14:textId="77777777" w:rsidR="0063009F" w:rsidRPr="00F51ECD" w:rsidRDefault="0063009F" w:rsidP="0063009F">
    <w:pPr>
      <w:pStyle w:val="Header"/>
      <w:rPr>
        <w:sz w:val="22"/>
        <w:szCs w:val="22"/>
      </w:rPr>
    </w:pPr>
    <w:r w:rsidRPr="00F51ECD">
      <w:rPr>
        <w:sz w:val="22"/>
        <w:szCs w:val="22"/>
      </w:rPr>
      <w:t>Australian Human Rights Commission</w:t>
    </w:r>
  </w:p>
  <w:p w14:paraId="1F658839" w14:textId="78D91920" w:rsidR="0063009F" w:rsidRPr="00C62D64" w:rsidRDefault="000F03F5" w:rsidP="0063009F">
    <w:pPr>
      <w:pStyle w:val="HeaderDocumentDate"/>
    </w:pPr>
    <w:r>
      <w:rPr>
        <w:rStyle w:val="Reporttitleinheader"/>
        <w:i/>
        <w:iCs/>
      </w:rPr>
      <w:t xml:space="preserve">Mr </w:t>
    </w:r>
    <w:r w:rsidR="00C62D64" w:rsidRPr="00C62D64">
      <w:rPr>
        <w:rStyle w:val="Reporttitleinheader"/>
        <w:i/>
        <w:iCs/>
      </w:rPr>
      <w:t>Andrwas v Commonwealth of Australia (Department of Home Affairs)</w:t>
    </w:r>
    <w:r w:rsidR="00C62D64" w:rsidRPr="00C62D64">
      <w:rPr>
        <w:rStyle w:val="Reporttitleinheader"/>
      </w:rPr>
      <w:t xml:space="preserve"> [2023] AusHRC 147 </w:t>
    </w:r>
    <w:r w:rsidR="0063009F" w:rsidRPr="00C62D64">
      <w:t xml:space="preserve"> </w:t>
    </w:r>
    <w:r w:rsidR="009B1CCE" w:rsidRPr="00C62D64">
      <w:fldChar w:fldCharType="begin"/>
    </w:r>
    <w:r w:rsidR="009B1CCE" w:rsidRPr="00C62D64">
      <w:instrText xml:space="preserve"> CREATEDATE  \@ "MMMM yyyy"  \* MERGEFORMAT </w:instrText>
    </w:r>
    <w:r w:rsidR="009B1CCE" w:rsidRPr="00C62D64">
      <w:fldChar w:fldCharType="separate"/>
    </w:r>
    <w:r w:rsidR="00FC10F9">
      <w:rPr>
        <w:noProof/>
      </w:rPr>
      <w:t>March</w:t>
    </w:r>
    <w:r w:rsidR="00D53DC7" w:rsidRPr="00C62D64">
      <w:rPr>
        <w:noProof/>
      </w:rPr>
      <w:t xml:space="preserve"> 2023</w:t>
    </w:r>
    <w:r w:rsidR="009B1CCE" w:rsidRPr="00C62D64">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5D63CBA"/>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080E1EB7"/>
    <w:multiLevelType w:val="hybridMultilevel"/>
    <w:tmpl w:val="94063844"/>
    <w:lvl w:ilvl="0" w:tplc="FC3E84B2">
      <w:start w:val="27"/>
      <w:numFmt w:val="decimal"/>
      <w:lvlText w:val="%1."/>
      <w:lvlJc w:val="left"/>
      <w:pPr>
        <w:ind w:left="720" w:hanging="360"/>
      </w:pPr>
      <w:rPr>
        <w:rFonts w:hint="default"/>
        <w:b w:val="0"/>
        <w:bCs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99F39D2"/>
    <w:multiLevelType w:val="multilevel"/>
    <w:tmpl w:val="1376D2A8"/>
    <w:styleLink w:val="Style1"/>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3.1.1"/>
      <w:lvlJc w:val="left"/>
      <w:pPr>
        <w:tabs>
          <w:tab w:val="num" w:pos="851"/>
        </w:tabs>
        <w:ind w:left="851" w:hanging="851"/>
      </w:pPr>
      <w:rPr>
        <w:rFonts w:ascii="Times New Roman" w:hAnsi="Times New Roman" w:hint="default"/>
        <w:color w:val="auto"/>
      </w:rPr>
    </w:lvl>
    <w:lvl w:ilvl="3">
      <w:start w:val="1"/>
      <w:numFmt w:val="lowerLetter"/>
      <w:lvlText w:val="(%4)"/>
      <w:lvlJc w:val="left"/>
      <w:pPr>
        <w:tabs>
          <w:tab w:val="num" w:pos="851"/>
        </w:tabs>
        <w:ind w:left="851" w:hanging="851"/>
      </w:pPr>
      <w:rPr>
        <w:rFonts w:hint="default"/>
      </w:rPr>
    </w:lvl>
    <w:lvl w:ilvl="4">
      <w:start w:val="1"/>
      <w:numFmt w:val="lowerRoman"/>
      <w:lvlText w:val="%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2" w15:restartNumberingAfterBreak="0">
    <w:nsid w:val="0B8D5499"/>
    <w:multiLevelType w:val="multilevel"/>
    <w:tmpl w:val="8BE444DC"/>
    <w:styleLink w:val="AHRCReportHeadings"/>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none"/>
      <w:pStyle w:val="AHRCheading5"/>
      <w:lvlText w:val="-"/>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3" w15:restartNumberingAfterBreak="0">
    <w:nsid w:val="110F2720"/>
    <w:multiLevelType w:val="hybridMultilevel"/>
    <w:tmpl w:val="3E469770"/>
    <w:lvl w:ilvl="0" w:tplc="1EC4A26A">
      <w:start w:val="1"/>
      <w:numFmt w:val="decimal"/>
      <w:lvlText w:val="%1."/>
      <w:lvlJc w:val="left"/>
      <w:pPr>
        <w:tabs>
          <w:tab w:val="num" w:pos="720"/>
        </w:tabs>
        <w:ind w:left="720" w:hanging="720"/>
      </w:pPr>
      <w:rPr>
        <w:rFonts w:ascii="Open Sans" w:hAnsi="Open Sans" w:cs="Open Sans" w:hint="default"/>
        <w:b w:val="0"/>
        <w:i w:val="0"/>
        <w:sz w:val="24"/>
        <w:szCs w:val="24"/>
      </w:rPr>
    </w:lvl>
    <w:lvl w:ilvl="1" w:tplc="0C090001">
      <w:start w:val="1"/>
      <w:numFmt w:val="bullet"/>
      <w:lvlText w:val=""/>
      <w:lvlJc w:val="left"/>
      <w:pPr>
        <w:tabs>
          <w:tab w:val="num" w:pos="1440"/>
        </w:tabs>
        <w:ind w:left="1440" w:hanging="360"/>
      </w:pPr>
      <w:rPr>
        <w:rFonts w:ascii="Symbol" w:hAnsi="Symbol" w:hint="default"/>
        <w:b w:val="0"/>
        <w:sz w:val="22"/>
        <w:szCs w:val="22"/>
      </w:rPr>
    </w:lvl>
    <w:lvl w:ilvl="2" w:tplc="AC56D036">
      <w:start w:val="1"/>
      <w:numFmt w:val="bullet"/>
      <w:lvlText w:val="-"/>
      <w:lvlJc w:val="left"/>
      <w:pPr>
        <w:tabs>
          <w:tab w:val="num" w:pos="2160"/>
        </w:tabs>
        <w:ind w:left="2160" w:hanging="180"/>
      </w:pPr>
      <w:rPr>
        <w:rFonts w:ascii="Courier New" w:hAnsi="Courier New" w:cs="Times New Roman" w:hint="default"/>
      </w:rPr>
    </w:lvl>
    <w:lvl w:ilvl="3" w:tplc="0C09000F">
      <w:start w:val="1"/>
      <w:numFmt w:val="bullet"/>
      <w:lvlText w:val=""/>
      <w:lvlJc w:val="left"/>
      <w:pPr>
        <w:tabs>
          <w:tab w:val="num" w:pos="2880"/>
        </w:tabs>
        <w:ind w:left="2880" w:hanging="360"/>
      </w:pPr>
      <w:rPr>
        <w:rFonts w:ascii="Symbol" w:hAnsi="Symbol" w:hint="default"/>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4"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36A5600"/>
    <w:multiLevelType w:val="hybridMultilevel"/>
    <w:tmpl w:val="AB123EEE"/>
    <w:lvl w:ilvl="0" w:tplc="A9B8A952">
      <w:start w:val="1"/>
      <w:numFmt w:val="decimal"/>
      <w:pStyle w:val="AHRCEndnote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3AC395A"/>
    <w:multiLevelType w:val="hybridMultilevel"/>
    <w:tmpl w:val="B2666DA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 w15:restartNumberingAfterBreak="0">
    <w:nsid w:val="2BE771A9"/>
    <w:multiLevelType w:val="hybridMultilevel"/>
    <w:tmpl w:val="786C29A8"/>
    <w:lvl w:ilvl="0" w:tplc="5174475C">
      <w:start w:val="25"/>
      <w:numFmt w:val="decimal"/>
      <w:lvlText w:val="%1."/>
      <w:lvlJc w:val="left"/>
      <w:pPr>
        <w:tabs>
          <w:tab w:val="num" w:pos="720"/>
        </w:tabs>
        <w:ind w:left="720" w:hanging="720"/>
      </w:pPr>
      <w:rPr>
        <w:rFonts w:ascii="Open Sans" w:hAnsi="Open Sans" w:cs="Open Sans" w:hint="default"/>
        <w:b w:val="0"/>
        <w:i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F2D1FB8"/>
    <w:multiLevelType w:val="hybridMultilevel"/>
    <w:tmpl w:val="3B1AC254"/>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0" w15:restartNumberingAfterBreak="0">
    <w:nsid w:val="33A325B2"/>
    <w:multiLevelType w:val="multilevel"/>
    <w:tmpl w:val="5428E706"/>
    <w:lvl w:ilvl="0">
      <w:start w:val="3"/>
      <w:numFmt w:val="decimal"/>
      <w:lvlText w:val="%1"/>
      <w:lvlJc w:val="left"/>
      <w:pPr>
        <w:ind w:left="400" w:hanging="400"/>
      </w:pPr>
      <w:rPr>
        <w:rFonts w:hint="default"/>
        <w:sz w:val="36"/>
        <w:szCs w:val="36"/>
      </w:rPr>
    </w:lvl>
    <w:lvl w:ilvl="1">
      <w:start w:val="1"/>
      <w:numFmt w:val="decimal"/>
      <w:lvlText w:val="%1.%2"/>
      <w:lvlJc w:val="left"/>
      <w:pPr>
        <w:ind w:left="720" w:hanging="72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33A45853"/>
    <w:multiLevelType w:val="hybridMultilevel"/>
    <w:tmpl w:val="7FA2CDA0"/>
    <w:lvl w:ilvl="0" w:tplc="AC56D036">
      <w:start w:val="1"/>
      <w:numFmt w:val="bullet"/>
      <w:lvlText w:val="-"/>
      <w:lvlJc w:val="left"/>
      <w:pPr>
        <w:ind w:left="2160" w:hanging="360"/>
      </w:pPr>
      <w:rPr>
        <w:rFonts w:ascii="Courier New" w:hAnsi="Courier New" w:cs="Times New Roman"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2" w15:restartNumberingAfterBreak="0">
    <w:nsid w:val="3CAA041B"/>
    <w:multiLevelType w:val="hybridMultilevel"/>
    <w:tmpl w:val="5A5040E8"/>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start w:val="1"/>
      <w:numFmt w:val="bullet"/>
      <w:lvlText w:val="o"/>
      <w:lvlJc w:val="left"/>
      <w:pPr>
        <w:ind w:left="5040" w:hanging="360"/>
      </w:pPr>
      <w:rPr>
        <w:rFonts w:ascii="Courier New" w:hAnsi="Courier New" w:cs="Courier New" w:hint="default"/>
      </w:rPr>
    </w:lvl>
    <w:lvl w:ilvl="5" w:tplc="0C090005">
      <w:start w:val="1"/>
      <w:numFmt w:val="bullet"/>
      <w:lvlText w:val=""/>
      <w:lvlJc w:val="left"/>
      <w:pPr>
        <w:ind w:left="5760" w:hanging="360"/>
      </w:pPr>
      <w:rPr>
        <w:rFonts w:ascii="Wingdings" w:hAnsi="Wingdings" w:hint="default"/>
      </w:rPr>
    </w:lvl>
    <w:lvl w:ilvl="6" w:tplc="0C090001">
      <w:start w:val="1"/>
      <w:numFmt w:val="bullet"/>
      <w:lvlText w:val=""/>
      <w:lvlJc w:val="left"/>
      <w:pPr>
        <w:ind w:left="6480" w:hanging="360"/>
      </w:pPr>
      <w:rPr>
        <w:rFonts w:ascii="Symbol" w:hAnsi="Symbol" w:hint="default"/>
      </w:rPr>
    </w:lvl>
    <w:lvl w:ilvl="7" w:tplc="0C090003">
      <w:start w:val="1"/>
      <w:numFmt w:val="bullet"/>
      <w:lvlText w:val="o"/>
      <w:lvlJc w:val="left"/>
      <w:pPr>
        <w:ind w:left="7200" w:hanging="360"/>
      </w:pPr>
      <w:rPr>
        <w:rFonts w:ascii="Courier New" w:hAnsi="Courier New" w:cs="Courier New" w:hint="default"/>
      </w:rPr>
    </w:lvl>
    <w:lvl w:ilvl="8" w:tplc="0C090005">
      <w:start w:val="1"/>
      <w:numFmt w:val="bullet"/>
      <w:lvlText w:val=""/>
      <w:lvlJc w:val="left"/>
      <w:pPr>
        <w:ind w:left="7920" w:hanging="360"/>
      </w:pPr>
      <w:rPr>
        <w:rFonts w:ascii="Wingdings" w:hAnsi="Wingdings" w:hint="default"/>
      </w:rPr>
    </w:lvl>
  </w:abstractNum>
  <w:abstractNum w:abstractNumId="23"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F474DB1"/>
    <w:multiLevelType w:val="hybridMultilevel"/>
    <w:tmpl w:val="9ADC749A"/>
    <w:lvl w:ilvl="0" w:tplc="B1FC949C">
      <w:start w:val="1"/>
      <w:numFmt w:val="decimal"/>
      <w:lvlText w:val="%1."/>
      <w:lvlJc w:val="left"/>
      <w:pPr>
        <w:ind w:left="720" w:hanging="360"/>
      </w:pPr>
      <w:rPr>
        <w:b w:val="0"/>
        <w:bCs w:val="0"/>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85A5DB6"/>
    <w:multiLevelType w:val="hybridMultilevel"/>
    <w:tmpl w:val="085AA2F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15:restartNumberingAfterBreak="0">
    <w:nsid w:val="49FF7A73"/>
    <w:multiLevelType w:val="multilevel"/>
    <w:tmpl w:val="B7B64678"/>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7"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59AA2332"/>
    <w:multiLevelType w:val="hybridMultilevel"/>
    <w:tmpl w:val="EB0AA1AC"/>
    <w:lvl w:ilvl="0" w:tplc="EA9C0468">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230277A"/>
    <w:multiLevelType w:val="hybridMultilevel"/>
    <w:tmpl w:val="61B253C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0" w15:restartNumberingAfterBreak="0">
    <w:nsid w:val="6487633D"/>
    <w:multiLevelType w:val="hybridMultilevel"/>
    <w:tmpl w:val="DC6CA37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1" w15:restartNumberingAfterBreak="0">
    <w:nsid w:val="64944770"/>
    <w:multiLevelType w:val="multilevel"/>
    <w:tmpl w:val="671E7262"/>
    <w:lvl w:ilvl="0">
      <w:start w:val="1"/>
      <w:numFmt w:val="decimal"/>
      <w:lvlText w:val="%1"/>
      <w:lvlJc w:val="left"/>
      <w:pPr>
        <w:ind w:left="360" w:hanging="360"/>
      </w:pPr>
      <w:rPr>
        <w:rFonts w:hint="default"/>
        <w:sz w:val="36"/>
        <w:szCs w:val="36"/>
      </w:rPr>
    </w:lvl>
    <w:lvl w:ilvl="1">
      <w:start w:val="2"/>
      <w:numFmt w:val="decimal"/>
      <w:isLgl/>
      <w:lvlText w:val="%1.%2"/>
      <w:lvlJc w:val="left"/>
      <w:pPr>
        <w:ind w:left="1169" w:hanging="4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32" w15:restartNumberingAfterBreak="0">
    <w:nsid w:val="6B404C82"/>
    <w:multiLevelType w:val="hybridMultilevel"/>
    <w:tmpl w:val="CFC2E830"/>
    <w:lvl w:ilvl="0" w:tplc="1EC4A26A">
      <w:start w:val="1"/>
      <w:numFmt w:val="decimal"/>
      <w:lvlText w:val="%1."/>
      <w:lvlJc w:val="left"/>
      <w:pPr>
        <w:tabs>
          <w:tab w:val="num" w:pos="720"/>
        </w:tabs>
        <w:ind w:left="720" w:hanging="720"/>
      </w:pPr>
      <w:rPr>
        <w:rFonts w:ascii="Open Sans" w:hAnsi="Open Sans" w:cs="Open Sans" w:hint="default"/>
        <w:b w:val="0"/>
        <w:i w:val="0"/>
        <w:sz w:val="24"/>
        <w:szCs w:val="24"/>
      </w:rPr>
    </w:lvl>
    <w:lvl w:ilvl="1" w:tplc="0C090017">
      <w:start w:val="1"/>
      <w:numFmt w:val="lowerLetter"/>
      <w:lvlText w:val="%2)"/>
      <w:lvlJc w:val="left"/>
      <w:pPr>
        <w:tabs>
          <w:tab w:val="num" w:pos="1440"/>
        </w:tabs>
        <w:ind w:left="1440" w:hanging="360"/>
      </w:pPr>
      <w:rPr>
        <w:rFonts w:hint="default"/>
        <w:b w:val="0"/>
        <w:sz w:val="22"/>
        <w:szCs w:val="22"/>
      </w:rPr>
    </w:lvl>
    <w:lvl w:ilvl="2" w:tplc="0C090003">
      <w:start w:val="1"/>
      <w:numFmt w:val="bullet"/>
      <w:lvlText w:val="o"/>
      <w:lvlJc w:val="left"/>
      <w:pPr>
        <w:tabs>
          <w:tab w:val="num" w:pos="2160"/>
        </w:tabs>
        <w:ind w:left="2160" w:hanging="180"/>
      </w:pPr>
      <w:rPr>
        <w:rFonts w:ascii="Courier New" w:hAnsi="Courier New" w:cs="Courier New" w:hint="default"/>
      </w:rPr>
    </w:lvl>
    <w:lvl w:ilvl="3" w:tplc="0C09000F">
      <w:start w:val="1"/>
      <w:numFmt w:val="bullet"/>
      <w:lvlText w:val=""/>
      <w:lvlJc w:val="left"/>
      <w:pPr>
        <w:tabs>
          <w:tab w:val="num" w:pos="2880"/>
        </w:tabs>
        <w:ind w:left="2880" w:hanging="360"/>
      </w:pPr>
      <w:rPr>
        <w:rFonts w:ascii="Symbol" w:hAnsi="Symbol" w:hint="default"/>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33" w15:restartNumberingAfterBreak="0">
    <w:nsid w:val="6E70156D"/>
    <w:multiLevelType w:val="hybridMultilevel"/>
    <w:tmpl w:val="3D4E44B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4" w15:restartNumberingAfterBreak="0">
    <w:nsid w:val="74B87FFE"/>
    <w:multiLevelType w:val="hybridMultilevel"/>
    <w:tmpl w:val="F0A6B01E"/>
    <w:lvl w:ilvl="0" w:tplc="0C090001">
      <w:start w:val="1"/>
      <w:numFmt w:val="bullet"/>
      <w:lvlText w:val=""/>
      <w:lvlJc w:val="left"/>
      <w:pPr>
        <w:ind w:left="1813" w:hanging="360"/>
      </w:pPr>
      <w:rPr>
        <w:rFonts w:ascii="Symbol" w:hAnsi="Symbol" w:hint="default"/>
      </w:rPr>
    </w:lvl>
    <w:lvl w:ilvl="1" w:tplc="0C090003" w:tentative="1">
      <w:start w:val="1"/>
      <w:numFmt w:val="bullet"/>
      <w:lvlText w:val="o"/>
      <w:lvlJc w:val="left"/>
      <w:pPr>
        <w:ind w:left="2533" w:hanging="360"/>
      </w:pPr>
      <w:rPr>
        <w:rFonts w:ascii="Courier New" w:hAnsi="Courier New" w:cs="Courier New" w:hint="default"/>
      </w:rPr>
    </w:lvl>
    <w:lvl w:ilvl="2" w:tplc="0C090005" w:tentative="1">
      <w:start w:val="1"/>
      <w:numFmt w:val="bullet"/>
      <w:lvlText w:val=""/>
      <w:lvlJc w:val="left"/>
      <w:pPr>
        <w:ind w:left="3253" w:hanging="360"/>
      </w:pPr>
      <w:rPr>
        <w:rFonts w:ascii="Wingdings" w:hAnsi="Wingdings" w:hint="default"/>
      </w:rPr>
    </w:lvl>
    <w:lvl w:ilvl="3" w:tplc="0C090001" w:tentative="1">
      <w:start w:val="1"/>
      <w:numFmt w:val="bullet"/>
      <w:lvlText w:val=""/>
      <w:lvlJc w:val="left"/>
      <w:pPr>
        <w:ind w:left="3973" w:hanging="360"/>
      </w:pPr>
      <w:rPr>
        <w:rFonts w:ascii="Symbol" w:hAnsi="Symbol" w:hint="default"/>
      </w:rPr>
    </w:lvl>
    <w:lvl w:ilvl="4" w:tplc="0C090003" w:tentative="1">
      <w:start w:val="1"/>
      <w:numFmt w:val="bullet"/>
      <w:lvlText w:val="o"/>
      <w:lvlJc w:val="left"/>
      <w:pPr>
        <w:ind w:left="4693" w:hanging="360"/>
      </w:pPr>
      <w:rPr>
        <w:rFonts w:ascii="Courier New" w:hAnsi="Courier New" w:cs="Courier New" w:hint="default"/>
      </w:rPr>
    </w:lvl>
    <w:lvl w:ilvl="5" w:tplc="0C090005" w:tentative="1">
      <w:start w:val="1"/>
      <w:numFmt w:val="bullet"/>
      <w:lvlText w:val=""/>
      <w:lvlJc w:val="left"/>
      <w:pPr>
        <w:ind w:left="5413" w:hanging="360"/>
      </w:pPr>
      <w:rPr>
        <w:rFonts w:ascii="Wingdings" w:hAnsi="Wingdings" w:hint="default"/>
      </w:rPr>
    </w:lvl>
    <w:lvl w:ilvl="6" w:tplc="0C090001" w:tentative="1">
      <w:start w:val="1"/>
      <w:numFmt w:val="bullet"/>
      <w:lvlText w:val=""/>
      <w:lvlJc w:val="left"/>
      <w:pPr>
        <w:ind w:left="6133" w:hanging="360"/>
      </w:pPr>
      <w:rPr>
        <w:rFonts w:ascii="Symbol" w:hAnsi="Symbol" w:hint="default"/>
      </w:rPr>
    </w:lvl>
    <w:lvl w:ilvl="7" w:tplc="0C090003" w:tentative="1">
      <w:start w:val="1"/>
      <w:numFmt w:val="bullet"/>
      <w:lvlText w:val="o"/>
      <w:lvlJc w:val="left"/>
      <w:pPr>
        <w:ind w:left="6853" w:hanging="360"/>
      </w:pPr>
      <w:rPr>
        <w:rFonts w:ascii="Courier New" w:hAnsi="Courier New" w:cs="Courier New" w:hint="default"/>
      </w:rPr>
    </w:lvl>
    <w:lvl w:ilvl="8" w:tplc="0C090005" w:tentative="1">
      <w:start w:val="1"/>
      <w:numFmt w:val="bullet"/>
      <w:lvlText w:val=""/>
      <w:lvlJc w:val="left"/>
      <w:pPr>
        <w:ind w:left="7573" w:hanging="360"/>
      </w:pPr>
      <w:rPr>
        <w:rFonts w:ascii="Wingdings" w:hAnsi="Wingdings" w:hint="default"/>
      </w:rPr>
    </w:lvl>
  </w:abstractNum>
  <w:abstractNum w:abstractNumId="35" w15:restartNumberingAfterBreak="0">
    <w:nsid w:val="74C74663"/>
    <w:multiLevelType w:val="hybridMultilevel"/>
    <w:tmpl w:val="BEC8726C"/>
    <w:lvl w:ilvl="0" w:tplc="1EC4A26A">
      <w:start w:val="1"/>
      <w:numFmt w:val="decimal"/>
      <w:lvlText w:val="%1."/>
      <w:lvlJc w:val="left"/>
      <w:pPr>
        <w:tabs>
          <w:tab w:val="num" w:pos="720"/>
        </w:tabs>
        <w:ind w:left="720" w:hanging="720"/>
      </w:pPr>
      <w:rPr>
        <w:rFonts w:ascii="Open Sans" w:hAnsi="Open Sans" w:cs="Open Sans" w:hint="default"/>
        <w:b w:val="0"/>
        <w:i w:val="0"/>
        <w:sz w:val="24"/>
        <w:szCs w:val="24"/>
      </w:rPr>
    </w:lvl>
    <w:lvl w:ilvl="1" w:tplc="0C090001">
      <w:start w:val="1"/>
      <w:numFmt w:val="bullet"/>
      <w:lvlText w:val=""/>
      <w:lvlJc w:val="left"/>
      <w:pPr>
        <w:tabs>
          <w:tab w:val="num" w:pos="1440"/>
        </w:tabs>
        <w:ind w:left="1440" w:hanging="360"/>
      </w:pPr>
      <w:rPr>
        <w:rFonts w:ascii="Symbol" w:hAnsi="Symbol" w:hint="default"/>
        <w:b w:val="0"/>
        <w:sz w:val="22"/>
        <w:szCs w:val="22"/>
      </w:rPr>
    </w:lvl>
    <w:lvl w:ilvl="2" w:tplc="0C090003">
      <w:start w:val="1"/>
      <w:numFmt w:val="bullet"/>
      <w:lvlText w:val="o"/>
      <w:lvlJc w:val="left"/>
      <w:pPr>
        <w:tabs>
          <w:tab w:val="num" w:pos="2160"/>
        </w:tabs>
        <w:ind w:left="2160" w:hanging="180"/>
      </w:pPr>
      <w:rPr>
        <w:rFonts w:ascii="Courier New" w:hAnsi="Courier New" w:cs="Courier New" w:hint="default"/>
      </w:rPr>
    </w:lvl>
    <w:lvl w:ilvl="3" w:tplc="0C09000F">
      <w:start w:val="1"/>
      <w:numFmt w:val="bullet"/>
      <w:lvlText w:val=""/>
      <w:lvlJc w:val="left"/>
      <w:pPr>
        <w:tabs>
          <w:tab w:val="num" w:pos="2880"/>
        </w:tabs>
        <w:ind w:left="2880" w:hanging="360"/>
      </w:pPr>
      <w:rPr>
        <w:rFonts w:ascii="Symbol" w:hAnsi="Symbol" w:hint="default"/>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36" w15:restartNumberingAfterBreak="0">
    <w:nsid w:val="7E6B2A3E"/>
    <w:multiLevelType w:val="multilevel"/>
    <w:tmpl w:val="8BE444DC"/>
    <w:numStyleLink w:val="AHRCReportHeadings"/>
  </w:abstractNum>
  <w:num w:numId="1" w16cid:durableId="300355057">
    <w:abstractNumId w:val="26"/>
  </w:num>
  <w:num w:numId="2" w16cid:durableId="270011341">
    <w:abstractNumId w:val="9"/>
  </w:num>
  <w:num w:numId="3" w16cid:durableId="719590724">
    <w:abstractNumId w:val="7"/>
  </w:num>
  <w:num w:numId="4" w16cid:durableId="1637493799">
    <w:abstractNumId w:val="6"/>
  </w:num>
  <w:num w:numId="5" w16cid:durableId="1696732176">
    <w:abstractNumId w:val="5"/>
  </w:num>
  <w:num w:numId="6" w16cid:durableId="62870759">
    <w:abstractNumId w:val="4"/>
  </w:num>
  <w:num w:numId="7" w16cid:durableId="590089168">
    <w:abstractNumId w:val="8"/>
  </w:num>
  <w:num w:numId="8" w16cid:durableId="1998485769">
    <w:abstractNumId w:val="1"/>
  </w:num>
  <w:num w:numId="9" w16cid:durableId="1614244490">
    <w:abstractNumId w:val="0"/>
  </w:num>
  <w:num w:numId="10" w16cid:durableId="415396290">
    <w:abstractNumId w:val="3"/>
  </w:num>
  <w:num w:numId="11" w16cid:durableId="1534921040">
    <w:abstractNumId w:val="2"/>
  </w:num>
  <w:num w:numId="12" w16cid:durableId="2140756352">
    <w:abstractNumId w:val="27"/>
  </w:num>
  <w:num w:numId="13" w16cid:durableId="218442429">
    <w:abstractNumId w:val="23"/>
  </w:num>
  <w:num w:numId="14" w16cid:durableId="1203396661">
    <w:abstractNumId w:val="15"/>
  </w:num>
  <w:num w:numId="15" w16cid:durableId="1866288444">
    <w:abstractNumId w:val="14"/>
  </w:num>
  <w:num w:numId="16" w16cid:durableId="1273126098">
    <w:abstractNumId w:val="11"/>
  </w:num>
  <w:num w:numId="17" w16cid:durableId="1669626207">
    <w:abstractNumId w:val="12"/>
  </w:num>
  <w:num w:numId="18" w16cid:durableId="1501039210">
    <w:abstractNumId w:val="36"/>
  </w:num>
  <w:num w:numId="19" w16cid:durableId="1396002485">
    <w:abstractNumId w:val="16"/>
  </w:num>
  <w:num w:numId="20" w16cid:durableId="2105415654">
    <w:abstractNumId w:val="24"/>
  </w:num>
  <w:num w:numId="21" w16cid:durableId="96297556">
    <w:abstractNumId w:val="35"/>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78350722">
    <w:abstractNumId w:val="13"/>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78005611">
    <w:abstractNumId w:val="22"/>
  </w:num>
  <w:num w:numId="24" w16cid:durableId="2012634347">
    <w:abstractNumId w:val="31"/>
  </w:num>
  <w:num w:numId="25" w16cid:durableId="1482893394">
    <w:abstractNumId w:val="32"/>
  </w:num>
  <w:num w:numId="26" w16cid:durableId="416484675">
    <w:abstractNumId w:val="18"/>
  </w:num>
  <w:num w:numId="27" w16cid:durableId="1954896940">
    <w:abstractNumId w:val="10"/>
  </w:num>
  <w:num w:numId="28" w16cid:durableId="2026393804">
    <w:abstractNumId w:val="20"/>
  </w:num>
  <w:num w:numId="29" w16cid:durableId="1652447566">
    <w:abstractNumId w:val="29"/>
  </w:num>
  <w:num w:numId="30" w16cid:durableId="1456027619">
    <w:abstractNumId w:val="21"/>
  </w:num>
  <w:num w:numId="31" w16cid:durableId="1509054937">
    <w:abstractNumId w:val="25"/>
  </w:num>
  <w:num w:numId="32" w16cid:durableId="1242838673">
    <w:abstractNumId w:val="17"/>
  </w:num>
  <w:num w:numId="33" w16cid:durableId="118306935">
    <w:abstractNumId w:val="28"/>
  </w:num>
  <w:num w:numId="34" w16cid:durableId="1919752399">
    <w:abstractNumId w:val="19"/>
  </w:num>
  <w:num w:numId="35" w16cid:durableId="1047989261">
    <w:abstractNumId w:val="33"/>
  </w:num>
  <w:num w:numId="36" w16cid:durableId="373507065">
    <w:abstractNumId w:val="34"/>
  </w:num>
  <w:num w:numId="37" w16cid:durableId="726611029">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evenAndOddHeaders/>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DC7"/>
    <w:rsid w:val="000015EC"/>
    <w:rsid w:val="00003EA5"/>
    <w:rsid w:val="000161C2"/>
    <w:rsid w:val="0002476A"/>
    <w:rsid w:val="00030E0E"/>
    <w:rsid w:val="00036BE4"/>
    <w:rsid w:val="000430B8"/>
    <w:rsid w:val="00045712"/>
    <w:rsid w:val="00045C4B"/>
    <w:rsid w:val="000465F1"/>
    <w:rsid w:val="000534AC"/>
    <w:rsid w:val="00055F43"/>
    <w:rsid w:val="000579B1"/>
    <w:rsid w:val="00061C6C"/>
    <w:rsid w:val="00065EEA"/>
    <w:rsid w:val="00066C68"/>
    <w:rsid w:val="00072EDA"/>
    <w:rsid w:val="00092868"/>
    <w:rsid w:val="00092E15"/>
    <w:rsid w:val="000A1DB8"/>
    <w:rsid w:val="000A48AC"/>
    <w:rsid w:val="000A520E"/>
    <w:rsid w:val="000B0603"/>
    <w:rsid w:val="000B0A5D"/>
    <w:rsid w:val="000B3194"/>
    <w:rsid w:val="000B5B68"/>
    <w:rsid w:val="000C5608"/>
    <w:rsid w:val="000C5DA6"/>
    <w:rsid w:val="000E08A0"/>
    <w:rsid w:val="000E130A"/>
    <w:rsid w:val="000E279B"/>
    <w:rsid w:val="000F03F5"/>
    <w:rsid w:val="000F2DFF"/>
    <w:rsid w:val="000F7824"/>
    <w:rsid w:val="0010551E"/>
    <w:rsid w:val="00127DEC"/>
    <w:rsid w:val="00134774"/>
    <w:rsid w:val="00140274"/>
    <w:rsid w:val="00142434"/>
    <w:rsid w:val="00151263"/>
    <w:rsid w:val="0015239E"/>
    <w:rsid w:val="0016266F"/>
    <w:rsid w:val="00162A8D"/>
    <w:rsid w:val="00165E3C"/>
    <w:rsid w:val="001664F5"/>
    <w:rsid w:val="00173FB5"/>
    <w:rsid w:val="00174D9A"/>
    <w:rsid w:val="001839D6"/>
    <w:rsid w:val="00195EDE"/>
    <w:rsid w:val="001B0353"/>
    <w:rsid w:val="001C1F8B"/>
    <w:rsid w:val="001C2A46"/>
    <w:rsid w:val="001C62A6"/>
    <w:rsid w:val="001D0285"/>
    <w:rsid w:val="001E45BA"/>
    <w:rsid w:val="001E5676"/>
    <w:rsid w:val="001F2BBB"/>
    <w:rsid w:val="001F52FD"/>
    <w:rsid w:val="001F62CC"/>
    <w:rsid w:val="00200677"/>
    <w:rsid w:val="002012F7"/>
    <w:rsid w:val="00201C9D"/>
    <w:rsid w:val="002027F6"/>
    <w:rsid w:val="0020576C"/>
    <w:rsid w:val="002068EB"/>
    <w:rsid w:val="00214DB2"/>
    <w:rsid w:val="00220849"/>
    <w:rsid w:val="00231ED1"/>
    <w:rsid w:val="002329AE"/>
    <w:rsid w:val="00241523"/>
    <w:rsid w:val="00242624"/>
    <w:rsid w:val="0024557E"/>
    <w:rsid w:val="00245AA8"/>
    <w:rsid w:val="002471FD"/>
    <w:rsid w:val="0025176E"/>
    <w:rsid w:val="00257344"/>
    <w:rsid w:val="002632EA"/>
    <w:rsid w:val="00266697"/>
    <w:rsid w:val="00273A89"/>
    <w:rsid w:val="00275C6E"/>
    <w:rsid w:val="002845A6"/>
    <w:rsid w:val="00284E25"/>
    <w:rsid w:val="0028506A"/>
    <w:rsid w:val="002850B0"/>
    <w:rsid w:val="002863D7"/>
    <w:rsid w:val="002873B4"/>
    <w:rsid w:val="00292AB5"/>
    <w:rsid w:val="002A43C2"/>
    <w:rsid w:val="002B124B"/>
    <w:rsid w:val="002B1B65"/>
    <w:rsid w:val="002C02DB"/>
    <w:rsid w:val="002C1866"/>
    <w:rsid w:val="002C5943"/>
    <w:rsid w:val="002E5A1B"/>
    <w:rsid w:val="002F4CE1"/>
    <w:rsid w:val="002F5E96"/>
    <w:rsid w:val="002F703A"/>
    <w:rsid w:val="0030053D"/>
    <w:rsid w:val="00300F22"/>
    <w:rsid w:val="003026A0"/>
    <w:rsid w:val="00304441"/>
    <w:rsid w:val="00304A37"/>
    <w:rsid w:val="0031040E"/>
    <w:rsid w:val="00310ED4"/>
    <w:rsid w:val="00312301"/>
    <w:rsid w:val="0031492A"/>
    <w:rsid w:val="00316C1A"/>
    <w:rsid w:val="00321095"/>
    <w:rsid w:val="00323C73"/>
    <w:rsid w:val="00331141"/>
    <w:rsid w:val="00333204"/>
    <w:rsid w:val="003418C6"/>
    <w:rsid w:val="003423F4"/>
    <w:rsid w:val="00344758"/>
    <w:rsid w:val="003470C1"/>
    <w:rsid w:val="00347142"/>
    <w:rsid w:val="00350D1B"/>
    <w:rsid w:val="003565A8"/>
    <w:rsid w:val="003566EA"/>
    <w:rsid w:val="0036611F"/>
    <w:rsid w:val="00371F6C"/>
    <w:rsid w:val="003724A9"/>
    <w:rsid w:val="00372C79"/>
    <w:rsid w:val="00382566"/>
    <w:rsid w:val="00392F59"/>
    <w:rsid w:val="003962F4"/>
    <w:rsid w:val="003A168E"/>
    <w:rsid w:val="003A1DAD"/>
    <w:rsid w:val="003A3693"/>
    <w:rsid w:val="003A4709"/>
    <w:rsid w:val="003A48B7"/>
    <w:rsid w:val="003C5DD4"/>
    <w:rsid w:val="003D5A5C"/>
    <w:rsid w:val="003D76F4"/>
    <w:rsid w:val="003E52DB"/>
    <w:rsid w:val="003E5DEF"/>
    <w:rsid w:val="003E65F1"/>
    <w:rsid w:val="003F7BFB"/>
    <w:rsid w:val="0040497E"/>
    <w:rsid w:val="00420EEE"/>
    <w:rsid w:val="00422417"/>
    <w:rsid w:val="00424233"/>
    <w:rsid w:val="00427A31"/>
    <w:rsid w:val="00427BB2"/>
    <w:rsid w:val="00434945"/>
    <w:rsid w:val="00445CB5"/>
    <w:rsid w:val="00460EE0"/>
    <w:rsid w:val="00467F2E"/>
    <w:rsid w:val="004712FB"/>
    <w:rsid w:val="00471BB7"/>
    <w:rsid w:val="00472EFF"/>
    <w:rsid w:val="00474063"/>
    <w:rsid w:val="00476793"/>
    <w:rsid w:val="00481B2A"/>
    <w:rsid w:val="00482091"/>
    <w:rsid w:val="00494AAE"/>
    <w:rsid w:val="004A187B"/>
    <w:rsid w:val="004A24A5"/>
    <w:rsid w:val="004A2D3C"/>
    <w:rsid w:val="004A6716"/>
    <w:rsid w:val="004B3656"/>
    <w:rsid w:val="004C7412"/>
    <w:rsid w:val="004C7D42"/>
    <w:rsid w:val="004D04BF"/>
    <w:rsid w:val="004E0DFF"/>
    <w:rsid w:val="004F1C7C"/>
    <w:rsid w:val="00501C2D"/>
    <w:rsid w:val="00510390"/>
    <w:rsid w:val="005123F0"/>
    <w:rsid w:val="00513540"/>
    <w:rsid w:val="00513941"/>
    <w:rsid w:val="0053051D"/>
    <w:rsid w:val="00542544"/>
    <w:rsid w:val="00543703"/>
    <w:rsid w:val="00561019"/>
    <w:rsid w:val="00564208"/>
    <w:rsid w:val="00571CEB"/>
    <w:rsid w:val="00591951"/>
    <w:rsid w:val="00592D1C"/>
    <w:rsid w:val="005A0964"/>
    <w:rsid w:val="005A2F77"/>
    <w:rsid w:val="005B36F6"/>
    <w:rsid w:val="005C2E91"/>
    <w:rsid w:val="005C2ECF"/>
    <w:rsid w:val="005C4A87"/>
    <w:rsid w:val="005C5D41"/>
    <w:rsid w:val="005C7982"/>
    <w:rsid w:val="005D1F34"/>
    <w:rsid w:val="005D383D"/>
    <w:rsid w:val="005D49FB"/>
    <w:rsid w:val="005D4ED1"/>
    <w:rsid w:val="005F0674"/>
    <w:rsid w:val="00607CD2"/>
    <w:rsid w:val="0061045D"/>
    <w:rsid w:val="00616F88"/>
    <w:rsid w:val="00622508"/>
    <w:rsid w:val="0063009F"/>
    <w:rsid w:val="006356C5"/>
    <w:rsid w:val="00644B30"/>
    <w:rsid w:val="00650E26"/>
    <w:rsid w:val="00654793"/>
    <w:rsid w:val="00655BF2"/>
    <w:rsid w:val="00664316"/>
    <w:rsid w:val="00680423"/>
    <w:rsid w:val="0069036B"/>
    <w:rsid w:val="00691E8A"/>
    <w:rsid w:val="00696AB3"/>
    <w:rsid w:val="006A6BB3"/>
    <w:rsid w:val="006B3DE1"/>
    <w:rsid w:val="006C0642"/>
    <w:rsid w:val="006C3083"/>
    <w:rsid w:val="006D0407"/>
    <w:rsid w:val="006D5EE5"/>
    <w:rsid w:val="006E02B4"/>
    <w:rsid w:val="006E3147"/>
    <w:rsid w:val="006E616B"/>
    <w:rsid w:val="006E6D3B"/>
    <w:rsid w:val="00702200"/>
    <w:rsid w:val="0070471A"/>
    <w:rsid w:val="00710B29"/>
    <w:rsid w:val="00711744"/>
    <w:rsid w:val="00714FF5"/>
    <w:rsid w:val="00730BD2"/>
    <w:rsid w:val="00741B38"/>
    <w:rsid w:val="007540BF"/>
    <w:rsid w:val="0075445D"/>
    <w:rsid w:val="007637A8"/>
    <w:rsid w:val="00765B58"/>
    <w:rsid w:val="00770DCB"/>
    <w:rsid w:val="00775485"/>
    <w:rsid w:val="00783532"/>
    <w:rsid w:val="007846B5"/>
    <w:rsid w:val="007B06EA"/>
    <w:rsid w:val="007B17AB"/>
    <w:rsid w:val="007B444D"/>
    <w:rsid w:val="007C5CF6"/>
    <w:rsid w:val="007D2F00"/>
    <w:rsid w:val="007E4756"/>
    <w:rsid w:val="007E5B88"/>
    <w:rsid w:val="007E6505"/>
    <w:rsid w:val="007F0D0B"/>
    <w:rsid w:val="007F1E6B"/>
    <w:rsid w:val="008007A8"/>
    <w:rsid w:val="008042D9"/>
    <w:rsid w:val="00810B3C"/>
    <w:rsid w:val="00814FC0"/>
    <w:rsid w:val="00817C73"/>
    <w:rsid w:val="00820E93"/>
    <w:rsid w:val="00823005"/>
    <w:rsid w:val="00823488"/>
    <w:rsid w:val="00826B0B"/>
    <w:rsid w:val="00836164"/>
    <w:rsid w:val="008449B9"/>
    <w:rsid w:val="00847191"/>
    <w:rsid w:val="0086254F"/>
    <w:rsid w:val="008724DE"/>
    <w:rsid w:val="008758D9"/>
    <w:rsid w:val="00882B0A"/>
    <w:rsid w:val="008970FC"/>
    <w:rsid w:val="008A0318"/>
    <w:rsid w:val="008A3D57"/>
    <w:rsid w:val="008A7305"/>
    <w:rsid w:val="008A7EFF"/>
    <w:rsid w:val="008B23BC"/>
    <w:rsid w:val="008B3899"/>
    <w:rsid w:val="008D4B9F"/>
    <w:rsid w:val="008D50B9"/>
    <w:rsid w:val="008E328C"/>
    <w:rsid w:val="008E3D60"/>
    <w:rsid w:val="008E3F4C"/>
    <w:rsid w:val="008E699C"/>
    <w:rsid w:val="008E78F0"/>
    <w:rsid w:val="008F062E"/>
    <w:rsid w:val="0090165F"/>
    <w:rsid w:val="00901B82"/>
    <w:rsid w:val="00902EC3"/>
    <w:rsid w:val="009079CD"/>
    <w:rsid w:val="00912B09"/>
    <w:rsid w:val="0091791D"/>
    <w:rsid w:val="00934E5F"/>
    <w:rsid w:val="009432CF"/>
    <w:rsid w:val="0095169A"/>
    <w:rsid w:val="00961135"/>
    <w:rsid w:val="00966C2F"/>
    <w:rsid w:val="0096742A"/>
    <w:rsid w:val="0097512B"/>
    <w:rsid w:val="00982404"/>
    <w:rsid w:val="00990B81"/>
    <w:rsid w:val="009A1259"/>
    <w:rsid w:val="009B1CCE"/>
    <w:rsid w:val="009D2D3E"/>
    <w:rsid w:val="009D3621"/>
    <w:rsid w:val="009D4F31"/>
    <w:rsid w:val="009D634E"/>
    <w:rsid w:val="009D67F6"/>
    <w:rsid w:val="009E08D1"/>
    <w:rsid w:val="009E0FE1"/>
    <w:rsid w:val="009E4BD0"/>
    <w:rsid w:val="009F00BC"/>
    <w:rsid w:val="009F2764"/>
    <w:rsid w:val="009F2B50"/>
    <w:rsid w:val="00A0406E"/>
    <w:rsid w:val="00A10406"/>
    <w:rsid w:val="00A11307"/>
    <w:rsid w:val="00A13061"/>
    <w:rsid w:val="00A13AF3"/>
    <w:rsid w:val="00A21388"/>
    <w:rsid w:val="00A27791"/>
    <w:rsid w:val="00A27ABE"/>
    <w:rsid w:val="00A34E82"/>
    <w:rsid w:val="00A355F9"/>
    <w:rsid w:val="00A372B3"/>
    <w:rsid w:val="00A41355"/>
    <w:rsid w:val="00A437B6"/>
    <w:rsid w:val="00A43B92"/>
    <w:rsid w:val="00A47BCC"/>
    <w:rsid w:val="00A51C1D"/>
    <w:rsid w:val="00A54251"/>
    <w:rsid w:val="00A61551"/>
    <w:rsid w:val="00A6179E"/>
    <w:rsid w:val="00A64316"/>
    <w:rsid w:val="00A752BE"/>
    <w:rsid w:val="00A77564"/>
    <w:rsid w:val="00A804D9"/>
    <w:rsid w:val="00A8573B"/>
    <w:rsid w:val="00A85A0E"/>
    <w:rsid w:val="00A87965"/>
    <w:rsid w:val="00A92915"/>
    <w:rsid w:val="00A92D96"/>
    <w:rsid w:val="00A92F92"/>
    <w:rsid w:val="00A96892"/>
    <w:rsid w:val="00AA2051"/>
    <w:rsid w:val="00AA4CAC"/>
    <w:rsid w:val="00AA5273"/>
    <w:rsid w:val="00AA70C4"/>
    <w:rsid w:val="00AB7C8F"/>
    <w:rsid w:val="00AC2192"/>
    <w:rsid w:val="00AC636D"/>
    <w:rsid w:val="00AF7ABB"/>
    <w:rsid w:val="00B00F61"/>
    <w:rsid w:val="00B137C4"/>
    <w:rsid w:val="00B237FB"/>
    <w:rsid w:val="00B23A0D"/>
    <w:rsid w:val="00B24B1D"/>
    <w:rsid w:val="00B26C33"/>
    <w:rsid w:val="00B277E0"/>
    <w:rsid w:val="00B34946"/>
    <w:rsid w:val="00B519FD"/>
    <w:rsid w:val="00B520BC"/>
    <w:rsid w:val="00B5287A"/>
    <w:rsid w:val="00B539CC"/>
    <w:rsid w:val="00B57DAD"/>
    <w:rsid w:val="00B63D24"/>
    <w:rsid w:val="00B822C5"/>
    <w:rsid w:val="00B82C35"/>
    <w:rsid w:val="00B924E6"/>
    <w:rsid w:val="00B93F2A"/>
    <w:rsid w:val="00B94CBD"/>
    <w:rsid w:val="00BA23E3"/>
    <w:rsid w:val="00BA262D"/>
    <w:rsid w:val="00BA5698"/>
    <w:rsid w:val="00BB3A8E"/>
    <w:rsid w:val="00BB6C85"/>
    <w:rsid w:val="00BC3B9B"/>
    <w:rsid w:val="00BC5BB7"/>
    <w:rsid w:val="00BC664C"/>
    <w:rsid w:val="00BC79EB"/>
    <w:rsid w:val="00BD7FCF"/>
    <w:rsid w:val="00BF1AB8"/>
    <w:rsid w:val="00BF6406"/>
    <w:rsid w:val="00C064DC"/>
    <w:rsid w:val="00C132CA"/>
    <w:rsid w:val="00C149BD"/>
    <w:rsid w:val="00C15F14"/>
    <w:rsid w:val="00C25BDA"/>
    <w:rsid w:val="00C33104"/>
    <w:rsid w:val="00C332D4"/>
    <w:rsid w:val="00C44AE3"/>
    <w:rsid w:val="00C471D1"/>
    <w:rsid w:val="00C51011"/>
    <w:rsid w:val="00C51FF4"/>
    <w:rsid w:val="00C524BE"/>
    <w:rsid w:val="00C560AC"/>
    <w:rsid w:val="00C5781C"/>
    <w:rsid w:val="00C60036"/>
    <w:rsid w:val="00C60343"/>
    <w:rsid w:val="00C62D64"/>
    <w:rsid w:val="00C63C53"/>
    <w:rsid w:val="00C7387B"/>
    <w:rsid w:val="00C854D4"/>
    <w:rsid w:val="00C90556"/>
    <w:rsid w:val="00CA0669"/>
    <w:rsid w:val="00CA0D78"/>
    <w:rsid w:val="00CA4855"/>
    <w:rsid w:val="00CA5D90"/>
    <w:rsid w:val="00CB24FE"/>
    <w:rsid w:val="00CC2AA0"/>
    <w:rsid w:val="00CD5013"/>
    <w:rsid w:val="00CD58FD"/>
    <w:rsid w:val="00CE16A8"/>
    <w:rsid w:val="00CE4078"/>
    <w:rsid w:val="00CF52CF"/>
    <w:rsid w:val="00CF66B5"/>
    <w:rsid w:val="00D03307"/>
    <w:rsid w:val="00D13208"/>
    <w:rsid w:val="00D16774"/>
    <w:rsid w:val="00D23F1C"/>
    <w:rsid w:val="00D33476"/>
    <w:rsid w:val="00D343FA"/>
    <w:rsid w:val="00D418FF"/>
    <w:rsid w:val="00D53DC7"/>
    <w:rsid w:val="00D62A4A"/>
    <w:rsid w:val="00D65C76"/>
    <w:rsid w:val="00D734C7"/>
    <w:rsid w:val="00D7542B"/>
    <w:rsid w:val="00D8351F"/>
    <w:rsid w:val="00D8461E"/>
    <w:rsid w:val="00D904AB"/>
    <w:rsid w:val="00DA1D32"/>
    <w:rsid w:val="00DA2452"/>
    <w:rsid w:val="00DA2F73"/>
    <w:rsid w:val="00DA48B7"/>
    <w:rsid w:val="00DA7A55"/>
    <w:rsid w:val="00DC307B"/>
    <w:rsid w:val="00DC343B"/>
    <w:rsid w:val="00DC462F"/>
    <w:rsid w:val="00DC499A"/>
    <w:rsid w:val="00DD0AF8"/>
    <w:rsid w:val="00DD604A"/>
    <w:rsid w:val="00DD6A21"/>
    <w:rsid w:val="00DE18A7"/>
    <w:rsid w:val="00DE2EFB"/>
    <w:rsid w:val="00DE60CA"/>
    <w:rsid w:val="00DF01B6"/>
    <w:rsid w:val="00DF28F1"/>
    <w:rsid w:val="00E02517"/>
    <w:rsid w:val="00E05C16"/>
    <w:rsid w:val="00E1290D"/>
    <w:rsid w:val="00E14833"/>
    <w:rsid w:val="00E1675F"/>
    <w:rsid w:val="00E16DDD"/>
    <w:rsid w:val="00E23DB3"/>
    <w:rsid w:val="00E24FA3"/>
    <w:rsid w:val="00E26B28"/>
    <w:rsid w:val="00E31465"/>
    <w:rsid w:val="00E328CD"/>
    <w:rsid w:val="00E3489E"/>
    <w:rsid w:val="00E3546C"/>
    <w:rsid w:val="00E362F0"/>
    <w:rsid w:val="00E36B95"/>
    <w:rsid w:val="00E375C5"/>
    <w:rsid w:val="00E4003F"/>
    <w:rsid w:val="00E44115"/>
    <w:rsid w:val="00E458F6"/>
    <w:rsid w:val="00E45954"/>
    <w:rsid w:val="00E46704"/>
    <w:rsid w:val="00E53546"/>
    <w:rsid w:val="00E55F24"/>
    <w:rsid w:val="00E60C48"/>
    <w:rsid w:val="00E71C1F"/>
    <w:rsid w:val="00E74601"/>
    <w:rsid w:val="00E776E6"/>
    <w:rsid w:val="00E83244"/>
    <w:rsid w:val="00E877E8"/>
    <w:rsid w:val="00E94DC5"/>
    <w:rsid w:val="00EA44D9"/>
    <w:rsid w:val="00EB18E9"/>
    <w:rsid w:val="00EB6A76"/>
    <w:rsid w:val="00EB6A91"/>
    <w:rsid w:val="00EB7988"/>
    <w:rsid w:val="00ED6EDE"/>
    <w:rsid w:val="00EE6ED3"/>
    <w:rsid w:val="00EF155E"/>
    <w:rsid w:val="00F0799D"/>
    <w:rsid w:val="00F107A0"/>
    <w:rsid w:val="00F127A8"/>
    <w:rsid w:val="00F14C6D"/>
    <w:rsid w:val="00F220A5"/>
    <w:rsid w:val="00F34362"/>
    <w:rsid w:val="00F34A81"/>
    <w:rsid w:val="00F34BC9"/>
    <w:rsid w:val="00F41E2F"/>
    <w:rsid w:val="00F513AE"/>
    <w:rsid w:val="00F51ECD"/>
    <w:rsid w:val="00F81458"/>
    <w:rsid w:val="00F8302E"/>
    <w:rsid w:val="00F86DAB"/>
    <w:rsid w:val="00F961B0"/>
    <w:rsid w:val="00FA1151"/>
    <w:rsid w:val="00FA1FFA"/>
    <w:rsid w:val="00FA22A8"/>
    <w:rsid w:val="00FA37FA"/>
    <w:rsid w:val="00FA4916"/>
    <w:rsid w:val="00FA7E5C"/>
    <w:rsid w:val="00FB11A7"/>
    <w:rsid w:val="00FB193D"/>
    <w:rsid w:val="00FB3422"/>
    <w:rsid w:val="00FC10F9"/>
    <w:rsid w:val="00FC7AA2"/>
    <w:rsid w:val="00FD01B5"/>
    <w:rsid w:val="00FD0CA0"/>
    <w:rsid w:val="00FD5BF0"/>
    <w:rsid w:val="00FD6475"/>
    <w:rsid w:val="00FF46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B0E8C5"/>
  <w15:chartTrackingRefBased/>
  <w15:docId w15:val="{A6190F74-646A-40D7-B62C-7A2A93C55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lsdException w:name="heading 6" w:locked="0"/>
    <w:lsdException w:name="heading 7" w:locked="0"/>
    <w:lsdException w:name="heading 8" w:locked="0"/>
    <w:lsdException w:name="heading 9" w:locked="0"/>
    <w:lsdException w:name="toc 1" w:locked="0" w:uiPriority="39" w:qFormat="1"/>
    <w:lsdException w:name="toc 2" w:locked="0" w:uiPriority="39" w:qFormat="1"/>
    <w:lsdException w:name="toc 3" w:locked="0" w:uiPriority="39"/>
    <w:lsdException w:name="toc 4" w:locked="0" w:uiPriority="39"/>
    <w:lsdException w:name="footnote text" w:uiPriority="99"/>
    <w:lsdException w:name="annotation text" w:uiPriority="99"/>
    <w:lsdException w:name="header" w:locked="0" w:uiPriority="99" w:qFormat="1"/>
    <w:lsdException w:name="footer" w:locked="0" w:uiPriority="99"/>
    <w:lsdException w:name="caption" w:semiHidden="1" w:unhideWhenUsed="1" w:qFormat="1"/>
    <w:lsdException w:name="footnote reference" w:uiPriority="99"/>
    <w:lsdException w:name="annotation reference" w:uiPriority="99"/>
    <w:lsdException w:name="endnote reference" w:locked="0" w:uiPriority="99" w:qFormat="1"/>
    <w:lsdException w:name="endnote text" w:locked="0" w:uiPriority="99" w:qFormat="1"/>
    <w:lsdException w:name="List Bullet" w:qFormat="1"/>
    <w:lsdException w:name="List Number" w:qFormat="1"/>
    <w:lsdException w:name="Title" w:uiPriority="10" w:qFormat="1"/>
    <w:lsdException w:name="Default Paragraph Font" w:locked="0"/>
    <w:lsdException w:name="List Continue 4" w:locked="0"/>
    <w:lsdException w:name="Subtitle" w:uiPriority="11" w:qFormat="1"/>
    <w:lsdException w:name="Hyperlink" w:locked="0" w:uiPriority="99"/>
    <w:lsdException w:name="FollowedHyperlink" w:uiPriority="99"/>
    <w:lsdException w:name="Strong" w:locked="0"/>
    <w:lsdException w:name="HTML Top of Form" w:locked="0"/>
    <w:lsdException w:name="HTML Bottom of Form" w:locked="0"/>
    <w:lsdException w:name="HTML Keyboard" w:semiHidden="1" w:unhideWhenUsed="1"/>
    <w:lsdException w:name="Normal Table" w:locked="0" w:semiHidden="1" w:unhideWhenUsed="1"/>
    <w:lsdException w:name="annotation subject" w:semiHidden="1" w:uiPriority="99"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aliases w:val="AHRC plain text"/>
    <w:qFormat/>
    <w:rsid w:val="00E53546"/>
    <w:pPr>
      <w:spacing w:before="240" w:after="240"/>
    </w:pPr>
    <w:rPr>
      <w:rFonts w:ascii="Open Sans" w:eastAsia="MS Mincho" w:hAnsi="Open Sans"/>
      <w:sz w:val="24"/>
      <w:szCs w:val="24"/>
    </w:rPr>
  </w:style>
  <w:style w:type="paragraph" w:styleId="Heading1">
    <w:name w:val="heading 1"/>
    <w:basedOn w:val="Normal"/>
    <w:next w:val="Normal"/>
    <w:link w:val="Heading1Char"/>
    <w:qFormat/>
    <w:rsid w:val="005C2ECF"/>
    <w:pPr>
      <w:keepNext/>
      <w:keepLines/>
      <w:numPr>
        <w:numId w:val="1"/>
      </w:numPr>
      <w:spacing w:before="360"/>
      <w:outlineLvl w:val="0"/>
    </w:pPr>
    <w:rPr>
      <w:b/>
      <w:bCs/>
      <w:sz w:val="36"/>
      <w:szCs w:val="28"/>
    </w:rPr>
  </w:style>
  <w:style w:type="paragraph" w:styleId="Heading2">
    <w:name w:val="heading 2"/>
    <w:basedOn w:val="Heading1"/>
    <w:next w:val="Normal"/>
    <w:link w:val="Heading2Char"/>
    <w:qFormat/>
    <w:rsid w:val="00BA23E3"/>
    <w:pPr>
      <w:numPr>
        <w:ilvl w:val="1"/>
      </w:numPr>
      <w:outlineLvl w:val="1"/>
    </w:pPr>
    <w:rPr>
      <w:bCs w:val="0"/>
      <w:sz w:val="32"/>
      <w:szCs w:val="26"/>
    </w:rPr>
  </w:style>
  <w:style w:type="paragraph" w:styleId="Heading3">
    <w:name w:val="heading 3"/>
    <w:basedOn w:val="Heading2"/>
    <w:next w:val="Normal"/>
    <w:link w:val="Heading3Char"/>
    <w:qFormat/>
    <w:rsid w:val="008007A8"/>
    <w:pPr>
      <w:numPr>
        <w:ilvl w:val="2"/>
      </w:numPr>
      <w:outlineLvl w:val="2"/>
    </w:pPr>
    <w:rPr>
      <w:b w:val="0"/>
      <w:bCs/>
      <w:sz w:val="24"/>
    </w:rPr>
  </w:style>
  <w:style w:type="paragraph" w:styleId="Heading4">
    <w:name w:val="heading 4"/>
    <w:basedOn w:val="Heading3"/>
    <w:next w:val="Normal"/>
    <w:link w:val="Heading4Char"/>
    <w:qFormat/>
    <w:locked/>
    <w:rsid w:val="008007A8"/>
    <w:pPr>
      <w:numPr>
        <w:ilvl w:val="3"/>
      </w:numPr>
      <w:outlineLvl w:val="3"/>
    </w:pPr>
    <w:rPr>
      <w:bCs w:val="0"/>
      <w:i/>
      <w:iCs/>
    </w:rPr>
  </w:style>
  <w:style w:type="paragraph" w:styleId="Heading5">
    <w:name w:val="heading 5"/>
    <w:basedOn w:val="Normal"/>
    <w:next w:val="Normal"/>
    <w:link w:val="Heading5Char"/>
    <w:locked/>
    <w:rsid w:val="005C2ECF"/>
    <w:pPr>
      <w:keepNext/>
      <w:keepLines/>
      <w:numPr>
        <w:ilvl w:val="4"/>
        <w:numId w:val="1"/>
      </w:numPr>
      <w:spacing w:before="200"/>
      <w:outlineLvl w:val="4"/>
    </w:pPr>
  </w:style>
  <w:style w:type="paragraph" w:styleId="Heading6">
    <w:name w:val="heading 6"/>
    <w:basedOn w:val="Normal"/>
    <w:next w:val="Normal"/>
    <w:link w:val="Heading6Char"/>
    <w:locked/>
    <w:rsid w:val="005C2ECF"/>
    <w:pPr>
      <w:keepNext/>
      <w:keepLines/>
      <w:numPr>
        <w:ilvl w:val="5"/>
        <w:numId w:val="1"/>
      </w:numPr>
      <w:spacing w:before="200"/>
      <w:outlineLvl w:val="5"/>
    </w:pPr>
    <w:rPr>
      <w:i/>
      <w:iCs/>
    </w:rPr>
  </w:style>
  <w:style w:type="paragraph" w:styleId="Heading7">
    <w:name w:val="heading 7"/>
    <w:basedOn w:val="Normal"/>
    <w:next w:val="Normal"/>
    <w:link w:val="Heading7Char"/>
    <w:locked/>
    <w:rsid w:val="005C2ECF"/>
    <w:pPr>
      <w:keepNext/>
      <w:keepLines/>
      <w:numPr>
        <w:ilvl w:val="6"/>
        <w:numId w:val="1"/>
      </w:numPr>
      <w:spacing w:before="200"/>
      <w:outlineLvl w:val="6"/>
    </w:pPr>
    <w:rPr>
      <w:i/>
      <w:iCs/>
    </w:rPr>
  </w:style>
  <w:style w:type="paragraph" w:styleId="Heading8">
    <w:name w:val="heading 8"/>
    <w:basedOn w:val="Normal"/>
    <w:next w:val="Normal"/>
    <w:link w:val="Heading8Char"/>
    <w:locked/>
    <w:rsid w:val="005C2ECF"/>
    <w:pPr>
      <w:keepNext/>
      <w:keepLines/>
      <w:numPr>
        <w:ilvl w:val="7"/>
        <w:numId w:val="1"/>
      </w:numPr>
      <w:spacing w:before="200"/>
      <w:outlineLvl w:val="7"/>
    </w:pPr>
    <w:rPr>
      <w:sz w:val="20"/>
      <w:szCs w:val="20"/>
    </w:rPr>
  </w:style>
  <w:style w:type="paragraph" w:styleId="Heading9">
    <w:name w:val="heading 9"/>
    <w:basedOn w:val="Normal"/>
    <w:next w:val="Normal"/>
    <w:link w:val="Heading9Char"/>
    <w:locked/>
    <w:rsid w:val="005C2ECF"/>
    <w:pPr>
      <w:keepNext/>
      <w:keepLines/>
      <w:numPr>
        <w:ilvl w:val="8"/>
        <w:numId w:val="1"/>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2ECF"/>
    <w:rPr>
      <w:rFonts w:ascii="Open Sans" w:eastAsia="MS Mincho" w:hAnsi="Open Sans"/>
      <w:b/>
      <w:bCs/>
      <w:sz w:val="36"/>
      <w:szCs w:val="28"/>
    </w:rPr>
  </w:style>
  <w:style w:type="character" w:customStyle="1" w:styleId="Heading2Char">
    <w:name w:val="Heading 2 Char"/>
    <w:link w:val="Heading2"/>
    <w:rsid w:val="00BA23E3"/>
    <w:rPr>
      <w:rFonts w:ascii="Open Sans" w:eastAsia="MS Mincho" w:hAnsi="Open Sans"/>
      <w:b/>
      <w:sz w:val="32"/>
      <w:szCs w:val="26"/>
    </w:rPr>
  </w:style>
  <w:style w:type="character" w:customStyle="1" w:styleId="Heading3Char">
    <w:name w:val="Heading 3 Char"/>
    <w:link w:val="Heading3"/>
    <w:rsid w:val="008007A8"/>
    <w:rPr>
      <w:rFonts w:ascii="Open Sans" w:eastAsia="MS Mincho" w:hAnsi="Open Sans"/>
      <w:bCs/>
      <w:sz w:val="24"/>
      <w:szCs w:val="26"/>
    </w:rPr>
  </w:style>
  <w:style w:type="character" w:customStyle="1" w:styleId="Heading4Char">
    <w:name w:val="Heading 4 Char"/>
    <w:link w:val="Heading4"/>
    <w:rsid w:val="008007A8"/>
    <w:rPr>
      <w:rFonts w:ascii="Open Sans" w:eastAsia="MS Mincho" w:hAnsi="Open Sans"/>
      <w:i/>
      <w:iCs/>
      <w:sz w:val="24"/>
      <w:szCs w:val="26"/>
    </w:rPr>
  </w:style>
  <w:style w:type="character" w:styleId="Strong">
    <w:name w:val="Strong"/>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uiPriority w:val="99"/>
    <w:qFormat/>
    <w:rsid w:val="00902EC3"/>
    <w:pPr>
      <w:tabs>
        <w:tab w:val="center" w:pos="4513"/>
        <w:tab w:val="right" w:pos="9026"/>
      </w:tabs>
      <w:spacing w:after="0"/>
      <w:jc w:val="right"/>
    </w:pPr>
    <w:rPr>
      <w:sz w:val="18"/>
    </w:rPr>
  </w:style>
  <w:style w:type="character" w:customStyle="1" w:styleId="HeaderChar">
    <w:name w:val="Header Char"/>
    <w:link w:val="Header"/>
    <w:uiPriority w:val="99"/>
    <w:rsid w:val="00902EC3"/>
    <w:rPr>
      <w:rFonts w:ascii="Open Sans" w:eastAsia="MS Mincho" w:hAnsi="Open Sans"/>
      <w:sz w:val="18"/>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uiPriority w:val="39"/>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uiPriority w:val="39"/>
    <w:qFormat/>
    <w:rsid w:val="000B5B68"/>
    <w:pPr>
      <w:tabs>
        <w:tab w:val="right" w:leader="dot" w:pos="9060"/>
      </w:tabs>
      <w:spacing w:after="0"/>
      <w:ind w:left="720" w:hanging="720"/>
    </w:pPr>
    <w:rPr>
      <w:b/>
      <w:noProof/>
    </w:rPr>
  </w:style>
  <w:style w:type="paragraph" w:styleId="TOC2">
    <w:name w:val="toc 2"/>
    <w:basedOn w:val="Normal"/>
    <w:next w:val="Normal"/>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qFormat/>
    <w:rsid w:val="00471BB7"/>
    <w:pPr>
      <w:spacing w:before="0" w:after="360"/>
    </w:pPr>
    <w:rPr>
      <w:b/>
      <w:lang w:val="en-US" w:eastAsia="en-US"/>
    </w:rPr>
  </w:style>
  <w:style w:type="paragraph" w:styleId="EndnoteText">
    <w:name w:val="endnote text"/>
    <w:basedOn w:val="Normal"/>
    <w:link w:val="EndnoteTextChar1"/>
    <w:uiPriority w:val="99"/>
    <w:qFormat/>
    <w:rsid w:val="0002476A"/>
    <w:pPr>
      <w:spacing w:before="0" w:after="0"/>
      <w:ind w:left="142" w:hanging="142"/>
    </w:pPr>
    <w:rPr>
      <w:sz w:val="20"/>
      <w:szCs w:val="20"/>
    </w:rPr>
  </w:style>
  <w:style w:type="character" w:customStyle="1" w:styleId="EndnoteTextChar1">
    <w:name w:val="Endnote Text Char1"/>
    <w:link w:val="EndnoteText"/>
    <w:uiPriority w:val="99"/>
    <w:rsid w:val="00E55F24"/>
    <w:rPr>
      <w:rFonts w:ascii="Open Sans" w:eastAsia="MS Mincho" w:hAnsi="Open Sans"/>
    </w:rPr>
  </w:style>
  <w:style w:type="character" w:styleId="EndnoteReference">
    <w:name w:val="endnote reference"/>
    <w:aliases w:val="QUOTE"/>
    <w:uiPriority w:val="99"/>
    <w:qFormat/>
    <w:rsid w:val="00045C4B"/>
    <w:rPr>
      <w:rFonts w:ascii="Open Sans" w:hAnsi="Open Sans"/>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rsid w:val="00045C4B"/>
    <w:pPr>
      <w:spacing w:after="120"/>
      <w:ind w:left="1440" w:right="1440"/>
    </w:pPr>
  </w:style>
  <w:style w:type="paragraph" w:styleId="BodyText">
    <w:name w:val="Body Text"/>
    <w:basedOn w:val="Normal"/>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2C5943"/>
    <w:pPr>
      <w:numPr>
        <w:numId w:val="2"/>
      </w:numPr>
      <w:ind w:left="1094" w:hanging="737"/>
    </w:pPr>
  </w:style>
  <w:style w:type="paragraph" w:styleId="ListBullet2">
    <w:name w:val="List Bullet 2"/>
    <w:basedOn w:val="Normal"/>
    <w:semiHidden/>
    <w:locked/>
    <w:rsid w:val="005C2ECF"/>
    <w:pPr>
      <w:numPr>
        <w:numId w:val="3"/>
      </w:numPr>
    </w:pPr>
  </w:style>
  <w:style w:type="paragraph" w:styleId="ListBullet3">
    <w:name w:val="List Bullet 3"/>
    <w:basedOn w:val="Normal"/>
    <w:semiHidden/>
    <w:locked/>
    <w:rsid w:val="005C2ECF"/>
    <w:pPr>
      <w:numPr>
        <w:numId w:val="4"/>
      </w:numPr>
    </w:pPr>
  </w:style>
  <w:style w:type="paragraph" w:styleId="ListBullet4">
    <w:name w:val="List Bullet 4"/>
    <w:basedOn w:val="Normal"/>
    <w:semiHidden/>
    <w:locked/>
    <w:rsid w:val="005C2ECF"/>
    <w:pPr>
      <w:numPr>
        <w:numId w:val="5"/>
      </w:numPr>
    </w:pPr>
  </w:style>
  <w:style w:type="paragraph" w:styleId="ListBullet5">
    <w:name w:val="List Bullet 5"/>
    <w:basedOn w:val="Normal"/>
    <w:semiHidden/>
    <w:locked/>
    <w:rsid w:val="005C2ECF"/>
    <w:pPr>
      <w:numPr>
        <w:numId w:val="6"/>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2C5943"/>
    <w:pPr>
      <w:numPr>
        <w:numId w:val="7"/>
      </w:numPr>
      <w:tabs>
        <w:tab w:val="clear" w:pos="360"/>
        <w:tab w:val="left" w:pos="1134"/>
      </w:tabs>
      <w:spacing w:before="120" w:after="120"/>
      <w:ind w:left="1094" w:hanging="737"/>
      <w:contextualSpacing/>
    </w:pPr>
  </w:style>
  <w:style w:type="paragraph" w:styleId="ListNumber2">
    <w:name w:val="List Number 2"/>
    <w:basedOn w:val="Normal"/>
    <w:semiHidden/>
    <w:locked/>
    <w:rsid w:val="005C2ECF"/>
    <w:pPr>
      <w:numPr>
        <w:numId w:val="10"/>
      </w:numPr>
    </w:pPr>
  </w:style>
  <w:style w:type="paragraph" w:styleId="ListNumber3">
    <w:name w:val="List Number 3"/>
    <w:basedOn w:val="Normal"/>
    <w:semiHidden/>
    <w:locked/>
    <w:rsid w:val="005C2ECF"/>
    <w:pPr>
      <w:numPr>
        <w:numId w:val="11"/>
      </w:numPr>
    </w:pPr>
  </w:style>
  <w:style w:type="paragraph" w:styleId="ListNumber4">
    <w:name w:val="List Number 4"/>
    <w:basedOn w:val="Normal"/>
    <w:semiHidden/>
    <w:locked/>
    <w:rsid w:val="005C2ECF"/>
    <w:pPr>
      <w:numPr>
        <w:numId w:val="8"/>
      </w:numPr>
    </w:pPr>
  </w:style>
  <w:style w:type="paragraph" w:styleId="ListNumber5">
    <w:name w:val="List Number 5"/>
    <w:basedOn w:val="Normal"/>
    <w:semiHidden/>
    <w:locked/>
    <w:rsid w:val="005C2ECF"/>
    <w:pPr>
      <w:numPr>
        <w:numId w:val="9"/>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uiPriority w:val="11"/>
    <w:qFormat/>
    <w:rsid w:val="00817C73"/>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E45954"/>
    <w:pPr>
      <w:spacing w:after="60"/>
      <w:jc w:val="center"/>
      <w:outlineLvl w:val="0"/>
    </w:pPr>
    <w:rPr>
      <w:rFonts w:cs="Arial"/>
      <w:b/>
      <w:bCs/>
      <w:kern w:val="28"/>
      <w:sz w:val="32"/>
      <w:szCs w:val="32"/>
    </w:rPr>
  </w:style>
  <w:style w:type="character" w:styleId="FollowedHyperlink">
    <w:name w:val="FollowedHyperlink"/>
    <w:uiPriority w:val="99"/>
    <w:semiHidden/>
    <w:rsid w:val="00045C4B"/>
    <w:rPr>
      <w:rFonts w:ascii="Open Sans" w:hAnsi="Open Sans"/>
      <w:color w:val="800080"/>
      <w:u w:val="single"/>
    </w:rPr>
  </w:style>
  <w:style w:type="paragraph" w:customStyle="1" w:styleId="MainTitle">
    <w:name w:val="Main Title"/>
    <w:next w:val="Subtitle"/>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uiPriority w:val="99"/>
    <w:locked/>
    <w:rsid w:val="00045C4B"/>
    <w:rPr>
      <w:rFonts w:ascii="Open Sans" w:hAnsi="Open Sans"/>
      <w:sz w:val="20"/>
      <w:lang w:bidi="ar-SA"/>
    </w:rPr>
  </w:style>
  <w:style w:type="character" w:customStyle="1" w:styleId="SubtitleChar">
    <w:name w:val="Subtitle Char"/>
    <w:link w:val="Subtitle"/>
    <w:uiPriority w:val="11"/>
    <w:rsid w:val="00817C73"/>
    <w:rPr>
      <w:rFonts w:ascii="Open Sans" w:eastAsia="MS Mincho" w:hAnsi="Open Sans" w:cs="Arial"/>
      <w:color w:val="237BBC"/>
      <w:sz w:val="28"/>
      <w:szCs w:val="24"/>
    </w:rPr>
  </w:style>
  <w:style w:type="paragraph" w:customStyle="1" w:styleId="SubmissionNormal">
    <w:name w:val="Submission Normal"/>
    <w:aliases w:val="No Spacing1,No Spacing11,No Spacing111,No Spacing1111"/>
    <w:basedOn w:val="Normal"/>
    <w:link w:val="SubmissionNormalChar"/>
    <w:qFormat/>
    <w:locked/>
    <w:rsid w:val="00B34946"/>
    <w:pPr>
      <w:numPr>
        <w:numId w:val="15"/>
      </w:numPr>
      <w:tabs>
        <w:tab w:val="clear" w:pos="720"/>
      </w:tabs>
      <w:ind w:hanging="720"/>
    </w:pPr>
    <w:rPr>
      <w:rFonts w:eastAsia="Times New Roman"/>
    </w:rPr>
  </w:style>
  <w:style w:type="character" w:customStyle="1" w:styleId="SubmissionNormalChar">
    <w:name w:val="Submission Normal Char"/>
    <w:aliases w:val="No Spacing1 Char"/>
    <w:link w:val="SubmissionNormal"/>
    <w:rsid w:val="00B34946"/>
    <w:rPr>
      <w:rFonts w:ascii="Open Sans" w:hAnsi="Open Sans"/>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uiPriority w:val="99"/>
    <w:rsid w:val="00045C4B"/>
    <w:rPr>
      <w:rFonts w:ascii="Open Sans" w:hAnsi="Open Sans"/>
      <w:sz w:val="16"/>
      <w:szCs w:val="16"/>
    </w:rPr>
  </w:style>
  <w:style w:type="paragraph" w:styleId="CommentText">
    <w:name w:val="annotation text"/>
    <w:basedOn w:val="Normal"/>
    <w:link w:val="CommentTextChar"/>
    <w:uiPriority w:val="99"/>
    <w:rsid w:val="00045C4B"/>
    <w:rPr>
      <w:sz w:val="20"/>
      <w:szCs w:val="20"/>
    </w:rPr>
  </w:style>
  <w:style w:type="character" w:customStyle="1" w:styleId="CommentTextChar">
    <w:name w:val="Comment Text Char"/>
    <w:link w:val="CommentText"/>
    <w:uiPriority w:val="99"/>
    <w:rsid w:val="00045C4B"/>
    <w:rPr>
      <w:rFonts w:ascii="Open Sans" w:eastAsia="MS Mincho" w:hAnsi="Open Sans"/>
    </w:rPr>
  </w:style>
  <w:style w:type="paragraph" w:styleId="CommentSubject">
    <w:name w:val="annotation subject"/>
    <w:basedOn w:val="CommentText"/>
    <w:next w:val="CommentText"/>
    <w:link w:val="CommentSubjectChar"/>
    <w:uiPriority w:val="99"/>
    <w:rsid w:val="00045C4B"/>
    <w:rPr>
      <w:b/>
      <w:bCs/>
    </w:rPr>
  </w:style>
  <w:style w:type="character" w:customStyle="1" w:styleId="CommentSubjectChar">
    <w:name w:val="Comment Subject Char"/>
    <w:link w:val="CommentSubject"/>
    <w:uiPriority w:val="99"/>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link w:val="NoSpacingChar"/>
    <w:uiPriority w:val="1"/>
    <w:qFormat/>
    <w:rsid w:val="00471BB7"/>
    <w:rPr>
      <w:rFonts w:ascii="Open Sans" w:eastAsia="MS Mincho" w:hAnsi="Open Sans"/>
      <w:sz w:val="24"/>
      <w:szCs w:val="24"/>
    </w:rPr>
  </w:style>
  <w:style w:type="character" w:styleId="SubtleEmphasis">
    <w:name w:val="Subtle Emphasis"/>
    <w:uiPriority w:val="19"/>
    <w:qFormat/>
    <w:locked/>
    <w:rsid w:val="00471BB7"/>
    <w:rPr>
      <w:rFonts w:ascii="Open Sans" w:hAnsi="Open Sans"/>
      <w:i w:val="0"/>
      <w:iCs/>
      <w:color w:val="auto"/>
      <w:sz w:val="24"/>
    </w:rPr>
  </w:style>
  <w:style w:type="character" w:styleId="IntenseEmphasis">
    <w:name w:val="Intense Emphasis"/>
    <w:uiPriority w:val="21"/>
    <w:qFormat/>
    <w:locked/>
    <w:rsid w:val="00471BB7"/>
    <w:rPr>
      <w:rFonts w:ascii="Open Sans" w:hAnsi="Open Sans"/>
      <w:i w:val="0"/>
      <w:iCs/>
      <w:color w:val="auto"/>
    </w:rPr>
  </w:style>
  <w:style w:type="paragraph" w:styleId="Quote">
    <w:name w:val="Quote"/>
    <w:basedOn w:val="Normal"/>
    <w:next w:val="Normal"/>
    <w:link w:val="QuoteChar"/>
    <w:uiPriority w:val="29"/>
    <w:rsid w:val="000C5DA6"/>
    <w:pPr>
      <w:spacing w:before="200" w:after="160"/>
      <w:ind w:left="1440"/>
    </w:pPr>
    <w:rPr>
      <w:iCs/>
      <w:sz w:val="22"/>
    </w:rPr>
  </w:style>
  <w:style w:type="character" w:customStyle="1" w:styleId="QuoteChar">
    <w:name w:val="Quote Char"/>
    <w:link w:val="Quote"/>
    <w:uiPriority w:val="29"/>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basedOn w:val="Normal"/>
    <w:link w:val="ListParagraphChar"/>
    <w:qFormat/>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Reporttitleinheader">
    <w:name w:val="Report title in header"/>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paragraph" w:customStyle="1" w:styleId="Default">
    <w:name w:val="Default"/>
    <w:rsid w:val="00FD6475"/>
    <w:pPr>
      <w:autoSpaceDE w:val="0"/>
      <w:autoSpaceDN w:val="0"/>
      <w:adjustRightInd w:val="0"/>
    </w:pPr>
    <w:rPr>
      <w:rFonts w:ascii="Open Sans" w:hAnsi="Open Sans" w:cs="Open Sans"/>
      <w:color w:val="000000"/>
      <w:sz w:val="24"/>
      <w:szCs w:val="24"/>
    </w:rPr>
  </w:style>
  <w:style w:type="numbering" w:customStyle="1" w:styleId="Style1">
    <w:name w:val="Style1"/>
    <w:uiPriority w:val="99"/>
    <w:rsid w:val="0025176E"/>
    <w:pPr>
      <w:numPr>
        <w:numId w:val="16"/>
      </w:numPr>
    </w:pPr>
  </w:style>
  <w:style w:type="numbering" w:customStyle="1" w:styleId="AHRCReportHeadings">
    <w:name w:val="AHRC Report Headings"/>
    <w:uiPriority w:val="99"/>
    <w:rsid w:val="00592D1C"/>
    <w:pPr>
      <w:numPr>
        <w:numId w:val="17"/>
      </w:numPr>
    </w:pPr>
  </w:style>
  <w:style w:type="paragraph" w:customStyle="1" w:styleId="Reportplaintext">
    <w:name w:val="Report plain text"/>
    <w:basedOn w:val="Normal"/>
    <w:link w:val="ReportplaintextChar"/>
    <w:rsid w:val="00691E8A"/>
  </w:style>
  <w:style w:type="paragraph" w:customStyle="1" w:styleId="AHRCHeading4">
    <w:name w:val="AHRC Heading 4"/>
    <w:basedOn w:val="Heading4"/>
    <w:link w:val="AHRCHeading4Char"/>
    <w:qFormat/>
    <w:rsid w:val="00CF66B5"/>
    <w:rPr>
      <w:i w:val="0"/>
      <w:iCs w:val="0"/>
    </w:rPr>
  </w:style>
  <w:style w:type="character" w:customStyle="1" w:styleId="ReportplaintextChar">
    <w:name w:val="Report plain text Char"/>
    <w:basedOn w:val="DefaultParagraphFont"/>
    <w:link w:val="Reportplaintext"/>
    <w:rsid w:val="00691E8A"/>
    <w:rPr>
      <w:rFonts w:ascii="Open Sans" w:eastAsia="MS Mincho" w:hAnsi="Open Sans"/>
      <w:sz w:val="24"/>
      <w:szCs w:val="24"/>
    </w:rPr>
  </w:style>
  <w:style w:type="paragraph" w:customStyle="1" w:styleId="AHRCheading5">
    <w:name w:val="AHRC heading 5"/>
    <w:basedOn w:val="ListParagraph"/>
    <w:link w:val="AHRCheading5Char"/>
    <w:qFormat/>
    <w:rsid w:val="00CF66B5"/>
    <w:pPr>
      <w:numPr>
        <w:ilvl w:val="4"/>
        <w:numId w:val="18"/>
      </w:numPr>
      <w:tabs>
        <w:tab w:val="clear" w:pos="0"/>
        <w:tab w:val="left" w:pos="851"/>
      </w:tabs>
    </w:pPr>
  </w:style>
  <w:style w:type="character" w:customStyle="1" w:styleId="AHRCHeading4Char">
    <w:name w:val="AHRC Heading 4 Char"/>
    <w:basedOn w:val="Heading4Char"/>
    <w:link w:val="AHRCHeading4"/>
    <w:rsid w:val="00CF66B5"/>
    <w:rPr>
      <w:rFonts w:ascii="Open Sans" w:eastAsia="MS Mincho" w:hAnsi="Open Sans"/>
      <w:i w:val="0"/>
      <w:iCs w:val="0"/>
      <w:sz w:val="24"/>
      <w:szCs w:val="26"/>
    </w:rPr>
  </w:style>
  <w:style w:type="paragraph" w:customStyle="1" w:styleId="AHRCHeading1">
    <w:name w:val="AHRC Heading 1"/>
    <w:basedOn w:val="Heading1"/>
    <w:link w:val="AHRCHeading1Char"/>
    <w:qFormat/>
    <w:rsid w:val="00321095"/>
  </w:style>
  <w:style w:type="character" w:customStyle="1" w:styleId="ListParagraphChar">
    <w:name w:val="List Paragraph Char"/>
    <w:basedOn w:val="DefaultParagraphFont"/>
    <w:link w:val="ListParagraph"/>
    <w:uiPriority w:val="34"/>
    <w:rsid w:val="00321095"/>
    <w:rPr>
      <w:rFonts w:ascii="Open Sans" w:eastAsia="MS Mincho" w:hAnsi="Open Sans"/>
      <w:sz w:val="24"/>
      <w:szCs w:val="24"/>
    </w:rPr>
  </w:style>
  <w:style w:type="character" w:customStyle="1" w:styleId="AHRCheading5Char">
    <w:name w:val="AHRC heading 5 Char"/>
    <w:basedOn w:val="ListParagraphChar"/>
    <w:link w:val="AHRCheading5"/>
    <w:rsid w:val="00CF66B5"/>
    <w:rPr>
      <w:rFonts w:ascii="Open Sans" w:eastAsia="MS Mincho" w:hAnsi="Open Sans"/>
      <w:sz w:val="24"/>
      <w:szCs w:val="24"/>
    </w:rPr>
  </w:style>
  <w:style w:type="paragraph" w:customStyle="1" w:styleId="AHRCHeading2">
    <w:name w:val="AHRC Heading 2"/>
    <w:basedOn w:val="Heading2"/>
    <w:link w:val="AHRCHeading2Char"/>
    <w:qFormat/>
    <w:rsid w:val="000534AC"/>
    <w:rPr>
      <w:sz w:val="28"/>
    </w:rPr>
  </w:style>
  <w:style w:type="character" w:customStyle="1" w:styleId="AHRCHeading1Char">
    <w:name w:val="AHRC Heading 1 Char"/>
    <w:basedOn w:val="Heading1Char"/>
    <w:link w:val="AHRCHeading1"/>
    <w:rsid w:val="00321095"/>
    <w:rPr>
      <w:rFonts w:ascii="Open Sans" w:eastAsia="MS Mincho" w:hAnsi="Open Sans"/>
      <w:b/>
      <w:bCs/>
      <w:sz w:val="36"/>
      <w:szCs w:val="28"/>
    </w:rPr>
  </w:style>
  <w:style w:type="paragraph" w:customStyle="1" w:styleId="AHRCHeading3">
    <w:name w:val="AHRC Heading 3"/>
    <w:basedOn w:val="Heading3"/>
    <w:link w:val="AHRCHeading3Char"/>
    <w:qFormat/>
    <w:rsid w:val="00321095"/>
  </w:style>
  <w:style w:type="character" w:customStyle="1" w:styleId="AHRCHeading2Char">
    <w:name w:val="AHRC Heading 2 Char"/>
    <w:basedOn w:val="Heading2Char"/>
    <w:link w:val="AHRCHeading2"/>
    <w:rsid w:val="000534AC"/>
    <w:rPr>
      <w:rFonts w:ascii="Open Sans" w:eastAsia="MS Mincho" w:hAnsi="Open Sans"/>
      <w:b/>
      <w:sz w:val="28"/>
      <w:szCs w:val="26"/>
    </w:rPr>
  </w:style>
  <w:style w:type="character" w:styleId="UnresolvedMention">
    <w:name w:val="Unresolved Mention"/>
    <w:basedOn w:val="DefaultParagraphFont"/>
    <w:uiPriority w:val="99"/>
    <w:semiHidden/>
    <w:unhideWhenUsed/>
    <w:rsid w:val="003026A0"/>
    <w:rPr>
      <w:color w:val="605E5C"/>
      <w:shd w:val="clear" w:color="auto" w:fill="E1DFDD"/>
    </w:rPr>
  </w:style>
  <w:style w:type="character" w:customStyle="1" w:styleId="AHRCHeading3Char">
    <w:name w:val="AHRC Heading 3 Char"/>
    <w:basedOn w:val="Heading3Char"/>
    <w:link w:val="AHRCHeading3"/>
    <w:rsid w:val="00321095"/>
    <w:rPr>
      <w:rFonts w:ascii="Open Sans" w:eastAsia="MS Mincho" w:hAnsi="Open Sans"/>
      <w:bCs/>
      <w:sz w:val="24"/>
      <w:szCs w:val="26"/>
    </w:rPr>
  </w:style>
  <w:style w:type="paragraph" w:customStyle="1" w:styleId="Blockquote">
    <w:name w:val="Block quote"/>
    <w:basedOn w:val="Normal"/>
    <w:link w:val="BlockquoteChar"/>
    <w:qFormat/>
    <w:rsid w:val="008A7EFF"/>
    <w:pPr>
      <w:spacing w:after="0"/>
      <w:ind w:left="1090" w:right="3"/>
    </w:pPr>
  </w:style>
  <w:style w:type="character" w:customStyle="1" w:styleId="BlockquoteChar">
    <w:name w:val="Block quote Char"/>
    <w:basedOn w:val="DefaultParagraphFont"/>
    <w:link w:val="Blockquote"/>
    <w:rsid w:val="008A7EFF"/>
    <w:rPr>
      <w:rFonts w:ascii="Open Sans" w:eastAsia="MS Mincho" w:hAnsi="Open Sans"/>
      <w:sz w:val="24"/>
      <w:szCs w:val="24"/>
    </w:rPr>
  </w:style>
  <w:style w:type="paragraph" w:customStyle="1" w:styleId="AHRCImagecaption">
    <w:name w:val="AHRC Image caption"/>
    <w:basedOn w:val="Normal"/>
    <w:link w:val="AHRCImagecaptionChar"/>
    <w:qFormat/>
    <w:rsid w:val="00A51C1D"/>
    <w:rPr>
      <w:sz w:val="18"/>
      <w:szCs w:val="18"/>
    </w:rPr>
  </w:style>
  <w:style w:type="paragraph" w:customStyle="1" w:styleId="AHRCEndnotes">
    <w:name w:val="AHRC Endnotes"/>
    <w:basedOn w:val="NoSpacing"/>
    <w:link w:val="AHRCEndnotesChar"/>
    <w:qFormat/>
    <w:rsid w:val="00DD604A"/>
    <w:pPr>
      <w:widowControl w:val="0"/>
      <w:numPr>
        <w:numId w:val="19"/>
      </w:numPr>
      <w:autoSpaceDE w:val="0"/>
      <w:autoSpaceDN w:val="0"/>
    </w:pPr>
    <w:rPr>
      <w:sz w:val="20"/>
      <w:szCs w:val="20"/>
    </w:rPr>
  </w:style>
  <w:style w:type="character" w:customStyle="1" w:styleId="AHRCImagecaptionChar">
    <w:name w:val="AHRC Image caption Char"/>
    <w:basedOn w:val="DefaultParagraphFont"/>
    <w:link w:val="AHRCImagecaption"/>
    <w:rsid w:val="00A51C1D"/>
    <w:rPr>
      <w:rFonts w:ascii="Open Sans" w:eastAsia="MS Mincho" w:hAnsi="Open Sans"/>
      <w:sz w:val="18"/>
      <w:szCs w:val="18"/>
    </w:rPr>
  </w:style>
  <w:style w:type="character" w:customStyle="1" w:styleId="NoSpacingChar">
    <w:name w:val="No Spacing Char"/>
    <w:basedOn w:val="DefaultParagraphFont"/>
    <w:link w:val="NoSpacing"/>
    <w:uiPriority w:val="1"/>
    <w:rsid w:val="00DD604A"/>
    <w:rPr>
      <w:rFonts w:ascii="Open Sans" w:eastAsia="MS Mincho" w:hAnsi="Open Sans"/>
      <w:sz w:val="24"/>
      <w:szCs w:val="24"/>
    </w:rPr>
  </w:style>
  <w:style w:type="character" w:customStyle="1" w:styleId="AHRCEndnotesChar">
    <w:name w:val="AHRC Endnotes Char"/>
    <w:basedOn w:val="NoSpacingChar"/>
    <w:link w:val="AHRCEndnotes"/>
    <w:rsid w:val="00DD604A"/>
    <w:rPr>
      <w:rFonts w:ascii="Open Sans" w:eastAsia="MS Mincho" w:hAnsi="Open Sans"/>
      <w:sz w:val="24"/>
      <w:szCs w:val="24"/>
    </w:rPr>
  </w:style>
  <w:style w:type="character" w:customStyle="1" w:styleId="TitleChar">
    <w:name w:val="Title Char"/>
    <w:basedOn w:val="DefaultParagraphFont"/>
    <w:link w:val="Title"/>
    <w:uiPriority w:val="10"/>
    <w:rsid w:val="00201C9D"/>
    <w:rPr>
      <w:rFonts w:ascii="Open Sans" w:eastAsia="MS Mincho" w:hAnsi="Open Sans" w:cs="Arial"/>
      <w:b/>
      <w:bCs/>
      <w:kern w:val="28"/>
      <w:sz w:val="32"/>
      <w:szCs w:val="32"/>
    </w:rPr>
  </w:style>
  <w:style w:type="paragraph" w:styleId="FootnoteText">
    <w:name w:val="footnote text"/>
    <w:basedOn w:val="Normal"/>
    <w:link w:val="FootnoteTextChar"/>
    <w:uiPriority w:val="99"/>
    <w:unhideWhenUsed/>
    <w:locked/>
    <w:rsid w:val="00201C9D"/>
    <w:pPr>
      <w:spacing w:before="0" w:after="0"/>
    </w:pPr>
    <w:rPr>
      <w:rFonts w:asciiTheme="minorHAnsi" w:eastAsiaTheme="minorHAnsi" w:hAnsiTheme="minorHAnsi" w:cstheme="minorBidi"/>
      <w:sz w:val="20"/>
      <w:szCs w:val="20"/>
      <w:lang w:val="en-GB" w:eastAsia="en-US"/>
    </w:rPr>
  </w:style>
  <w:style w:type="character" w:customStyle="1" w:styleId="FootnoteTextChar">
    <w:name w:val="Footnote Text Char"/>
    <w:basedOn w:val="DefaultParagraphFont"/>
    <w:link w:val="FootnoteText"/>
    <w:uiPriority w:val="99"/>
    <w:rsid w:val="00201C9D"/>
    <w:rPr>
      <w:rFonts w:asciiTheme="minorHAnsi" w:eastAsiaTheme="minorHAnsi" w:hAnsiTheme="minorHAnsi" w:cstheme="minorBidi"/>
      <w:lang w:val="en-GB" w:eastAsia="en-US"/>
    </w:rPr>
  </w:style>
  <w:style w:type="character" w:styleId="FootnoteReference">
    <w:name w:val="footnote reference"/>
    <w:basedOn w:val="DefaultParagraphFont"/>
    <w:uiPriority w:val="99"/>
    <w:unhideWhenUsed/>
    <w:locked/>
    <w:rsid w:val="00201C9D"/>
    <w:rPr>
      <w:vertAlign w:val="superscript"/>
    </w:rPr>
  </w:style>
  <w:style w:type="paragraph" w:styleId="Revision">
    <w:name w:val="Revision"/>
    <w:hidden/>
    <w:uiPriority w:val="99"/>
    <w:semiHidden/>
    <w:rsid w:val="00201C9D"/>
    <w:rPr>
      <w:rFonts w:asciiTheme="minorHAnsi" w:eastAsia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3.xml"/></Relationships>
</file>

<file path=word/_rels/endnotes.xml.rels><?xml version="1.0" encoding="UTF-8" standalone="yes"?>
<Relationships xmlns="http://schemas.openxmlformats.org/package/2006/relationships"><Relationship Id="rId3" Type="http://schemas.openxmlformats.org/officeDocument/2006/relationships/hyperlink" Target="https://www.homeaffairs.gov.au/foi/files/2020/fa-200200255-document-released.PDF" TargetMode="External"/><Relationship Id="rId2" Type="http://schemas.openxmlformats.org/officeDocument/2006/relationships/hyperlink" Target="https://www.homeaffairs.gov.au/foi/files/2020/fa-200200255-document-released.PDF" TargetMode="External"/><Relationship Id="rId1" Type="http://schemas.openxmlformats.org/officeDocument/2006/relationships/hyperlink" Target="http://www.unhchr.ch/tbs/doc.nsf/(Symbol)/7c3306a53f34ff43c1256a2a0036d955?Opendocu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australianhrc.sharepoint.com/sites/intranet/AHRCTemplateHub/Commission/AHRC%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7576D0480B8CD46A2CFCECBC151981F" ma:contentTypeVersion="84" ma:contentTypeDescription="Create a new document." ma:contentTypeScope="" ma:versionID="3d36d5a4b6f09d6b8b7f66c183840327">
  <xsd:schema xmlns:xsd="http://www.w3.org/2001/XMLSchema" xmlns:xs="http://www.w3.org/2001/XMLSchema" xmlns:p="http://schemas.microsoft.com/office/2006/metadata/properties" xmlns:ns2="57f1fb52-79b9-4278-9d54-1e5db41bfcda" xmlns:ns3="6500fe01-343b-4fb9-a1b0-68ac19d62e01" xmlns:ns4="6ad6e3fb-56e9-483d-af63-03ae20984e84" targetNamespace="http://schemas.microsoft.com/office/2006/metadata/properties" ma:root="true" ma:fieldsID="b5b2e4a709a88d21a729e390e3c5a697" ns2:_="" ns3:_="" ns4:_="">
    <xsd:import namespace="57f1fb52-79b9-4278-9d54-1e5db41bfcda"/>
    <xsd:import namespace="6500fe01-343b-4fb9-a1b0-68ac19d62e01"/>
    <xsd:import namespace="6ad6e3fb-56e9-483d-af63-03ae20984e84"/>
    <xsd:element name="properties">
      <xsd:complexType>
        <xsd:sequence>
          <xsd:element name="documentManagement">
            <xsd:complexType>
              <xsd:all>
                <xsd:element ref="ns3:Divider" minOccurs="0"/>
                <xsd:element ref="ns2:Subdivider" minOccurs="0"/>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Received_x002f_Sent" minOccurs="0"/>
                <xsd:element ref="ns2:From1" minOccurs="0"/>
                <xsd:element ref="ns2:To" minOccurs="0"/>
                <xsd:element ref="ns2:Has_x0020_Attachments" minOccurs="0"/>
                <xsd:element ref="ns2:k3a5078a26ff4931bbf08f27197a80f8" minOccurs="0"/>
                <xsd:element ref="ns2:Download" minOccurs="0"/>
                <xsd:element ref="ns4:MediaServiceMetadata" minOccurs="0"/>
                <xsd:element ref="ns4:MediaServiceFastMetadata" minOccurs="0"/>
                <xsd:element ref="ns4:MediaServiceDateTaken" minOccurs="0"/>
                <xsd:element ref="ns4:MediaServiceAutoTags" minOccurs="0"/>
                <xsd:element ref="ns2:SharedWithUsers" minOccurs="0"/>
                <xsd:element ref="ns2:SharedWithDetails" minOccurs="0"/>
                <xsd:element ref="ns4:lcf76f155ced4ddcb4097134ff3c332f"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Subdivider" ma:index="3" nillable="true" ma:displayName="Subdivider" ma:indexed="true" ma:internalName="Subdivider">
      <xsd:simpleType>
        <xsd:restriction base="dms:Text">
          <xsd:maxLength value="255"/>
        </xsd:restriction>
      </xsd:simpleType>
    </xsd:element>
    <xsd:element name="Received_x002f_Sent" ma:index="19" nillable="true" ma:displayName="Received/Sent" ma:format="DateOnly" ma:hidden="true" ma:internalName="Received_x002F_Sent" ma:readOnly="false">
      <xsd:simpleType>
        <xsd:restriction base="dms:DateTime"/>
      </xsd:simpleType>
    </xsd:element>
    <xsd:element name="From1" ma:index="20" nillable="true" ma:displayName="From" ma:hidden="true" ma:indexed="true" ma:internalName="From1" ma:readOnly="false">
      <xsd:simpleType>
        <xsd:restriction base="dms:Text">
          <xsd:maxLength value="255"/>
        </xsd:restriction>
      </xsd:simpleType>
    </xsd:element>
    <xsd:element name="To" ma:index="21" nillable="true" ma:displayName="To" ma:hidden="true" ma:indexed="true" ma:internalName="To" ma:readOnly="false">
      <xsd:simpleType>
        <xsd:restriction base="dms:Text">
          <xsd:maxLength value="255"/>
        </xsd:restriction>
      </xsd:simpleType>
    </xsd:element>
    <xsd:element name="Has_x0020_Attachments" ma:index="22" nillable="true" ma:displayName="Has Attachments" ma:hidden="true" ma:indexed="true" ma:internalName="Has_x0020_Attachments" ma:readOnly="false">
      <xsd:simpleType>
        <xsd:restriction base="dms:Text">
          <xsd:maxLength value="255"/>
        </xsd:restriction>
      </xsd:simpleType>
    </xsd:element>
    <xsd:element name="k3a5078a26ff4931bbf08f27197a80f8" ma:index="23" nillable="true" ma:taxonomy="true" ma:internalName="k3a5078a26ff4931bbf08f27197a80f8" ma:taxonomyFieldName="Document_x0020_Type" ma:displayName="Document Type" ma:indexed="true" ma:default="" ma:fieldId="{43a5078a-26ff-4931-bbf0-8f27197a80f8}" ma:sspId="975c5ac6-a0cc-43ed-b850-4a2ae59237b6" ma:termSetId="4846ac09-7624-4133-bd52-372b76d60312" ma:anchorId="00000000-0000-0000-0000-000000000000" ma:open="false" ma:isKeyword="false">
      <xsd:complexType>
        <xsd:sequence>
          <xsd:element ref="pc:Terms" minOccurs="0" maxOccurs="1"/>
        </xsd:sequence>
      </xsd:complexType>
    </xsd:element>
    <xsd:element name="Download" ma:index="24" nillable="true" ma:displayName="Open in Outlook" ma:hidden="true" ma:internalName="Download" ma:readOnly="false">
      <xsd:simpleType>
        <xsd:restriction base="dms:Text">
          <xsd:maxLength value="255"/>
        </xsd:restriction>
      </xsd:simple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internalName="Divider">
      <xsd:simpleType>
        <xsd:restriction base="dms:Text">
          <xsd:maxLength value="255"/>
        </xsd:restriction>
      </xsd:simpleType>
    </xsd:element>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7f9df0a3-af15-4ec5-9211-2da9f36e93ae}" ma:internalName="TaxCatchAll" ma:showField="CatchAllData"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f9df0a3-af15-4ec5-9211-2da9f36e93ae}" ma:internalName="TaxCatchAllLabel" ma:readOnly="true" ma:showField="CatchAllDataLabel"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ad6e3fb-56e9-483d-af63-03ae20984e84"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975c5ac6-a0cc-43ed-b850-4a2ae59237b6" ma:termSetId="09814cd3-568e-fe90-9814-8d621ff8fb84" ma:anchorId="fba54fb3-c3e1-fe81-a776-ca4b69148c4d" ma:open="true" ma:isKeyword="false">
      <xsd:complexType>
        <xsd:sequence>
          <xsd:element ref="pc:Terms" minOccurs="0" maxOccurs="1"/>
        </xsd:sequence>
      </xsd:complex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ma:index="2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TaxCatchAll xmlns="6500fe01-343b-4fb9-a1b0-68ac19d62e01" xsi:nil="true"/>
    <TaxKeywordTaxHTField xmlns="6500fe01-343b-4fb9-a1b0-68ac19d62e01">
      <Terms xmlns="http://schemas.microsoft.com/office/infopath/2007/PartnerControls"/>
    </TaxKeywordTaxHTField>
    <_dlc_DocId xmlns="6500fe01-343b-4fb9-a1b0-68ac19d62e01">RAD0006-936285860-1781</_dlc_DocId>
    <_dlc_DocIdUrl xmlns="6500fe01-343b-4fb9-a1b0-68ac19d62e01">
      <Url>https://australianhrc.sharepoint.com/sites/ExecutiveWorkspace/_layouts/15/DocIdRedir.aspx?ID=RAD0006-936285860-1781</Url>
      <Description>RAD0006-936285860-1781</Description>
    </_dlc_DocIdUrl>
    <Divider xmlns="6500fe01-343b-4fb9-a1b0-68ac19d62e01">Draft report</Divider>
    <Subdivider xmlns="57f1fb52-79b9-4278-9d54-1e5db41bfcda" xsi:nil="true"/>
    <lcf76f155ced4ddcb4097134ff3c332f xmlns="6ad6e3fb-56e9-483d-af63-03ae20984e84">
      <Terms xmlns="http://schemas.microsoft.com/office/infopath/2007/PartnerControls"/>
    </lcf76f155ced4ddcb4097134ff3c332f>
    <Received_x002f_Sent xmlns="57f1fb52-79b9-4278-9d54-1e5db41bfcda" xsi:nil="true"/>
    <Has_x0020_Attachments xmlns="57f1fb52-79b9-4278-9d54-1e5db41bfcda" xsi:nil="true"/>
    <From1 xmlns="57f1fb52-79b9-4278-9d54-1e5db41bfcda" xsi:nil="true"/>
    <To xmlns="57f1fb52-79b9-4278-9d54-1e5db41bfcda" xsi:nil="true"/>
    <Download xmlns="57f1fb52-79b9-4278-9d54-1e5db41bfcda" xsi:nil="true"/>
    <k3a5078a26ff4931bbf08f27197a80f8 xmlns="57f1fb52-79b9-4278-9d54-1e5db41bfcda">
      <Terms xmlns="http://schemas.microsoft.com/office/infopath/2007/PartnerControls"/>
    </k3a5078a26ff4931bbf08f27197a80f8>
  </documentManagement>
</p:properties>
</file>

<file path=customXml/item5.xml><?xml version="1.0" encoding="utf-8"?>
<?mso-contentType ?>
<SharedContentType xmlns="Microsoft.SharePoint.Taxonomy.ContentTypeSync" SourceId="975c5ac6-a0cc-43ed-b850-4a2ae59237b6"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B95D2-846C-4010-968C-95D452DE77A3}">
  <ds:schemaRefs>
    <ds:schemaRef ds:uri="http://schemas.microsoft.com/sharepoint/events"/>
  </ds:schemaRefs>
</ds:datastoreItem>
</file>

<file path=customXml/itemProps2.xml><?xml version="1.0" encoding="utf-8"?>
<ds:datastoreItem xmlns:ds="http://schemas.openxmlformats.org/officeDocument/2006/customXml" ds:itemID="{401DEEFF-12AE-4ABE-A4A2-530661070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1fb52-79b9-4278-9d54-1e5db41bfcda"/>
    <ds:schemaRef ds:uri="6500fe01-343b-4fb9-a1b0-68ac19d62e01"/>
    <ds:schemaRef ds:uri="6ad6e3fb-56e9-483d-af63-03ae20984e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D7C5B9-7685-4CA8-85D4-D3B7075DC73B}">
  <ds:schemaRefs>
    <ds:schemaRef ds:uri="http://schemas.microsoft.com/office/2006/metadata/customXsn"/>
  </ds:schemaRefs>
</ds:datastoreItem>
</file>

<file path=customXml/itemProps4.xml><?xml version="1.0" encoding="utf-8"?>
<ds:datastoreItem xmlns:ds="http://schemas.openxmlformats.org/officeDocument/2006/customXml" ds:itemID="{DE2ACD7C-2BA9-47F9-8579-76DB6345E23F}">
  <ds:schemaRefs>
    <ds:schemaRef ds:uri="http://schemas.microsoft.com/office/2006/metadata/properties"/>
    <ds:schemaRef ds:uri="http://schemas.microsoft.com/office/infopath/2007/PartnerControls"/>
    <ds:schemaRef ds:uri="6500fe01-343b-4fb9-a1b0-68ac19d62e01"/>
    <ds:schemaRef ds:uri="57f1fb52-79b9-4278-9d54-1e5db41bfcda"/>
    <ds:schemaRef ds:uri="6ad6e3fb-56e9-483d-af63-03ae20984e84"/>
  </ds:schemaRefs>
</ds:datastoreItem>
</file>

<file path=customXml/itemProps5.xml><?xml version="1.0" encoding="utf-8"?>
<ds:datastoreItem xmlns:ds="http://schemas.openxmlformats.org/officeDocument/2006/customXml" ds:itemID="{4BDDF253-407C-4B63-9535-3D5A37A3560F}">
  <ds:schemaRefs>
    <ds:schemaRef ds:uri="Microsoft.SharePoint.Taxonomy.ContentTypeSync"/>
  </ds:schemaRefs>
</ds:datastoreItem>
</file>

<file path=customXml/itemProps6.xml><?xml version="1.0" encoding="utf-8"?>
<ds:datastoreItem xmlns:ds="http://schemas.openxmlformats.org/officeDocument/2006/customXml" ds:itemID="{B9FC7259-9D65-4F8E-88DF-B5C3B3A0C7DE}">
  <ds:schemaRefs>
    <ds:schemaRef ds:uri="http://schemas.microsoft.com/sharepoint/v3/contenttype/forms"/>
  </ds:schemaRefs>
</ds:datastoreItem>
</file>

<file path=customXml/itemProps7.xml><?xml version="1.0" encoding="utf-8"?>
<ds:datastoreItem xmlns:ds="http://schemas.openxmlformats.org/officeDocument/2006/customXml" ds:itemID="{56352C10-2325-43C8-85E1-6835753AE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AHRC%20Report%20Template.dotx</Template>
  <TotalTime>5</TotalTime>
  <Pages>51</Pages>
  <Words>15745</Words>
  <Characters>82351</Characters>
  <Application>Microsoft Office Word</Application>
  <DocSecurity>0</DocSecurity>
  <Lines>1680</Lines>
  <Paragraphs>563</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97533</CharactersWithSpaces>
  <SharedDoc>false</SharedDoc>
  <HLinks>
    <vt:vector size="24" baseType="variant">
      <vt:variant>
        <vt:i4>1703995</vt:i4>
      </vt:variant>
      <vt:variant>
        <vt:i4>20</vt:i4>
      </vt:variant>
      <vt:variant>
        <vt:i4>0</vt:i4>
      </vt:variant>
      <vt:variant>
        <vt:i4>5</vt:i4>
      </vt:variant>
      <vt:variant>
        <vt:lpwstr/>
      </vt:variant>
      <vt:variant>
        <vt:lpwstr>_Toc515289374</vt:lpwstr>
      </vt:variant>
      <vt:variant>
        <vt:i4>1703995</vt:i4>
      </vt:variant>
      <vt:variant>
        <vt:i4>14</vt:i4>
      </vt:variant>
      <vt:variant>
        <vt:i4>0</vt:i4>
      </vt:variant>
      <vt:variant>
        <vt:i4>5</vt:i4>
      </vt:variant>
      <vt:variant>
        <vt:lpwstr/>
      </vt:variant>
      <vt:variant>
        <vt:lpwstr>_Toc515289373</vt:lpwstr>
      </vt:variant>
      <vt:variant>
        <vt:i4>1703995</vt:i4>
      </vt:variant>
      <vt:variant>
        <vt:i4>8</vt:i4>
      </vt:variant>
      <vt:variant>
        <vt:i4>0</vt:i4>
      </vt:variant>
      <vt:variant>
        <vt:i4>5</vt:i4>
      </vt:variant>
      <vt:variant>
        <vt:lpwstr/>
      </vt:variant>
      <vt:variant>
        <vt:lpwstr>_Toc515289372</vt:lpwstr>
      </vt:variant>
      <vt:variant>
        <vt:i4>1703995</vt:i4>
      </vt:variant>
      <vt:variant>
        <vt:i4>2</vt:i4>
      </vt:variant>
      <vt:variant>
        <vt:i4>0</vt:i4>
      </vt:variant>
      <vt:variant>
        <vt:i4>5</vt:i4>
      </vt:variant>
      <vt:variant>
        <vt:lpwstr/>
      </vt:variant>
      <vt:variant>
        <vt:lpwstr>_Toc515289371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Peter Alliott</dc:creator>
  <cp:keywords/>
  <cp:lastModifiedBy>Peter Alliott</cp:lastModifiedBy>
  <cp:revision>5</cp:revision>
  <cp:lastPrinted>1900-12-31T13:00:00Z</cp:lastPrinted>
  <dcterms:created xsi:type="dcterms:W3CDTF">2023-03-03T00:29:00Z</dcterms:created>
  <dcterms:modified xsi:type="dcterms:W3CDTF">2023-03-03T00:33:00Z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0x010100E7576D0480B8CD46A2CFCECBC151981F</vt:lpwstr>
  </property>
  <property fmtid="{D5CDD505-2E9C-101B-9397-08002B2CF9AE}" pid="3" name="_dlc_DocIdItemGuid">
    <vt:lpwstr>aa9792bf-c5f1-413f-a506-a0963ce0da53</vt:lpwstr>
  </property>
  <property fmtid="{D5CDD505-2E9C-101B-9397-08002B2CF9AE}" pid="4" name="TaxKeyword">
    <vt:lpwstr/>
  </property>
  <property fmtid="{D5CDD505-2E9C-101B-9397-08002B2CF9AE}" pid="5" name="MediaServiceImageTags">
    <vt:lpwstr/>
  </property>
  <property fmtid="{D5CDD505-2E9C-101B-9397-08002B2CF9AE}" pid="6" name="Document Type">
    <vt:lpwstr/>
  </property>
</Properties>
</file>